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AEF4" w14:textId="77777777" w:rsidR="00FC4702" w:rsidRPr="00CA05AF" w:rsidRDefault="00000000">
      <w:pPr>
        <w:jc w:val="center"/>
      </w:pPr>
      <w:r w:rsidRPr="00CA05AF">
        <w:rPr>
          <w:b/>
          <w:sz w:val="28"/>
        </w:rPr>
        <w:t>Molecular Confirmation and Phylogenetic Analysis of Human BGN and G6PD Gene Fragments Using Sanger Sequencing</w:t>
      </w:r>
    </w:p>
    <w:p w14:paraId="0128B16B" w14:textId="77777777" w:rsidR="00FC4702" w:rsidRPr="00CA05AF" w:rsidRDefault="00000000">
      <w:pPr>
        <w:jc w:val="center"/>
      </w:pPr>
      <w:r w:rsidRPr="00CA05AF">
        <w:t>Original Article</w:t>
      </w:r>
    </w:p>
    <w:p w14:paraId="112B0335" w14:textId="77777777" w:rsidR="00FC4702" w:rsidRPr="00CA05AF" w:rsidRDefault="00000000">
      <w:pPr>
        <w:jc w:val="center"/>
      </w:pPr>
      <w:r w:rsidRPr="00CA05AF">
        <w:t>Running title: Sanger confirmation of BGN and G6PD</w:t>
      </w:r>
    </w:p>
    <w:p w14:paraId="3A26B79C" w14:textId="77777777" w:rsidR="00FC4702" w:rsidRPr="00CA05AF" w:rsidRDefault="00000000">
      <w:pPr>
        <w:jc w:val="center"/>
      </w:pPr>
      <w:r w:rsidRPr="00CA05AF">
        <w:t>Atna Permana1*, Prima Nanda Fauziah1, Zuraida1, Parto Fransiskus2</w:t>
      </w:r>
    </w:p>
    <w:p w14:paraId="7A5EB937" w14:textId="77777777" w:rsidR="00FC4702" w:rsidRPr="00CA05AF" w:rsidRDefault="00000000">
      <w:pPr>
        <w:jc w:val="center"/>
      </w:pPr>
      <w:r w:rsidRPr="00CA05AF">
        <w:t>1 Bachelor of Applied Medical Laboratory Technology Study Program, Faculty of Health, Universitas Mohammad Husni Thamrin, Jakarta, Indonesia</w:t>
      </w:r>
    </w:p>
    <w:p w14:paraId="1EF47DE6" w14:textId="77777777" w:rsidR="00FC4702" w:rsidRPr="00CA05AF" w:rsidRDefault="00000000">
      <w:pPr>
        <w:jc w:val="center"/>
      </w:pPr>
      <w:r w:rsidRPr="00CA05AF">
        <w:t>2 Health Polytechnic of the Ministry of Health Jakarta III, Jakarta, Indonesia</w:t>
      </w:r>
    </w:p>
    <w:p w14:paraId="248EB168" w14:textId="77777777" w:rsidR="00FC4702" w:rsidRPr="00CA05AF" w:rsidRDefault="00000000">
      <w:r w:rsidRPr="00CA05AF">
        <w:rPr>
          <w:b/>
        </w:rPr>
        <w:t>Corresponding author:</w:t>
      </w:r>
    </w:p>
    <w:p w14:paraId="113895E3" w14:textId="77777777" w:rsidR="00FC4702" w:rsidRPr="00CA05AF" w:rsidRDefault="00000000">
      <w:r w:rsidRPr="00CA05AF">
        <w:t>Atna Permana</w:t>
      </w:r>
    </w:p>
    <w:p w14:paraId="42DAD44C" w14:textId="77777777" w:rsidR="00FC4702" w:rsidRPr="00CA05AF" w:rsidRDefault="00000000">
      <w:r w:rsidRPr="00CA05AF">
        <w:t>Bachelor of Applied Medical Laboratory Technology Study Program, Faculty of Health, Universitas Mohammad Husni Thamrin, Jakarta, Indonesia</w:t>
      </w:r>
    </w:p>
    <w:p w14:paraId="600F2F3D" w14:textId="77777777" w:rsidR="00FC4702" w:rsidRPr="00CA05AF" w:rsidRDefault="00000000">
      <w:r w:rsidRPr="00CA05AF">
        <w:t>Mailing address: Perum Jatisari Permai Blok ED 16, Jalan Lombok, RT 08/14, Jatiasih, Bekasi, West Java, Indonesia</w:t>
      </w:r>
    </w:p>
    <w:p w14:paraId="419429E0" w14:textId="77777777" w:rsidR="00FC4702" w:rsidRPr="00CA05AF" w:rsidRDefault="00000000">
      <w:r w:rsidRPr="00CA05AF">
        <w:t>Telephone/WhatsApp: +62 819-3120-0083</w:t>
      </w:r>
    </w:p>
    <w:p w14:paraId="6C1753BC" w14:textId="77777777" w:rsidR="00FC4702" w:rsidRPr="00CA05AF" w:rsidRDefault="00000000">
      <w:r w:rsidRPr="00CA05AF">
        <w:t>Fax: Not available</w:t>
      </w:r>
    </w:p>
    <w:p w14:paraId="55F43993" w14:textId="77777777" w:rsidR="00FC4702" w:rsidRPr="00CA05AF" w:rsidRDefault="00000000">
      <w:r w:rsidRPr="00CA05AF">
        <w:t>Email: atnap@yahoo.com</w:t>
      </w:r>
    </w:p>
    <w:p w14:paraId="155193FF" w14:textId="77777777" w:rsidR="00FC4702" w:rsidRPr="00CA05AF" w:rsidRDefault="00000000">
      <w:r w:rsidRPr="00CA05AF">
        <w:t>ORCID iD: https://orcid.org/0000-0002-1151-1637</w:t>
      </w:r>
    </w:p>
    <w:p w14:paraId="75A75E12" w14:textId="77777777" w:rsidR="00FC4702" w:rsidRPr="00CA05AF" w:rsidRDefault="00000000">
      <w:r w:rsidRPr="00CA05AF">
        <w:rPr>
          <w:b/>
        </w:rPr>
        <w:t>Author ORCID iDs</w:t>
      </w:r>
    </w:p>
    <w:p w14:paraId="30D0E0D6" w14:textId="77777777" w:rsidR="00FC4702" w:rsidRPr="00CA05AF" w:rsidRDefault="00000000">
      <w:r w:rsidRPr="00CA05AF">
        <w:t>Atna Permana: https://orcid.org/0000-0002-1151-1637</w:t>
      </w:r>
    </w:p>
    <w:p w14:paraId="584E34CD" w14:textId="77777777" w:rsidR="00FC4702" w:rsidRPr="00CA05AF" w:rsidRDefault="00000000">
      <w:r w:rsidRPr="00CA05AF">
        <w:t>Prima Nanda Fauziah: https://orcid.org/0000-0002-5242-5778</w:t>
      </w:r>
    </w:p>
    <w:p w14:paraId="4B4C8C1E" w14:textId="77777777" w:rsidR="00FC4702" w:rsidRPr="00CA05AF" w:rsidRDefault="00000000">
      <w:r w:rsidRPr="00CA05AF">
        <w:t>Zuraida: https://orcid.org/0009-0005-5180-9146</w:t>
      </w:r>
    </w:p>
    <w:p w14:paraId="52A8271A" w14:textId="77777777" w:rsidR="00FC4702" w:rsidRPr="00CA05AF" w:rsidRDefault="00000000">
      <w:r w:rsidRPr="00CA05AF">
        <w:t>Parto Fransiskus: not provided</w:t>
      </w:r>
    </w:p>
    <w:p w14:paraId="17F0DFDF" w14:textId="77777777" w:rsidR="00FC4702" w:rsidRPr="00CA05AF" w:rsidRDefault="00000000">
      <w:r w:rsidRPr="00CA05AF">
        <w:br w:type="page"/>
      </w:r>
    </w:p>
    <w:p w14:paraId="0EC9362C"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lastRenderedPageBreak/>
        <w:t>Potential Conflicts of Interest Notification Page</w:t>
      </w:r>
    </w:p>
    <w:p w14:paraId="582FE663" w14:textId="77777777" w:rsidR="00FC4702" w:rsidRPr="00CA05AF" w:rsidRDefault="00000000">
      <w:r w:rsidRPr="00CA05AF">
        <w:t>The authors declare that they have no financial or personal relationships that could inappropriately influence or bias the work reported in this manuscript.</w:t>
      </w:r>
    </w:p>
    <w:p w14:paraId="40A64AD7" w14:textId="77777777" w:rsidR="00FC4702" w:rsidRPr="00CA05AF" w:rsidRDefault="00000000">
      <w:r w:rsidRPr="00CA05AF">
        <w:br w:type="page"/>
      </w:r>
    </w:p>
    <w:p w14:paraId="46920301"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lastRenderedPageBreak/>
        <w:t>Abstract</w:t>
      </w:r>
    </w:p>
    <w:p w14:paraId="6A8A2297" w14:textId="77777777" w:rsidR="00FC4702" w:rsidRPr="00CA05AF" w:rsidRDefault="00000000">
      <w:r w:rsidRPr="00CA05AF">
        <w:t>Targeted molecular confirmation is still needed when amplified human gene fragments are prepared for downstream genetic, biomedical, or population-based studies. This study confirmed human BGN and G6PD gene fragments using PCR, bidirectional Sanger sequencing, BLASTn analysis, multiple sequence alignment, and phylogenetic reconstruction. Thirteen blood-derived genomic DNA samples were amplified for an approximately 700-bp target region and then sequenced in both directions. The resulting reads were assembled into consensus sequences and analyzed against reference sequences. All samples yielded DNA suitable for amplification, and PCR produced a single band at the expected size. Sanger sequencing was successful for all samples. BLASTn showed 99.64% to 100% identity and 99% to 100% query coverage with Homo sapiens BGN and G6PD reference sequences, with E-values of 0. Multiple sequence alignment showed high conservation across the study and reference sequences. Neighbor-Joining phylogenetic analysis placed all study sequences within Homo sapiens reference clades. These findings show that the combined PCR-Sanger sequencing-bioinformatics workflow reliably confirmed the identity of amplified human BGN and G6PD gene fragments and can support further targeted genetic and biomedical investigations.</w:t>
      </w:r>
    </w:p>
    <w:p w14:paraId="505DE3E7" w14:textId="77777777" w:rsidR="00FC4702" w:rsidRPr="00CA05AF" w:rsidRDefault="00000000">
      <w:r w:rsidRPr="00CA05AF">
        <w:t>Keywords: Sequence Analysis, DNA; Sanger Sequencing; Biglycan; Glucosephosphate Dehydrogenase; Phylogeny; Humans</w:t>
      </w:r>
    </w:p>
    <w:p w14:paraId="3CFD0815"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Introduction</w:t>
      </w:r>
    </w:p>
    <w:p w14:paraId="522BEE6F" w14:textId="77777777" w:rsidR="00FC4702" w:rsidRPr="00CA05AF" w:rsidRDefault="00000000">
      <w:r w:rsidRPr="00CA05AF">
        <w:t>Reliable confirmation of targeted human gene fragments is a basic requirement in biomedical research, especially when amplified products are used for subsequent diagnostic interpretation, variant screening, or population genetic analysis. Sanger sequencing remains widely used for this purpose because it provides direct base-level confirmation of short genomic regions and continues to serve as an important validation method alongside high-throughput sequencing.</w:t>
      </w:r>
      <w:r w:rsidRPr="00CA05AF">
        <w:rPr>
          <w:sz w:val="20"/>
          <w:vertAlign w:val="superscript"/>
        </w:rPr>
        <w:t>[1-4]</w:t>
      </w:r>
    </w:p>
    <w:p w14:paraId="7A670C3C" w14:textId="77777777" w:rsidR="00FC4702" w:rsidRPr="00CA05AF" w:rsidRDefault="00000000">
      <w:r w:rsidRPr="00CA05AF">
        <w:t>The BGN gene encodes biglycan, a small leucine-rich proteoglycan involved in extracellular matrix organization, tissue remodeling, inflammation, and cellular signaling. Biglycan is not only a structural matrix component but also a signaling molecule that can participate in innate immune activation and inflammatory responses.</w:t>
      </w:r>
      <w:r w:rsidRPr="00CA05AF">
        <w:rPr>
          <w:sz w:val="20"/>
          <w:vertAlign w:val="superscript"/>
        </w:rPr>
        <w:t>[5,19-21]</w:t>
      </w:r>
    </w:p>
    <w:p w14:paraId="5E4D59EC" w14:textId="77777777" w:rsidR="00FC4702" w:rsidRPr="00CA05AF" w:rsidRDefault="00000000">
      <w:r w:rsidRPr="00CA05AF">
        <w:lastRenderedPageBreak/>
        <w:t>The G6PD gene encodes glucose-6-phosphate dehydrogenase, an essential enzyme in the pentose phosphate pathway that helps maintain cellular redox balance. Pathogenic or functionally important G6PD variants are clinically relevant because reduced enzyme activity is associated with hemolysis under oxidative stress and shows marked population-level variation.</w:t>
      </w:r>
      <w:r w:rsidRPr="00CA05AF">
        <w:rPr>
          <w:sz w:val="20"/>
          <w:vertAlign w:val="superscript"/>
        </w:rPr>
        <w:t>[6,22-24]</w:t>
      </w:r>
    </w:p>
    <w:p w14:paraId="587FA3F3" w14:textId="77777777" w:rsidR="00FC4702" w:rsidRPr="00CA05AF" w:rsidRDefault="00000000">
      <w:r w:rsidRPr="00CA05AF">
        <w:t>Bioinformatics analysis strengthens targeted sequencing by checking whether a consensus sequence matches the expected gene and species. BLAST-based searches provide rapid sequence identity assessment, while multiple sequence alignment and phylogenetic reconstruction help evaluate conservation and evolutionary congruence with reference sequences.</w:t>
      </w:r>
      <w:r w:rsidRPr="00CA05AF">
        <w:rPr>
          <w:sz w:val="20"/>
          <w:vertAlign w:val="superscript"/>
        </w:rPr>
        <w:t>[7,8,14,15]</w:t>
      </w:r>
    </w:p>
    <w:p w14:paraId="33C18CBA" w14:textId="77777777" w:rsidR="00FC4702" w:rsidRPr="00CA05AF" w:rsidRDefault="00000000">
      <w:r w:rsidRPr="00CA05AF">
        <w:t>This study aimed to confirm amplified human BGN and G6PD gene fragments from blood-derived genomic DNA using bidirectional Sanger sequencing, BLASTn identification, multiple sequence alignment, and Neighbor-Joining phylogenetic analysis. The work was designed as a targeted molecular confirmation workflow to support further biomedical and genetic research applications.</w:t>
      </w:r>
      <w:r w:rsidRPr="00CA05AF">
        <w:rPr>
          <w:sz w:val="20"/>
          <w:vertAlign w:val="superscript"/>
        </w:rPr>
        <w:t>[16-18,25,26]</w:t>
      </w:r>
    </w:p>
    <w:p w14:paraId="2340812E"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Materials and methods</w:t>
      </w:r>
    </w:p>
    <w:p w14:paraId="7CA891BB"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Sample collection and ethical considerations</w:t>
      </w:r>
    </w:p>
    <w:p w14:paraId="69EBB2D5" w14:textId="77777777" w:rsidR="00FC4702" w:rsidRPr="00CA05AF" w:rsidRDefault="00000000">
      <w:r w:rsidRPr="00CA05AF">
        <w:t>Thirteen human blood samples, coded 511.S.3 to 511.S.16, were included in this molecular confirmation study. Genomic DNA was extracted from blood samples and used for PCR amplification and Sanger sequencing. The study protocol was approved by the Ethics Committee of the Faculty of Medicine, Universitas Indonesia-Cipto Mangunkusumo Hospital (approval number: KET-933/UN2.F1/ETIK/PPM.00.02/2026; protocol number: 26-04-0499; approval date: July 06, 2026). The study was conducted in accordance with the Declaration of Helsinki. Written informed consent was obtained from the participants or their legal guardians before sample collection.</w:t>
      </w:r>
    </w:p>
    <w:p w14:paraId="123897FB"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DNA extraction</w:t>
      </w:r>
    </w:p>
    <w:p w14:paraId="202B42AA" w14:textId="77777777" w:rsidR="00FC4702" w:rsidRPr="00CA05AF" w:rsidRDefault="00000000">
      <w:r w:rsidRPr="00CA05AF">
        <w:t>Genomic DNA was isolated using the Quick-DNA Miniprep Plus Kit according to the manufacturer's protocol. The obtained DNA concentrations ranged from 4.51 to 57.97 ng/uL, which was sufficient for downstream PCR amplification and sequencing.</w:t>
      </w:r>
    </w:p>
    <w:p w14:paraId="36A93C5D"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lastRenderedPageBreak/>
        <w:t>PCR amplification</w:t>
      </w:r>
    </w:p>
    <w:p w14:paraId="157D9600" w14:textId="77777777" w:rsidR="00FC4702" w:rsidRPr="00CA05AF" w:rsidRDefault="00000000">
      <w:r w:rsidRPr="00CA05AF">
        <w:t>PCR amplification was performed using the primer pair 4_144_F (5'-TTCAGCCCCATCTTAGCAGC-3') and 4_833_R (5'-GTCCCCAGCCACTTCTAACC-3'), which amplified an approximately 700-bp target region. The thermocycling conditions consisted of initial denaturation at 98 °C for 1 min, followed by 35 cycles of denaturation at 98 °C for 10 s, annealing at 62.3 °C for 5 s, and extension at 68 °C for 18 s, with a final extension at 68 °C for 5 min.</w:t>
      </w:r>
    </w:p>
    <w:p w14:paraId="0DF04C27"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Agarose gel electrophoresis</w:t>
      </w:r>
    </w:p>
    <w:p w14:paraId="56A638F3" w14:textId="77777777" w:rsidR="00FC4702" w:rsidRPr="00CA05AF" w:rsidRDefault="00000000">
      <w:r w:rsidRPr="00CA05AF">
        <w:t>PCR products were separated on an agarose gel using a 1-kb DNA ladder to estimate amplicon size. Amplification success and specificity were evaluated based on the presence of a single visible band at the expected fragment size.</w:t>
      </w:r>
    </w:p>
    <w:p w14:paraId="41E3B8BD"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Sanger sequencing and consensus sequence assembly</w:t>
      </w:r>
    </w:p>
    <w:p w14:paraId="58330B2B" w14:textId="77777777" w:rsidR="00FC4702" w:rsidRPr="00CA05AF" w:rsidRDefault="00000000">
      <w:r w:rsidRPr="00CA05AF">
        <w:t>PCR products were subjected to bidirectional Sanger sequencing using forward and reverse primers and BigDye Terminator v3.0 sequencing chemistry. Sequencing chromatograms were inspected for read quality. Forward and reverse reads were aligned and assembled into consensus sequences using DNA Baser Assembler software. Consensus sequences were used for subsequent BLASTn analysis, multiple sequence alignment, and phylogenetic reconstruction.</w:t>
      </w:r>
      <w:r w:rsidRPr="00CA05AF">
        <w:rPr>
          <w:sz w:val="20"/>
          <w:vertAlign w:val="superscript"/>
        </w:rPr>
        <w:t>[1,3,4]</w:t>
      </w:r>
    </w:p>
    <w:p w14:paraId="394048AA"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BLASTn identification</w:t>
      </w:r>
    </w:p>
    <w:p w14:paraId="723065A4" w14:textId="77777777" w:rsidR="00FC4702" w:rsidRPr="00CA05AF" w:rsidRDefault="00000000">
      <w:r w:rsidRPr="00CA05AF">
        <w:t>Consensus sequences were compared with entries in the NCBI nucleotide database using BLASTn with the megablast option. The top database matches were evaluated based on query coverage, E-value, percentage identity, and accession number. Sequence identity with Homo sapiens BGN and G6PD reference sequences was used as the primary criterion for molecular confirmation.</w:t>
      </w:r>
      <w:r w:rsidRPr="00CA05AF">
        <w:rPr>
          <w:sz w:val="20"/>
          <w:vertAlign w:val="superscript"/>
        </w:rPr>
        <w:t>[7,14]</w:t>
      </w:r>
    </w:p>
    <w:p w14:paraId="45B83425"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Multiple sequence alignment</w:t>
      </w:r>
    </w:p>
    <w:p w14:paraId="46B55B1D" w14:textId="77777777" w:rsidR="00FC4702" w:rsidRPr="00CA05AF" w:rsidRDefault="00000000">
      <w:r w:rsidRPr="00CA05AF">
        <w:t>Study sequences and reference sequences were aligned using the ClustalW algorithm implemented in MEGA software. The alignment was used to evaluate sequence conservation and to identify minor nucleotide differences between the study sequences and reference sequences.</w:t>
      </w:r>
      <w:r w:rsidRPr="00CA05AF">
        <w:rPr>
          <w:sz w:val="20"/>
          <w:vertAlign w:val="superscript"/>
        </w:rPr>
        <w:t>[8,9,15,26]</w:t>
      </w:r>
    </w:p>
    <w:p w14:paraId="3675420D"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lastRenderedPageBreak/>
        <w:t>Phylogenetic analysis</w:t>
      </w:r>
    </w:p>
    <w:p w14:paraId="4B73B062" w14:textId="77777777" w:rsidR="00FC4702" w:rsidRPr="00CA05AF" w:rsidRDefault="00000000">
      <w:r w:rsidRPr="00CA05AF">
        <w:t>Phylogenetic trees were reconstructed using the Neighbor-Joining method based on the Tamura-Nei substitution model in MEGA software. Bootstrap analysis was performed to evaluate support for the inferred tree topology. The placement of study sequences within Homo sapiens reference clades was interpreted as evidence supporting the molecular identity of the amplified gene fragments.</w:t>
      </w:r>
      <w:r w:rsidRPr="00CA05AF">
        <w:rPr>
          <w:sz w:val="20"/>
          <w:vertAlign w:val="superscript"/>
        </w:rPr>
        <w:t>[9,10,16-18]</w:t>
      </w:r>
    </w:p>
    <w:p w14:paraId="30427A44"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Results</w:t>
      </w:r>
    </w:p>
    <w:p w14:paraId="0159544E"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DNA quality and PCR amplification</w:t>
      </w:r>
    </w:p>
    <w:p w14:paraId="5B03E064" w14:textId="77777777" w:rsidR="00FC4702" w:rsidRPr="00CA05AF" w:rsidRDefault="00000000">
      <w:r w:rsidRPr="00CA05AF">
        <w:t>All extracted genomic DNA samples yielded sufficient DNA concentration for PCR amplification and sequencing. PCR amplification produced a single visible band of the expected size in all samples, indicating successful amplification and suggesting primer specificity for the target region.</w:t>
      </w:r>
    </w:p>
    <w:p w14:paraId="3EC4550A"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Sequencing performance</w:t>
      </w:r>
    </w:p>
    <w:p w14:paraId="0CFF377A" w14:textId="77777777" w:rsidR="00FC4702" w:rsidRPr="00CA05AF" w:rsidRDefault="00000000">
      <w:r w:rsidRPr="00CA05AF">
        <w:t>Bidirectional Sanger sequencing was successful for all thirteen samples. Inspection of chromatograms and assembly of forward and reverse reads produced high-quality consensus sequences. No sample failed during sequence assembly, and no unresolved ambiguous base calls were retained in the final consensus sequences.</w:t>
      </w:r>
    </w:p>
    <w:p w14:paraId="36000ACE"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BLASTn-based molecular identification</w:t>
      </w:r>
    </w:p>
    <w:p w14:paraId="3AAB3F40" w14:textId="77777777" w:rsidR="00FC4702" w:rsidRPr="00CA05AF" w:rsidRDefault="00000000">
      <w:r w:rsidRPr="00CA05AF">
        <w:t>BLASTn analysis showed that all consensus sequences had high-similarity matches with Homo sapiens reference sequences. Percentage identity ranged from 99.64% to 100%, query coverage ranged from 99% to 100%, and E-values were 0. The highest scoring matches corresponded to BGN and G6PD gene sequences, supporting the identity of the amplified fragments.</w:t>
      </w:r>
    </w:p>
    <w:p w14:paraId="56A65FDA"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t>Multiple sequence alignment</w:t>
      </w:r>
    </w:p>
    <w:p w14:paraId="47B813B9" w14:textId="77777777" w:rsidR="00FC4702" w:rsidRPr="00CA05AF" w:rsidRDefault="00000000">
      <w:r w:rsidRPr="00CA05AF">
        <w:t>Multiple sequence alignment demonstrated high conservation between the study sequences and Homo sapiens reference sequences. Minor nucleotide differences were observed in some sequences, but these differences did not disrupt the overall alignment pattern and were consistent with successful targeting of the intended human gene fragments.</w:t>
      </w:r>
    </w:p>
    <w:p w14:paraId="7BD97EC3" w14:textId="77777777" w:rsidR="00FC4702" w:rsidRPr="00CA05AF" w:rsidRDefault="00000000">
      <w:pPr>
        <w:pStyle w:val="Heading2"/>
        <w:spacing w:before="120" w:after="120"/>
        <w:rPr>
          <w:color w:val="auto"/>
        </w:rPr>
      </w:pPr>
      <w:r w:rsidRPr="00CA05AF">
        <w:rPr>
          <w:rFonts w:ascii="Times New Roman" w:eastAsia="Times New Roman" w:hAnsi="Times New Roman"/>
          <w:color w:val="auto"/>
        </w:rPr>
        <w:lastRenderedPageBreak/>
        <w:t>Phylogenetic reconstruction</w:t>
      </w:r>
    </w:p>
    <w:p w14:paraId="61E107E2" w14:textId="77777777" w:rsidR="00FC4702" w:rsidRPr="00CA05AF" w:rsidRDefault="00000000">
      <w:r w:rsidRPr="00CA05AF">
        <w:t>Neighbor-Joining phylogenetic analysis placed all study sequences within Homo sapiens reference clades for the BGN and G6PD gene fragments. Major nodes showed supportive bootstrap values, indicating that the inferred clustering pattern was stable. The combined phylogenetic interpretation was consistent with the BLASTn and alignment results. A summary of the molecular confirmation results is provided in Table 1.</w:t>
      </w:r>
    </w:p>
    <w:p w14:paraId="10F84B7C"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Discussion</w:t>
      </w:r>
    </w:p>
    <w:p w14:paraId="20749A7B" w14:textId="77777777" w:rsidR="00FC4702" w:rsidRPr="00CA05AF" w:rsidRDefault="00000000">
      <w:r w:rsidRPr="00CA05AF">
        <w:t>This study showed that a combined laboratory and bioinformatics workflow can confirm human BGN and G6PD gene fragments with high sequence identity and consistent phylogenetic placement. The successful amplification of a single expected PCR product across all samples suggests that the primer set performed consistently under the applied PCR conditions. This is important because targeted molecular work depends on the quality of the amplicon before the sequence is interpreted.</w:t>
      </w:r>
      <w:r w:rsidRPr="00CA05AF">
        <w:rPr>
          <w:sz w:val="20"/>
          <w:vertAlign w:val="superscript"/>
        </w:rPr>
        <w:t>[1,3,4]</w:t>
      </w:r>
    </w:p>
    <w:p w14:paraId="345730A2" w14:textId="77777777" w:rsidR="00FC4702" w:rsidRPr="00CA05AF" w:rsidRDefault="00000000">
      <w:r w:rsidRPr="00CA05AF">
        <w:t>The BLASTn results provided the primary evidence for molecular identity. All consensus sequences showed 99.64% to 100% identity and 99% to 100% query coverage with Homo sapiens reference sequences, with E-values of 0. These results indicate that the amplified fragments were highly consistent with the intended human gene targets and were unlikely to represent non-specific amplification products. Sequence similarity searches are most informative when interpreted together with alignment quality and the biological context of the target gene.</w:t>
      </w:r>
      <w:r w:rsidRPr="00CA05AF">
        <w:rPr>
          <w:sz w:val="20"/>
          <w:vertAlign w:val="superscript"/>
        </w:rPr>
        <w:t>[7,14]</w:t>
      </w:r>
    </w:p>
    <w:p w14:paraId="0FF1896D" w14:textId="77777777" w:rsidR="00FC4702" w:rsidRPr="00CA05AF" w:rsidRDefault="00000000">
      <w:r w:rsidRPr="00CA05AF">
        <w:t>The alignment results further supported the reliability of the sequence data. High conservation across the study and reference sequences is consistent with the expected behavior of targeted human gene fragments and with the established functional relevance of BGN and G6PD. Minor nucleotide differences did not change the overall alignment pattern and may reflect expected sequence variation or low-level residual sequencing differences that did not compromise gene-level confirmation.</w:t>
      </w:r>
      <w:r w:rsidRPr="00CA05AF">
        <w:rPr>
          <w:sz w:val="20"/>
          <w:vertAlign w:val="superscript"/>
        </w:rPr>
        <w:t>[5,6,8,19-24]</w:t>
      </w:r>
    </w:p>
    <w:p w14:paraId="4031D484" w14:textId="77777777" w:rsidR="00FC4702" w:rsidRPr="00CA05AF" w:rsidRDefault="00000000">
      <w:r w:rsidRPr="00CA05AF">
        <w:t xml:space="preserve">Phylogenetic reconstruction added a second layer of sequence validation by placing all study sequences within Homo sapiens reference clades. Although phylogenetic analysis is not a substitute for clinical variant interpretation, it is useful for evaluating whether the obtained sequences are evolutionarily congruent with the expected reference sequences. The use of </w:t>
      </w:r>
      <w:r w:rsidRPr="00CA05AF">
        <w:lastRenderedPageBreak/>
        <w:t>Neighbor-Joining reconstruction, an explicit substitution model, and bootstrap assessment provided a practical framework for confirming sequence placement in this targeted setting.</w:t>
      </w:r>
      <w:r w:rsidRPr="00CA05AF">
        <w:rPr>
          <w:sz w:val="20"/>
          <w:vertAlign w:val="superscript"/>
        </w:rPr>
        <w:t>[9,10,16-18]</w:t>
      </w:r>
    </w:p>
    <w:p w14:paraId="52B2B574" w14:textId="77777777" w:rsidR="00FC4702" w:rsidRPr="00CA05AF" w:rsidRDefault="00000000">
      <w:r w:rsidRPr="00CA05AF">
        <w:t>The main strength of this study is the use of complementary confirmation steps: PCR specificity assessment, bidirectional sequencing, consensus sequence assembly, BLASTn identification, multiple sequence alignment, and phylogenetic analysis. This layered approach is practical for laboratories that use targeted sequencing for molecular verification before further biomedical interpretation or population-level analysis.</w:t>
      </w:r>
      <w:r w:rsidRPr="00CA05AF">
        <w:rPr>
          <w:sz w:val="20"/>
          <w:vertAlign w:val="superscript"/>
        </w:rPr>
        <w:t>[2-4,11-13]</w:t>
      </w:r>
    </w:p>
    <w:p w14:paraId="2CE7F364" w14:textId="77777777" w:rsidR="00FC4702" w:rsidRPr="00CA05AF" w:rsidRDefault="00000000">
      <w:r w:rsidRPr="00CA05AF">
        <w:t>This study also has limitations. The sample size was limited, and the analysis was restricted to targeted gene fragments rather than full-length genes or whole-genome data. Functional assays and variant pathogenicity interpretation were not performed. Therefore, the findings should be interpreted as molecular confirmation of amplified BGN and G6PD fragments, not as evidence for clinical genotype-phenotype associations. Future studies should include larger samples, public deposition of raw sequence files, and integrated variant analysis when clinical interpretation is intended.</w:t>
      </w:r>
    </w:p>
    <w:p w14:paraId="59710B68"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Funding</w:t>
      </w:r>
    </w:p>
    <w:p w14:paraId="60CF8AF1" w14:textId="77777777" w:rsidR="00FC4702" w:rsidRPr="00CA05AF" w:rsidRDefault="00000000">
      <w:r w:rsidRPr="00CA05AF">
        <w:t>This work received no funding from any source.</w:t>
      </w:r>
    </w:p>
    <w:p w14:paraId="15122A8D"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Acknowledgments</w:t>
      </w:r>
    </w:p>
    <w:p w14:paraId="74F72562" w14:textId="77777777" w:rsidR="00FC4702" w:rsidRPr="00CA05AF" w:rsidRDefault="00000000">
      <w:r w:rsidRPr="00CA05AF">
        <w:t>The authors thank the laboratory members for technical support during DNA extraction, sequencing, and data analysis. AI-assisted tools were used only for language editing and formatting support and were not used to generate scientific content, data, analyses, or interpretations. The authors reviewed and approved the final manuscript and take full responsibility for the accuracy, originality, and integrity of the work.</w:t>
      </w:r>
    </w:p>
    <w:p w14:paraId="4862095A"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Author contributions</w:t>
      </w:r>
    </w:p>
    <w:p w14:paraId="740D9922" w14:textId="77777777" w:rsidR="00FC4702" w:rsidRPr="00CA05AF" w:rsidRDefault="00000000">
      <w:r w:rsidRPr="00CA05AF">
        <w:t xml:space="preserve">Atna Permana: Conceptualization, Methodology, Supervision, Project administration, Writing-original draft, Writing-review and editing, Final approval. Prima Nanda Fauziah: Data curation, Investigation support, Writing-review and editing, Final approval. Zuraida: Formal analysis </w:t>
      </w:r>
      <w:r w:rsidRPr="00CA05AF">
        <w:lastRenderedPageBreak/>
        <w:t>support, Validation, Writing-review and editing, Final approval. Parto Fransiskus: Investigation, Resources, Data collection, Methodology support, Visualization, Final approval.</w:t>
      </w:r>
    </w:p>
    <w:p w14:paraId="48B8AC94"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Data availability</w:t>
      </w:r>
    </w:p>
    <w:p w14:paraId="6FC19416" w14:textId="77777777" w:rsidR="00FC4702" w:rsidRPr="00CA05AF" w:rsidRDefault="00000000">
      <w:r w:rsidRPr="00CA05AF">
        <w:t>The raw chromatogram files, consensus sequences, alignment files, and phylogenetic tree outputs are available from the corresponding author upon reasonable request. If these data are deposited in a public repository before or during review, the accession number or repository link should be inserted in the manuscript and submission system.</w:t>
      </w:r>
    </w:p>
    <w:p w14:paraId="705B0687"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References</w:t>
      </w:r>
    </w:p>
    <w:p w14:paraId="6F1650AB" w14:textId="77777777" w:rsidR="00FC4702" w:rsidRPr="00CA05AF" w:rsidRDefault="00000000">
      <w:pPr>
        <w:spacing w:after="60"/>
        <w:ind w:left="360" w:hanging="360"/>
      </w:pPr>
      <w:r w:rsidRPr="00CA05AF">
        <w:t>1. Sanger F, Nicklen S, Coulson AR. DNA sequencing with chain-terminating inhibitors[J]. Proc Natl Acad Sci U S A, 1977, 74(12): 5463-5467. doi: 10.1073/pnas.74.12.5463.</w:t>
      </w:r>
    </w:p>
    <w:p w14:paraId="4621920D" w14:textId="77777777" w:rsidR="00FC4702" w:rsidRPr="00CA05AF" w:rsidRDefault="00000000">
      <w:pPr>
        <w:spacing w:after="60"/>
        <w:ind w:left="360" w:hanging="360"/>
      </w:pPr>
      <w:r w:rsidRPr="00CA05AF">
        <w:t>2. Heather JM, Chain B. The sequence of sequencers: the history of sequencing DNA[J]. Genomics, 2016, 107(1): 1-8. doi: 10.1016/j.ygeno.2015.11.003.</w:t>
      </w:r>
    </w:p>
    <w:p w14:paraId="10ECE626" w14:textId="77777777" w:rsidR="00FC4702" w:rsidRPr="00CA05AF" w:rsidRDefault="00000000">
      <w:pPr>
        <w:spacing w:after="60"/>
        <w:ind w:left="360" w:hanging="360"/>
      </w:pPr>
      <w:r w:rsidRPr="00CA05AF">
        <w:t>3. Goodwin S, McPherson JD, McCombie WR. Coming of age: ten years of next-generation sequencing technologies[J]. Nat Rev Genet, 2016, 17(6): 333-351. doi: 10.1038/nrg.2016.49.</w:t>
      </w:r>
    </w:p>
    <w:p w14:paraId="6B460915" w14:textId="77777777" w:rsidR="00FC4702" w:rsidRPr="00CA05AF" w:rsidRDefault="00000000">
      <w:pPr>
        <w:spacing w:after="60"/>
        <w:ind w:left="360" w:hanging="360"/>
      </w:pPr>
      <w:r w:rsidRPr="00CA05AF">
        <w:t>4. Crossley BM, Bai J, Glaser A, et al. Guidelines for Sanger sequencing and molecular assay monitoring[J]. J Vet Diagn Invest, 2020, 32(6): 767-775. doi: 10.1177/1040638720905833.</w:t>
      </w:r>
    </w:p>
    <w:p w14:paraId="78D75D31" w14:textId="77777777" w:rsidR="00FC4702" w:rsidRPr="00CA05AF" w:rsidRDefault="00000000">
      <w:pPr>
        <w:spacing w:after="60"/>
        <w:ind w:left="360" w:hanging="360"/>
      </w:pPr>
      <w:r w:rsidRPr="00CA05AF">
        <w:t>5. Schaefer L, Iozzo RV. Biological functions of the small leucine-rich proteoglycans: from genetics to signal transduction[J]. J Biol Chem, 2008, 283(31): 21305-21309. doi: 10.1074/jbc.R800025200.</w:t>
      </w:r>
    </w:p>
    <w:p w14:paraId="791F16A9" w14:textId="77777777" w:rsidR="00FC4702" w:rsidRPr="00CA05AF" w:rsidRDefault="00000000">
      <w:pPr>
        <w:spacing w:after="60"/>
        <w:ind w:left="360" w:hanging="360"/>
      </w:pPr>
      <w:r w:rsidRPr="00CA05AF">
        <w:t>6. Luzzatto L, Ally M, Notaro R. Glucose-6-phosphate dehydrogenase deficiency[J]. Blood, 2020, 136(11): 1225-1240. doi: 10.1182/blood.2019000944.</w:t>
      </w:r>
    </w:p>
    <w:p w14:paraId="38B546F5" w14:textId="77777777" w:rsidR="00FC4702" w:rsidRPr="00CA05AF" w:rsidRDefault="00000000">
      <w:pPr>
        <w:spacing w:after="60"/>
        <w:ind w:left="360" w:hanging="360"/>
      </w:pPr>
      <w:r w:rsidRPr="00CA05AF">
        <w:t>7. Johnson M, Zaretskaya I, Raytselis Y, et al. NCBI BLAST: a better web interface[J]. Nucleic Acids Res, 2008, 36(Web Server issue): W5-W9. doi: 10.1093/nar/gkn201.</w:t>
      </w:r>
    </w:p>
    <w:p w14:paraId="1D6FFEB2" w14:textId="77777777" w:rsidR="00FC4702" w:rsidRPr="00CA05AF" w:rsidRDefault="00000000">
      <w:pPr>
        <w:spacing w:after="60"/>
        <w:ind w:left="360" w:hanging="360"/>
      </w:pPr>
      <w:r w:rsidRPr="00CA05AF">
        <w:t>8. Thompson JD, Higgins DG, Gibson TJ. CLUSTAL W: improving the sensitivity of progressive multiple sequence alignment through sequence weighting, position-specific gap penalties and weight matrix choice[J]. Nucleic Acids Res, 1994, 22(22): 4673-4680. doi: 10.1093/nar/22.22.4673.</w:t>
      </w:r>
    </w:p>
    <w:p w14:paraId="6C8AB666" w14:textId="77777777" w:rsidR="00FC4702" w:rsidRPr="00CA05AF" w:rsidRDefault="00000000">
      <w:pPr>
        <w:spacing w:after="60"/>
        <w:ind w:left="360" w:hanging="360"/>
      </w:pPr>
      <w:r w:rsidRPr="00CA05AF">
        <w:lastRenderedPageBreak/>
        <w:t>9. Kumar S, Stecher G, Li M, et al. MEGA X: Molecular Evolutionary Genetics Analysis across computing platforms[J]. Mol Biol Evol, 2018, 35(6): 1547-1549. doi: 10.1093/molbev/msy096.</w:t>
      </w:r>
    </w:p>
    <w:p w14:paraId="208448B0" w14:textId="77777777" w:rsidR="00FC4702" w:rsidRPr="00CA05AF" w:rsidRDefault="00000000">
      <w:pPr>
        <w:spacing w:after="60"/>
        <w:ind w:left="360" w:hanging="360"/>
      </w:pPr>
      <w:r w:rsidRPr="00CA05AF">
        <w:t>10. Hall BG. Building phylogenetic trees from molecular data with MEGA[J]. Mol Biol Evol, 2013, 30(5): 1229-1235. doi: 10.1093/molbev/mst012.</w:t>
      </w:r>
    </w:p>
    <w:p w14:paraId="0DE5557E" w14:textId="77777777" w:rsidR="00FC4702" w:rsidRPr="00CA05AF" w:rsidRDefault="00000000">
      <w:pPr>
        <w:spacing w:after="60"/>
        <w:ind w:left="360" w:hanging="360"/>
      </w:pPr>
      <w:r w:rsidRPr="00CA05AF">
        <w:t>11. Mu W, Lu HM, Chen J, et al. Sanger validation of high-throughput sequencing in genetic diagnosis: still the best practice?[J]. Front Genet, 2020, 11: 592588. doi: 10.3389/fgene.2020.592588.</w:t>
      </w:r>
    </w:p>
    <w:p w14:paraId="320D762D" w14:textId="77777777" w:rsidR="00FC4702" w:rsidRPr="00CA05AF" w:rsidRDefault="00000000">
      <w:pPr>
        <w:spacing w:after="60"/>
        <w:ind w:left="360" w:hanging="360"/>
      </w:pPr>
      <w:r w:rsidRPr="00CA05AF">
        <w:t>12. Koboldt DC. Best practices for variant calling in clinical sequencing[J]. Genome Med, 2020, 12: 91. doi: 10.1186/s13073-020-00791-w.</w:t>
      </w:r>
    </w:p>
    <w:p w14:paraId="497B670D" w14:textId="77777777" w:rsidR="00FC4702" w:rsidRPr="00CA05AF" w:rsidRDefault="00000000">
      <w:pPr>
        <w:spacing w:after="60"/>
        <w:ind w:left="360" w:hanging="360"/>
      </w:pPr>
      <w:r w:rsidRPr="00CA05AF">
        <w:t>13. Richards S, Aziz N, Bale S, et al. Standards and guidelines for the interpretation of sequence variants: a joint consensus recommendation of the ACMG and AMP[J]. Genet Med, 2015, 17(5): 405-424. doi: 10.1038/gim.2015.30.</w:t>
      </w:r>
    </w:p>
    <w:p w14:paraId="1E2D3B3C" w14:textId="77777777" w:rsidR="00FC4702" w:rsidRPr="00CA05AF" w:rsidRDefault="00000000">
      <w:pPr>
        <w:spacing w:after="60"/>
        <w:ind w:left="360" w:hanging="360"/>
      </w:pPr>
      <w:r w:rsidRPr="00CA05AF">
        <w:t>14. Altschul SF, Gish W, Miller W, et al. Basic local alignment search tool[J]. J Mol Biol, 1990, 215(3): 403-410. doi: 10.1016/S0022-2836(05)80360-2.</w:t>
      </w:r>
    </w:p>
    <w:p w14:paraId="48463AA6" w14:textId="77777777" w:rsidR="00FC4702" w:rsidRPr="00CA05AF" w:rsidRDefault="00000000">
      <w:pPr>
        <w:spacing w:after="60"/>
        <w:ind w:left="360" w:hanging="360"/>
      </w:pPr>
      <w:r w:rsidRPr="00CA05AF">
        <w:t>15. Edgar RC. MUSCLE: multiple sequence alignment with high accuracy and high throughput[J]. Nucleic Acids Res, 2004, 32(5): 1792-1797. doi: 10.1093/nar/gkh340.</w:t>
      </w:r>
    </w:p>
    <w:p w14:paraId="4944C194" w14:textId="77777777" w:rsidR="00FC4702" w:rsidRPr="00CA05AF" w:rsidRDefault="00000000">
      <w:pPr>
        <w:spacing w:after="60"/>
        <w:ind w:left="360" w:hanging="360"/>
      </w:pPr>
      <w:r w:rsidRPr="00CA05AF">
        <w:t>16. Saitou N, Nei M. The neighbor-joining method: a new method for reconstructing phylogenetic trees[J]. Mol Biol Evol, 1987, 4(4): 406-425. doi: 10.1093/oxfordjournals.molbev.a040454.</w:t>
      </w:r>
    </w:p>
    <w:p w14:paraId="6DC32B59" w14:textId="77777777" w:rsidR="00FC4702" w:rsidRPr="00CA05AF" w:rsidRDefault="00000000">
      <w:pPr>
        <w:spacing w:after="60"/>
        <w:ind w:left="360" w:hanging="360"/>
      </w:pPr>
      <w:r w:rsidRPr="00CA05AF">
        <w:t>17. Tamura K, Nei M. Estimation of the number of nucleotide substitutions in the control region of mitochondrial DNA in humans and chimpanzees[J]. Mol Biol Evol, 1993, 10(3): 512-526. doi: 10.1093/oxfordjournals.molbev.a040023.</w:t>
      </w:r>
    </w:p>
    <w:p w14:paraId="7362D457" w14:textId="77777777" w:rsidR="00FC4702" w:rsidRPr="00CA05AF" w:rsidRDefault="00000000">
      <w:pPr>
        <w:spacing w:after="60"/>
        <w:ind w:left="360" w:hanging="360"/>
      </w:pPr>
      <w:r w:rsidRPr="00CA05AF">
        <w:t>18. Felsenstein J. Confidence limits on phylogenies: an approach using the bootstrap[J]. Evolution, 1985, 39(4): 783-791. doi: 10.1111/j.1558-5646.1985.tb00420.x.</w:t>
      </w:r>
    </w:p>
    <w:p w14:paraId="3178F3BC" w14:textId="77777777" w:rsidR="00FC4702" w:rsidRPr="00CA05AF" w:rsidRDefault="00000000">
      <w:pPr>
        <w:spacing w:after="60"/>
        <w:ind w:left="360" w:hanging="360"/>
      </w:pPr>
      <w:r w:rsidRPr="00CA05AF">
        <w:t>19. Nastase MV, Young MF, Schaefer L. Biglycan: a multivalent proteoglycan providing structure and signals[J]. J Histochem Cytochem, 2012, 60(12): 963-975. doi: 10.1369/0022155412456380.</w:t>
      </w:r>
    </w:p>
    <w:p w14:paraId="082B3CF5" w14:textId="77777777" w:rsidR="00FC4702" w:rsidRPr="00CA05AF" w:rsidRDefault="00000000">
      <w:pPr>
        <w:spacing w:after="60"/>
        <w:ind w:left="360" w:hanging="360"/>
      </w:pPr>
      <w:r w:rsidRPr="00CA05AF">
        <w:lastRenderedPageBreak/>
        <w:t>20. Babelova A, Moreth K, Tsalastra-Greul W, et al. Biglycan, a danger signal that activates the NLRP3 inflammasome via toll-like and P2X receptors[J]. J Biol Chem, 2009, 284(36): 24035-24048. doi: 10.1074/jbc.M109.014266.</w:t>
      </w:r>
    </w:p>
    <w:p w14:paraId="7DCE2551" w14:textId="77777777" w:rsidR="00FC4702" w:rsidRPr="00CA05AF" w:rsidRDefault="00000000">
      <w:pPr>
        <w:spacing w:after="60"/>
        <w:ind w:left="360" w:hanging="360"/>
      </w:pPr>
      <w:r w:rsidRPr="00CA05AF">
        <w:t>21. Roedig H, Nastase MV, Wygrecka M, et al. Biglycan is a new high-affinity ligand for CD14 in macrophages[J]. Matrix Biol, 2019, 77: 4-22. doi: 10.1016/j.matbio.2018.05.006.</w:t>
      </w:r>
    </w:p>
    <w:p w14:paraId="687A9BF8" w14:textId="77777777" w:rsidR="00FC4702" w:rsidRPr="00CA05AF" w:rsidRDefault="00000000">
      <w:pPr>
        <w:spacing w:after="60"/>
        <w:ind w:left="360" w:hanging="360"/>
      </w:pPr>
      <w:r w:rsidRPr="00CA05AF">
        <w:t>22. Luzzatto L, Nannelli C, Notaro R. Glucose-6-phosphate dehydrogenase deficiency[J]. Hematol Oncol Clin North Am, 2016, 30(2): 373-393. doi: 10.1016/j.hoc.2015.11.006.</w:t>
      </w:r>
    </w:p>
    <w:p w14:paraId="42BE6990" w14:textId="77777777" w:rsidR="00FC4702" w:rsidRPr="00CA05AF" w:rsidRDefault="00000000">
      <w:pPr>
        <w:spacing w:after="60"/>
        <w:ind w:left="360" w:hanging="360"/>
      </w:pPr>
      <w:r w:rsidRPr="00CA05AF">
        <w:t>23. Cappellini MD, Fiorelli G. Glucose-6-phosphate dehydrogenase deficiency[J]. Lancet, 2008, 371(9606): 64-74. doi: 10.1016/S0140-6736(08)60073-2.</w:t>
      </w:r>
    </w:p>
    <w:p w14:paraId="1DE48571" w14:textId="77777777" w:rsidR="00FC4702" w:rsidRPr="00CA05AF" w:rsidRDefault="00000000">
      <w:pPr>
        <w:spacing w:after="60"/>
        <w:ind w:left="360" w:hanging="360"/>
      </w:pPr>
      <w:r w:rsidRPr="00CA05AF">
        <w:t>24. Howes RE, Piel FB, Patil AP, et al. G6PD deficiency prevalence and estimates of affected populations in malaria endemic countries: a geostatistical model-based map[J]. PLoS Med, 2012, 9(11): e1001339. doi: 10.1371/journal.pmed.1001339.</w:t>
      </w:r>
    </w:p>
    <w:p w14:paraId="62E00881" w14:textId="77777777" w:rsidR="00FC4702" w:rsidRPr="00CA05AF" w:rsidRDefault="00000000">
      <w:pPr>
        <w:spacing w:after="60"/>
        <w:ind w:left="360" w:hanging="360"/>
      </w:pPr>
      <w:r w:rsidRPr="00CA05AF">
        <w:t>25. Camacho C, Coulouris G, Avagyan V, et al. BLAST+: architecture and applications[J]. BMC Bioinformatics, 2009, 10: 421. doi: 10.1186/1471-2105-10-421.</w:t>
      </w:r>
    </w:p>
    <w:p w14:paraId="47B32F81" w14:textId="77777777" w:rsidR="00FC4702" w:rsidRPr="00CA05AF" w:rsidRDefault="00000000">
      <w:pPr>
        <w:spacing w:after="60"/>
        <w:ind w:left="360" w:hanging="360"/>
      </w:pPr>
      <w:r w:rsidRPr="00CA05AF">
        <w:t>26. Katoh K, Standley DM. MAFFT multiple sequence alignment software version 7: improvements in performance and usability[J]. Mol Biol Evol, 2013, 30(4): 772-780. doi: 10.1093/molbev/mst010.</w:t>
      </w:r>
    </w:p>
    <w:p w14:paraId="40323E42"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Figure legends</w:t>
      </w:r>
    </w:p>
    <w:p w14:paraId="628B2E02" w14:textId="77777777" w:rsidR="00FC4702" w:rsidRPr="00CA05AF" w:rsidRDefault="00000000">
      <w:r w:rsidRPr="00CA05AF">
        <w:t>No figures are included in the manuscript file. If phylogenetic tree, gel electrophoresis, chromatogram, or workflow figures are submitted, each figure should be uploaded as a separate high-resolution file and accompanied by a complete legend.</w:t>
      </w:r>
    </w:p>
    <w:p w14:paraId="1071003C" w14:textId="77777777" w:rsidR="00FC4702" w:rsidRPr="00CA05AF" w:rsidRDefault="00000000">
      <w:pPr>
        <w:pStyle w:val="Heading1"/>
        <w:spacing w:before="240" w:after="120"/>
        <w:rPr>
          <w:color w:val="auto"/>
        </w:rPr>
      </w:pPr>
      <w:r w:rsidRPr="00CA05AF">
        <w:rPr>
          <w:rFonts w:ascii="Times New Roman" w:eastAsia="Times New Roman" w:hAnsi="Times New Roman"/>
          <w:color w:val="auto"/>
        </w:rPr>
        <w:t>Tables</w:t>
      </w:r>
    </w:p>
    <w:p w14:paraId="5A22BACA" w14:textId="77777777" w:rsidR="00FC4702" w:rsidRPr="00CA05AF" w:rsidRDefault="00000000">
      <w:r w:rsidRPr="00CA05AF">
        <w:t>Table 1. Summary of molecular confirmation results</w:t>
      </w:r>
    </w:p>
    <w:tbl>
      <w:tblPr>
        <w:tblStyle w:val="TableGrid"/>
        <w:tblW w:w="0" w:type="auto"/>
        <w:jc w:val="center"/>
        <w:tblLook w:val="04A0" w:firstRow="1" w:lastRow="0" w:firstColumn="1" w:lastColumn="0" w:noHBand="0" w:noVBand="1"/>
      </w:tblPr>
      <w:tblGrid>
        <w:gridCol w:w="4680"/>
        <w:gridCol w:w="4680"/>
      </w:tblGrid>
      <w:tr w:rsidR="00FC4702" w:rsidRPr="00CA05AF" w14:paraId="3AE72BB8" w14:textId="77777777">
        <w:trPr>
          <w:jc w:val="center"/>
        </w:trPr>
        <w:tc>
          <w:tcPr>
            <w:tcW w:w="4680" w:type="dxa"/>
          </w:tcPr>
          <w:p w14:paraId="0164ABAE" w14:textId="77777777" w:rsidR="00FC4702" w:rsidRPr="00CA05AF" w:rsidRDefault="00000000">
            <w:r w:rsidRPr="00CA05AF">
              <w:rPr>
                <w:b/>
              </w:rPr>
              <w:t>Parameter</w:t>
            </w:r>
          </w:p>
        </w:tc>
        <w:tc>
          <w:tcPr>
            <w:tcW w:w="4680" w:type="dxa"/>
          </w:tcPr>
          <w:p w14:paraId="0E1AF2F4" w14:textId="77777777" w:rsidR="00FC4702" w:rsidRPr="00CA05AF" w:rsidRDefault="00000000">
            <w:r w:rsidRPr="00CA05AF">
              <w:rPr>
                <w:b/>
              </w:rPr>
              <w:t>Result</w:t>
            </w:r>
          </w:p>
        </w:tc>
      </w:tr>
      <w:tr w:rsidR="00FC4702" w:rsidRPr="00CA05AF" w14:paraId="391F99FB" w14:textId="77777777">
        <w:trPr>
          <w:jc w:val="center"/>
        </w:trPr>
        <w:tc>
          <w:tcPr>
            <w:tcW w:w="4680" w:type="dxa"/>
          </w:tcPr>
          <w:p w14:paraId="51851636" w14:textId="77777777" w:rsidR="00FC4702" w:rsidRPr="00CA05AF" w:rsidRDefault="00000000">
            <w:pPr>
              <w:spacing w:after="0" w:line="240" w:lineRule="auto"/>
            </w:pPr>
            <w:r w:rsidRPr="00CA05AF">
              <w:t>Number of blood samples</w:t>
            </w:r>
          </w:p>
        </w:tc>
        <w:tc>
          <w:tcPr>
            <w:tcW w:w="4680" w:type="dxa"/>
          </w:tcPr>
          <w:p w14:paraId="79B1E809" w14:textId="77777777" w:rsidR="00FC4702" w:rsidRPr="00CA05AF" w:rsidRDefault="00000000">
            <w:pPr>
              <w:spacing w:after="0" w:line="240" w:lineRule="auto"/>
            </w:pPr>
            <w:r w:rsidRPr="00CA05AF">
              <w:t>13</w:t>
            </w:r>
          </w:p>
        </w:tc>
      </w:tr>
      <w:tr w:rsidR="00FC4702" w:rsidRPr="00CA05AF" w14:paraId="11240095" w14:textId="77777777">
        <w:trPr>
          <w:jc w:val="center"/>
        </w:trPr>
        <w:tc>
          <w:tcPr>
            <w:tcW w:w="4680" w:type="dxa"/>
          </w:tcPr>
          <w:p w14:paraId="0C62FDA4" w14:textId="77777777" w:rsidR="00FC4702" w:rsidRPr="00CA05AF" w:rsidRDefault="00000000">
            <w:pPr>
              <w:spacing w:after="0" w:line="240" w:lineRule="auto"/>
            </w:pPr>
            <w:r w:rsidRPr="00CA05AF">
              <w:t>Sample codes</w:t>
            </w:r>
          </w:p>
        </w:tc>
        <w:tc>
          <w:tcPr>
            <w:tcW w:w="4680" w:type="dxa"/>
          </w:tcPr>
          <w:p w14:paraId="4CA92CAF" w14:textId="77777777" w:rsidR="00FC4702" w:rsidRPr="00CA05AF" w:rsidRDefault="00000000">
            <w:pPr>
              <w:spacing w:after="0" w:line="240" w:lineRule="auto"/>
            </w:pPr>
            <w:r w:rsidRPr="00CA05AF">
              <w:t>511.S.3 to 511.S.16</w:t>
            </w:r>
          </w:p>
        </w:tc>
      </w:tr>
      <w:tr w:rsidR="00FC4702" w:rsidRPr="00CA05AF" w14:paraId="77445085" w14:textId="77777777">
        <w:trPr>
          <w:jc w:val="center"/>
        </w:trPr>
        <w:tc>
          <w:tcPr>
            <w:tcW w:w="4680" w:type="dxa"/>
          </w:tcPr>
          <w:p w14:paraId="2D3700CA" w14:textId="77777777" w:rsidR="00FC4702" w:rsidRPr="00CA05AF" w:rsidRDefault="00000000">
            <w:pPr>
              <w:spacing w:after="0" w:line="240" w:lineRule="auto"/>
            </w:pPr>
            <w:r w:rsidRPr="00CA05AF">
              <w:t>DNA concentration range</w:t>
            </w:r>
          </w:p>
        </w:tc>
        <w:tc>
          <w:tcPr>
            <w:tcW w:w="4680" w:type="dxa"/>
          </w:tcPr>
          <w:p w14:paraId="322602C0" w14:textId="77777777" w:rsidR="00FC4702" w:rsidRPr="00CA05AF" w:rsidRDefault="00000000">
            <w:pPr>
              <w:spacing w:after="0" w:line="240" w:lineRule="auto"/>
            </w:pPr>
            <w:r w:rsidRPr="00CA05AF">
              <w:t>4.51-57.97 ng/uL</w:t>
            </w:r>
          </w:p>
        </w:tc>
      </w:tr>
      <w:tr w:rsidR="00FC4702" w:rsidRPr="00CA05AF" w14:paraId="6CE6EAE2" w14:textId="77777777">
        <w:trPr>
          <w:jc w:val="center"/>
        </w:trPr>
        <w:tc>
          <w:tcPr>
            <w:tcW w:w="4680" w:type="dxa"/>
          </w:tcPr>
          <w:p w14:paraId="12D1F72E" w14:textId="77777777" w:rsidR="00FC4702" w:rsidRPr="00CA05AF" w:rsidRDefault="00000000">
            <w:pPr>
              <w:spacing w:after="0" w:line="240" w:lineRule="auto"/>
            </w:pPr>
            <w:r w:rsidRPr="00CA05AF">
              <w:t>Target amplicon size</w:t>
            </w:r>
          </w:p>
        </w:tc>
        <w:tc>
          <w:tcPr>
            <w:tcW w:w="4680" w:type="dxa"/>
          </w:tcPr>
          <w:p w14:paraId="1C0452BD" w14:textId="77777777" w:rsidR="00FC4702" w:rsidRPr="00CA05AF" w:rsidRDefault="00000000">
            <w:pPr>
              <w:spacing w:after="0" w:line="240" w:lineRule="auto"/>
            </w:pPr>
            <w:r w:rsidRPr="00CA05AF">
              <w:t>Approximately 700 bp</w:t>
            </w:r>
          </w:p>
        </w:tc>
      </w:tr>
      <w:tr w:rsidR="00FC4702" w:rsidRPr="00CA05AF" w14:paraId="13925C9F" w14:textId="77777777">
        <w:trPr>
          <w:jc w:val="center"/>
        </w:trPr>
        <w:tc>
          <w:tcPr>
            <w:tcW w:w="4680" w:type="dxa"/>
          </w:tcPr>
          <w:p w14:paraId="71CDD237" w14:textId="77777777" w:rsidR="00FC4702" w:rsidRPr="00CA05AF" w:rsidRDefault="00000000">
            <w:pPr>
              <w:spacing w:after="0" w:line="240" w:lineRule="auto"/>
            </w:pPr>
            <w:r w:rsidRPr="00CA05AF">
              <w:t>PCR amplification outcome</w:t>
            </w:r>
          </w:p>
        </w:tc>
        <w:tc>
          <w:tcPr>
            <w:tcW w:w="4680" w:type="dxa"/>
          </w:tcPr>
          <w:p w14:paraId="00067A66" w14:textId="77777777" w:rsidR="00FC4702" w:rsidRPr="00CA05AF" w:rsidRDefault="00000000">
            <w:pPr>
              <w:spacing w:after="0" w:line="240" w:lineRule="auto"/>
            </w:pPr>
            <w:r w:rsidRPr="00CA05AF">
              <w:t>Single expected band in all samples</w:t>
            </w:r>
          </w:p>
        </w:tc>
      </w:tr>
      <w:tr w:rsidR="00FC4702" w:rsidRPr="00CA05AF" w14:paraId="0D91CAF1" w14:textId="77777777">
        <w:trPr>
          <w:jc w:val="center"/>
        </w:trPr>
        <w:tc>
          <w:tcPr>
            <w:tcW w:w="4680" w:type="dxa"/>
          </w:tcPr>
          <w:p w14:paraId="70F7F0C3" w14:textId="77777777" w:rsidR="00FC4702" w:rsidRPr="00CA05AF" w:rsidRDefault="00000000">
            <w:pPr>
              <w:spacing w:after="0" w:line="240" w:lineRule="auto"/>
            </w:pPr>
            <w:r w:rsidRPr="00CA05AF">
              <w:lastRenderedPageBreak/>
              <w:t>Sequencing outcome</w:t>
            </w:r>
          </w:p>
        </w:tc>
        <w:tc>
          <w:tcPr>
            <w:tcW w:w="4680" w:type="dxa"/>
          </w:tcPr>
          <w:p w14:paraId="72DC6EC1" w14:textId="77777777" w:rsidR="00FC4702" w:rsidRPr="00CA05AF" w:rsidRDefault="00000000">
            <w:pPr>
              <w:spacing w:after="0" w:line="240" w:lineRule="auto"/>
            </w:pPr>
            <w:r w:rsidRPr="00CA05AF">
              <w:t>Bidirectional Sanger sequencing successful in all samples</w:t>
            </w:r>
          </w:p>
        </w:tc>
      </w:tr>
      <w:tr w:rsidR="00FC4702" w:rsidRPr="00CA05AF" w14:paraId="50DD99CF" w14:textId="77777777">
        <w:trPr>
          <w:jc w:val="center"/>
        </w:trPr>
        <w:tc>
          <w:tcPr>
            <w:tcW w:w="4680" w:type="dxa"/>
          </w:tcPr>
          <w:p w14:paraId="2D233786" w14:textId="77777777" w:rsidR="00FC4702" w:rsidRPr="00CA05AF" w:rsidRDefault="00000000">
            <w:pPr>
              <w:spacing w:after="0" w:line="240" w:lineRule="auto"/>
            </w:pPr>
            <w:r w:rsidRPr="00CA05AF">
              <w:t>BLASTn percentage identity</w:t>
            </w:r>
          </w:p>
        </w:tc>
        <w:tc>
          <w:tcPr>
            <w:tcW w:w="4680" w:type="dxa"/>
          </w:tcPr>
          <w:p w14:paraId="3B15DD75" w14:textId="77777777" w:rsidR="00FC4702" w:rsidRPr="00CA05AF" w:rsidRDefault="00000000">
            <w:pPr>
              <w:spacing w:after="0" w:line="240" w:lineRule="auto"/>
            </w:pPr>
            <w:r w:rsidRPr="00CA05AF">
              <w:t>99.64%-100%</w:t>
            </w:r>
          </w:p>
        </w:tc>
      </w:tr>
      <w:tr w:rsidR="00FC4702" w:rsidRPr="00CA05AF" w14:paraId="6E2504DE" w14:textId="77777777">
        <w:trPr>
          <w:jc w:val="center"/>
        </w:trPr>
        <w:tc>
          <w:tcPr>
            <w:tcW w:w="4680" w:type="dxa"/>
          </w:tcPr>
          <w:p w14:paraId="60627EE7" w14:textId="77777777" w:rsidR="00FC4702" w:rsidRPr="00CA05AF" w:rsidRDefault="00000000">
            <w:pPr>
              <w:spacing w:after="0" w:line="240" w:lineRule="auto"/>
            </w:pPr>
            <w:r w:rsidRPr="00CA05AF">
              <w:t>BLASTn query coverage</w:t>
            </w:r>
          </w:p>
        </w:tc>
        <w:tc>
          <w:tcPr>
            <w:tcW w:w="4680" w:type="dxa"/>
          </w:tcPr>
          <w:p w14:paraId="3DAB428E" w14:textId="77777777" w:rsidR="00FC4702" w:rsidRPr="00CA05AF" w:rsidRDefault="00000000">
            <w:pPr>
              <w:spacing w:after="0" w:line="240" w:lineRule="auto"/>
            </w:pPr>
            <w:r w:rsidRPr="00CA05AF">
              <w:t>99%-100%</w:t>
            </w:r>
          </w:p>
        </w:tc>
      </w:tr>
      <w:tr w:rsidR="00FC4702" w:rsidRPr="00CA05AF" w14:paraId="50737F91" w14:textId="77777777">
        <w:trPr>
          <w:jc w:val="center"/>
        </w:trPr>
        <w:tc>
          <w:tcPr>
            <w:tcW w:w="4680" w:type="dxa"/>
          </w:tcPr>
          <w:p w14:paraId="1D38BD33" w14:textId="77777777" w:rsidR="00FC4702" w:rsidRPr="00CA05AF" w:rsidRDefault="00000000">
            <w:pPr>
              <w:spacing w:after="0" w:line="240" w:lineRule="auto"/>
            </w:pPr>
            <w:r w:rsidRPr="00CA05AF">
              <w:t>BLASTn E-value</w:t>
            </w:r>
          </w:p>
        </w:tc>
        <w:tc>
          <w:tcPr>
            <w:tcW w:w="4680" w:type="dxa"/>
          </w:tcPr>
          <w:p w14:paraId="24BF0D71" w14:textId="77777777" w:rsidR="00FC4702" w:rsidRPr="00CA05AF" w:rsidRDefault="00000000">
            <w:pPr>
              <w:spacing w:after="0" w:line="240" w:lineRule="auto"/>
            </w:pPr>
            <w:r w:rsidRPr="00CA05AF">
              <w:t>0</w:t>
            </w:r>
          </w:p>
        </w:tc>
      </w:tr>
      <w:tr w:rsidR="00FC4702" w:rsidRPr="00CA05AF" w14:paraId="7E972EEA" w14:textId="77777777">
        <w:trPr>
          <w:jc w:val="center"/>
        </w:trPr>
        <w:tc>
          <w:tcPr>
            <w:tcW w:w="4680" w:type="dxa"/>
          </w:tcPr>
          <w:p w14:paraId="79F1BD81" w14:textId="77777777" w:rsidR="00FC4702" w:rsidRPr="00CA05AF" w:rsidRDefault="00000000">
            <w:pPr>
              <w:spacing w:after="0" w:line="240" w:lineRule="auto"/>
            </w:pPr>
            <w:r w:rsidRPr="00CA05AF">
              <w:t>Phylogenetic placement</w:t>
            </w:r>
          </w:p>
        </w:tc>
        <w:tc>
          <w:tcPr>
            <w:tcW w:w="4680" w:type="dxa"/>
          </w:tcPr>
          <w:p w14:paraId="4A000A47" w14:textId="77777777" w:rsidR="00FC4702" w:rsidRPr="00CA05AF" w:rsidRDefault="00000000">
            <w:pPr>
              <w:spacing w:after="0" w:line="240" w:lineRule="auto"/>
            </w:pPr>
            <w:r w:rsidRPr="00CA05AF">
              <w:t>All study sequences clustered within Homo sapiens reference clades</w:t>
            </w:r>
          </w:p>
        </w:tc>
      </w:tr>
    </w:tbl>
    <w:p w14:paraId="08EFC125" w14:textId="77777777" w:rsidR="00503F91" w:rsidRPr="00CA05AF" w:rsidRDefault="00503F91"/>
    <w:sectPr w:rsidR="00503F91" w:rsidRPr="00CA05A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CBB5" w14:textId="77777777" w:rsidR="00503F91" w:rsidRDefault="00503F91">
      <w:pPr>
        <w:spacing w:after="0" w:line="240" w:lineRule="auto"/>
      </w:pPr>
      <w:r>
        <w:separator/>
      </w:r>
    </w:p>
  </w:endnote>
  <w:endnote w:type="continuationSeparator" w:id="0">
    <w:p w14:paraId="7FF4BEEA" w14:textId="77777777" w:rsidR="00503F91" w:rsidRDefault="00503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0B48" w14:textId="77777777" w:rsidR="00FC4702" w:rsidRDefault="00000000">
    <w:pPr>
      <w:pStyle w:val="Footer"/>
      <w:jc w:val="center"/>
    </w:pPr>
    <w:r>
      <w:fldChar w:fldCharType="begin"/>
    </w:r>
    <w:r>
      <w:instrText>PAGE</w:instrText>
    </w:r>
    <w:r w:rsidR="00CA05AF">
      <w:fldChar w:fldCharType="separate"/>
    </w:r>
    <w:r w:rsidR="00CA05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DF6A" w14:textId="77777777" w:rsidR="00503F91" w:rsidRDefault="00503F91">
      <w:pPr>
        <w:spacing w:after="0" w:line="240" w:lineRule="auto"/>
      </w:pPr>
      <w:r>
        <w:separator/>
      </w:r>
    </w:p>
  </w:footnote>
  <w:footnote w:type="continuationSeparator" w:id="0">
    <w:p w14:paraId="1E84998C" w14:textId="77777777" w:rsidR="00503F91" w:rsidRDefault="00503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328937">
    <w:abstractNumId w:val="8"/>
  </w:num>
  <w:num w:numId="2" w16cid:durableId="1293247713">
    <w:abstractNumId w:val="6"/>
  </w:num>
  <w:num w:numId="3" w16cid:durableId="529493934">
    <w:abstractNumId w:val="5"/>
  </w:num>
  <w:num w:numId="4" w16cid:durableId="1554854806">
    <w:abstractNumId w:val="4"/>
  </w:num>
  <w:num w:numId="5" w16cid:durableId="886840977">
    <w:abstractNumId w:val="7"/>
  </w:num>
  <w:num w:numId="6" w16cid:durableId="348335643">
    <w:abstractNumId w:val="3"/>
  </w:num>
  <w:num w:numId="7" w16cid:durableId="451947457">
    <w:abstractNumId w:val="2"/>
  </w:num>
  <w:num w:numId="8" w16cid:durableId="2084646609">
    <w:abstractNumId w:val="1"/>
  </w:num>
  <w:num w:numId="9" w16cid:durableId="128433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3CD"/>
    <w:rsid w:val="0029639D"/>
    <w:rsid w:val="00326F90"/>
    <w:rsid w:val="00503F91"/>
    <w:rsid w:val="00AA1D8D"/>
    <w:rsid w:val="00B47730"/>
    <w:rsid w:val="00CA05AF"/>
    <w:rsid w:val="00CB0664"/>
    <w:rsid w:val="00FC4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E2341"/>
  <w14:defaultImageDpi w14:val="300"/>
  <w15:docId w15:val="{A1BF5B48-5A8E-4372-A8BD-998F6BAE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2026-07-18T02:58:00Z</dcterms:modified>
  <cp:category/>
</cp:coreProperties>
</file>