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F465C" w:rsidRDefault="006D4F6D">
      <w:pPr>
        <w:keepNext/>
        <w:pBdr>
          <w:top w:val="nil"/>
          <w:left w:val="nil"/>
          <w:bottom w:val="nil"/>
          <w:right w:val="nil"/>
          <w:between w:val="nil"/>
        </w:pBdr>
        <w:spacing w:line="360" w:lineRule="auto" w:before="0" w:after="120"/>
        <w:ind w:firstLine="0"/>
        <w:jc w:val="center"/>
        <w:rPr>
          <w:rFonts w:ascii="Garamond" w:eastAsia="Garamond" w:hAnsi="Garamond" w:cs="Garamond"/>
          <w:b/>
          <w:color w:val="000000"/>
          <w:sz w:val="28"/>
          <w:szCs w:val="28"/>
        </w:rPr>
      </w:pPr>
      <w:proofErr w:type="spellStart"/>
      <w:proofErr w:type="spellEnd"/>
      <w:proofErr w:type="spellStart"/>
      <w:proofErr w:type="spellEnd"/>
      <w:r>
        <w:rPr>
          <w:rFonts w:ascii="Garamond" w:hAnsi="Garamond" w:eastAsia="Garamond"/>
          <w:b/>
          <w:i w:val="0"/>
          <w:sz w:val="28"/>
        </w:rPr>
        <w:t>Hypoglycaemia Awareness and Item-Level Associations Among Adults With Type 2 Diabetes Mellitus</w:t>
      </w:r>
    </w:p>
    <w:p w14:paraId="00000004" w14:textId="77777777" w:rsidR="000F465C" w:rsidRDefault="006D4F6D">
      <w:pPr>
        <w:keepNext/>
        <w:pBdr>
          <w:top w:val="nil"/>
          <w:left w:val="nil"/>
          <w:bottom w:val="nil"/>
          <w:right w:val="nil"/>
          <w:between w:val="nil"/>
        </w:pBdr>
        <w:spacing w:line="240" w:lineRule="auto" w:before="0" w:after="0"/>
        <w:ind w:firstLine="0"/>
        <w:jc w:val="center"/>
        <w:rPr>
          <w:rFonts w:ascii="Garamond" w:eastAsia="Garamond" w:hAnsi="Garamond" w:cs="Garamond"/>
          <w:b/>
          <w:color w:val="000000"/>
          <w:sz w:val="22"/>
          <w:szCs w:val="22"/>
        </w:rPr>
      </w:pPr>
      <w:proofErr w:type="spellStart"/>
      <w:proofErr w:type="spellEnd"/>
      <w:proofErr w:type="gramStart"/>
      <w:proofErr w:type="gramEnd"/>
      <w:proofErr w:type="spellStart"/>
      <w:proofErr w:type="spellEnd"/>
      <w:proofErr w:type="spellStart"/>
      <w:proofErr w:type="spellEnd"/>
      <w:r>
        <w:rPr>
          <w:rFonts w:ascii="Garamond" w:hAnsi="Garamond" w:eastAsia="Garamond"/>
          <w:b/>
          <w:i w:val="0"/>
          <w:sz w:val="24"/>
        </w:rPr>
        <w:t>Blinded for peer review</w:t>
      </w:r>
    </w:p>
    <w:p w14:paraId="00000006" w14:textId="77777777" w:rsidR="000F465C" w:rsidRDefault="006D4F6D">
      <w:pPr>
        <w:keepNext/>
        <w:spacing w:line="240" w:lineRule="auto" w:before="0" w:after="120"/>
        <w:ind w:firstLine="0"/>
        <w:jc w:val="center"/>
        <w:rPr>
          <w:rFonts w:ascii="Garamond" w:eastAsia="Garamond" w:hAnsi="Garamond" w:cs="Garamond"/>
          <w:sz w:val="20"/>
          <w:szCs w:val="20"/>
        </w:rPr>
      </w:pPr>
      <w:proofErr w:type="spellStart"/>
      <w:proofErr w:type="spellEnd"/>
      <w:proofErr w:type="gramStart"/>
      <w:proofErr w:type="spellStart"/>
      <w:proofErr w:type="spellEnd"/>
      <w:proofErr w:type="gramEnd"/>
      <w:proofErr w:type="spellStart"/>
      <w:proofErr w:type="spellEnd"/>
      <w:proofErr w:type="spellStart"/>
      <w:proofErr w:type="spellEnd"/>
      <w:r>
        <w:rPr>
          <w:rFonts w:ascii="Garamond" w:hAnsi="Garamond" w:eastAsia="Garamond"/>
          <w:b w:val="0"/>
          <w:i w:val="0"/>
          <w:sz w:val="20"/>
        </w:rPr>
        <w:t>Author and affiliation details removed for blind review</w:t>
      </w:r>
    </w:p>
    <w:p w14:paraId="00000008" w14:textId="77777777" w:rsidR="000F465C" w:rsidRDefault="000F465C">
      <w:pPr>
        <w:spacing w:line="276" w:lineRule="auto"/>
        <w:jc w:val="center"/>
        <w:rPr>
          <w:rFonts w:ascii="Garamond" w:eastAsia="Garamond" w:hAnsi="Garamond" w:cs="Garamond"/>
          <w:sz w:val="22"/>
          <w:szCs w:val="22"/>
        </w:rPr>
      </w:pPr>
    </w:p>
    <w:tbl>
      <w:tblPr>
        <w:tblStyle w:val="a"/>
        <w:tblW w:w="9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9"/>
        <w:gridCol w:w="430"/>
        <w:gridCol w:w="6298"/>
      </w:tblGrid>
      <w:tr w:rsidR="000F465C" w14:paraId="033E85DB" w14:textId="77777777">
        <w:tc>
          <w:tcPr>
            <w:tcW w:w="2399" w:type="dxa"/>
            <w:tcBorders>
              <w:top w:val="single" w:sz="12"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ARTICLE INFO</w:t>
            </w:r>
          </w:p>
        </w:tc>
        <w:tc>
          <w:tcPr>
            <w:tcW w:w="430" w:type="dxa"/>
            <w:tcBorders>
              <w:top w:val="single" w:sz="12" w:space="0" w:color="000000"/>
              <w:left w:val="nil"/>
              <w:bottom w:val="nil"/>
              <w:right w:val="nil"/>
            </w:tcBorders>
            <w:shd w:val="clear" w:color="auto" w:fill="auto"/>
          </w:tcPr>
          <w:p w14:paraId="0000000A" w14:textId="77777777" w:rsidR="000F465C" w:rsidRDefault="000F465C">
            <w:pPr>
              <w:jc w:val="center"/>
              <w:rPr>
                <w:rFonts w:ascii="Garamond" w:eastAsia="Garamond" w:hAnsi="Garamond" w:cs="Garamond"/>
                <w:sz w:val="22"/>
                <w:szCs w:val="22"/>
              </w:rPr>
            </w:pPr>
          </w:p>
        </w:tc>
        <w:tc>
          <w:tcPr>
            <w:tcW w:w="6298" w:type="dxa"/>
            <w:tcBorders>
              <w:top w:val="single" w:sz="12"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ABSTRACT</w:t>
            </w:r>
          </w:p>
        </w:tc>
      </w:tr>
      <w:tr w:rsidR="000F465C" w14:paraId="4DD2F0C6" w14:textId="77777777">
        <w:tc>
          <w:tcPr>
            <w:tcW w:w="2399" w:type="dxa"/>
            <w:tcBorders>
              <w:top w:val="single" w:sz="12" w:space="0" w:color="000000"/>
              <w:left w:val="nil"/>
              <w:bottom w:val="single" w:sz="8" w:space="0" w:color="000000"/>
              <w:right w:val="nil"/>
            </w:tcBorders>
            <w:shd w:val="clear" w:color="auto" w:fill="auto"/>
            <w:vAlign w:val="top"/>
          </w:tcPr>
          <w:p>
            <w:pPr>
              <w:keepNext w:val="0"/>
              <w:spacing w:line="240" w:lineRule="auto" w:before="0" w:after="0"/>
              <w:ind w:firstLine="0"/>
              <w:jc w:val="left"/>
            </w:pPr>
            <w:r>
              <w:rPr>
                <w:rFonts w:ascii="Garamond" w:hAnsi="Garamond" w:eastAsia="Garamond"/>
                <w:b w:val="0"/>
                <w:i w:val="0"/>
                <w:sz w:val="16"/>
              </w:rPr>
              <w:t>Article history</w:t>
              <w:br/>
              <w:t>Received :</w:t>
              <w:br/>
              <w:t>Revised   :</w:t>
              <w:br/>
              <w:t>Accepted :</w:t>
              <w:br/>
              <w:t>DOI :</w:t>
              <w:br/>
              <w:t>Keywords :</w:t>
              <w:br/>
              <w:t>diabetes mellitus; family nursing; glucose monitoring; hypoglycaemia; hypoglycaemia awareness</w:t>
              <w:br/>
              <w:t>e-mail corresponding author :</w:t>
              <w:br/>
              <w:t>[Blinded]</w:t>
            </w:r>
          </w:p>
        </w:tc>
        <w:tc>
          <w:tcPr>
            <w:tcW w:w="430" w:type="dxa"/>
            <w:tcBorders>
              <w:top w:val="single" w:sz="12" w:space="0" w:color="000000"/>
              <w:left w:val="nil"/>
              <w:bottom w:val="nil"/>
              <w:right w:val="nil"/>
            </w:tcBorders>
            <w:shd w:val="clear" w:color="auto" w:fill="auto"/>
          </w:tcPr>
          <w:p w14:paraId="00000019" w14:textId="77777777" w:rsidR="000F465C" w:rsidRDefault="000F465C">
            <w:pPr>
              <w:jc w:val="center"/>
              <w:rPr>
                <w:rFonts w:ascii="Garamond" w:eastAsia="Garamond" w:hAnsi="Garamond" w:cs="Garamond"/>
                <w:sz w:val="22"/>
                <w:szCs w:val="22"/>
              </w:rPr>
            </w:pPr>
          </w:p>
        </w:tc>
        <w:tc>
          <w:tcPr>
            <w:tcW w:w="6298" w:type="dxa"/>
            <w:tcBorders>
              <w:top w:val="single" w:sz="12" w:space="0" w:color="000000"/>
              <w:left w:val="nil"/>
              <w:bottom w:val="single" w:sz="8" w:space="0" w:color="000000"/>
              <w:right w:val="nil"/>
            </w:tcBorders>
            <w:shd w:val="clear" w:color="auto" w:fill="auto"/>
            <w:vAlign w:val="top"/>
          </w:tcPr>
          <w:p>
            <w:pPr>
              <w:keepNext w:val="0"/>
              <w:spacing w:line="240" w:lineRule="auto" w:before="0" w:after="0"/>
              <w:ind w:firstLine="0"/>
              <w:jc w:val="both"/>
            </w:pPr>
            <w:r>
              <w:rPr>
                <w:rFonts w:ascii="Garamond" w:hAnsi="Garamond" w:eastAsia="Garamond"/>
                <w:b w:val="0"/>
                <w:i/>
                <w:sz w:val="22"/>
              </w:rPr>
              <w:t>Background: Impaired awareness of hypoglycaemia can delay recognition of falling blood glucose and increase the risk of severe events. Evidence from Indonesian primary care remains limited. Objective: This study described hypoglycaemia awareness and explored item-level associations with the total awareness score. Methods: A cross-sectional study included 110 adults with type 2 diabetes mellitus attending Mulyorejo Community Health Centre, Surabaya. Participants were recruited purposively and completed an Indonesian-adapted hypoglycaemia awareness questionnaire. Descriptive statistics and Pearson correlations were used. Results: Using investigator-defined categories, 104 participants (94.5%) had low awareness. The strongest item-total association concerned other people recognising hypoglycaemia before the participant (r = 0.698; p &lt; 0.001), followed by reduced awareness compared with previous episodes (r = 0.692; p &lt; 0.001) and checking blood glucose when symptoms occurred (r = 0.681; p &lt; 0.001). Conclusion: Symptom-recognition education, timely glucose monitoring, and family preparedness may support earlier hypoglycaemia management in primary care.</w:t>
            </w:r>
          </w:p>
        </w:tc>
      </w:tr>
      <w:tr w:rsidR="000F465C" w14:paraId="306BB7DE" w14:textId="77777777">
        <w:tc>
          <w:tcPr>
            <w:tcW w:w="2399" w:type="dxa"/>
            <w:tcBorders>
              <w:top w:val="single" w:sz="4"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PENERBIT</w:t>
            </w:r>
          </w:p>
        </w:tc>
        <w:tc>
          <w:tcPr>
            <w:tcW w:w="430" w:type="dxa"/>
            <w:tcBorders>
              <w:top w:val="nil"/>
              <w:left w:val="nil"/>
              <w:bottom w:val="nil"/>
              <w:right w:val="nil"/>
            </w:tcBorders>
            <w:shd w:val="clear" w:color="auto" w:fill="auto"/>
          </w:tcPr>
          <w:p w14:paraId="0000001F" w14:textId="77777777" w:rsidR="000F465C" w:rsidRPr="00DF3D76" w:rsidRDefault="000F465C">
            <w:pPr>
              <w:jc w:val="center"/>
              <w:rPr>
                <w:rFonts w:ascii="Garamond" w:eastAsia="Garamond" w:hAnsi="Garamond" w:cs="Garamond"/>
                <w:sz w:val="22"/>
                <w:szCs w:val="22"/>
              </w:rPr>
            </w:pPr>
          </w:p>
        </w:tc>
        <w:tc>
          <w:tcPr>
            <w:tcW w:w="6298" w:type="dxa"/>
            <w:tcBorders>
              <w:top w:val="single" w:sz="4"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ABSTRAK</w:t>
            </w:r>
          </w:p>
        </w:tc>
      </w:tr>
      <w:tr w:rsidR="000F465C" w14:paraId="2F79949E" w14:textId="77777777">
        <w:tc>
          <w:tcPr>
            <w:tcW w:w="2399" w:type="dxa"/>
            <w:tcBorders>
              <w:top w:val="single" w:sz="8" w:space="0" w:color="000000"/>
              <w:left w:val="nil"/>
              <w:bottom w:val="single" w:sz="4"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16"/>
              </w:rPr>
              <w:t>UNITRI PRESS</w:t>
            </w:r>
          </w:p>
          <w:p>
            <w:pPr>
              <w:keepNext w:val="0"/>
              <w:spacing w:line="240" w:lineRule="auto" w:before="0" w:after="0"/>
              <w:ind w:firstLine="0"/>
              <w:jc w:val="left"/>
            </w:pPr>
            <w:r>
              <w:rPr>
                <w:rFonts w:ascii="Garamond" w:hAnsi="Garamond" w:eastAsia="Garamond"/>
                <w:b w:val="0"/>
                <w:i w:val="0"/>
                <w:sz w:val="16"/>
              </w:rPr>
              <w:t>Jl. Telagawarna, Tlogomas-Malang, 65144, Telp/Fax: 0341-565500</w:t>
            </w:r>
          </w:p>
        </w:tc>
        <w:tc>
          <w:tcPr>
            <w:tcW w:w="430" w:type="dxa"/>
            <w:tcBorders>
              <w:top w:val="nil"/>
              <w:left w:val="nil"/>
              <w:bottom w:val="nil"/>
              <w:right w:val="nil"/>
            </w:tcBorders>
            <w:shd w:val="clear" w:color="auto" w:fill="auto"/>
          </w:tcPr>
          <w:p w14:paraId="00000025" w14:textId="77777777" w:rsidR="000F465C" w:rsidRDefault="000F465C">
            <w:pPr>
              <w:jc w:val="center"/>
              <w:rPr>
                <w:rFonts w:ascii="Garamond" w:eastAsia="Garamond" w:hAnsi="Garamond" w:cs="Garamond"/>
              </w:rPr>
            </w:pPr>
          </w:p>
        </w:tc>
        <w:tc>
          <w:tcPr>
            <w:tcW w:w="6298" w:type="dxa"/>
            <w:vMerge w:val="restart"/>
            <w:tcBorders>
              <w:top w:val="single" w:sz="8" w:space="0" w:color="000000"/>
              <w:left w:val="nil"/>
              <w:right w:val="nil"/>
            </w:tcBorders>
            <w:shd w:val="clear" w:color="auto" w:fill="auto"/>
            <w:vAlign w:val="top"/>
          </w:tcPr>
          <w:p>
            <w:pPr>
              <w:keepNext w:val="0"/>
              <w:spacing w:line="240" w:lineRule="auto" w:before="0" w:after="0"/>
              <w:ind w:firstLine="0"/>
              <w:jc w:val="both"/>
            </w:pPr>
            <w:r>
              <w:rPr>
                <w:rFonts w:ascii="Garamond" w:hAnsi="Garamond" w:eastAsia="Garamond"/>
                <w:b w:val="0"/>
                <w:i w:val="0"/>
                <w:sz w:val="22"/>
              </w:rPr>
              <w:t>Latar belakang: Gangguan kesadaran terhadap hipoglikemia dapat menghambat pengenalan penurunan glukosa darah dan meningkatkan risiko kejadian berat. Bukti dari layanan primer Indonesia masih terbatas. Tujuan: Penelitian ini menggambarkan kesadaran hipoglikemia dan mengeksplorasi hubungan tingkat butir dengan skor total kesadaran. Metode: Penelitian potong lintang melibatkan 110 pasien diabetes melitus tipe dua di Puskesmas Mulyorejo, Surabaya. Responden direkrut secara purposif dan mengisi kuesioner kesadaran hipoglikemia yang diadaptasi ke bahasa Indonesia. Statistik deskriptif dan korelasi Pearson digunakan. Hasil: Berdasarkan kategori yang ditetapkan peneliti, 104 responden (94,5%) memiliki kesadaran rendah. Hubungan butir-total terkuat berkaitan dengan kondisi ketika orang lain mengenali hipoglikemia lebih dahulu daripada responden (r = 0,698; p &lt; 0,001), diikuti penurunan kesadaran dibandingkan episode sebelumnya (r = 0,692; p &lt; 0,001) dan pemeriksaan glukosa ketika gejala terjadi (r = 0,681; p &lt; 0,001). Kesimpulan: Edukasi pengenalan gejala, pemantauan glukosa tepat waktu, dan kesiapan keluarga dapat mendukung penanganan hipoglikemia lebih dini di layanan primer.</w:t>
            </w:r>
          </w:p>
        </w:tc>
      </w:tr>
      <w:tr w:rsidR="000F465C" w14:paraId="66474A7C" w14:textId="77777777">
        <w:tc>
          <w:tcPr>
            <w:tcW w:w="2399" w:type="dxa"/>
            <w:tcBorders>
              <w:top w:val="single" w:sz="8" w:space="0" w:color="000000"/>
              <w:left w:val="nil"/>
              <w:bottom w:val="nil"/>
              <w:right w:val="nil"/>
            </w:tcBorders>
            <w:shd w:val="clear" w:color="auto" w:fill="auto"/>
          </w:tcPr>
          <w:p w14:paraId="0000002A" w14:textId="77777777" w:rsidR="000F465C" w:rsidRPr="0034684A" w:rsidRDefault="006D4F6D">
            <w:pPr>
              <w:spacing w:line="240" w:lineRule="auto"/>
              <w:jc w:val="both"/>
              <w:rPr>
                <w:rFonts w:ascii="Garamond" w:eastAsia="Garamond" w:hAnsi="Garamond" w:cs="Garamond"/>
                <w:sz w:val="16"/>
                <w:szCs w:val="16"/>
              </w:rPr>
            </w:pPr>
            <w:r w:rsidRPr="0034684A">
              <w:rPr>
                <w:rFonts w:ascii="Garamond" w:eastAsia="Garamond" w:hAnsi="Garamond" w:cs="Garamond"/>
                <w:sz w:val="16"/>
                <w:szCs w:val="16"/>
              </w:rPr>
              <w:t xml:space="preserve">This is an open access article under the </w:t>
            </w:r>
            <w:hyperlink r:id="rId9">
              <w:r w:rsidRPr="0034684A">
                <w:rPr>
                  <w:rFonts w:ascii="Garamond" w:eastAsia="Garamond" w:hAnsi="Garamond" w:cs="Garamond"/>
                  <w:b/>
                  <w:color w:val="000000"/>
                  <w:sz w:val="16"/>
                  <w:szCs w:val="16"/>
                </w:rPr>
                <w:t>Creative Commons Attribution-</w:t>
              </w:r>
              <w:proofErr w:type="spellStart"/>
              <w:r w:rsidRPr="0034684A">
                <w:rPr>
                  <w:rFonts w:ascii="Garamond" w:eastAsia="Garamond" w:hAnsi="Garamond" w:cs="Garamond"/>
                  <w:b/>
                  <w:color w:val="000000"/>
                  <w:sz w:val="16"/>
                  <w:szCs w:val="16"/>
                </w:rPr>
                <w:t>ShareAlike</w:t>
              </w:r>
              <w:proofErr w:type="spellEnd"/>
              <w:r w:rsidRPr="0034684A">
                <w:rPr>
                  <w:rFonts w:ascii="Garamond" w:eastAsia="Garamond" w:hAnsi="Garamond" w:cs="Garamond"/>
                  <w:b/>
                  <w:color w:val="000000"/>
                  <w:sz w:val="16"/>
                  <w:szCs w:val="16"/>
                </w:rPr>
                <w:t xml:space="preserve"> 4.0 International License</w:t>
              </w:r>
            </w:hyperlink>
            <w:r w:rsidRPr="0034684A">
              <w:rPr>
                <w:rFonts w:ascii="Garamond" w:eastAsia="Garamond" w:hAnsi="Garamond" w:cs="Garamond"/>
                <w:sz w:val="16"/>
                <w:szCs w:val="16"/>
              </w:rPr>
              <w:t>. Any further distribution of this work must maintain attribution to the author(s) and the title of the work, journal citation</w:t>
            </w:r>
            <w:r w:rsidRPr="0034684A">
              <w:rPr>
                <w:rFonts w:ascii="Garamond" w:eastAsia="Garamond" w:hAnsi="Garamond" w:cs="Garamond"/>
                <w:sz w:val="16"/>
                <w:szCs w:val="16"/>
              </w:rPr>
              <w:t xml:space="preserve"> and DOI. </w:t>
            </w:r>
            <w:hyperlink r:id="rId10">
              <w:r w:rsidRPr="0034684A">
                <w:rPr>
                  <w:rFonts w:ascii="Garamond" w:eastAsia="Garamond" w:hAnsi="Garamond" w:cs="Garamond"/>
                  <w:color w:val="000000"/>
                  <w:sz w:val="16"/>
                  <w:szCs w:val="16"/>
                </w:rPr>
                <w:t>CC–BY-SA</w:t>
              </w:r>
            </w:hyperlink>
            <w:r w:rsidRPr="0034684A">
              <w:rPr>
                <w:rFonts w:ascii="Garamond" w:eastAsia="Garamond" w:hAnsi="Garamond" w:cs="Garamond"/>
                <w:sz w:val="16"/>
                <w:szCs w:val="16"/>
              </w:rPr>
              <w:t xml:space="preserve"> </w:t>
            </w:r>
            <w:r w:rsidRPr="0034684A">
              <w:rPr>
                <w:rFonts w:ascii="Garamond" w:hAnsi="Garamond" w:eastAsia="Garamond"/>
                <w:noProof/>
                <w:sz w:val="16"/>
                <w:szCs w:val="16"/>
              </w:rPr>
              <w:drawing>
                <wp:anchor distT="0" distB="0" distL="114300" distR="114300" simplePos="0" relativeHeight="251660288" behindDoc="0" locked="0" layoutInCell="1" hidden="0" allowOverlap="1">
                  <wp:simplePos x="0" y="0"/>
                  <wp:positionH relativeFrom="column">
                    <wp:posOffset>-22224</wp:posOffset>
                  </wp:positionH>
                  <wp:positionV relativeFrom="paragraph">
                    <wp:posOffset>49530</wp:posOffset>
                  </wp:positionV>
                  <wp:extent cx="721995" cy="255270"/>
                  <wp:effectExtent l="0" t="0" r="0" b="0"/>
                  <wp:wrapTopAndBottom distT="0" distB="0"/>
                  <wp:docPr id="5" name="image2.png" descr="Description: https://licensebuttons.net/l/by-sa/3.0/88x31.png"/>
                  <wp:cNvGraphicFramePr/>
                  <a:graphic xmlns:a="http://schemas.openxmlformats.org/drawingml/2006/main">
                    <a:graphicData uri="http://schemas.openxmlformats.org/drawingml/2006/picture">
                      <pic:pic xmlns:pic="http://schemas.openxmlformats.org/drawingml/2006/picture">
                        <pic:nvPicPr>
                          <pic:cNvPr id="0" name="image2.png" descr="Description: https://licensebuttons.net/l/by-sa/3.0/88x31.png"/>
                          <pic:cNvPicPr preferRelativeResize="0"/>
                        </pic:nvPicPr>
                        <pic:blipFill>
                          <a:blip r:embed="rId11"/>
                          <a:srcRect/>
                          <a:stretch>
                            <a:fillRect/>
                          </a:stretch>
                        </pic:blipFill>
                        <pic:spPr>
                          <a:xfrm>
                            <a:off x="0" y="0"/>
                            <a:ext cx="721995" cy="255270"/>
                          </a:xfrm>
                          <a:prstGeom prst="rect">
                            <a:avLst/>
                          </a:prstGeom>
                          <a:ln/>
                        </pic:spPr>
                      </pic:pic>
                    </a:graphicData>
                  </a:graphic>
                </wp:anchor>
              </w:drawing>
            </w:r>
          </w:p>
        </w:tc>
        <w:tc>
          <w:tcPr>
            <w:tcW w:w="430" w:type="dxa"/>
            <w:tcBorders>
              <w:top w:val="nil"/>
              <w:left w:val="nil"/>
              <w:bottom w:val="nil"/>
              <w:right w:val="nil"/>
            </w:tcBorders>
            <w:shd w:val="clear" w:color="auto" w:fill="auto"/>
          </w:tcPr>
          <w:p w14:paraId="0000002B" w14:textId="77777777" w:rsidR="000F465C" w:rsidRDefault="000F465C">
            <w:pPr>
              <w:jc w:val="center"/>
              <w:rPr>
                <w:rFonts w:ascii="Garamond" w:eastAsia="Garamond" w:hAnsi="Garamond" w:cs="Garamond"/>
              </w:rPr>
            </w:pPr>
          </w:p>
        </w:tc>
        <w:tc>
          <w:tcPr>
            <w:tcW w:w="6298" w:type="dxa"/>
            <w:vMerge/>
            <w:tcBorders>
              <w:top w:val="single" w:sz="8" w:space="0" w:color="000000"/>
              <w:left w:val="nil"/>
              <w:right w:val="nil"/>
            </w:tcBorders>
            <w:shd w:val="clear" w:color="auto" w:fill="auto"/>
          </w:tcPr>
          <w:p w14:paraId="0000002C" w14:textId="77777777" w:rsidR="000F465C" w:rsidRDefault="000F465C">
            <w:pPr>
              <w:widowControl w:val="0"/>
              <w:pBdr>
                <w:top w:val="nil"/>
                <w:left w:val="nil"/>
                <w:bottom w:val="nil"/>
                <w:right w:val="nil"/>
                <w:between w:val="nil"/>
              </w:pBdr>
              <w:spacing w:line="276" w:lineRule="auto"/>
              <w:rPr>
                <w:rFonts w:ascii="Garamond" w:eastAsia="Garamond" w:hAnsi="Garamond" w:cs="Garamond"/>
              </w:rPr>
            </w:pPr>
          </w:p>
        </w:tc>
      </w:tr>
      <w:tr w:rsidR="000F465C" w14:paraId="58017620" w14:textId="77777777">
        <w:trPr>
          <w:trHeight w:val="113"/>
        </w:trPr>
        <w:tc>
          <w:tcPr>
            <w:tcW w:w="2399" w:type="dxa"/>
            <w:tcBorders>
              <w:top w:val="nil"/>
              <w:left w:val="nil"/>
              <w:bottom w:val="single" w:sz="8" w:space="0" w:color="000000"/>
              <w:right w:val="nil"/>
            </w:tcBorders>
            <w:shd w:val="clear" w:color="auto" w:fill="auto"/>
          </w:tcPr>
          <w:p w14:paraId="0000002D" w14:textId="77777777" w:rsidR="000F465C" w:rsidRDefault="000F465C">
            <w:pPr>
              <w:rPr>
                <w:rFonts w:ascii="Garamond" w:eastAsia="Garamond" w:hAnsi="Garamond" w:cs="Garamond"/>
                <w:sz w:val="18"/>
                <w:szCs w:val="18"/>
              </w:rPr>
            </w:pPr>
          </w:p>
        </w:tc>
        <w:tc>
          <w:tcPr>
            <w:tcW w:w="430" w:type="dxa"/>
            <w:tcBorders>
              <w:top w:val="nil"/>
              <w:left w:val="nil"/>
              <w:bottom w:val="single" w:sz="8" w:space="0" w:color="000000"/>
              <w:right w:val="nil"/>
            </w:tcBorders>
            <w:shd w:val="clear" w:color="auto" w:fill="auto"/>
          </w:tcPr>
          <w:p w14:paraId="0000002E" w14:textId="77777777" w:rsidR="000F465C" w:rsidRDefault="000F465C">
            <w:pPr>
              <w:jc w:val="center"/>
              <w:rPr>
                <w:rFonts w:ascii="Garamond" w:eastAsia="Garamond" w:hAnsi="Garamond" w:cs="Garamond"/>
              </w:rPr>
            </w:pPr>
          </w:p>
        </w:tc>
        <w:tc>
          <w:tcPr>
            <w:tcW w:w="6298" w:type="dxa"/>
            <w:tcBorders>
              <w:top w:val="nil"/>
              <w:left w:val="nil"/>
              <w:bottom w:val="single" w:sz="8" w:space="0" w:color="000000"/>
              <w:right w:val="nil"/>
            </w:tcBorders>
            <w:shd w:val="clear" w:color="auto" w:fill="auto"/>
          </w:tcPr>
          <w:p w14:paraId="0000002F" w14:textId="77777777" w:rsidR="000F465C" w:rsidRDefault="000F465C">
            <w:pPr>
              <w:jc w:val="both"/>
              <w:rPr>
                <w:rFonts w:ascii="Garamond" w:eastAsia="Garamond" w:hAnsi="Garamond" w:cs="Garamond"/>
                <w:sz w:val="18"/>
                <w:szCs w:val="18"/>
              </w:rPr>
            </w:pPr>
          </w:p>
        </w:tc>
      </w:tr>
    </w:tbl>
    <w:p w14:paraId="00000030" w14:textId="77777777" w:rsidR="000F465C" w:rsidRDefault="006D4F6D">
      <w:pPr>
        <w:jc w:val="center"/>
        <w:rPr>
          <w:rFonts w:ascii="Garamond" w:eastAsia="Garamond" w:hAnsi="Garamond" w:cs="Garamond"/>
          <w:b/>
          <w:sz w:val="22"/>
          <w:szCs w:val="22"/>
        </w:rPr>
      </w:pPr>
      <w:r>
        <w:rPr>
          <w:noProof/>
        </w:rPr>
        <mc:AlternateContent>
          <mc:Choice Requires="wps">
            <w:drawing>
              <wp:anchor distT="0" distB="0" distL="114300" distR="114300" simplePos="0" relativeHeight="251661312" behindDoc="0" locked="0" layoutInCell="1" hidden="0" allowOverlap="1" wp14:editId="08C34F15">
                <wp:simplePos x="0" y="0"/>
                <wp:positionH relativeFrom="margin">
                  <wp:align>left</wp:align>
                </wp:positionH>
                <wp:positionV relativeFrom="paragraph">
                  <wp:posOffset>8255</wp:posOffset>
                </wp:positionV>
                <wp:extent cx="5780405" cy="484505"/>
                <wp:effectExtent l="0" t="0" r="0" b="0"/>
                <wp:wrapNone/>
                <wp:docPr id="2" name="Rectangle 2"/>
                <wp:cNvGraphicFramePr/>
                <a:graphic xmlns:a="http://schemas.openxmlformats.org/drawingml/2006/main">
                  <a:graphicData uri="http://schemas.microsoft.com/office/word/2010/wordprocessingShape">
                    <wps:wsp>
                      <wps:cNvSpPr/>
                      <wps:spPr>
                        <a:xfrm>
                          <a:off x="0" y="0"/>
                          <a:ext cx="5780405" cy="484505"/>
                        </a:xfrm>
                        <a:prstGeom prst="rect">
                          <a:avLst/>
                        </a:prstGeom>
                        <a:solidFill>
                          <a:schemeClr val="lt1"/>
                        </a:solidFill>
                        <a:ln>
                          <a:noFill/>
                        </a:ln>
                      </wps:spPr>
                      <wps:txbx>
                        <w:txbxContent>
                          <w:p w14:paraId="19373AEB" w14:textId="77777777" w:rsidR="00DF3D76" w:rsidRDefault="006D4F6D" w:rsidP="00DF3D76">
                            <w:pPr>
                              <w:ind w:right="323"/>
                              <w:textDirection w:val="btLr"/>
                              <w:rPr>
                                <w:rFonts w:ascii="Garamond" w:eastAsia="Garamond" w:hAnsi="Garamond" w:cs="Garamond"/>
                                <w:color w:val="000000"/>
                                <w:sz w:val="16"/>
                                <w:szCs w:val="16"/>
                              </w:rPr>
                            </w:pPr>
                            <w:r w:rsidRPr="00DF3D76">
                              <w:rPr>
                                <w:rFonts w:ascii="Garamond" w:hAnsi="Garamond"/>
                                <w:b/>
                                <w:color w:val="000000"/>
                                <w:sz w:val="16"/>
                                <w:szCs w:val="16"/>
                              </w:rPr>
                              <w:t xml:space="preserve">Cara Mengutip : Anonymous. (2026). Hypoglycaemia awareness and item-level associations among adults with type 2 diabetes mellitus. Nursing News: Jurnal Ilmiah Keperawatan Vol ..., No ..., Tahun ..., hal .... Retrieved from https://publikasi.unitri.ac.id/index.php/fikes</w:t>
                            </w:r>
                            <w:proofErr w:type="spellStart"/>
                            <w:proofErr w:type="gramStart"/>
                            <w:r w:rsidRPr="00DF3D76">
                              <w:rPr>
                                <w:rFonts w:ascii="Garamond" w:hAnsi="Garamond"/>
                                <w:b/>
                                <w:color w:val="000000"/>
                                <w:sz w:val="16"/>
                                <w:szCs w:val="16"/>
                              </w:rPr>
                              <w:t/>
                            </w:r>
                            <w:proofErr w:type="spellEnd"/>
                            <w:r w:rsidRPr="00DF3D76">
                              <w:rPr>
                                <w:rFonts w:ascii="Garamond" w:hAnsi="Garamond"/>
                                <w:b/>
                                <w:color w:val="000000"/>
                                <w:sz w:val="16"/>
                                <w:szCs w:val="16"/>
                              </w:rPr>
                              <w:t xml:space="preserve"/>
                            </w:r>
                            <w:proofErr w:type="gramEnd"/>
                            <w:r w:rsidRPr="00DF3D76">
                              <w:rPr>
                                <w:rFonts w:ascii="Garamond" w:hAnsi="Garamond"/>
                                <w:color w:val="000000"/>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color w:val="000000"/>
                                <w:sz w:val="16"/>
                                <w:szCs w:val="16"/>
                              </w:rPr>
                              <w:t xml:space="preserve"/>
                            </w:r>
                            <w:proofErr w:type="spellStart"/>
                            <w:r w:rsidRPr="00DF3D76">
                              <w:rPr>
                                <w:rFonts w:ascii="Garamond" w:eastAsia="Garamond" w:hAnsi="Garamond" w:cs="Garamond"/>
                                <w:color w:val="000000"/>
                                <w:sz w:val="16"/>
                                <w:szCs w:val="16"/>
                              </w:rPr>
                              <w:t/>
                            </w:r>
                            <w:proofErr w:type="spellEnd"/>
                            <w:r w:rsidRPr="00DF3D76">
                              <w:rPr>
                                <w:rFonts w:ascii="Garamond" w:eastAsia="Garamond" w:hAnsi="Garamond" w:cs="Garamond"/>
                                <w:color w:val="000000"/>
                                <w:sz w:val="16"/>
                                <w:szCs w:val="16"/>
                              </w:rPr>
                              <w:t xml:space="preserve"/>
                            </w:r>
                          </w:p>
                          <w:p w14:paraId="4BA5DCCF" w14:textId="2900A7EF" w:rsidR="000F465C" w:rsidRPr="00DF3D76" w:rsidRDefault="006D4F6D" w:rsidP="00DF3D76">
                            <w:pPr>
                              <w:ind w:right="323"/>
                              <w:textDirection w:val="btLr"/>
                              <w:rPr>
                                <w:rFonts w:ascii="Garamond" w:hAnsi="Garamond"/>
                                <w:sz w:val="16"/>
                                <w:szCs w:val="16"/>
                              </w:rPr>
                            </w:pPr>
                            <w:r w:rsidRPr="00DF3D76">
                              <w:rPr>
                                <w:rFonts w:ascii="Garamond" w:eastAsia="Garamond" w:hAnsi="Garamond" w:cs="Garamond"/>
                                <w:color w:val="000000"/>
                                <w:sz w:val="16"/>
                                <w:szCs w:val="16"/>
                              </w:rPr>
                              <w:t/>
                            </w:r>
                            <w:r w:rsidRPr="00DF3D76">
                              <w:rPr>
                                <w:rFonts w:ascii="Garamond" w:eastAsia="Garamond" w:hAnsi="Garamond" w:cs="Garamond"/>
                                <w:color w:val="000000"/>
                                <w:sz w:val="16"/>
                                <w:szCs w:val="16"/>
                              </w:rPr>
                              <w:t/>
                            </w:r>
                          </w:p>
                          <w:p w14:paraId="3514CB6A" w14:textId="77777777" w:rsidR="000F465C" w:rsidRDefault="000F465C" w:rsidP="00DF3D76">
                            <w:pPr>
                              <w:spacing w:after="120"/>
                              <w:jc w:val="center"/>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8" style="position:absolute;left:0;text-align:left;margin-left:0;margin-top:.65pt;width:455.15pt;height:38.1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" fillcolor="white [3201]" stroked="f">
                <v:textbox inset="2.53958mm,1.2694mm,2.53958mm,1.2694mm">
                  <w:txbxContent>
                    <w:p w14:paraId="19373AEB" w14:textId="77777777" w:rsidR="00DF3D76" w:rsidRDefault="006D4F6D" w:rsidP="00DF3D76">
                      <w:pPr>
                        <w:ind w:right="323"/>
                        <w:textDirection w:val="btLr"/>
                        <w:rPr>
                          <w:rFonts w:ascii="Garamond" w:eastAsia="Garamond" w:hAnsi="Garamond" w:cs="Garamond"/>
                          <w:color w:val="000000"/>
                          <w:sz w:val="16"/>
                          <w:szCs w:val="16"/>
                        </w:rPr>
                      </w:pPr>
                      <w:r w:rsidRPr="00DF3D76">
                        <w:rPr>
                          <w:rFonts w:ascii="Garamond" w:hAnsi="Garamond"/>
                          <w:b/>
                          <w:color w:val="000000"/>
                          <w:sz w:val="16"/>
                          <w:szCs w:val="16"/>
                        </w:rPr>
                        <w:t xml:space="preserve">Cara Mengutip : Anonymous. (2026). Hypoglycaemia awareness and item-level associations among adults with type 2 diabetes mellitus. Nursing News: Jurnal Ilmiah Keperawatan Vol ..., No ..., Tahun ..., hal .... Retrieved from https://publikasi.unitri.ac.id/index.php/fikes</w:t>
                      </w:r>
                      <w:proofErr w:type="spellStart"/>
                      <w:proofErr w:type="gramStart"/>
                      <w:r w:rsidRPr="00DF3D76">
                        <w:rPr>
                          <w:rFonts w:ascii="Garamond" w:hAnsi="Garamond"/>
                          <w:b/>
                          <w:color w:val="000000"/>
                          <w:sz w:val="16"/>
                          <w:szCs w:val="16"/>
                        </w:rPr>
                        <w:t/>
                      </w:r>
                      <w:proofErr w:type="spellEnd"/>
                      <w:r w:rsidRPr="00DF3D76">
                        <w:rPr>
                          <w:rFonts w:ascii="Garamond" w:hAnsi="Garamond"/>
                          <w:b/>
                          <w:color w:val="000000"/>
                          <w:sz w:val="16"/>
                          <w:szCs w:val="16"/>
                        </w:rPr>
                        <w:t xml:space="preserve"/>
                      </w:r>
                      <w:proofErr w:type="gramEnd"/>
                      <w:r w:rsidRPr="00DF3D76">
                        <w:rPr>
                          <w:rFonts w:ascii="Garamond" w:hAnsi="Garamond"/>
                          <w:color w:val="000000"/>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color w:val="000000"/>
                          <w:sz w:val="16"/>
                          <w:szCs w:val="16"/>
                        </w:rPr>
                        <w:t xml:space="preserve"/>
                      </w:r>
                      <w:proofErr w:type="spellStart"/>
                      <w:r w:rsidRPr="00DF3D76">
                        <w:rPr>
                          <w:rFonts w:ascii="Garamond" w:eastAsia="Garamond" w:hAnsi="Garamond" w:cs="Garamond"/>
                          <w:color w:val="000000"/>
                          <w:sz w:val="16"/>
                          <w:szCs w:val="16"/>
                        </w:rPr>
                        <w:t/>
                      </w:r>
                      <w:proofErr w:type="spellEnd"/>
                      <w:r w:rsidRPr="00DF3D76">
                        <w:rPr>
                          <w:rFonts w:ascii="Garamond" w:eastAsia="Garamond" w:hAnsi="Garamond" w:cs="Garamond"/>
                          <w:color w:val="000000"/>
                          <w:sz w:val="16"/>
                          <w:szCs w:val="16"/>
                        </w:rPr>
                        <w:t xml:space="preserve"/>
                      </w:r>
                    </w:p>
                    <w:p w14:paraId="4BA5DCCF" w14:textId="2900A7EF" w:rsidR="000F465C" w:rsidRPr="00DF3D76" w:rsidRDefault="006D4F6D" w:rsidP="00DF3D76">
                      <w:pPr>
                        <w:ind w:right="323"/>
                        <w:textDirection w:val="btLr"/>
                        <w:rPr>
                          <w:rFonts w:ascii="Garamond" w:hAnsi="Garamond"/>
                          <w:sz w:val="16"/>
                          <w:szCs w:val="16"/>
                        </w:rPr>
                      </w:pPr>
                      <w:r w:rsidRPr="00DF3D76">
                        <w:rPr>
                          <w:rFonts w:ascii="Garamond" w:eastAsia="Garamond" w:hAnsi="Garamond" w:cs="Garamond"/>
                          <w:color w:val="000000"/>
                          <w:sz w:val="16"/>
                          <w:szCs w:val="16"/>
                        </w:rPr>
                        <w:t/>
                      </w:r>
                      <w:r w:rsidRPr="00DF3D76">
                        <w:rPr>
                          <w:rFonts w:ascii="Garamond" w:eastAsia="Garamond" w:hAnsi="Garamond" w:cs="Garamond"/>
                          <w:color w:val="000000"/>
                          <w:sz w:val="16"/>
                          <w:szCs w:val="16"/>
                        </w:rPr>
                        <w:t/>
                      </w:r>
                    </w:p>
                    <w:p w14:paraId="3514CB6A" w14:textId="77777777" w:rsidR="000F465C" w:rsidRDefault="000F465C" w:rsidP="00DF3D76">
                      <w:pPr>
                        <w:spacing w:after="120"/>
                        <w:jc w:val="center"/>
                        <w:textDirection w:val="btLr"/>
                      </w:pPr>
                    </w:p>
                  </w:txbxContent>
                </v:textbox>
                <w10:wrap anchorx="margin"/>
              </v:rect>
            </w:pict>
          </mc:Fallback>
        </mc:AlternateContent>
      </w:r>
    </w:p>
    <w:p w14:paraId="00000031" w14:textId="77777777" w:rsidR="000F465C" w:rsidRDefault="000F465C">
      <w:pPr>
        <w:jc w:val="both"/>
        <w:rPr>
          <w:rFonts w:ascii="Garamond" w:eastAsia="Garamond" w:hAnsi="Garamond" w:cs="Garamond"/>
          <w:sz w:val="20"/>
          <w:szCs w:val="20"/>
        </w:rPr>
        <w:sectPr w:rsidR="000F465C">
          <w:headerReference w:type="even" r:id="rId12"/>
          <w:headerReference w:type="default" r:id="rId13"/>
          <w:footerReference w:type="even" r:id="rId14"/>
          <w:footerReference w:type="default" r:id="rId15"/>
          <w:headerReference w:type="first" r:id="rId16"/>
          <w:footerReference w:type="first" r:id="rId17"/>
          <w:pgSz w:w="11906" w:h="16838"/>
          <w:pgMar w:top="1701" w:right="1417" w:bottom="1701" w:left="1984" w:header="709" w:footer="709" w:gutter="0"/>
          <w:pgNumType w:start="1"/>
          <w:cols w:space="720"/>
          <w:titlePg/>
        </w:sectPr>
      </w:pPr>
    </w:p>
    <w:p w14:paraId="00000032" w14:textId="75D86E4D"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pPr>
    </w:p>
    <w:p w14:paraId="00000033" w14:textId="0B0C87F9" w:rsidR="000F465C" w:rsidRDefault="0034684A">
      <w:pPr>
        <w:pBdr>
          <w:top w:val="nil"/>
          <w:left w:val="nil"/>
          <w:bottom w:val="nil"/>
          <w:right w:val="nil"/>
          <w:between w:val="nil"/>
        </w:pBdr>
        <w:spacing w:after="120" w:line="276" w:lineRule="auto"/>
        <w:ind w:left="1004"/>
        <w:rPr>
          <w:rFonts w:ascii="Garamond" w:eastAsia="Garamond" w:hAnsi="Garamond" w:cs="Garamond"/>
          <w:b/>
          <w:color w:val="000000"/>
          <w:sz w:val="20"/>
          <w:szCs w:val="20"/>
        </w:rPr>
      </w:pPr>
      <w:r>
        <w:rPr>
          <w:noProof/>
        </w:rPr>
        <mc:AlternateContent>
          <mc:Choice Requires="wps">
            <w:drawing>
              <wp:anchor distT="0" distB="0" distL="114300" distR="114300" simplePos="0" relativeHeight="251662336" behindDoc="0" locked="0" layoutInCell="1" hidden="0" allowOverlap="1" wp14:editId="7AC902A4">
                <wp:simplePos x="0" y="0"/>
                <wp:positionH relativeFrom="margin">
                  <wp:align>left</wp:align>
                </wp:positionH>
                <wp:positionV relativeFrom="paragraph">
                  <wp:posOffset>100965</wp:posOffset>
                </wp:positionV>
                <wp:extent cx="5819140" cy="12700"/>
                <wp:effectExtent l="0" t="0" r="29210" b="25400"/>
                <wp:wrapNone/>
                <wp:docPr id="4" name="Straight Arrow Connector 4"/>
                <wp:cNvGraphicFramePr/>
                <a:graphic xmlns:a="http://schemas.openxmlformats.org/drawingml/2006/main">
                  <a:graphicData uri="http://schemas.microsoft.com/office/word/2010/wordprocessingShape">
                    <wps:wsp>
                      <wps:cNvCnPr/>
                      <wps:spPr>
                        <a:xfrm>
                          <a:off x="0" y="0"/>
                          <a:ext cx="581914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30D2BB53" id="_x0000_t32" coordsize="21600,21600" o:spt="32" o:oned="t" path="m,l21600,21600e" filled="f">
                <v:path arrowok="t" fillok="f" o:connecttype="none"/>
                <o:lock v:ext="edit" shapetype="t"/>
              </v:shapetype>
              <v:shape id="Straight Arrow Connector 4" o:spid="_x0000_s1026" type="#_x0000_t32" style="position:absolute;margin-left:0;margin-top:7.95pt;width:458.2pt;height:1pt;z-index:251662336;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" strokecolor="black [3200]">
                <v:stroke startarrowwidth="narrow" startarrowlength="short" endarrowwidth="narrow" endarrowlength="short"/>
                <w10:wrap anchorx="margin"/>
              </v:shape>
            </w:pict>
          </mc:Fallback>
        </mc:AlternateContent>
      </w:r>
    </w:p>
    <w:p w14:paraId="00000034" w14:textId="77777777"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pPr>
    </w:p>
    <w:p w14:paraId="00000035" w14:textId="77777777"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sectPr w:rsidR="000F465C">
          <w:headerReference w:type="even" r:id="rId18"/>
          <w:headerReference w:type="default" r:id="rId19"/>
          <w:footerReference w:type="default" r:id="rId20"/>
          <w:headerReference w:type="first" r:id="rId21"/>
          <w:type w:val="continuous"/>
          <w:pgSz w:w="11906" w:h="16838"/>
          <w:pgMar w:top="1701" w:right="1417" w:bottom="1701" w:left="1984" w:header="709" w:footer="709" w:gutter="0"/>
          <w:cols w:num="2" w:space="720" w:equalWidth="0">
            <w:col w:w="3969" w:space="565"/>
            <w:col w:w="3969" w:space="0"/>
          </w:cols>
          <w:titlePg/>
        </w:sectPr>
      </w:pPr>
    </w:p>
    <w:p>
      <w:pPr>
        <w:pStyle w:val="Heading1"/>
        <w:keepNext/>
        <w:spacing w:line="240" w:lineRule="auto" w:before="120" w:after="120"/>
        <w:ind w:firstLine="0"/>
        <w:jc w:val="left"/>
      </w:pPr>
      <w:r>
        <w:rPr>
          <w:rFonts w:ascii="Garamond" w:hAnsi="Garamond" w:eastAsia="Garamond"/>
          <w:b/>
          <w:i w:val="0"/>
          <w:sz w:val="24"/>
        </w:rPr>
        <w:t>1. INTRODUCTION</w:t>
      </w:r>
    </w:p>
    <w:p>
      <w:pPr>
        <w:keepNext w:val="0"/>
        <w:spacing w:line="360" w:lineRule="auto" w:before="0" w:after="120"/>
        <w:ind w:firstLine="0"/>
        <w:jc w:val="both"/>
      </w:pPr>
      <w:r>
        <w:rPr>
          <w:rFonts w:ascii="Garamond" w:hAnsi="Garamond" w:eastAsia="Garamond"/>
          <w:b w:val="0"/>
          <w:i w:val="0"/>
          <w:sz w:val="24"/>
        </w:rPr>
        <w:t>Diabetes mellitus is a chronic metabolic disease characterised by persistent hyperglycaemia and a growing global burden. The number of adults living with diabetes continues to rise, particularly in low- and middle-income countries. Indonesia is among the countries with a substantial diabetes burden, increasing the need for safe long-term management, complication prevention, and accessible education in primary care (International Diabetes Federation [IDF], 2025; World Health Organization [WHO], 2024).</w:t>
      </w:r>
    </w:p>
    <w:p>
      <w:pPr>
        <w:keepNext w:val="0"/>
        <w:spacing w:line="360" w:lineRule="auto" w:before="0" w:after="120"/>
        <w:ind w:firstLine="0"/>
        <w:jc w:val="both"/>
      </w:pPr>
      <w:r>
        <w:rPr>
          <w:rFonts w:ascii="Garamond" w:hAnsi="Garamond" w:eastAsia="Garamond"/>
          <w:b w:val="0"/>
          <w:i w:val="0"/>
          <w:sz w:val="24"/>
        </w:rPr>
        <w:t>Hypoglycaemia is a common acute complication of glucose-lowering therapy, particularly among people using insulin or sulfonylureas. Typical manifestations include sweating, tremor, palpitations, hunger, confusion, behavioural change, impaired coordination, seizure, or loss of consciousness. Recurrent episodes may attenuate autonomic warning responses and lead to impaired awareness of hypoglycaemia, thereby increasing the risk of severe events and cardiovascular consequences that may require assistance from another person (Christou et al., 2023; Hölzen et al., 2024; McCall et al., 2023; Nakhleh &amp; Shehadeh, 2021).</w:t>
      </w:r>
    </w:p>
    <w:p>
      <w:pPr>
        <w:keepNext w:val="0"/>
        <w:spacing w:line="360" w:lineRule="auto" w:before="0" w:after="120"/>
        <w:ind w:firstLine="0"/>
        <w:jc w:val="both"/>
      </w:pPr>
      <w:r>
        <w:rPr>
          <w:rFonts w:ascii="Garamond" w:hAnsi="Garamond" w:eastAsia="Garamond"/>
          <w:b w:val="0"/>
          <w:i w:val="0"/>
          <w:sz w:val="24"/>
        </w:rPr>
        <w:t>Impaired awareness is influenced by recurrent exposure to low glucose, treatment regimen, diabetes duration, and self-monitoring practices. Its prevalence varies across populations and assessment methods, with substantial burdens reported among people with type 2 diabetes, insulin-treated populations, and older adults (Boureau et al., 2023; Li et al., 2023; Lin et al., 2020; Van Meijel et al., 2020; Yu et al., 2023). Recognition is also interpersonal: family members may notice pallor, sweating, altered speech, irritability, or unusual behaviour before the patient recognises an episode. Family-inclusive education and support may therefore facilitate earlier treatment and improve safety at home (Fisher et al., 2018; LaManna et al., 2019; Wu et al., 2018; Yale et al., 2018).</w:t>
      </w:r>
    </w:p>
    <w:p>
      <w:pPr>
        <w:keepNext w:val="0"/>
        <w:spacing w:line="360" w:lineRule="auto" w:before="0" w:after="120"/>
        <w:ind w:firstLine="0"/>
        <w:jc w:val="both"/>
      </w:pPr>
      <w:r>
        <w:rPr>
          <w:rFonts w:ascii="Garamond" w:hAnsi="Garamond" w:eastAsia="Garamond"/>
          <w:b w:val="0"/>
          <w:i w:val="0"/>
          <w:sz w:val="24"/>
        </w:rPr>
        <w:t>Evidence describing hypoglycaemia awareness in Indonesian primary care remains limited. In particular, little is known about how adults with type 2 diabetes respond to questionnaire items concerning symptom recognition, reliance on others, and glucose monitoring. This study aimed to describe hypoglycaemia awareness and examine exploratory item-total associations among adults with type 2 diabetes mellitus attending a community health centre.</w:t>
      </w:r>
    </w:p>
    <w:p>
      <w:pPr>
        <w:pStyle w:val="Heading1"/>
        <w:keepNext/>
        <w:spacing w:line="240" w:lineRule="auto" w:before="120" w:after="120"/>
        <w:ind w:firstLine="0"/>
        <w:jc w:val="left"/>
      </w:pPr>
      <w:r>
        <w:rPr>
          <w:rFonts w:ascii="Garamond" w:hAnsi="Garamond" w:eastAsia="Garamond"/>
          <w:b/>
          <w:i w:val="0"/>
          <w:sz w:val="24"/>
        </w:rPr>
        <w:t>2. RESEARCH METHODS</w:t>
      </w:r>
    </w:p>
    <w:p>
      <w:pPr>
        <w:keepNext/>
        <w:spacing w:line="240" w:lineRule="auto" w:before="60" w:after="60"/>
        <w:ind w:firstLine="0"/>
        <w:jc w:val="left"/>
      </w:pPr>
      <w:r>
        <w:rPr>
          <w:rFonts w:ascii="Garamond" w:hAnsi="Garamond" w:eastAsia="Garamond"/>
          <w:b/>
          <w:i w:val="0"/>
          <w:sz w:val="24"/>
        </w:rPr>
        <w:t>Study Design and Setting</w:t>
      </w:r>
    </w:p>
    <w:p>
      <w:pPr>
        <w:keepNext w:val="0"/>
        <w:spacing w:line="360" w:lineRule="auto" w:before="0" w:after="120"/>
        <w:ind w:firstLine="0"/>
        <w:jc w:val="both"/>
      </w:pPr>
      <w:r>
        <w:rPr>
          <w:rFonts w:ascii="Garamond" w:hAnsi="Garamond" w:eastAsia="Garamond"/>
          <w:b w:val="0"/>
          <w:i w:val="0"/>
          <w:sz w:val="24"/>
        </w:rPr>
        <w:t>This cross-sectional study measured all variables during one data-collection period. It was conducted in the service area of Mulyorejo Community Health Centre, Surabaya, Indonesia, from 14 to 26 July 2025. The health centre provides routine consultations and chronic disease management for people with diabetes.</w:t>
      </w:r>
    </w:p>
    <w:p>
      <w:pPr>
        <w:keepNext/>
        <w:spacing w:line="240" w:lineRule="auto" w:before="60" w:after="60"/>
        <w:ind w:firstLine="0"/>
        <w:jc w:val="left"/>
      </w:pPr>
      <w:r>
        <w:rPr>
          <w:rFonts w:ascii="Garamond" w:hAnsi="Garamond" w:eastAsia="Garamond"/>
          <w:b/>
          <w:i w:val="0"/>
          <w:sz w:val="24"/>
        </w:rPr>
        <w:t>Population, Participants, and Sampling</w:t>
      </w:r>
    </w:p>
    <w:p>
      <w:pPr>
        <w:keepNext w:val="0"/>
        <w:spacing w:line="360" w:lineRule="auto" w:before="0" w:after="120"/>
        <w:ind w:firstLine="0"/>
        <w:jc w:val="both"/>
      </w:pPr>
      <w:r>
        <w:rPr>
          <w:rFonts w:ascii="Garamond" w:hAnsi="Garamond" w:eastAsia="Garamond"/>
          <w:b w:val="0"/>
          <w:i w:val="0"/>
          <w:sz w:val="24"/>
        </w:rPr>
        <w:t>The target population comprised 1,722 patients with type 2 diabetes mellitus registered in 2024. Participants were recruited purposively during follow-up visits. Eligibility criteria were a diagnosis of type 2 diabetes for at least six months, registration as a regular patient, and attendance during the study period. The sample comprised all eligible patients encountered during the data-collection window who agreed to participate and completed the questionnaire (n = 110).</w:t>
      </w:r>
    </w:p>
    <w:p>
      <w:pPr>
        <w:keepNext/>
        <w:spacing w:line="240" w:lineRule="auto" w:before="60" w:after="60"/>
        <w:ind w:firstLine="0"/>
        <w:jc w:val="left"/>
      </w:pPr>
      <w:r>
        <w:rPr>
          <w:rFonts w:ascii="Garamond" w:hAnsi="Garamond" w:eastAsia="Garamond"/>
          <w:b/>
          <w:i w:val="0"/>
          <w:sz w:val="24"/>
        </w:rPr>
        <w:t>Instrument and Measurement</w:t>
      </w:r>
    </w:p>
    <w:p>
      <w:pPr>
        <w:keepNext w:val="0"/>
        <w:spacing w:line="360" w:lineRule="auto" w:before="0" w:after="120"/>
        <w:ind w:firstLine="0"/>
        <w:jc w:val="both"/>
      </w:pPr>
      <w:r>
        <w:rPr>
          <w:rFonts w:ascii="Garamond" w:hAnsi="Garamond" w:eastAsia="Garamond"/>
          <w:b w:val="0"/>
          <w:i w:val="0"/>
          <w:sz w:val="24"/>
        </w:rPr>
        <w:t>Hypoglycaemia awareness was assessed using an investigator-adapted Indonesian questionnaire based on content from the Hypoglycaemia Awareness Questionnaire, a multidimensional profile measure of awareness, symptom level, symptom frequency, and the experience and impact of hypoglycaemia (Speight et al., 2016). The adapted form contained 19 statements scored from zero to four. It covered awareness while awake and asleep, symptom frequency and severity, reliance on other people, and self-monitoring responses.</w:t>
      </w:r>
    </w:p>
    <w:p>
      <w:pPr>
        <w:keepNext w:val="0"/>
        <w:spacing w:line="360" w:lineRule="auto" w:before="0" w:after="120"/>
        <w:ind w:firstLine="0"/>
        <w:jc w:val="both"/>
      </w:pPr>
      <w:r>
        <w:rPr>
          <w:rFonts w:ascii="Garamond" w:hAnsi="Garamond" w:eastAsia="Garamond"/>
          <w:b w:val="0"/>
          <w:i w:val="0"/>
          <w:sz w:val="24"/>
        </w:rPr>
        <w:t>The research team translated the selected content into Indonesian. Preliminary item testing within the study sample found that four items (P2, P4, P5, and P15) did not meet the study-defined item-validity criterion; these items were excluded from item-level correlation analysis. The original 19-item total was retained for the descriptive categories used by the investigators: low (0-25), moderate (26-50), and high (51-76). These categories are not diagnostic thresholds, and the adapted instrument requires formal cross-cultural validation before wider use.</w:t>
      </w:r>
    </w:p>
    <w:p>
      <w:pPr>
        <w:keepNext/>
        <w:spacing w:line="240" w:lineRule="auto" w:before="60" w:after="60"/>
        <w:ind w:firstLine="0"/>
        <w:jc w:val="left"/>
      </w:pPr>
      <w:r>
        <w:rPr>
          <w:rFonts w:ascii="Garamond" w:hAnsi="Garamond" w:eastAsia="Garamond"/>
          <w:b/>
          <w:i w:val="0"/>
          <w:sz w:val="24"/>
        </w:rPr>
        <w:t>Data Collection and Ethical Considerations</w:t>
      </w:r>
    </w:p>
    <w:p>
      <w:pPr>
        <w:keepNext w:val="0"/>
        <w:spacing w:line="360" w:lineRule="auto" w:before="0" w:after="120"/>
        <w:ind w:firstLine="0"/>
        <w:jc w:val="both"/>
      </w:pPr>
      <w:r>
        <w:rPr>
          <w:rFonts w:ascii="Garamond" w:hAnsi="Garamond" w:eastAsia="Garamond"/>
          <w:b w:val="0"/>
          <w:i w:val="0"/>
          <w:sz w:val="24"/>
        </w:rPr>
        <w:t>Administrative permission was obtained through the relevant faculty, Surabaya municipal agencies, the City Health Office, and Mulyorejo Community Health Centre. Three trained nursing students assisted with questionnaire administration. Potential participants received information about the purpose, voluntary nature, confidentiality protections, and right to decline or withdraw; only those who agreed to participate completed the questionnaire. Forms were assigned study codes, checked for missing responses, stored securely, and reported only in aggregate. The study involved no intervention or direct personal identifiers. Formal institutional ethics committee review was not obtained because the investigators considered the anonymous, non-interventional questionnaire study to be minimal risk. This absence is reported transparently.</w:t>
      </w:r>
    </w:p>
    <w:p>
      <w:pPr>
        <w:keepNext/>
        <w:spacing w:line="240" w:lineRule="auto" w:before="60" w:after="60"/>
        <w:ind w:firstLine="0"/>
        <w:jc w:val="left"/>
      </w:pPr>
      <w:r>
        <w:rPr>
          <w:rFonts w:ascii="Garamond" w:hAnsi="Garamond" w:eastAsia="Garamond"/>
          <w:b/>
          <w:i w:val="0"/>
          <w:sz w:val="24"/>
        </w:rPr>
        <w:t>Data Analysis</w:t>
      </w:r>
    </w:p>
    <w:p>
      <w:pPr>
        <w:keepNext w:val="0"/>
        <w:spacing w:line="360" w:lineRule="auto" w:before="0" w:after="120"/>
        <w:ind w:firstLine="0"/>
        <w:jc w:val="both"/>
      </w:pPr>
      <w:r>
        <w:rPr>
          <w:rFonts w:ascii="Garamond" w:hAnsi="Garamond" w:eastAsia="Garamond"/>
          <w:b w:val="0"/>
          <w:i w:val="0"/>
          <w:sz w:val="24"/>
        </w:rPr>
        <w:t>Frequencies and percentages summarised participant characteristics and awareness categories; means and standard deviations summarised item scores. Normality was assessed with the Kolmogorov-Smirnov test. Pearson correlation was used for the reported item-total analyses after assessment of distributional assumptions; Spearman rank correlation had been prespecified if those assumptions were not met. Statistical significance was set at p &lt; 0.05, and software outputs of 0.000 were reported as p &lt; 0.001. Because each retained item contributed to the total score, the coefficients indicate response alignment and do not establish independent clinical prediction or causality. No multivariable regression model was performed.</w:t>
      </w:r>
    </w:p>
    <w:p>
      <w:pPr>
        <w:pStyle w:val="Heading1"/>
        <w:keepNext/>
        <w:spacing w:line="240" w:lineRule="auto" w:before="120" w:after="120"/>
        <w:ind w:firstLine="0"/>
        <w:jc w:val="left"/>
      </w:pPr>
      <w:r>
        <w:rPr>
          <w:rFonts w:ascii="Garamond" w:hAnsi="Garamond" w:eastAsia="Garamond"/>
          <w:b/>
          <w:i w:val="0"/>
          <w:sz w:val="24"/>
        </w:rPr>
        <w:t>3. RESULTS</w:t>
      </w:r>
    </w:p>
    <w:p>
      <w:pPr>
        <w:keepNext w:val="0"/>
        <w:spacing w:line="360" w:lineRule="auto" w:before="0" w:after="120"/>
        <w:ind w:firstLine="0"/>
        <w:jc w:val="both"/>
      </w:pPr>
      <w:r>
        <w:rPr>
          <w:rFonts w:ascii="Garamond" w:hAnsi="Garamond" w:eastAsia="Garamond"/>
          <w:b w:val="0"/>
          <w:i w:val="0"/>
          <w:sz w:val="24"/>
        </w:rPr>
        <w:t>A total of 110 adults with type 2 diabetes mellitus were included. Women comprised 67.3% of the sample. Participants aged 40-59 years formed the largest age group (45.5%), followed by those aged 60 years or older (36.4%). Almost half had completed senior high school (49.1%), and most were married (74.5%). These figures describe the composition of the study sample; no inferential analysis was performed to establish demographic determinants of hypoglycaemia awareness.</w:t>
      </w:r>
    </w:p>
    <w:p>
      <w:pPr>
        <w:keepNext/>
        <w:spacing w:line="240" w:lineRule="auto" w:before="120" w:after="40"/>
        <w:ind w:firstLine="0"/>
        <w:jc w:val="left"/>
      </w:pPr>
      <w:r>
        <w:rPr>
          <w:rFonts w:ascii="Garamond" w:hAnsi="Garamond" w:eastAsia="Garamond"/>
          <w:b/>
          <w:i w:val="0"/>
          <w:sz w:val="22"/>
        </w:rPr>
        <w:t>Table 1. Demographic characteristics of participants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2834"/>
        <w:gridCol w:w="2834"/>
        <w:gridCol w:w="2834"/>
      </w:tblGrid>
      <w:tr>
        <w:trPr>
          <w:cantSplit/>
          <w:tblHeader w:val="true"/>
        </w:trPr>
        <w:tc>
          <w:tcPr>
            <w:tcW w:type="dxa" w:w="4535"/>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Characteristic</w:t>
            </w:r>
          </w:p>
        </w:tc>
        <w:tc>
          <w:tcPr>
            <w:tcW w:type="dxa" w:w="181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Frequency</w:t>
            </w:r>
          </w:p>
        </w:tc>
        <w:tc>
          <w:tcPr>
            <w:tcW w:type="dxa" w:w="215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Percentage (%)</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Sex</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Female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74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67.3</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Male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32.7</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Age (years)</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20-39</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18.2</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40-59</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45.5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60 or older</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36.4</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Education</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Elementary school</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Junior high school</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23.6</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Senior high school</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49.1</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Higher education</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12.7</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Marital status</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Single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Married</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82</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74.5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Divorced</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0.9</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Widowed</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23</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20.9</w:t>
            </w:r>
          </w:p>
        </w:tc>
      </w:tr>
    </w:tbl>
    <w:p>
      <w:pPr>
        <w:keepNext w:val="0"/>
        <w:spacing w:line="360" w:lineRule="auto" w:before="0" w:after="120"/>
        <w:ind w:firstLine="0"/>
        <w:jc w:val="both"/>
      </w:pPr>
      <w:r>
        <w:rPr>
          <w:rFonts w:ascii="Garamond" w:hAnsi="Garamond" w:eastAsia="Garamond"/>
          <w:b w:val="0"/>
          <w:i w:val="0"/>
          <w:sz w:val="24"/>
        </w:rPr>
        <w:t>Using the investigator-defined score categories, 104 participants (94.5%) were classified as having low hypoglycaemia awareness and six participants (5.5%) as having moderate awareness. No participant was classified in the high category. Because the adapted questionnaire and cut-off points have not undergone formal cross-cultural validation, this distribution should be interpreted as a descriptive finding specific to the present sample.</w:t>
      </w:r>
    </w:p>
    <w:p>
      <w:pPr>
        <w:keepNext/>
        <w:spacing w:line="240" w:lineRule="auto" w:before="120" w:after="40"/>
        <w:ind w:firstLine="0"/>
        <w:jc w:val="left"/>
      </w:pPr>
      <w:r>
        <w:rPr>
          <w:rFonts w:ascii="Garamond" w:hAnsi="Garamond" w:eastAsia="Garamond"/>
          <w:b/>
          <w:i w:val="0"/>
          <w:sz w:val="22"/>
        </w:rPr>
        <w:t>Table 2. Investigator-defined categories of hypoglycaemia awareness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2834"/>
        <w:gridCol w:w="2834"/>
        <w:gridCol w:w="2834"/>
      </w:tblGrid>
      <w:tr>
        <w:trPr>
          <w:cantSplit/>
          <w:tblHeader w:val="true"/>
        </w:trPr>
        <w:tc>
          <w:tcPr>
            <w:tcW w:type="dxa" w:w="4535"/>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Category</w:t>
            </w:r>
          </w:p>
        </w:tc>
        <w:tc>
          <w:tcPr>
            <w:tcW w:type="dxa" w:w="181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Frequency</w:t>
            </w:r>
          </w:p>
        </w:tc>
        <w:tc>
          <w:tcPr>
            <w:tcW w:type="dxa" w:w="215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Percentage (%)</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Low</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104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94.5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Moderate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High</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0.0</w:t>
            </w:r>
          </w:p>
        </w:tc>
      </w:tr>
    </w:tbl>
    <w:p>
      <w:pPr>
        <w:keepNext w:val="0"/>
        <w:spacing w:line="360" w:lineRule="auto" w:before="0" w:after="120"/>
        <w:ind w:firstLine="0"/>
        <w:jc w:val="both"/>
      </w:pPr>
      <w:r>
        <w:rPr>
          <w:rFonts w:ascii="Garamond" w:hAnsi="Garamond" w:eastAsia="Garamond"/>
          <w:b w:val="0"/>
          <w:i w:val="0"/>
          <w:sz w:val="24"/>
        </w:rPr>
        <w:t>Among the 15 retained questionnaire items, P13 showed the largest correlation with the total score (r = 0.698; p &lt; 0.001). This item reflected the experience that other people recognised a hypoglycaemic episode before the participant became aware of it. The next strongest correlations were observed for P14, concerning reduced awareness compared with previous hypoglycaemic experiences (r = 0.692; p &lt; 0.001), and P12, concerning checking blood glucose when hypoglycaemia was perceived (r = 0.681; p &lt; 0.001). Most retained items showed moderate to strong positive correlations with the total score, while P3 showed a weak correlation (r = 0.190; p = 0.047). These coefficients are exploratory item-total associations and are not independent predictors.</w:t>
      </w:r>
    </w:p>
    <w:p>
      <w:pPr>
        <w:keepNext/>
        <w:spacing w:line="240" w:lineRule="auto" w:before="120" w:after="40"/>
        <w:ind w:firstLine="0"/>
        <w:jc w:val="left"/>
      </w:pPr>
      <w:r>
        <w:rPr>
          <w:rFonts w:ascii="Garamond" w:hAnsi="Garamond" w:eastAsia="Garamond"/>
          <w:b/>
          <w:i w:val="0"/>
          <w:sz w:val="22"/>
        </w:rPr>
        <w:t>Table 3. Exploratory correlations between retained questionnaire items and total awareness score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1701"/>
        <w:gridCol w:w="1701"/>
        <w:gridCol w:w="1701"/>
        <w:gridCol w:w="1701"/>
        <w:gridCol w:w="1701"/>
      </w:tblGrid>
      <w:tr>
        <w:trPr>
          <w:cantSplit/>
          <w:tblHeader w:val="true"/>
        </w:trPr>
        <w:tc>
          <w:tcPr>
            <w:tcW w:type="dxa" w:w="850"/>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Item</w:t>
            </w:r>
          </w:p>
        </w:tc>
        <w:tc>
          <w:tcPr>
            <w:tcW w:type="dxa" w:w="113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Mean</w:t>
            </w:r>
          </w:p>
        </w:tc>
        <w:tc>
          <w:tcPr>
            <w:tcW w:type="dxa" w:w="113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SD</w:t>
            </w:r>
          </w:p>
        </w:tc>
        <w:tc>
          <w:tcPr>
            <w:tcW w:type="dxa" w:w="3458"/>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Correlation coefficient</w:t>
            </w:r>
          </w:p>
        </w:tc>
        <w:tc>
          <w:tcPr>
            <w:tcW w:type="dxa" w:w="1928"/>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 value</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0.773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0.461</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0.10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0.301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0.190</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0.047</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P6</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0.833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0.647</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0.91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0.953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0.598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P8</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1.22</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1.078</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0.468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0.759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0.539</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0.761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0.584</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0.819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0.648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P12</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0.847</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0.681</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0.739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0.698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P14</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0.773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0.692</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P16</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0.679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0.652</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0.791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0.633</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P18</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0.840</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0.603</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2.29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1.988</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0.619</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bl>
    <w:p>
      <w:pPr>
        <w:keepNext w:val="0"/>
        <w:spacing w:line="240" w:lineRule="auto" w:before="0" w:after="120"/>
        <w:ind w:firstLine="0"/>
        <w:jc w:val="both"/>
      </w:pPr>
      <w:r>
        <w:rPr>
          <w:rFonts w:ascii="Garamond" w:hAnsi="Garamond" w:eastAsia="Garamond"/>
          <w:b w:val="0"/>
          <w:i w:val="0"/>
          <w:sz w:val="20"/>
        </w:rPr>
        <w:t>Note. Four items (P2, P4, P5, and P15) were excluded from item-level correlation analysis after preliminary item testing. P12 concerned checking blood glucose when hypoglycaemia was perceived; P13 concerned other people recognising hypoglycaemia before the participant; and P14 concerned reduced awareness compared with previous episodes. The coefficients describe item-total alignment and should not be interpreted as independent predictive effects.</w:t>
      </w:r>
    </w:p>
    <w:p>
      <w:pPr>
        <w:pStyle w:val="Heading1"/>
        <w:keepNext/>
        <w:spacing w:line="240" w:lineRule="auto" w:before="120" w:after="120"/>
        <w:ind w:firstLine="0"/>
        <w:jc w:val="left"/>
      </w:pPr>
      <w:r>
        <w:rPr>
          <w:rFonts w:ascii="Garamond" w:hAnsi="Garamond" w:eastAsia="Garamond"/>
          <w:b/>
          <w:i w:val="0"/>
          <w:sz w:val="24"/>
        </w:rPr>
        <w:t>4. DISCUSSION</w:t>
      </w:r>
    </w:p>
    <w:p>
      <w:pPr>
        <w:keepNext w:val="0"/>
        <w:spacing w:line="360" w:lineRule="auto" w:before="0" w:after="120"/>
        <w:ind w:firstLine="0"/>
        <w:jc w:val="both"/>
      </w:pPr>
      <w:r>
        <w:rPr>
          <w:rFonts w:ascii="Garamond" w:hAnsi="Garamond" w:eastAsia="Garamond"/>
          <w:b w:val="0"/>
          <w:i w:val="0"/>
          <w:sz w:val="24"/>
        </w:rPr>
        <w:t>Most participants were classified in the investigator-defined low-awareness category. This finding indicates a possible need for stronger assessment and self-management support in primary care, but it should not be interpreted as a definitive prevalence estimate of impaired awareness. The adapted instrument was not formally validated across cultures, four items did not meet the study validity criterion, and the cut-off points were created for descriptive presentation. International estimates also vary according to population, treatment regimen, and measurement method (Li et al., 2023; Yu et al., 2023).</w:t>
      </w:r>
    </w:p>
    <w:p>
      <w:pPr>
        <w:keepNext w:val="0"/>
        <w:spacing w:line="360" w:lineRule="auto" w:before="0" w:after="120"/>
        <w:ind w:firstLine="0"/>
        <w:jc w:val="both"/>
      </w:pPr>
      <w:r>
        <w:rPr>
          <w:rFonts w:ascii="Garamond" w:hAnsi="Garamond" w:eastAsia="Garamond"/>
          <w:b w:val="0"/>
          <w:i w:val="0"/>
          <w:sz w:val="24"/>
        </w:rPr>
        <w:t>The strongest item-total association concerned other people recognising hypoglycaemia before the patient did. Visible manifestations such as sweating, pallor, tremor, altered speech, irritability, confusion, or impaired coordination may be noticed by family members before the patient responds. Awareness status is also related to cognitive and behavioural responses to hypoglycaemia (Cook et al., 2019). These findings support family-inclusive education in home-based diabetes care. Nurses can teach relatives to recognise warning signs, confirm low glucose when feasible, provide fast-acting carbohydrate safely, and seek urgent assistance when consciousness or swallowing is impaired (LaManna et al., 2019; McCall et al., 2023; Yale et al., 2018).</w:t>
      </w:r>
    </w:p>
    <w:p>
      <w:pPr>
        <w:keepNext w:val="0"/>
        <w:spacing w:line="360" w:lineRule="auto" w:before="0" w:after="120"/>
        <w:ind w:firstLine="0"/>
        <w:jc w:val="both"/>
      </w:pPr>
      <w:r>
        <w:rPr>
          <w:rFonts w:ascii="Garamond" w:hAnsi="Garamond" w:eastAsia="Garamond"/>
          <w:b w:val="0"/>
          <w:i w:val="0"/>
          <w:sz w:val="24"/>
        </w:rPr>
        <w:t>A strong association was also found for feeling less aware of current episodes than of previous episodes. Recurrent exposure to low glucose can attenuate autonomic warning responses and shift symptom recognition to lower glucose concentrations. Nevertheless, the present cross-sectional item-total analysis cannot determine whether diabetes duration or recurrent episodes caused reduced awareness. Prospective studies should measure episode frequency, treatment regimen, and diabetes duration directly (Hölzen et al., 2024; International Hypoglycaemia Study Group, 2015; Martín-Timón &amp; del Cañizo-Gómez, 2015).</w:t>
      </w:r>
    </w:p>
    <w:p>
      <w:pPr>
        <w:keepNext w:val="0"/>
        <w:spacing w:line="360" w:lineRule="auto" w:before="0" w:after="120"/>
        <w:ind w:firstLine="0"/>
        <w:jc w:val="both"/>
      </w:pPr>
      <w:r>
        <w:rPr>
          <w:rFonts w:ascii="Garamond" w:hAnsi="Garamond" w:eastAsia="Garamond"/>
          <w:b w:val="0"/>
          <w:i w:val="0"/>
          <w:sz w:val="24"/>
        </w:rPr>
        <w:t>Checking blood glucose when hypoglycaemia was suspected was another strongly aligned response. Symptoms are important but may be non-specific and can change over time. Objective measurement can help distinguish hypoglycaemia from anxiety, fatigue, dehydration, and other causes of discomfort. Nurses should assess whether patients have access to a functioning meter, can use it correctly, understand low-glucose thresholds, and know when to repeat testing or seek help (Hendrieckx et al., 2017; Mansouri et al., 2020).</w:t>
      </w:r>
    </w:p>
    <w:p>
      <w:pPr>
        <w:keepNext w:val="0"/>
        <w:spacing w:line="360" w:lineRule="auto" w:before="0" w:after="120"/>
        <w:ind w:firstLine="0"/>
        <w:jc w:val="both"/>
      </w:pPr>
      <w:r>
        <w:rPr>
          <w:rFonts w:ascii="Garamond" w:hAnsi="Garamond" w:eastAsia="Garamond"/>
          <w:b w:val="0"/>
          <w:i w:val="0"/>
          <w:sz w:val="24"/>
        </w:rPr>
        <w:t>The demographic distribution cannot establish that women, middle-aged adults, married people, or those with senior-high-school education have lower awareness because the study did not compare awareness across demographic groups. Future research should use validated outcomes and multivariable analysis to examine demographic and clinical characteristics independently. In routine practice, nurses can screen for recent episodes, symptoms detected by others, need for assistance, glucose-monitoring behaviour, and family readiness to respond.</w:t>
      </w:r>
    </w:p>
    <w:p>
      <w:pPr>
        <w:keepNext w:val="0"/>
        <w:spacing w:line="360" w:lineRule="auto" w:before="0" w:after="120"/>
        <w:ind w:firstLine="0"/>
        <w:jc w:val="both"/>
      </w:pPr>
      <w:r>
        <w:rPr>
          <w:rFonts w:ascii="Garamond" w:hAnsi="Garamond" w:eastAsia="Garamond"/>
          <w:b w:val="0"/>
          <w:i w:val="0"/>
          <w:sz w:val="24"/>
        </w:rPr>
        <w:t>Limitations include the cross-sectional design, purposive sampling from one community health centre, self-reported responses, and the absence of a defined recall period. The translation did not follow a formal cross-cultural adaptation process, the investigator-defined categories lack clinical validation, and item-total correlations are mathematically influenced by inclusion of item content in the total score. Medication regimen, diabetes duration, glycaemic control, previous severe hypoglycaemia, renal function, and access to monitoring technology were not analysed. Formal institutional ethics committee review was not obtained. Multicentre prospective studies should use a validated Indonesian instrument, documented ethical review or exemption, and appropriate multivariable modelling.</w:t>
      </w:r>
    </w:p>
    <w:p>
      <w:pPr>
        <w:pStyle w:val="Heading1"/>
        <w:keepNext/>
        <w:spacing w:line="240" w:lineRule="auto" w:before="120" w:after="120"/>
        <w:ind w:firstLine="0"/>
        <w:jc w:val="left"/>
      </w:pPr>
      <w:r>
        <w:rPr>
          <w:rFonts w:ascii="Garamond" w:hAnsi="Garamond" w:eastAsia="Garamond"/>
          <w:b/>
          <w:i w:val="0"/>
          <w:sz w:val="24"/>
        </w:rPr>
        <w:t>5. CONCLUSION</w:t>
      </w:r>
    </w:p>
    <w:p>
      <w:pPr>
        <w:keepNext w:val="0"/>
        <w:spacing w:line="360" w:lineRule="auto" w:before="0" w:after="120"/>
        <w:ind w:firstLine="0"/>
        <w:jc w:val="both"/>
      </w:pPr>
      <w:r>
        <w:rPr>
          <w:rFonts w:ascii="Garamond" w:hAnsi="Garamond" w:eastAsia="Garamond"/>
          <w:b w:val="0"/>
          <w:i w:val="0"/>
          <w:sz w:val="24"/>
        </w:rPr>
        <w:t>Most participants were classified within the lowest investigator-defined category of hypoglycaemia awareness. The item most strongly aligned with the total score concerned other people recognising hypoglycaemia before the patient, followed by reduced awareness compared with previous experiences and checking blood glucose when symptoms occurred. These associations are exploratory and should not be interpreted as independent predictors.</w:t>
      </w:r>
    </w:p>
    <w:p>
      <w:pPr>
        <w:keepNext w:val="0"/>
        <w:spacing w:line="360" w:lineRule="auto" w:before="0" w:after="120"/>
        <w:ind w:firstLine="0"/>
        <w:jc w:val="both"/>
      </w:pPr>
      <w:r>
        <w:rPr>
          <w:rFonts w:ascii="Garamond" w:hAnsi="Garamond" w:eastAsia="Garamond"/>
          <w:b w:val="0"/>
          <w:i w:val="0"/>
          <w:sz w:val="24"/>
        </w:rPr>
        <w:t>Community and medical-surgical nurses should combine individual symptom-recognition education, timely glucose monitoring, and family preparedness for early management of hypoglycaemia. Further multicentre studies using a formally validated Indonesian instrument, documented ethical review or exemption, and multivariable analysis are needed to identify independent determinants.</w:t>
      </w:r>
    </w:p>
    <w:p>
      <w:pPr>
        <w:pStyle w:val="Heading1"/>
        <w:keepNext/>
        <w:spacing w:line="240" w:lineRule="auto" w:before="120" w:after="120"/>
        <w:ind w:firstLine="0"/>
        <w:jc w:val="left"/>
      </w:pPr>
      <w:r>
        <w:rPr>
          <w:rFonts w:ascii="Garamond" w:hAnsi="Garamond" w:eastAsia="Garamond"/>
          <w:b/>
          <w:i w:val="0"/>
          <w:sz w:val="24"/>
        </w:rPr>
        <w:t>6. ACKNOWLEDGEMENTS</w:t>
      </w:r>
    </w:p>
    <w:p>
      <w:pPr>
        <w:keepNext w:val="0"/>
        <w:spacing w:line="360" w:lineRule="auto" w:before="0" w:after="120"/>
        <w:ind w:firstLine="0"/>
        <w:jc w:val="both"/>
      </w:pPr>
      <w:r>
        <w:rPr>
          <w:rFonts w:ascii="Garamond" w:hAnsi="Garamond" w:eastAsia="Garamond"/>
          <w:b w:val="0"/>
          <w:i w:val="0"/>
          <w:sz w:val="24"/>
        </w:rPr>
        <w:t>Acknowledgements have been removed for blind review. The study received no specific grant from any funding agency.</w:t>
      </w:r>
    </w:p>
    <w:p>
      <w:pPr>
        <w:keepNext w:val="0"/>
        <w:spacing w:line="360" w:lineRule="auto" w:before="0" w:after="120"/>
        <w:ind w:firstLine="0"/>
        <w:jc w:val="both"/>
      </w:pPr>
      <w:r>
        <w:rPr>
          <w:rFonts w:ascii="Garamond" w:hAnsi="Garamond" w:eastAsia="Garamond"/>
          <w:b w:val="0"/>
          <w:i w:val="0"/>
          <w:sz w:val="24"/>
        </w:rPr>
        <w:t>Conflict of interest: The authors declare no conflict of interest. Data availability: De-identified data may be available from the corresponding author upon reasonable request and institutional permission. Artificial intelligence disclosure: ChatGPT by OpenAI was used for language refinement and formatting assistance. The authors reviewed and verified the complete manuscript and take full responsibility for the final content.</w:t>
      </w:r>
    </w:p>
    <w:p>
      <w:pPr>
        <w:pStyle w:val="Heading1"/>
        <w:keepNext/>
        <w:spacing w:line="240" w:lineRule="auto" w:before="120" w:after="120"/>
        <w:ind w:firstLine="0"/>
        <w:jc w:val="left"/>
      </w:pPr>
      <w:r>
        <w:rPr>
          <w:rFonts w:ascii="Garamond" w:hAnsi="Garamond" w:eastAsia="Garamond"/>
          <w:b/>
          <w:i w:val="0"/>
          <w:sz w:val="24"/>
        </w:rPr>
        <w:t>7. REFERENCES</w:t>
      </w:r>
    </w:p>
    <w:p>
      <w:pPr>
        <w:keepNext w:val="0"/>
        <w:spacing w:line="240" w:lineRule="auto" w:before="0" w:after="120"/>
        <w:ind w:left="425" w:hanging="425"/>
        <w:jc w:val="left"/>
      </w:pPr>
      <w:r>
        <w:rPr>
          <w:rFonts w:ascii="Garamond" w:hAnsi="Garamond" w:eastAsia="Garamond"/>
          <w:b w:val="0"/>
          <w:i w:val="0"/>
          <w:sz w:val="24"/>
        </w:rPr>
        <w:t>Boureau, A., Guyomarch, B., Gourdy, P., Allix, I., Annweiler, C., Cervantes, N., Chapelet, G., Delabrière, I., Guyonnet, S., &amp; Litke, R. (2023). Nocturnal hypoglycemia is underdiagnosed in older people with insulin-treated type 2 diabetes: The HYPOAGE observational study. Journal of the American Geriatrics Society, 71(7), 2107–2119. https://doi.org/10.1111/jgs.18341</w:t>
      </w:r>
    </w:p>
    <w:p>
      <w:pPr>
        <w:keepNext w:val="0"/>
        <w:spacing w:line="240" w:lineRule="auto" w:before="0" w:after="120"/>
        <w:ind w:left="425" w:hanging="425"/>
        <w:jc w:val="left"/>
      </w:pPr>
      <w:r>
        <w:rPr>
          <w:rFonts w:ascii="Garamond" w:hAnsi="Garamond" w:eastAsia="Garamond"/>
          <w:b w:val="0"/>
          <w:i w:val="0"/>
          <w:sz w:val="24"/>
        </w:rPr>
        <w:t>Christou, M. A., Christou, P. A., Kyriakopoulos, C., Christou, G. A., &amp; Tigas, S. (2023). Effects of hypoglycemia on cardiovascular function in patients with diabetes. International Journal of Molecular Sciences, 24(11), 9357. https://doi.org/10.3390/ijms24119357</w:t>
      </w:r>
    </w:p>
    <w:p>
      <w:pPr>
        <w:keepNext w:val="0"/>
        <w:spacing w:line="240" w:lineRule="auto" w:before="0" w:after="120"/>
        <w:ind w:left="425" w:hanging="425"/>
        <w:jc w:val="left"/>
      </w:pPr>
      <w:r>
        <w:rPr>
          <w:rFonts w:ascii="Garamond" w:hAnsi="Garamond" w:eastAsia="Garamond"/>
          <w:b w:val="0"/>
          <w:i w:val="0"/>
          <w:sz w:val="24"/>
        </w:rPr>
        <w:t>Cook, A. J., DuBose, S. N., Foster, N., Smith, E. L., Wu, M., Margiotta, G., Rickels, M. R., Speight, J., de Zoysa, N., &amp; Amiel, S. A. (2019). Cognitions associated with hypoglycemia awareness status and severe hypoglycemia experience in adults with type 1 diabetes. Diabetes Care, 42(10), 1854–1864. https://doi.org/10.2337/dc19-0002</w:t>
      </w:r>
    </w:p>
    <w:p>
      <w:pPr>
        <w:keepNext w:val="0"/>
        <w:spacing w:line="240" w:lineRule="auto" w:before="0" w:after="120"/>
        <w:ind w:left="425" w:hanging="425"/>
        <w:jc w:val="left"/>
      </w:pPr>
      <w:r>
        <w:rPr>
          <w:rFonts w:ascii="Garamond" w:hAnsi="Garamond" w:eastAsia="Garamond"/>
          <w:b w:val="0"/>
          <w:i w:val="0"/>
          <w:sz w:val="24"/>
        </w:rPr>
        <w:t>Fisher, S. J., Huang, X., Pawaskar, M., Witt, E. A., Rajpathak, S., Shankar, R. R., &amp; Inzucchi, S. E. (2018). Hypoglycemia in type 2 diabetes: Understanding patients' and physicians' knowledge and experience. Endocrine, 60(3), 435–444. https://doi.org/10.1007/s12020-018-1545-0</w:t>
      </w:r>
    </w:p>
    <w:p>
      <w:pPr>
        <w:keepNext w:val="0"/>
        <w:spacing w:line="240" w:lineRule="auto" w:before="0" w:after="120"/>
        <w:ind w:left="425" w:hanging="425"/>
        <w:jc w:val="left"/>
      </w:pPr>
      <w:r>
        <w:rPr>
          <w:rFonts w:ascii="Garamond" w:hAnsi="Garamond" w:eastAsia="Garamond"/>
          <w:b w:val="0"/>
          <w:i w:val="0"/>
          <w:sz w:val="24"/>
        </w:rPr>
        <w:t>Hendrieckx, C., Hagger, V., Jenkins, A., Skinner, T. C., Pouwer, F., &amp; Speight, J. (2017). Severe hypoglycemia, impaired awareness of hypoglycemia, and self-monitoring in adults with type 1 diabetes: Results from Diabetes MILES-Australia. Journal of Diabetes and Its Complications, 31(3), 577–582. https://doi.org/10.1016/j.jdiacomp.2016.11.013</w:t>
      </w:r>
    </w:p>
    <w:p>
      <w:pPr>
        <w:keepNext w:val="0"/>
        <w:spacing w:line="240" w:lineRule="auto" w:before="0" w:after="120"/>
        <w:ind w:left="425" w:hanging="425"/>
        <w:jc w:val="left"/>
      </w:pPr>
      <w:r>
        <w:rPr>
          <w:rFonts w:ascii="Garamond" w:hAnsi="Garamond" w:eastAsia="Garamond"/>
          <w:b w:val="0"/>
          <w:i w:val="0"/>
          <w:sz w:val="24"/>
        </w:rPr>
        <w:t>Hölzen, L., Schultes, B., Meyhöfer, S. M., &amp; Meyhöfer, S. (2024). Hypoglycemia unawareness: A review on pathophysiology and clinical implications. Biomedicines, 12(2), 391. https://doi.org/10.3390/biomedicines12020391</w:t>
      </w:r>
    </w:p>
    <w:p>
      <w:pPr>
        <w:keepNext w:val="0"/>
        <w:spacing w:line="240" w:lineRule="auto" w:before="0" w:after="120"/>
        <w:ind w:left="425" w:hanging="425"/>
        <w:jc w:val="left"/>
      </w:pPr>
      <w:r>
        <w:rPr>
          <w:rFonts w:ascii="Garamond" w:hAnsi="Garamond" w:eastAsia="Garamond"/>
          <w:b w:val="0"/>
          <w:i w:val="0"/>
          <w:sz w:val="24"/>
        </w:rPr>
        <w:t>International Diabetes Federation. (2025). IDF diabetes atlas (11th ed.). https://diabetesatlas.org/</w:t>
      </w:r>
    </w:p>
    <w:p>
      <w:pPr>
        <w:keepNext w:val="0"/>
        <w:spacing w:line="240" w:lineRule="auto" w:before="0" w:after="120"/>
        <w:ind w:left="425" w:hanging="425"/>
        <w:jc w:val="left"/>
      </w:pPr>
      <w:r>
        <w:rPr>
          <w:rFonts w:ascii="Garamond" w:hAnsi="Garamond" w:eastAsia="Garamond"/>
          <w:b w:val="0"/>
          <w:i w:val="0"/>
          <w:sz w:val="24"/>
        </w:rPr>
        <w:t>International Hypoglycaemia Study Group. (2015). Minimizing hypoglycemia in diabetes. Diabetes Care, 38(8), 1583–1591. https://doi.org/10.2337/dc15-0279</w:t>
      </w:r>
    </w:p>
    <w:p>
      <w:pPr>
        <w:keepNext w:val="0"/>
        <w:spacing w:line="240" w:lineRule="auto" w:before="0" w:after="120"/>
        <w:ind w:left="425" w:hanging="425"/>
        <w:jc w:val="left"/>
      </w:pPr>
      <w:r>
        <w:rPr>
          <w:rFonts w:ascii="Garamond" w:hAnsi="Garamond" w:eastAsia="Garamond"/>
          <w:b w:val="0"/>
          <w:i w:val="0"/>
          <w:sz w:val="24"/>
        </w:rPr>
        <w:t>LaManna, J., Litchman, M. L., Dickinson, J. K., Todd, A., Julius, M. M., Whitehouse, C. R., Hyer, S., &amp; Kavookjian, J. (2019). Diabetes education impact on hypoglycemia outcomes: A systematic review of evidence and gaps in the literature. The Diabetes Educator, 45(4), 349–369. https://doi.org/10.1177/0145721719855931</w:t>
      </w:r>
    </w:p>
    <w:p>
      <w:pPr>
        <w:keepNext w:val="0"/>
        <w:spacing w:line="240" w:lineRule="auto" w:before="0" w:after="120"/>
        <w:ind w:left="425" w:hanging="425"/>
        <w:jc w:val="left"/>
      </w:pPr>
      <w:r>
        <w:rPr>
          <w:rFonts w:ascii="Garamond" w:hAnsi="Garamond" w:eastAsia="Garamond"/>
          <w:b w:val="0"/>
          <w:i w:val="0"/>
          <w:sz w:val="24"/>
        </w:rPr>
        <w:t>Li, X.-N., Kan, Y.-S., Liu, H.-Y., Pang, J., He, Y.-Y., Liu, L., Zou, Y., Zhang, N., &amp; Zhang, Y. (2023). Prevalence and contributing factors of impaired awareness of hypoglycemia in patients with type 2 diabetes: A meta-analysis. Acta Diabetologica, 60(9), 1155–1169. https://doi.org/10.1007/s00592-023-02102-2</w:t>
      </w:r>
    </w:p>
    <w:p>
      <w:pPr>
        <w:keepNext w:val="0"/>
        <w:spacing w:line="240" w:lineRule="auto" w:before="0" w:after="120"/>
        <w:ind w:left="425" w:hanging="425"/>
        <w:jc w:val="left"/>
      </w:pPr>
      <w:r>
        <w:rPr>
          <w:rFonts w:ascii="Garamond" w:hAnsi="Garamond" w:eastAsia="Garamond"/>
          <w:b w:val="0"/>
          <w:i w:val="0"/>
          <w:sz w:val="24"/>
        </w:rPr>
        <w:t>Lin, Y. K., Fisher, S. J., &amp; Pop-Busui, R. (2020). Hypoglycemia unawareness and autonomic dysfunction in diabetes: Lessons learned and roles of diabetes technologies. Journal of Diabetes Investigation, 11(6), 1388–1402. https://doi.org/10.1111/jdi.13290</w:t>
      </w:r>
    </w:p>
    <w:p>
      <w:pPr>
        <w:keepNext w:val="0"/>
        <w:spacing w:line="240" w:lineRule="auto" w:before="0" w:after="120"/>
        <w:ind w:left="425" w:hanging="425"/>
        <w:jc w:val="left"/>
      </w:pPr>
      <w:r>
        <w:rPr>
          <w:rFonts w:ascii="Garamond" w:hAnsi="Garamond" w:eastAsia="Garamond"/>
          <w:b w:val="0"/>
          <w:i w:val="0"/>
          <w:sz w:val="24"/>
        </w:rPr>
        <w:t>Mansouri, D., Khayat, E., Khayat, M., Aboawja, M., Aseeri, A., Banah, F., Alsiary, K., Rammal, L. A., Almalki, A. D., &amp; Hasaballah, M. (2020). Self-monitoring of blood glucose and hypoglycemia association during fasting in Ramadan among patients with diabetes. Diabetes, Metabolic Syndrome and Obesity, 13, 1035–1041. https://doi.org/10.2147/DMSO.S234675</w:t>
      </w:r>
    </w:p>
    <w:p>
      <w:pPr>
        <w:keepNext w:val="0"/>
        <w:spacing w:line="240" w:lineRule="auto" w:before="0" w:after="120"/>
        <w:ind w:left="425" w:hanging="425"/>
        <w:jc w:val="left"/>
      </w:pPr>
      <w:r>
        <w:rPr>
          <w:rFonts w:ascii="Garamond" w:hAnsi="Garamond" w:eastAsia="Garamond"/>
          <w:b w:val="0"/>
          <w:i w:val="0"/>
          <w:sz w:val="24"/>
        </w:rPr>
        <w:t>Martín-Timón, I., &amp; del Cañizo-Gómez, F. J. (2015). Mechanisms of hypoglycemia unawareness and implications in diabetic patients. World Journal of Diabetes, 6(7), 912–926. https://doi.org/10.4239/wjd.v6.i7.912</w:t>
      </w:r>
    </w:p>
    <w:p>
      <w:pPr>
        <w:keepNext w:val="0"/>
        <w:spacing w:line="240" w:lineRule="auto" w:before="0" w:after="120"/>
        <w:ind w:left="425" w:hanging="425"/>
        <w:jc w:val="left"/>
      </w:pPr>
      <w:r>
        <w:rPr>
          <w:rFonts w:ascii="Garamond" w:hAnsi="Garamond" w:eastAsia="Garamond"/>
          <w:b w:val="0"/>
          <w:i w:val="0"/>
          <w:sz w:val="24"/>
        </w:rPr>
        <w:t>McCall, A. L., Lieb, D. C., Gianchandani, R., MacMaster, H., Maynard, G. A., Murad, M. H., Seaquist, E., Wolfsdorf, J. I., Wright, R. F., &amp; Wiercioch, W. (2023). Management of individuals with diabetes at high risk for hypoglycemia: An Endocrine Society clinical practice guideline. The Journal of Clinical Endocrinology &amp; Metabolism, 108(3), 529–562. https://doi.org/10.1210/clinem/dgac596</w:t>
      </w:r>
    </w:p>
    <w:p>
      <w:pPr>
        <w:keepNext w:val="0"/>
        <w:spacing w:line="240" w:lineRule="auto" w:before="0" w:after="120"/>
        <w:ind w:left="425" w:hanging="425"/>
        <w:jc w:val="left"/>
      </w:pPr>
      <w:r>
        <w:rPr>
          <w:rFonts w:ascii="Garamond" w:hAnsi="Garamond" w:eastAsia="Garamond"/>
          <w:b w:val="0"/>
          <w:i w:val="0"/>
          <w:sz w:val="24"/>
        </w:rPr>
        <w:t>Nakhleh, A., &amp; Shehadeh, N. (2021). Hypoglycemia in diabetes: An update on pathophysiology, treatment, and prevention. World Journal of Diabetes, 12(12), 2036–2049. https://doi.org/10.4239/wjd.v12.i12.2036</w:t>
      </w:r>
    </w:p>
    <w:p>
      <w:pPr>
        <w:keepNext w:val="0"/>
        <w:spacing w:line="240" w:lineRule="auto" w:before="0" w:after="120"/>
        <w:ind w:left="425" w:hanging="425"/>
        <w:jc w:val="left"/>
      </w:pPr>
      <w:r>
        <w:rPr>
          <w:rFonts w:ascii="Garamond" w:hAnsi="Garamond" w:eastAsia="Garamond"/>
          <w:b w:val="0"/>
          <w:i w:val="0"/>
          <w:sz w:val="24"/>
        </w:rPr>
        <w:t>Speight, J., Barendse, S. M., Singh, H., Little, S. A., Inkster, B., Frier, B. M., Heller, S. R., Rutter, M. K., &amp; Shaw, J. A. M. (2016). Characterizing problematic hypoglycaemia: Iterative design and preliminary psychometric validation of the Hypoglycaemia Awareness Questionnaire (HypoA-Q). Diabetic Medicine, 33(3), 376–385. https://doi.org/10.1111/dme.12824</w:t>
      </w:r>
    </w:p>
    <w:p>
      <w:pPr>
        <w:keepNext w:val="0"/>
        <w:spacing w:line="240" w:lineRule="auto" w:before="0" w:after="120"/>
        <w:ind w:left="425" w:hanging="425"/>
        <w:jc w:val="left"/>
      </w:pPr>
      <w:r>
        <w:rPr>
          <w:rFonts w:ascii="Garamond" w:hAnsi="Garamond" w:eastAsia="Garamond"/>
          <w:b w:val="0"/>
          <w:i w:val="0"/>
          <w:sz w:val="24"/>
        </w:rPr>
        <w:t>Van Meijel, L. A., de Vegt, F., Abbink, E. J., Rutters, F., Schram, M. T., van der Klauw, M. M., Wolffenbuttel, B. H. R., Siegelaar, S. E., de Vries, J. H., &amp; Sijbrands, E. J. G. (2020). High prevalence of impaired awareness of hypoglycemia and severe hypoglycemia among people with insulin-treated type 2 diabetes: The Dutch Diabetes Pearl Cohort. BMJ Open Diabetes Research &amp; Care, 8(1), e000935. https://doi.org/10.1136/bmjdrc-2019-000935</w:t>
      </w:r>
    </w:p>
    <w:p>
      <w:pPr>
        <w:keepNext w:val="0"/>
        <w:spacing w:line="240" w:lineRule="auto" w:before="0" w:after="120"/>
        <w:ind w:left="425" w:hanging="425"/>
        <w:jc w:val="left"/>
      </w:pPr>
      <w:r>
        <w:rPr>
          <w:rFonts w:ascii="Garamond" w:hAnsi="Garamond" w:eastAsia="Garamond"/>
          <w:b w:val="0"/>
          <w:i w:val="0"/>
          <w:sz w:val="24"/>
        </w:rPr>
        <w:t>World Health Organization. (2024). Diabetes. https://www.who.int/news-room/fact-sheets/detail/diabetes</w:t>
      </w:r>
    </w:p>
    <w:p>
      <w:pPr>
        <w:keepNext w:val="0"/>
        <w:spacing w:line="240" w:lineRule="auto" w:before="0" w:after="120"/>
        <w:ind w:left="425" w:hanging="425"/>
        <w:jc w:val="left"/>
      </w:pPr>
      <w:r>
        <w:rPr>
          <w:rFonts w:ascii="Garamond" w:hAnsi="Garamond" w:eastAsia="Garamond"/>
          <w:b w:val="0"/>
          <w:i w:val="0"/>
          <w:sz w:val="24"/>
        </w:rPr>
        <w:t>Wu, F.-L., Wu, E.-C., Chang, Y.-C., Hu, W.-Y., Juang, J.-H., &amp; Yeh, M. C. (2018). Factors affecting the ability of people with diabetes to avoid hypoglycemia. Journal of Nursing Research, 26(1), 44–51. https://doi.org/10.1097/jnr.0000000000000196</w:t>
      </w:r>
    </w:p>
    <w:p>
      <w:pPr>
        <w:keepNext w:val="0"/>
        <w:spacing w:line="240" w:lineRule="auto" w:before="0" w:after="120"/>
        <w:ind w:left="425" w:hanging="425"/>
        <w:jc w:val="left"/>
      </w:pPr>
      <w:r>
        <w:rPr>
          <w:rFonts w:ascii="Garamond" w:hAnsi="Garamond" w:eastAsia="Garamond"/>
          <w:b w:val="0"/>
          <w:i w:val="0"/>
          <w:sz w:val="24"/>
        </w:rPr>
        <w:t>Yale, J.-F., Paty, B., &amp; Senior, P. A. (2018). Hypoglycemia. Canadian Journal of Diabetes, 42(Suppl. 1), S104–S108. https://doi.org/10.1016/j.jcjd.2017.10.010</w:t>
      </w:r>
    </w:p>
    <w:p>
      <w:pPr>
        <w:keepNext w:val="0"/>
        <w:spacing w:line="240" w:lineRule="auto" w:before="0" w:after="120"/>
        <w:ind w:left="425" w:hanging="425"/>
        <w:jc w:val="left"/>
      </w:pPr>
      <w:r>
        <w:rPr>
          <w:rFonts w:ascii="Garamond" w:hAnsi="Garamond" w:eastAsia="Garamond"/>
          <w:b w:val="0"/>
          <w:i w:val="0"/>
          <w:sz w:val="24"/>
        </w:rPr>
        <w:t>Yu, X., Fan, M., Zhao, X., Ding, Y., Liu, X., Yang, S., &amp; Zhang, X. (2023). Prevalence of impaired awareness of hypoglycaemia in people with diabetes mellitus: A systematic review and meta-analysis from 21 countries and regions. Diabetic Medicine, 40(9), e15129. https://doi.org/10.1111/dme.15129</w:t>
      </w:r>
    </w:p>
    <w:sectPr w:rsidR="000F465C">
      <w:type w:val="continuous"/>
      <w:pgSz w:w="11906" w:h="16838"/>
      <w:pgMar w:top="1701" w:right="1417" w:bottom="1701" w:left="198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3F923" w14:textId="77777777" w:rsidR="006D4F6D" w:rsidRDefault="006D4F6D">
      <w:r>
        <w:separator/>
      </w:r>
    </w:p>
  </w:endnote>
  <w:endnote w:type="continuationSeparator" w:id="0">
    <w:p w14:paraId="77812DEE" w14:textId="77777777" w:rsidR="006D4F6D" w:rsidRDefault="006D4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rdo">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F" w14:textId="1E2E97F6"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2</w:t>
    </w:r>
    <w:r>
      <w:rPr>
        <w:color w:val="000000"/>
      </w:rPr>
      <w:fldChar w:fldCharType="end"/>
    </w:r>
  </w:p>
  <w:p w14:paraId="000000B0" w14:textId="77777777" w:rsidR="000F465C" w:rsidRDefault="000F465C">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1" w14:textId="77777777"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B2" w14:textId="77777777" w:rsidR="000F465C" w:rsidRDefault="000F465C">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3" w14:textId="1B3011FB"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1</w:t>
    </w:r>
    <w:r>
      <w:rPr>
        <w:color w:val="000000"/>
      </w:rPr>
      <w:fldChar w:fldCharType="end"/>
    </w:r>
  </w:p>
  <w:p w14:paraId="000000B4" w14:textId="77777777" w:rsidR="000F465C" w:rsidRDefault="000F465C">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5" w14:textId="6F98ABA8"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3</w:t>
    </w:r>
    <w:r>
      <w:rPr>
        <w:color w:val="000000"/>
      </w:rPr>
      <w:fldChar w:fldCharType="end"/>
    </w:r>
  </w:p>
  <w:p w14:paraId="000000B6" w14:textId="77777777" w:rsidR="000F465C" w:rsidRDefault="000F465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7446A" w14:textId="77777777" w:rsidR="006D4F6D" w:rsidRDefault="006D4F6D">
      <w:r>
        <w:separator/>
      </w:r>
    </w:p>
  </w:footnote>
  <w:footnote w:type="continuationSeparator" w:id="0">
    <w:p w14:paraId="0EC4556C" w14:textId="77777777" w:rsidR="006D4F6D" w:rsidRDefault="006D4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1"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xml:space="preserve">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2" w14:textId="77777777" w:rsidR="000F465C" w:rsidRDefault="000F465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3"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xml:space="preserve">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4" w14:textId="77777777" w:rsidR="000F465C" w:rsidRDefault="000F465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5" w14:textId="77777777" w:rsidR="000F465C" w:rsidRDefault="006D4F6D">
    <w:pPr>
      <w:pBdr>
        <w:top w:val="nil"/>
        <w:left w:val="nil"/>
        <w:bottom w:val="nil"/>
        <w:right w:val="nil"/>
        <w:between w:val="nil"/>
      </w:pBdr>
      <w:ind w:right="1557"/>
      <w:jc w:val="both"/>
      <w:rPr>
        <w:b/>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r>
      <w:rPr>
        <w:noProof/>
      </w:rPr>
      <w:drawing>
        <wp:anchor distT="0" distB="0" distL="114300" distR="114300" simplePos="0" relativeHeight="251658240" behindDoc="0" locked="0" layoutInCell="1" hidden="0" allowOverlap="1">
          <wp:simplePos x="0" y="0"/>
          <wp:positionH relativeFrom="column">
            <wp:posOffset>4545965</wp:posOffset>
          </wp:positionH>
          <wp:positionV relativeFrom="paragraph">
            <wp:posOffset>-189229</wp:posOffset>
          </wp:positionV>
          <wp:extent cx="1091565" cy="1056640"/>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91565" cy="1056640"/>
                  </a:xfrm>
                  <a:prstGeom prst="rect">
                    <a:avLst/>
                  </a:prstGeom>
                  <a:ln/>
                </pic:spPr>
              </pic:pic>
            </a:graphicData>
          </a:graphic>
        </wp:anchor>
      </w:drawing>
    </w:r>
  </w:p>
  <w:p w14:paraId="000000A6" w14:textId="77777777" w:rsidR="000F465C" w:rsidRDefault="006D4F6D">
    <w:pPr>
      <w:pBdr>
        <w:top w:val="nil"/>
        <w:left w:val="nil"/>
        <w:bottom w:val="nil"/>
        <w:right w:val="nil"/>
        <w:between w:val="nil"/>
      </w:pBdr>
      <w:ind w:right="3624"/>
      <w:jc w:val="both"/>
      <w:rPr>
        <w:rFonts w:ascii="Garamond" w:eastAsia="Garamond" w:hAnsi="Garamond" w:cs="Garamond"/>
        <w:b/>
        <w:color w:val="000000"/>
        <w:sz w:val="20"/>
        <w:szCs w:val="20"/>
      </w:rPr>
    </w:pPr>
    <w:r>
      <w:rPr>
        <w:rFonts w:ascii="Garamond" w:eastAsia="Garamond" w:hAnsi="Garamond" w:cs="Garamond"/>
        <w:b/>
        <w:color w:val="000000"/>
        <w:sz w:val="20"/>
        <w:szCs w:val="20"/>
      </w:rPr>
      <w:t xml:space="preserve">Universitas </w:t>
    </w:r>
    <w:proofErr w:type="spellStart"/>
    <w:r>
      <w:rPr>
        <w:rFonts w:ascii="Garamond" w:eastAsia="Garamond" w:hAnsi="Garamond" w:cs="Garamond"/>
        <w:b/>
        <w:color w:val="000000"/>
        <w:sz w:val="20"/>
        <w:szCs w:val="20"/>
      </w:rPr>
      <w:t>Tribhuwana</w:t>
    </w:r>
    <w:proofErr w:type="spellEnd"/>
    <w:r>
      <w:rPr>
        <w:rFonts w:ascii="Garamond" w:eastAsia="Garamond" w:hAnsi="Garamond" w:cs="Garamond"/>
        <w:b/>
        <w:color w:val="000000"/>
        <w:sz w:val="20"/>
        <w:szCs w:val="20"/>
      </w:rPr>
      <w:t xml:space="preserve"> </w:t>
    </w:r>
  </w:p>
  <w:p w14:paraId="000000A7" w14:textId="77777777" w:rsidR="000F465C" w:rsidRDefault="006D4F6D">
    <w:pPr>
      <w:pBdr>
        <w:top w:val="nil"/>
        <w:left w:val="nil"/>
        <w:bottom w:val="nil"/>
        <w:right w:val="nil"/>
        <w:between w:val="nil"/>
      </w:pBdr>
      <w:ind w:right="1840"/>
      <w:jc w:val="both"/>
      <w:rPr>
        <w:color w:val="000000"/>
      </w:rPr>
    </w:pPr>
    <w:proofErr w:type="spellStart"/>
    <w:r>
      <w:rPr>
        <w:rFonts w:ascii="Garamond" w:eastAsia="Garamond" w:hAnsi="Garamond" w:cs="Garamond"/>
        <w:b/>
        <w:color w:val="000000"/>
        <w:sz w:val="20"/>
        <w:szCs w:val="20"/>
      </w:rPr>
      <w:t>Tersedia</w:t>
    </w:r>
    <w:proofErr w:type="spellEnd"/>
    <w:r>
      <w:rPr>
        <w:rFonts w:ascii="Garamond" w:eastAsia="Garamond" w:hAnsi="Garamond" w:cs="Garamond"/>
        <w:b/>
        <w:color w:val="000000"/>
        <w:sz w:val="20"/>
        <w:szCs w:val="20"/>
      </w:rPr>
      <w:t xml:space="preserve"> </w:t>
    </w:r>
    <w:r>
      <w:rPr>
        <w:rFonts w:ascii="Garamond" w:eastAsia="Garamond" w:hAnsi="Garamond" w:cs="Garamond"/>
        <w:b/>
        <w:i/>
        <w:color w:val="000000"/>
        <w:sz w:val="20"/>
        <w:szCs w:val="20"/>
      </w:rPr>
      <w:t>online</w:t>
    </w:r>
    <w:r>
      <w:rPr>
        <w:rFonts w:ascii="Garamond" w:eastAsia="Garamond" w:hAnsi="Garamond" w:cs="Garamond"/>
        <w:b/>
        <w:color w:val="000000"/>
        <w:sz w:val="20"/>
        <w:szCs w:val="20"/>
      </w:rPr>
      <w:t xml:space="preserve"> di </w:t>
    </w:r>
    <w:hyperlink r:id="rId2">
      <w:r>
        <w:rPr>
          <w:rFonts w:ascii="Garamond" w:eastAsia="Garamond" w:hAnsi="Garamond" w:cs="Garamond"/>
          <w:color w:val="000000"/>
          <w:sz w:val="20"/>
          <w:szCs w:val="20"/>
          <w:u w:val="single"/>
        </w:rPr>
        <w:t>https://publikasi.unitri.ac.id/index.php/fikes</w:t>
      </w:r>
    </w:hyperlink>
  </w:p>
  <w:p w14:paraId="000000A8" w14:textId="77777777" w:rsidR="000F465C" w:rsidRDefault="006D4F6D">
    <w:pPr>
      <w:pBdr>
        <w:top w:val="nil"/>
        <w:left w:val="nil"/>
        <w:bottom w:val="nil"/>
        <w:right w:val="nil"/>
        <w:between w:val="nil"/>
      </w:pBdr>
      <w:ind w:right="2124"/>
      <w:jc w:val="both"/>
      <w:rPr>
        <w:color w:val="000000"/>
      </w:rPr>
    </w:pPr>
    <w:r>
      <w:rPr>
        <w:rFonts w:ascii="Garamond" w:eastAsia="Garamond" w:hAnsi="Garamond" w:cs="Garamond"/>
        <w:color w:val="000000"/>
        <w:sz w:val="20"/>
        <w:szCs w:val="20"/>
      </w:rPr>
      <w:t>ISSN 2527-9823(online)</w:t>
    </w:r>
  </w:p>
  <w:p w14:paraId="000000A9" w14:textId="77777777" w:rsidR="000F465C" w:rsidRDefault="000F465C">
    <w:pPr>
      <w:pBdr>
        <w:top w:val="nil"/>
        <w:left w:val="nil"/>
        <w:bottom w:val="nil"/>
        <w:right w:val="nil"/>
        <w:between w:val="nil"/>
      </w:pBdr>
      <w:rPr>
        <w:color w:val="000000"/>
        <w:sz w:val="48"/>
        <w:szCs w:val="4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A"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B" w14:textId="77777777" w:rsidR="000F465C" w:rsidRDefault="000F465C">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C"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D"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E" w14:textId="77777777" w:rsidR="000F465C" w:rsidRDefault="000F465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25CEA"/>
    <w:multiLevelType w:val="multilevel"/>
    <w:tmpl w:val="9C7E327C"/>
    <w:lvl w:ilvl="0">
      <w:start w:val="1"/>
      <w:numFmt w:val="decimal"/>
      <w:lvlText w:val="%1."/>
      <w:lvlJc w:val="left"/>
      <w:pPr>
        <w:ind w:left="720" w:hanging="360"/>
      </w:pPr>
    </w:lvl>
    <w:lvl w:ilvl="1">
      <w:start w:val="1"/>
      <w:numFmt w:val="decimal"/>
      <w:lvlText w:val="%1.%2."/>
      <w:lvlJc w:val="left"/>
      <w:pPr>
        <w:ind w:left="1080" w:hanging="720"/>
      </w:pPr>
      <w:rPr>
        <w:i w:val="0"/>
      </w:rPr>
    </w:lvl>
    <w:lvl w:ilvl="2">
      <w:start w:val="1"/>
      <w:numFmt w:val="decimal"/>
      <w:lvlText w:val="%1.%2.%3."/>
      <w:lvlJc w:val="left"/>
      <w:pPr>
        <w:ind w:left="1080" w:hanging="720"/>
      </w:pPr>
      <w:rPr>
        <w:i w:val="0"/>
      </w:rPr>
    </w:lvl>
    <w:lvl w:ilvl="3">
      <w:start w:val="1"/>
      <w:numFmt w:val="decimal"/>
      <w:lvlText w:val="%1.%2.%3.%4."/>
      <w:lvlJc w:val="left"/>
      <w:pPr>
        <w:ind w:left="1440" w:hanging="1080"/>
      </w:pPr>
      <w:rPr>
        <w:i w:val="0"/>
      </w:rPr>
    </w:lvl>
    <w:lvl w:ilvl="4">
      <w:start w:val="1"/>
      <w:numFmt w:val="decimal"/>
      <w:lvlText w:val="%1.%2.%3.%4.%5."/>
      <w:lvlJc w:val="left"/>
      <w:pPr>
        <w:ind w:left="1800" w:hanging="1440"/>
      </w:pPr>
      <w:rPr>
        <w:i w:val="0"/>
      </w:rPr>
    </w:lvl>
    <w:lvl w:ilvl="5">
      <w:start w:val="1"/>
      <w:numFmt w:val="decimal"/>
      <w:lvlText w:val="%1.%2.%3.%4.%5.%6."/>
      <w:lvlJc w:val="left"/>
      <w:pPr>
        <w:ind w:left="1800" w:hanging="1440"/>
      </w:pPr>
      <w:rPr>
        <w:i w:val="0"/>
      </w:rPr>
    </w:lvl>
    <w:lvl w:ilvl="6">
      <w:start w:val="1"/>
      <w:numFmt w:val="decimal"/>
      <w:lvlText w:val="%1.%2.%3.%4.%5.%6.%7."/>
      <w:lvlJc w:val="left"/>
      <w:pPr>
        <w:ind w:left="2160" w:hanging="1800"/>
      </w:pPr>
      <w:rPr>
        <w:i w:val="0"/>
      </w:rPr>
    </w:lvl>
    <w:lvl w:ilvl="7">
      <w:start w:val="1"/>
      <w:numFmt w:val="decimal"/>
      <w:lvlText w:val="%1.%2.%3.%4.%5.%6.%7.%8."/>
      <w:lvlJc w:val="left"/>
      <w:pPr>
        <w:ind w:left="2160" w:hanging="1800"/>
      </w:pPr>
      <w:rPr>
        <w:i w:val="0"/>
      </w:rPr>
    </w:lvl>
    <w:lvl w:ilvl="8">
      <w:start w:val="1"/>
      <w:numFmt w:val="decimal"/>
      <w:lvlText w:val="%1.%2.%3.%4.%5.%6.%7.%8.%9."/>
      <w:lvlJc w:val="left"/>
      <w:pPr>
        <w:ind w:left="2520" w:hanging="2160"/>
      </w:pPr>
      <w:rPr>
        <w:i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5C"/>
    <w:rsid w:val="000F465C"/>
    <w:rsid w:val="0034684A"/>
    <w:rsid w:val="00544112"/>
    <w:rsid w:val="006D4F6D"/>
    <w:rsid w:val="00827E0A"/>
    <w:rsid w:val="008466BB"/>
    <w:rsid w:val="00A002BB"/>
    <w:rsid w:val="00A51F7F"/>
    <w:rsid w:val="00DF3D76"/>
    <w:rsid w:val="00EC7C8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85B1"/>
  <w15:docId w15:val="{99511461-16BD-42AD-A86F-2A7E5748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eastAsia="Garamond"/>
      <w:sz w:val="24"/>
    </w:rPr>
  </w:style>
  <w:style w:type="paragraph" w:styleId="Heading1">
    <w:name w:val="heading 1"/>
    <w:basedOn w:val="Normal"/>
    <w:next w:val="Normal"/>
    <w:uiPriority w:val="9"/>
    <w:qFormat/>
    <w:pPr>
      <w:keepNext/>
      <w:keepLines/>
      <w:tabs>
        <w:tab w:val="left" w:pos="216"/>
      </w:tabs>
      <w:spacing w:before="160" w:after="80"/>
      <w:ind w:firstLine="216"/>
      <w:jc w:val="center"/>
      <w:outlineLvl w:val="0"/>
    </w:pPr>
    <w:rPr>
      <w:smallCaps/>
      <w:sz w:val="20"/>
      <w:szCs w:val="20"/>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ind w:firstLine="180"/>
      <w:jc w:val="both"/>
      <w:outlineLvl w:val="2"/>
    </w:pPr>
    <w:rPr>
      <w:i/>
      <w:sz w:val="20"/>
      <w:szCs w:val="20"/>
    </w:rPr>
  </w:style>
  <w:style w:type="paragraph" w:styleId="Heading4">
    <w:name w:val="heading 4"/>
    <w:basedOn w:val="Normal"/>
    <w:next w:val="Normal"/>
    <w:uiPriority w:val="9"/>
    <w:semiHidden/>
    <w:unhideWhenUsed/>
    <w:qFormat/>
    <w:pPr>
      <w:spacing w:before="40" w:after="40"/>
      <w:ind w:firstLine="360"/>
      <w:jc w:val="both"/>
      <w:outlineLvl w:val="3"/>
    </w:pPr>
    <w:rPr>
      <w:i/>
      <w:sz w:val="20"/>
      <w:szCs w:val="20"/>
    </w:rPr>
  </w:style>
  <w:style w:type="paragraph" w:styleId="Heading5">
    <w:name w:val="heading 5"/>
    <w:basedOn w:val="Normal"/>
    <w:next w:val="Normal"/>
    <w:uiPriority w:val="9"/>
    <w:semiHidden/>
    <w:unhideWhenUsed/>
    <w:qFormat/>
    <w:pPr>
      <w:keepNext/>
      <w:spacing w:line="480" w:lineRule="auto"/>
      <w:jc w:val="center"/>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color w:val="000000"/>
    </w:rPr>
    <w:tblPr>
      <w:tblStyleRowBandSize w:val="1"/>
      <w:tblStyleColBandSize w:val="1"/>
    </w:tblPr>
  </w:style>
  <w:style w:type="table" w:customStyle="1" w:styleId="a2">
    <w:basedOn w:val="TableNormal"/>
    <w:rPr>
      <w:color w:val="000000"/>
    </w:rPr>
    <w:tblPr>
      <w:tblStyleRowBandSize w:val="1"/>
      <w:tblStyleColBandSize w:val="1"/>
    </w:tblPr>
  </w:style>
  <w:style w:type="paragraph" w:styleId="ListParagraph">
    <w:name w:val="List Paragraph"/>
    <w:basedOn w:val="Normal"/>
    <w:uiPriority w:val="34"/>
    <w:qFormat/>
    <w:rsid w:val="00346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5.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creativecommons.org/licenses/by-sa/4.0/"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hyperlink" Target="https://publikasi.unitri.ac.id/index.php/fikes"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2024-08-12T02:39:00Z</cp:lastPrinted>
  <dcterms:created xsi:type="dcterms:W3CDTF">2024-08-12T03:03:00Z</dcterms:created>
  <dcterms:modified xsi:type="dcterms:W3CDTF">2024-08-12T03:03:00Z</dcterms:modified>
  <dc:title>Hypoglycaemia Awareness and Item-Level Associations Among Adults With Type 2 Diabetes Mellitus</dc:title>
  <dc:subject>Original Research Article for Nursing News: Jurnal Ilmiah Keperawatan</dc:subject>
  <cp:keywords>diabetes mellitus; family nursing; glucose monitoring; hypoglycaemia; hypoglycaemia awareness</cp:keywords>
  <dc:description>Prepared using the official 2024 Nursing News manuscript template.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d8480336-a8c9-3fa9-8fcf-d10cf5b5216a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_DocHome">
    <vt:lpwstr>798294607</vt:lpwstr>
  </property>
</Properties>
</file>