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FF78" w14:textId="77777777" w:rsidR="009412DF" w:rsidRDefault="00000000">
      <w:r>
        <w:rPr>
          <w:rFonts w:eastAsia="Times New Roman"/>
          <w:b/>
        </w:rPr>
        <w:t>Sea Hare-Papaya Syrup and Iron Status in Stunted Toddlers</w:t>
      </w:r>
    </w:p>
    <w:p w14:paraId="0FF04D6D" w14:textId="77777777" w:rsidR="009412DF" w:rsidRDefault="009412DF"/>
    <w:p w14:paraId="10D7163B" w14:textId="77777777" w:rsidR="009412DF" w:rsidRDefault="00000000">
      <w:r>
        <w:rPr>
          <w:rFonts w:eastAsia="Times New Roman"/>
          <w:b/>
        </w:rPr>
        <w:t>ABSTRACT</w:t>
      </w:r>
    </w:p>
    <w:p w14:paraId="267CA1CA" w14:textId="77777777" w:rsidR="009412DF" w:rsidRDefault="00000000">
      <w:r>
        <w:rPr>
          <w:rFonts w:eastAsia="Times New Roman"/>
        </w:rPr>
        <w:t>Stunting may coexist with anemia and impaired iron status in early childhood. This study examined hemoglobin and serum ferritin outcomes after a food-based syrup containing sea hare (Dolabella auricularia) extract and papaya in stunted toddlers. This secondary analysis used data from a five-arm pretest-posttest controlled community nutrition intervention conducted in Southeast Sulawesi, Indonesia, from September 2023 to July 2024. Fifty stunted toddlers were allocated to three sea hare-papaya syrup groups (80:20, 70:30, or 60:40), a positive-control group receiving commercial iron syrup, or a placebo group. The intervention was given every two days for 6 weeks. Hemoglobin and serum ferritin were measured before and after intervention, and dietary intake was assessed using a semi-quantitative food-frequency questionnaire. Among 50 enrolled toddlers, 38 (76.0%) had anemia at baseline. Hemoglobin increased significantly in the three sea hare-papaya groups: 10.9±0.61 to 11.7±0.51 g/dL (P=0.002), 11.1±0.86 to 11.8±0.57 g/dL (P=0.008), and 10.8±1.23 to 11.6±0.45 g/dL (P=0.015). Changes in the control groups were not significant. Serum ferritin increased numerically but did not change significantly in any group. Sea hare-papaya syrup was associated with within-group hemoglobin improvement in stunted toddlers, but ferritin responses were inconclusive. Larger registered trials with standardized dosing and stronger between-group analyses are needed.</w:t>
      </w:r>
    </w:p>
    <w:p w14:paraId="16577962" w14:textId="77777777" w:rsidR="009412DF" w:rsidRDefault="009412DF"/>
    <w:p w14:paraId="34D86484" w14:textId="77777777" w:rsidR="009412DF" w:rsidRDefault="00000000">
      <w:r>
        <w:rPr>
          <w:rFonts w:eastAsia="Times New Roman"/>
          <w:b/>
        </w:rPr>
        <w:t>Keywords: Child Nutrition; Anemia; Hemoglobin; Ferritin; Stunting</w:t>
      </w:r>
    </w:p>
    <w:p w14:paraId="6C94F378" w14:textId="77777777" w:rsidR="009412DF" w:rsidRDefault="009412DF"/>
    <w:p w14:paraId="294D226E" w14:textId="77777777" w:rsidR="009412DF" w:rsidRDefault="00000000">
      <w:r>
        <w:rPr>
          <w:rFonts w:eastAsia="Times New Roman"/>
          <w:b/>
        </w:rPr>
        <w:t>INTRODUCTION</w:t>
      </w:r>
    </w:p>
    <w:p w14:paraId="0F2E95BA" w14:textId="77777777" w:rsidR="009412DF" w:rsidRDefault="00000000">
      <w:r>
        <w:rPr>
          <w:rFonts w:eastAsia="Times New Roman"/>
        </w:rPr>
        <w:t xml:space="preserve">Stunting in early childhood reflects chronic undernutrition and remains a major public health </w:t>
      </w:r>
      <w:r>
        <w:rPr>
          <w:rFonts w:eastAsia="Times New Roman"/>
        </w:rPr>
        <w:lastRenderedPageBreak/>
        <w:t>problem in low- and middle-income countries. Beyond impaired linear growth, stunting is associated with adverse health and developmental consequences, including greater vulnerability to infection and micronutrient inadequacy (Black et al., 2013; Dewey and Begum, 2011; UNICEF et al., 2024). These problems are particularly important during the first years of life, when nutrient inadequacy may affect hematopoiesis, immune function, and neurodevelopment.</w:t>
      </w:r>
    </w:p>
    <w:p w14:paraId="0932CA27" w14:textId="77777777" w:rsidR="009412DF" w:rsidRDefault="00000000">
      <w:r>
        <w:rPr>
          <w:rFonts w:eastAsia="Times New Roman"/>
        </w:rPr>
        <w:t>Anemia is common among young children and frequently coexists with undernutrition and stunting (Kassebaum et al., 2014; Rahman et al., 2019). Hemoglobin concentration provides a practical indicator of oxygen-carrying capacity, whereas serum ferritin is widely used to assess iron stores (Bahr et al., 2021; Chanpura and Shah, 2019; Pasricha et al., 2021; Petry et al., 2016b; World Health Organization, 2020). However, ferritin is an acute-phase reactant; infection and inflammation may elevate ferritin independently of iron stores and complicate the identification of iron deficiency (Namaste et al., 2017; Suchdev et al., 2017; Thurnham et al., 2010; World Health Organization, 2020).</w:t>
      </w:r>
    </w:p>
    <w:p w14:paraId="7C81FBE0" w14:textId="77777777" w:rsidR="009412DF" w:rsidRDefault="00000000">
      <w:r>
        <w:rPr>
          <w:rFonts w:eastAsia="Times New Roman"/>
        </w:rPr>
        <w:t xml:space="preserve">Food-based interventions using locally available resources may provide complementary approaches to improve child nutrition. Evidence from micronutrient-fortified foods and other nutrition interventions suggests that hematological responses depend on baseline nutritional status, dose, food vehicle, adherence, and iron bioavailability (Eichler et al., 2012; Hurrell and Egli, 2010; Pasricha et al., 2013; Petry et al., 2016a; Tam et al., 2020). Sea hare (Dolabella auricularia), locally referred to as sea rabbit, has been reported to contain secondary metabolites, including flavonoids, alkaloids, terpenoids, saponins, and tannins (Toruntju et al., 2020). Papaya may contribute nutrients and ascorbic acid; organic acids such as ascorbic acid can enhance nonheme iron absorption, although the actual nutrient composition of the study syrup was not quantified (Susanto et al., 2025; Teucher et al., 2004; Yati et al., 2020). Evidence on the combined use of sea hare extract and papaya for </w:t>
      </w:r>
      <w:r>
        <w:rPr>
          <w:rFonts w:eastAsia="Times New Roman"/>
        </w:rPr>
        <w:lastRenderedPageBreak/>
        <w:t>hematological outcomes in stunted toddlers remains limited.</w:t>
      </w:r>
    </w:p>
    <w:p w14:paraId="21A8CC0B" w14:textId="77777777" w:rsidR="009412DF" w:rsidRDefault="00000000">
      <w:r>
        <w:rPr>
          <w:rFonts w:eastAsia="Times New Roman"/>
        </w:rPr>
        <w:t>The present manuscript reports hemoglobin and serum ferritin outcomes from a five-arm community nutrition intervention in stunted toddlers. Growth and motor-development outcomes from the same source cohort have been reported previously; the hematological outcomes presented here were not the focus of that earlier publication (Toruntju et al., 2025). This secondary analysis aimed to examine changes in hemoglobin and serum ferritin after sea hare-papaya syrup administration and to interpret the findings cautiously in light of sample size and trial-reporting limitations.</w:t>
      </w:r>
    </w:p>
    <w:p w14:paraId="63A88BA6" w14:textId="77777777" w:rsidR="009412DF" w:rsidRDefault="009412DF"/>
    <w:p w14:paraId="54024E59" w14:textId="77777777" w:rsidR="009412DF" w:rsidRDefault="00000000">
      <w:r>
        <w:rPr>
          <w:rFonts w:eastAsia="Times New Roman"/>
          <w:b/>
        </w:rPr>
        <w:t>MATERIALS AND METHODS</w:t>
      </w:r>
    </w:p>
    <w:p w14:paraId="77848D83" w14:textId="77777777" w:rsidR="009412DF" w:rsidRDefault="00000000">
      <w:r>
        <w:rPr>
          <w:rFonts w:eastAsia="Times New Roman"/>
          <w:b/>
        </w:rPr>
        <w:t>Study design and setting</w:t>
      </w:r>
    </w:p>
    <w:p w14:paraId="3335CAFC" w14:textId="77777777" w:rsidR="009412DF" w:rsidRDefault="00000000">
      <w:r>
        <w:rPr>
          <w:rFonts w:eastAsia="Times New Roman"/>
        </w:rPr>
        <w:t>This secondary analysis used data from a five-arm pretest-posttest controlled community nutrition intervention conducted at integrated community health posts in a primary health care setting in Southeast Sulawesi, Indonesia, from September 2023 to July 2024. The source study evaluated honey-based syrup formulations containing sea hare extract and papaya in stunted and malnourished toddlers. The available study record described allocation into five intervention arms and masking of syrup composition, but complete documentation of random sequence generation and allocation concealment was not available. Therefore, the present report is framed as an exploratory controlled intervention analysis rather than as evidence of intervention superiority.</w:t>
      </w:r>
    </w:p>
    <w:p w14:paraId="31B8EAB5" w14:textId="77777777" w:rsidR="009412DF" w:rsidRDefault="00000000">
      <w:r>
        <w:rPr>
          <w:rFonts w:eastAsia="Times New Roman"/>
          <w:b/>
        </w:rPr>
        <w:t>Participants</w:t>
      </w:r>
    </w:p>
    <w:p w14:paraId="1E10EE55" w14:textId="77777777" w:rsidR="009412DF" w:rsidRDefault="00000000">
      <w:r>
        <w:rPr>
          <w:rFonts w:eastAsia="Times New Roman"/>
        </w:rPr>
        <w:t xml:space="preserve">Toddlers identified as stunted and malnourished through five community health posts were considered for enrollment. Children were eligible if they were clinically stable, had no acute respiratory infection or diarrhea at recruitment, had available baseline and follow-up laboratory data, and had written informed consent from a parent or legal guardian. Children </w:t>
      </w:r>
      <w:r>
        <w:rPr>
          <w:rFonts w:eastAsia="Times New Roman"/>
        </w:rPr>
        <w:lastRenderedPageBreak/>
        <w:t>with chronic illness, severe medical conditions, or incomplete participation during the intervention period were excluded.</w:t>
      </w:r>
    </w:p>
    <w:p w14:paraId="0A93FEC9" w14:textId="77777777" w:rsidR="009412DF" w:rsidRDefault="00000000">
      <w:r>
        <w:rPr>
          <w:rFonts w:eastAsia="Times New Roman"/>
        </w:rPr>
        <w:t>A total of 96 toddlers were screened for hemoglobin status. Fifty toddlers were included in the intervention phase and allocated equally to five groups of 10 participants. Anemia was defined as hemoglobin &lt;11.0 g/dL and was analyzed as a baseline characteristic rather than as a mandatory enrollment criterion.</w:t>
      </w:r>
    </w:p>
    <w:p w14:paraId="6AA21891" w14:textId="77777777" w:rsidR="009412DF" w:rsidRDefault="00000000">
      <w:r>
        <w:rPr>
          <w:rFonts w:eastAsia="Times New Roman"/>
          <w:b/>
        </w:rPr>
        <w:t>Interventions and masking</w:t>
      </w:r>
    </w:p>
    <w:p w14:paraId="679571AD" w14:textId="77777777" w:rsidR="009412DF" w:rsidRDefault="00000000">
      <w:r>
        <w:rPr>
          <w:rFonts w:eastAsia="Times New Roman"/>
        </w:rPr>
        <w:t>The three experimental groups received sea hare-papaya syrup formulations containing sea hare extract and papaya extract in ratios of 80:20, 70:30, or 60:40. The positive-control group received commercial iron syrup, and the negative-control group received placebo. All formulations were prepared as honey-based syrups and administered every two days for 6 weeks.</w:t>
      </w:r>
    </w:p>
    <w:p w14:paraId="6B36F57A" w14:textId="77777777" w:rsidR="009412DF" w:rsidRDefault="00000000">
      <w:r>
        <w:rPr>
          <w:rFonts w:eastAsia="Times New Roman"/>
        </w:rPr>
        <w:t>Sea hare samples were collected from coastal areas of Southeast Sulawesi, Indonesia. Samples were repeatedly washed to reduce salt content and dried at temperatures below 50°C without direct sunlight exposure before extraction. Ripe papaya was purchased from a local market in Kendari, Indonesia, cleaned, cut, and dried using an electric oven at 40~50°C before extraction. Extract preparation was conducted in a laboratory in Kendari. The source records did not contain complete batch-level quantitative composition or active-compound standardization; this limitation was considered when interpreting the findings.</w:t>
      </w:r>
    </w:p>
    <w:p w14:paraId="36743E49" w14:textId="77777777" w:rsidR="009412DF" w:rsidRDefault="00000000">
      <w:r>
        <w:rPr>
          <w:rFonts w:eastAsia="Times New Roman"/>
        </w:rPr>
        <w:t>Laboratory personnel managed syrup preparation and group labeling. Investigators involved in field data collection were not informed of the exact formulation assigned to each group until completion of the intervention period. The available records did not document a formal adverse-event grading system. No serious adverse event was identified in the available study forms.</w:t>
      </w:r>
    </w:p>
    <w:p w14:paraId="24863ED4" w14:textId="77777777" w:rsidR="009412DF" w:rsidRDefault="00000000">
      <w:r>
        <w:rPr>
          <w:rFonts w:eastAsia="Times New Roman"/>
          <w:b/>
        </w:rPr>
        <w:t>Outcome measures and covariates</w:t>
      </w:r>
    </w:p>
    <w:p w14:paraId="4D25095B" w14:textId="77777777" w:rsidR="009412DF" w:rsidRDefault="00000000">
      <w:r>
        <w:rPr>
          <w:rFonts w:eastAsia="Times New Roman"/>
        </w:rPr>
        <w:lastRenderedPageBreak/>
        <w:t>The outcomes for this analysis were hemoglobin concentration and serum ferritin level before and after 6 weeks of intervention. Hemoglobin was expressed in g/dL and serum ferritin in ng/mL. Laboratory measurements were performed before and after intervention using routine clinical laboratory procedures. Dietary intake of energy, protein, and iron was assessed using a semi-quantitative food-frequency questionnaire, a digital dietary scale, NutriSurvey software, the Indonesian Food Composition Table, and the 2019 Recommended Dietary Allowance.</w:t>
      </w:r>
    </w:p>
    <w:p w14:paraId="20E4C6B2" w14:textId="77777777" w:rsidR="009412DF" w:rsidRDefault="00000000">
      <w:r>
        <w:rPr>
          <w:rFonts w:eastAsia="Times New Roman"/>
          <w:b/>
        </w:rPr>
        <w:t>Statistical analysis</w:t>
      </w:r>
    </w:p>
    <w:p w14:paraId="03A75DF4" w14:textId="77777777" w:rsidR="009412DF" w:rsidRDefault="00000000">
      <w:r>
        <w:rPr>
          <w:rFonts w:eastAsia="Times New Roman"/>
        </w:rPr>
        <w:t>Data were analyzed using SPSS version 20. Descriptive statistics were used to summarize baseline screening results and dietary intake. Paired t-tests were used to compare pre- and post-intervention hemoglobin and serum ferritin within each group. The original analysis included exploratory between-group comparisons after intervention, but the source record did not provide sufficient detail to support a robust claim of superiority over either control group. Statistical significance was set at P&lt;0.05. No adjustment for multiple testing was applied; therefore, all inferential findings are interpreted as exploratory.</w:t>
      </w:r>
    </w:p>
    <w:p w14:paraId="46CC1176" w14:textId="77777777" w:rsidR="009412DF" w:rsidRDefault="00000000">
      <w:r>
        <w:rPr>
          <w:rFonts w:eastAsia="Times New Roman"/>
          <w:b/>
        </w:rPr>
        <w:t>Ethical considerations</w:t>
      </w:r>
    </w:p>
    <w:p w14:paraId="1DC6C212" w14:textId="77777777" w:rsidR="009412DF" w:rsidRDefault="00000000">
      <w:r>
        <w:rPr>
          <w:rFonts w:eastAsia="Times New Roman"/>
        </w:rPr>
        <w:t>The study was approved by the Health Research Ethics Committee of the Regional Board of the Indonesian Public Health Association, Southeast Sulawesi Province, Indonesia (Ethical Clearance No. 142/KEPK/IAKMI/XI/2020). Written informed consent was obtained from the parents or legal guardians of all participants. The trial was not prospectively registered.</w:t>
      </w:r>
    </w:p>
    <w:p w14:paraId="6D0FFD16" w14:textId="77777777" w:rsidR="009412DF" w:rsidRDefault="009412DF"/>
    <w:p w14:paraId="196D18F3" w14:textId="77777777" w:rsidR="009412DF" w:rsidRDefault="00000000">
      <w:r>
        <w:rPr>
          <w:rFonts w:eastAsia="Times New Roman"/>
          <w:b/>
        </w:rPr>
        <w:t>RESULTS AND DISCUSSION</w:t>
      </w:r>
    </w:p>
    <w:p w14:paraId="0962E1BF" w14:textId="77777777" w:rsidR="009412DF" w:rsidRDefault="00000000">
      <w:r>
        <w:rPr>
          <w:rFonts w:eastAsia="Times New Roman"/>
          <w:b/>
        </w:rPr>
        <w:t>Results</w:t>
      </w:r>
    </w:p>
    <w:p w14:paraId="317B0A18" w14:textId="77777777" w:rsidR="009412DF" w:rsidRDefault="00000000">
      <w:r>
        <w:rPr>
          <w:rFonts w:eastAsia="Times New Roman"/>
        </w:rPr>
        <w:t xml:space="preserve">Among 96 toddlers screened for hemoglobin, 38 (39.5%) had anemia and 58 (60.4%) had normal hemoglobin levels. Fifty toddlers entered the intervention phase, with 10 participants </w:t>
      </w:r>
      <w:r>
        <w:rPr>
          <w:rFonts w:eastAsia="Times New Roman"/>
        </w:rPr>
        <w:lastRenderedPageBreak/>
        <w:t>in each of the five study groups. At baseline, 38 of the 50 enrolled toddlers (76.0%) were anemic.</w:t>
      </w:r>
    </w:p>
    <w:p w14:paraId="583F0CEA" w14:textId="77777777" w:rsidR="009412DF" w:rsidRDefault="00000000">
      <w:r>
        <w:rPr>
          <w:rFonts w:eastAsia="Times New Roman"/>
        </w:rPr>
        <w:t>Baseline dietary intake was broadly comparable across groups (Table 1). Energy intake ranged from 1,003 kcal in the 80:20 sea hare-papaya group to 1,119 kcal in the placebo group. Protein intake ranged from 33.2 g in the commercial iron-syrup group to 41.3 g in the placebo group, while iron intake ranged from 8.6 mg in the placebo group to 10.6 mg in the 70:30 sea hare-papaya group.</w:t>
      </w:r>
    </w:p>
    <w:p w14:paraId="05DF50D1" w14:textId="77777777" w:rsidR="009412DF" w:rsidRDefault="00000000">
      <w:r>
        <w:rPr>
          <w:rFonts w:eastAsia="Times New Roman"/>
        </w:rPr>
        <w:t>Hemoglobin changes are shown in Table 2. Hemoglobin increased significantly in all three sea hare-papaya syrup groups after 6 weeks. Mean hemoglobin increased from 10.9±0.61 to 11.7±0.51 g/dL in the 80:20 group (P=0.002), from 11.1±0.86 to 11.8±0.57 g/dL in the 70:30 group (P=0.008), and from 10.8±1.23 to 11.6±0.45 g/dL in the 60:40 group (P=0.015). The changes in the commercial iron-syrup group and placebo group were not statistically significant.</w:t>
      </w:r>
    </w:p>
    <w:p w14:paraId="632C134D" w14:textId="77777777" w:rsidR="009412DF" w:rsidRDefault="00000000">
      <w:r>
        <w:rPr>
          <w:rFonts w:eastAsia="Times New Roman"/>
        </w:rPr>
        <w:t>Serum ferritin changes are shown in Table 3. Ferritin increased numerically in each group, including the three sea hare-papaya groups and both control groups, but none of the within-group changes reached statistical significance. The available post-intervention between-group comparisons did not show statistically significant differences for hemoglobin or ferritin; therefore, intervention superiority over control treatment was not inferred.</w:t>
      </w:r>
    </w:p>
    <w:p w14:paraId="2CED65B6" w14:textId="77777777" w:rsidR="009412DF" w:rsidRDefault="00000000">
      <w:r>
        <w:rPr>
          <w:rFonts w:eastAsia="Times New Roman"/>
          <w:b/>
        </w:rPr>
        <w:t>Discussion</w:t>
      </w:r>
    </w:p>
    <w:p w14:paraId="2A63D0CF" w14:textId="77777777" w:rsidR="009412DF" w:rsidRDefault="00000000">
      <w:r>
        <w:rPr>
          <w:rFonts w:eastAsia="Times New Roman"/>
        </w:rPr>
        <w:t>This secondary analysis found significant within-group increases in hemoglobin after 6 weeks of sea hare-papaya syrup administration in stunted toddlers. In contrast, serum ferritin changes were numerical and not statistically significant. These findings suggest a possible short-term hematological signal, but they do not establish that the experimental syrup is superior to commercial iron syrup or placebo.</w:t>
      </w:r>
    </w:p>
    <w:p w14:paraId="524E58EF" w14:textId="77777777" w:rsidR="009412DF" w:rsidRDefault="00000000">
      <w:r>
        <w:rPr>
          <w:rFonts w:eastAsia="Times New Roman"/>
        </w:rPr>
        <w:t xml:space="preserve">The observed hemoglobin response may reflect changes in nutrient availability or utilization </w:t>
      </w:r>
      <w:r>
        <w:rPr>
          <w:rFonts w:eastAsia="Times New Roman"/>
        </w:rPr>
        <w:lastRenderedPageBreak/>
        <w:t>during the intervention period. Erythropoiesis depends on iron as well as protein, folate, vitamin B12, and other micronutrients, and iron bioavailability is influenced by both dietary enhancers and inhibitors (Hurrell and Egli, 2010; Pasricha et al., 2021; Petry et al., 2016b; World Health Organization, 2020). Early-life iron deficiency is also relevant to child development, although the present study did not assess neurodevelopmental outcomes (Lozoff, 2007). Sea hare extract has been reported to contain several secondary metabolites, and papaya-derived ascorbic acid could theoretically support nonheme iron absorption; however, vitamin C and iron contents were not measured in the intervention batches (Susanto et al., 2025; Teucher et al., 2004; Toruntju et al., 2020; Yati et al., 2020). Without batch-level nutrient composition, active-compound standardization, and precise dose reporting, the mechanism of the observed hemoglobin changes cannot be determined.</w:t>
      </w:r>
    </w:p>
    <w:p w14:paraId="22B6AA75" w14:textId="77777777" w:rsidR="009412DF" w:rsidRDefault="00000000">
      <w:r>
        <w:rPr>
          <w:rFonts w:eastAsia="Times New Roman"/>
        </w:rPr>
        <w:t>Systematic reviews and intervention studies indicate that iron-containing or micronutrient-fortified strategies can improve hemoglobin and iron-status biomarkers, but the magnitude and timing of response vary across populations, formulations, and baseline deficiency (Eichler et al., 2012; Handiso et al., 2021; Pasricha et al., 2013; Petry et al., 2016a; Tam et al., 2020). The small study groups, every-two-day administration schedule, and unstandardized composition in the present analysis prevent direct comparison with those interventions.</w:t>
      </w:r>
    </w:p>
    <w:p w14:paraId="54B617FB" w14:textId="77777777" w:rsidR="009412DF" w:rsidRDefault="00000000">
      <w:r>
        <w:rPr>
          <w:rFonts w:eastAsia="Times New Roman"/>
        </w:rPr>
        <w:t>The lack of a significant ferritin response is biologically plausible. Ferritin reflects iron stores and may require a longer intervention period to show meaningful improvement. Ferritin is also an acute-phase reactant; infection or inflammation can increase ferritin independently of iron stores (Bahr et al., 2021; Fite et al., 2022; Namaste et al., 2017; Suchdev et al., 2017; Thurnham et al., 2010; World Health Organization, 2020). Inflammatory markers were not measured in this study, which limits interpretation of ferritin as a marker of iron status.</w:t>
      </w:r>
    </w:p>
    <w:p w14:paraId="68C2CAFA" w14:textId="77777777" w:rsidR="009412DF" w:rsidRDefault="00000000">
      <w:r>
        <w:rPr>
          <w:rFonts w:eastAsia="Times New Roman"/>
        </w:rPr>
        <w:t xml:space="preserve">The findings should be interpreted in relation to the previous report from the same source cohort (Toruntju et al., 2025). That article focused on growth and motor-development </w:t>
      </w:r>
      <w:r>
        <w:rPr>
          <w:rFonts w:eastAsia="Times New Roman"/>
        </w:rPr>
        <w:lastRenderedPageBreak/>
        <w:t>outcomes, whereas the current manuscript reports hemoglobin and serum ferritin outcomes. This disclosure is important to clarify that the present analysis is related to, but distinct from, the earlier publication.</w:t>
      </w:r>
    </w:p>
    <w:p w14:paraId="13F1CE03" w14:textId="77777777" w:rsidR="009412DF" w:rsidRDefault="00000000">
      <w:r>
        <w:rPr>
          <w:rFonts w:eastAsia="Times New Roman"/>
        </w:rPr>
        <w:t>This study has several limitations. First, the sample size was small, with only 10 toddlers in each of five study arms, limiting statistical power and precision. Second, the available records did not include a complete sample-size calculation, detailed sequence generation, allocation-concealment documentation, or prospective trial registration. Third, no adjustment for multiple comparisons was applied. Fourth, the source data did not include inflammatory markers, complete adverse-event grading, or detailed batch-level standardization of the syrup formulations. Finally, the study was conducted in a limited community setting, which may restrict generalizability.</w:t>
      </w:r>
    </w:p>
    <w:p w14:paraId="3E78FFDD" w14:textId="77777777" w:rsidR="009412DF" w:rsidRDefault="00000000">
      <w:r>
        <w:rPr>
          <w:rFonts w:eastAsia="Times New Roman"/>
        </w:rPr>
        <w:t>In conclusion, sea hare-papaya syrup was associated with within-group improvement in hemoglobin among stunted toddlers, while the effect on serum ferritin remained uncertain. Larger prospectively registered trials with stronger randomization procedures, standardized dosing, safety monitoring, inflammation assessment, and prespecified between-group analyses are needed before clinical effectiveness can be inferred.</w:t>
      </w:r>
    </w:p>
    <w:p w14:paraId="42FC92A8" w14:textId="77777777" w:rsidR="009412DF" w:rsidRDefault="009412DF"/>
    <w:p w14:paraId="6E931AE8" w14:textId="77777777" w:rsidR="009412DF" w:rsidRDefault="00000000">
      <w:r>
        <w:rPr>
          <w:rFonts w:eastAsia="Times New Roman"/>
          <w:b/>
        </w:rPr>
        <w:t>ACKNOWLEDGEMENTS</w:t>
      </w:r>
    </w:p>
    <w:p w14:paraId="1C7C3B5B" w14:textId="77777777" w:rsidR="009412DF" w:rsidRDefault="00000000">
      <w:r>
        <w:rPr>
          <w:rFonts w:eastAsia="Times New Roman"/>
        </w:rPr>
        <w:t>None.</w:t>
      </w:r>
    </w:p>
    <w:p w14:paraId="64FDDC50" w14:textId="77777777" w:rsidR="009412DF" w:rsidRDefault="009412DF"/>
    <w:p w14:paraId="79F9C320" w14:textId="77777777" w:rsidR="009412DF" w:rsidRDefault="00000000">
      <w:r>
        <w:rPr>
          <w:rFonts w:eastAsia="Times New Roman"/>
          <w:b/>
        </w:rPr>
        <w:t>CONFLICTS OF INTEREST</w:t>
      </w:r>
    </w:p>
    <w:p w14:paraId="7DBF8933" w14:textId="77777777" w:rsidR="009412DF" w:rsidRDefault="00000000">
      <w:r>
        <w:rPr>
          <w:rFonts w:eastAsia="Times New Roman"/>
        </w:rPr>
        <w:t>The authors declare no conflict of interest.</w:t>
      </w:r>
    </w:p>
    <w:p w14:paraId="37FF5CFE" w14:textId="77777777" w:rsidR="009412DF" w:rsidRDefault="009412DF"/>
    <w:p w14:paraId="5A9F52AA" w14:textId="77777777" w:rsidR="009412DF" w:rsidRDefault="00000000">
      <w:r>
        <w:rPr>
          <w:rFonts w:eastAsia="Times New Roman"/>
          <w:b/>
        </w:rPr>
        <w:t>REFERENCES</w:t>
      </w:r>
    </w:p>
    <w:p w14:paraId="2D332E28" w14:textId="77777777" w:rsidR="009412DF" w:rsidRDefault="00000000" w:rsidP="007821D1">
      <w:r w:rsidRPr="007821D1">
        <w:rPr>
          <w:rFonts w:eastAsia="Times New Roman"/>
        </w:rPr>
        <w:t xml:space="preserve">Bahr TM, Baer VL, Ohls RK, Christensen RD, Ward DM, Bennett ST, et al. Reconciling </w:t>
      </w:r>
      <w:r w:rsidRPr="007821D1">
        <w:rPr>
          <w:rFonts w:eastAsia="Times New Roman"/>
        </w:rPr>
        <w:lastRenderedPageBreak/>
        <w:t>markedly discordant values of serum ferritin versus reticulocyte hemoglobin content. J Perinatol. 2021. 41:619-626. doi: 10.1038/s41372-020-00845-2.</w:t>
      </w:r>
    </w:p>
    <w:p w14:paraId="1F7E8BAD" w14:textId="77777777" w:rsidR="009412DF" w:rsidRDefault="00000000" w:rsidP="007821D1">
      <w:r w:rsidRPr="007821D1">
        <w:rPr>
          <w:rFonts w:eastAsia="Times New Roman"/>
        </w:rPr>
        <w:t>Black RE, Victora CG, Walker SP, Bhutta ZA, Christian P, de Onis M, et al. Maternal and child undernutrition and overweight in low-income and middle-income countries. Lancet. 2013. 382:427-451. doi: 10.1016/S0140-6736(13)60937-X.</w:t>
      </w:r>
    </w:p>
    <w:p w14:paraId="54C128D7" w14:textId="77777777" w:rsidR="009412DF" w:rsidRDefault="00000000" w:rsidP="007821D1">
      <w:r w:rsidRPr="007821D1">
        <w:rPr>
          <w:rFonts w:eastAsia="Times New Roman"/>
        </w:rPr>
        <w:t>Chanpura VR, Shah NT. A study of prevalence of iron deficiency anaemia in infants and toddlers (6-24 months) by measuring serum ferritin levels. Int J Contemp Pediatr. 2019. 6:656-659. doi: 10.18203/2349-3291.ijcp20190706.</w:t>
      </w:r>
    </w:p>
    <w:p w14:paraId="11489467" w14:textId="77777777" w:rsidR="009412DF" w:rsidRDefault="00000000" w:rsidP="007821D1">
      <w:r w:rsidRPr="007821D1">
        <w:rPr>
          <w:rFonts w:eastAsia="Times New Roman"/>
        </w:rPr>
        <w:t>Dewey KG, Begum K. Long-term consequences of stunting in early life. Matern Child Nutr. 2011. 7 Suppl 3:5-18. doi: 10.1111/j.1740-8709.2011.00349.x.</w:t>
      </w:r>
    </w:p>
    <w:p w14:paraId="2871F428" w14:textId="77777777" w:rsidR="009412DF" w:rsidRDefault="00000000" w:rsidP="007821D1">
      <w:r w:rsidRPr="007821D1">
        <w:rPr>
          <w:rFonts w:eastAsia="Times New Roman"/>
        </w:rPr>
        <w:t>Eichler K, Wieser S, Ruthemann I, Brugger U. Effects of micronutrient fortified milk and cereal food for infants and children: a systematic review. BMC Public Health. 2012. 12:506. doi: 10.1186/1471-2458-12-506.</w:t>
      </w:r>
    </w:p>
    <w:p w14:paraId="36B079F9" w14:textId="77777777" w:rsidR="009412DF" w:rsidRDefault="00000000" w:rsidP="007821D1">
      <w:r w:rsidRPr="007821D1">
        <w:rPr>
          <w:rFonts w:eastAsia="Times New Roman"/>
        </w:rPr>
        <w:t>Fite MB, Tura AK, Yadeta TA, Oljira L, Roba KT. Prevalence, predictors of low birth weight and its association with maternal iron status using serum ferritin concentration in rural Eastern Ethiopia: a prospective cohort study. BMC Nutr. 2022. 8:70. doi: 10.1186/s40795-022-00561-4.</w:t>
      </w:r>
    </w:p>
    <w:p w14:paraId="2B441E53" w14:textId="77777777" w:rsidR="009412DF" w:rsidRDefault="00000000" w:rsidP="007821D1">
      <w:r w:rsidRPr="007821D1">
        <w:rPr>
          <w:rFonts w:eastAsia="Times New Roman"/>
        </w:rPr>
        <w:t>Handiso YH, Belachew T, Abuye C, Workicho A, Baye K. A community-based randomized controlled trial providing weekly iron-folic acid supplementation increased serum ferritin, folate and hemoglobin concentration of adolescent girls in southern Ethiopia. Sci Rep. 2021. 11:9646. doi: 10.1038/s41598-021-89115-5.</w:t>
      </w:r>
    </w:p>
    <w:p w14:paraId="6F4C19F6" w14:textId="77777777" w:rsidR="009412DF" w:rsidRDefault="00000000" w:rsidP="007821D1">
      <w:r w:rsidRPr="007821D1">
        <w:rPr>
          <w:rFonts w:eastAsia="Times New Roman"/>
        </w:rPr>
        <w:t>Hurrell R, Egli I. Iron bioavailability and dietary reference values. Am J Clin Nutr. 2010. 91:1461S-1467S. doi: 10.3945/ajcn.2010.28674F.</w:t>
      </w:r>
    </w:p>
    <w:p w14:paraId="558CDAF7" w14:textId="77777777" w:rsidR="009412DF" w:rsidRDefault="00000000" w:rsidP="007821D1">
      <w:r w:rsidRPr="007821D1">
        <w:rPr>
          <w:rFonts w:eastAsia="Times New Roman"/>
        </w:rPr>
        <w:t xml:space="preserve">Kassebaum NJ, Jasrasaria R, Naghavi M, Wulf SK, Johns N, Lozano R, et al. A systematic analysis of global anemia burden from 1990 to 2010. Blood. 2014. 123:615-624. doi: </w:t>
      </w:r>
      <w:r w:rsidRPr="007821D1">
        <w:rPr>
          <w:rFonts w:eastAsia="Times New Roman"/>
        </w:rPr>
        <w:lastRenderedPageBreak/>
        <w:t>10.1182/blood-2013-06-508325.</w:t>
      </w:r>
    </w:p>
    <w:p w14:paraId="17B92574" w14:textId="77777777" w:rsidR="009412DF" w:rsidRDefault="00000000" w:rsidP="007821D1">
      <w:r w:rsidRPr="007821D1">
        <w:rPr>
          <w:rFonts w:eastAsia="Times New Roman"/>
        </w:rPr>
        <w:t>Lozoff B. Iron deficiency and child development. Food Nutr Bull. 2007. 28 Suppl 4:S560-S571. doi: 10.1177/15648265070284S409.</w:t>
      </w:r>
    </w:p>
    <w:p w14:paraId="34DE7FF3" w14:textId="77777777" w:rsidR="009412DF" w:rsidRDefault="00000000" w:rsidP="007821D1">
      <w:r w:rsidRPr="007821D1">
        <w:rPr>
          <w:rFonts w:eastAsia="Times New Roman"/>
        </w:rPr>
        <w:t>Namaste SML, Rohner F, Huang J, Bhushan NL, Flores-Ayala R, Kupka R, et al. Adjusting ferritin concentrations for inflammation: Biomarkers Reflecting Inflammation and Nutritional Determinants of Anemia (BRINDA) project. Am J Clin Nutr. 2017. 106 Suppl 1:359S-371S. doi: 10.3945/ajcn.116.141762.</w:t>
      </w:r>
    </w:p>
    <w:p w14:paraId="56DF5894" w14:textId="77777777" w:rsidR="009412DF" w:rsidRDefault="00000000" w:rsidP="007821D1">
      <w:r w:rsidRPr="007821D1">
        <w:rPr>
          <w:rFonts w:eastAsia="Times New Roman"/>
        </w:rPr>
        <w:t>Pasricha SR, Drakesmith H, Black J, Hipgrave D, Biggs BA. Control of iron deficiency anemia in low- and middle-income countries. Blood. 2013. 121:2607-2617. doi: 10.1182/blood-2012-09-453522.</w:t>
      </w:r>
    </w:p>
    <w:p w14:paraId="515614A9" w14:textId="77777777" w:rsidR="009412DF" w:rsidRDefault="00000000" w:rsidP="007821D1">
      <w:r w:rsidRPr="007821D1">
        <w:rPr>
          <w:rFonts w:eastAsia="Times New Roman"/>
        </w:rPr>
        <w:t>Pasricha SR, Tye-Din J, Muckenthaler MU, Swinkels DW. Iron deficiency. Lancet. 2021. 397:233-248. doi: 10.1016/S0140-6736(20)32594-0.</w:t>
      </w:r>
    </w:p>
    <w:p w14:paraId="6E636AA3" w14:textId="77777777" w:rsidR="009412DF" w:rsidRDefault="00000000" w:rsidP="007821D1">
      <w:r w:rsidRPr="007821D1">
        <w:rPr>
          <w:rFonts w:eastAsia="Times New Roman"/>
        </w:rPr>
        <w:t>Petry N, Olofin I, Boy E, Donahue Angel M, Rohner F. The effect of low dose iron and zinc intake on child micronutrient status and development during the first 1000 days of life: a systematic review and meta-analysis. Nutrients. 2016a. 8:773. doi: 10.3390/nu8120773.</w:t>
      </w:r>
    </w:p>
    <w:p w14:paraId="76FEE7D9" w14:textId="77777777" w:rsidR="009412DF" w:rsidRDefault="00000000" w:rsidP="007821D1">
      <w:r w:rsidRPr="007821D1">
        <w:rPr>
          <w:rFonts w:eastAsia="Times New Roman"/>
        </w:rPr>
        <w:t>Petry N, Olofin I, Hurrell RF, Boy E, Wirth JP, Moursi M, et al. The proportion of anemia associated with iron deficiency in low, medium, and high human development index countries: a systematic analysis of national surveys. Nutrients. 2016b. 8:693. doi: 10.3390/nu8110693.</w:t>
      </w:r>
    </w:p>
    <w:p w14:paraId="2C115AC2" w14:textId="77777777" w:rsidR="009412DF" w:rsidRDefault="00000000" w:rsidP="007821D1">
      <w:r w:rsidRPr="007821D1">
        <w:rPr>
          <w:rFonts w:eastAsia="Times New Roman"/>
        </w:rPr>
        <w:t>Rahman MS, Mushfiquee M, Masud MS, Howlader T. Association between malnutrition and anemia in under-five children and women of reproductive age: evidence from Bangladesh Demographic and Health Survey 2011. PLoS One. 2019. 14:e0219170. doi: 10.1371/journal.pone.0219170.</w:t>
      </w:r>
    </w:p>
    <w:p w14:paraId="30D37FBF" w14:textId="77777777" w:rsidR="009412DF" w:rsidRDefault="00000000" w:rsidP="007821D1">
      <w:r w:rsidRPr="007821D1">
        <w:rPr>
          <w:rFonts w:eastAsia="Times New Roman"/>
        </w:rPr>
        <w:t xml:space="preserve">Suchdev PS, Williams AM, Mei Z, Flores-Ayala R, Pasricha SR, Rogers LM, et al. Assessment of iron status in settings of inflammation: challenges and potential approaches. </w:t>
      </w:r>
      <w:r w:rsidRPr="007821D1">
        <w:rPr>
          <w:rFonts w:eastAsia="Times New Roman"/>
        </w:rPr>
        <w:lastRenderedPageBreak/>
        <w:t>Am J Clin Nutr. 2017. 106 Suppl 6:1626S-1633S. doi: 10.3945/ajcn.117.155937.</w:t>
      </w:r>
    </w:p>
    <w:p w14:paraId="3CD88FDD" w14:textId="77777777" w:rsidR="009412DF" w:rsidRDefault="00000000" w:rsidP="007821D1">
      <w:r w:rsidRPr="007821D1">
        <w:rPr>
          <w:rFonts w:eastAsia="Times New Roman"/>
        </w:rPr>
        <w:t>Susanto FD, Sari LYW, Muflihah AI, Wijaya AF, Agustin AT. The effect of papaya leaf extract (Carica papaya L.) on erythrocyte values in anemia-model rats. J Med Lab Infect Degener Dis. 2025. 3:1-8. doi: 10.36858/jmid.v3i2.34.</w:t>
      </w:r>
    </w:p>
    <w:p w14:paraId="5B13E414" w14:textId="77777777" w:rsidR="009412DF" w:rsidRDefault="00000000" w:rsidP="007821D1">
      <w:r w:rsidRPr="007821D1">
        <w:rPr>
          <w:rFonts w:eastAsia="Times New Roman"/>
        </w:rPr>
        <w:t>Tam E, Keats EC, Rind F, Das JK, Bhutta ZA. Micronutrient supplementation and fortification interventions on health and development outcomes among children under-five in low- and middle-income countries: a systematic review and meta-analysis. Nutrients. 2020. 12:289. doi: 10.3390/nu12020289.</w:t>
      </w:r>
    </w:p>
    <w:p w14:paraId="2521C875" w14:textId="77777777" w:rsidR="009412DF" w:rsidRDefault="00000000" w:rsidP="007821D1">
      <w:r w:rsidRPr="007821D1">
        <w:rPr>
          <w:rFonts w:eastAsia="Times New Roman"/>
        </w:rPr>
        <w:t>Teucher B, Olivares M, Cori H. Enhancers of iron absorption: ascorbic acid and other organic acids. Int J Vitam Nutr Res. 2004. 74:403-419. doi: 10.1024/0300-9831.74.6.403.</w:t>
      </w:r>
    </w:p>
    <w:p w14:paraId="1C13E747" w14:textId="77777777" w:rsidR="009412DF" w:rsidRDefault="00000000" w:rsidP="007821D1">
      <w:r w:rsidRPr="007821D1">
        <w:rPr>
          <w:rFonts w:eastAsia="Times New Roman"/>
        </w:rPr>
        <w:t>Thurnham DI, McCabe LD, Haldar S, Wieringa FT, Northrop-Clewes CA, McCabe GP. Adjusting plasma ferritin concentrations to remove the effects of subclinical inflammation in the assessment of iron deficiency: a meta-analysis. Am J Clin Nutr. 2010. 92:546-555. doi: 10.3945/ajcn.2010.29284.</w:t>
      </w:r>
    </w:p>
    <w:p w14:paraId="429C602A" w14:textId="77777777" w:rsidR="009412DF" w:rsidRDefault="00000000" w:rsidP="007821D1">
      <w:r w:rsidRPr="007821D1">
        <w:rPr>
          <w:rFonts w:eastAsia="Times New Roman"/>
        </w:rPr>
        <w:t>Toruntju SA, Banudi L, Leksono P, Rahmat M, Salma WO. Identification of secondary metabolite contents on marine rabbit extract (Dolabella auricularia). IOP Conf Ser Earth Environ Sci. 2020. 465:012038. doi: 10.1088/1755-1315/465/1/012038.</w:t>
      </w:r>
    </w:p>
    <w:p w14:paraId="04220F24" w14:textId="77777777" w:rsidR="009412DF" w:rsidRDefault="00000000" w:rsidP="007821D1">
      <w:r w:rsidRPr="007821D1">
        <w:rPr>
          <w:rFonts w:eastAsia="Times New Roman"/>
        </w:rPr>
        <w:t>Toruntju SA, Fatmawati, Gani K, Rofiqoh, Nadimin. Efficacy study of sea rabbit-papaya juice syrup on growth and motor development in stunted and malnourished toddlers. Res J Pharm Technol. 2025. 18:2602-2608. doi: 10.52711/0974-360X.2025.00372.</w:t>
      </w:r>
    </w:p>
    <w:p w14:paraId="29AB906D" w14:textId="77777777" w:rsidR="009412DF" w:rsidRDefault="00000000" w:rsidP="007821D1">
      <w:r w:rsidRPr="007821D1">
        <w:rPr>
          <w:rFonts w:eastAsia="Times New Roman"/>
        </w:rPr>
        <w:t>UNICEF, World Health Organization, World Bank Group. Levels and trends in child malnutrition: UNICEF/WHO/World Bank Group joint child malnutrition estimates: key findings of the 2024 edition. New York: UNICEF. 2024.</w:t>
      </w:r>
    </w:p>
    <w:p w14:paraId="35D06FDA" w14:textId="77777777" w:rsidR="009412DF" w:rsidRDefault="00000000" w:rsidP="007821D1">
      <w:r w:rsidRPr="007821D1">
        <w:rPr>
          <w:rFonts w:eastAsia="Times New Roman"/>
        </w:rPr>
        <w:t>World Health Organization. WHO guideline on use of ferritin concentrations to assess iron status in individuals and populations. Geneva: World Health Organization. 2020.</w:t>
      </w:r>
    </w:p>
    <w:p w14:paraId="185FD843" w14:textId="77777777" w:rsidR="009412DF" w:rsidRDefault="00000000" w:rsidP="007821D1">
      <w:r w:rsidRPr="007821D1">
        <w:rPr>
          <w:rFonts w:eastAsia="Times New Roman"/>
        </w:rPr>
        <w:lastRenderedPageBreak/>
        <w:t>Yati S, Amelia R, Octaviani DA, Erisna M. Effect of guava juice and papaya juice on increasing the hemoglobin levels among pregnant women. Int J Nurs Health Serv. 2020. 3:695-699. doi: 10.35654/ijnhs.v3i6.347.</w:t>
      </w:r>
    </w:p>
    <w:p w14:paraId="2FF8428E" w14:textId="77777777" w:rsidR="009412DF" w:rsidRDefault="009412DF"/>
    <w:p w14:paraId="621E0E9C" w14:textId="77777777" w:rsidR="009412DF" w:rsidRDefault="00000000">
      <w:r>
        <w:rPr>
          <w:rFonts w:eastAsia="Times New Roman"/>
        </w:rPr>
        <w:t>Table 1. Baseline Dietary Intake by Study Group</w:t>
      </w:r>
    </w:p>
    <w:tbl>
      <w:tblPr>
        <w:tblW w:w="0" w:type="auto"/>
        <w:jc w:val="center"/>
        <w:tblLayout w:type="fixed"/>
        <w:tblLook w:val="04A0" w:firstRow="1" w:lastRow="0" w:firstColumn="1" w:lastColumn="0" w:noHBand="0" w:noVBand="1"/>
      </w:tblPr>
      <w:tblGrid>
        <w:gridCol w:w="3100"/>
        <w:gridCol w:w="1900"/>
        <w:gridCol w:w="1900"/>
        <w:gridCol w:w="1900"/>
      </w:tblGrid>
      <w:tr w:rsidR="009412DF" w14:paraId="4426B3EA" w14:textId="77777777">
        <w:trPr>
          <w:jc w:val="center"/>
        </w:trPr>
        <w:tc>
          <w:tcPr>
            <w:tcW w:w="3100" w:type="dxa"/>
            <w:tcBorders>
              <w:top w:val="single" w:sz="8" w:space="0" w:color="000000"/>
              <w:left w:val="nil"/>
              <w:bottom w:val="single" w:sz="8" w:space="0" w:color="000000"/>
              <w:right w:val="nil"/>
            </w:tcBorders>
          </w:tcPr>
          <w:p w14:paraId="36236C63" w14:textId="77777777" w:rsidR="009412DF" w:rsidRDefault="00000000">
            <w:pPr>
              <w:jc w:val="left"/>
            </w:pPr>
            <w:r>
              <w:rPr>
                <w:rFonts w:eastAsia="Times New Roman"/>
                <w:b/>
                <w:sz w:val="21"/>
              </w:rPr>
              <w:t>Group</w:t>
            </w:r>
          </w:p>
        </w:tc>
        <w:tc>
          <w:tcPr>
            <w:tcW w:w="1900" w:type="dxa"/>
            <w:tcBorders>
              <w:top w:val="single" w:sz="8" w:space="0" w:color="000000"/>
              <w:left w:val="nil"/>
              <w:bottom w:val="single" w:sz="8" w:space="0" w:color="000000"/>
              <w:right w:val="nil"/>
            </w:tcBorders>
          </w:tcPr>
          <w:p w14:paraId="0801D328" w14:textId="77777777" w:rsidR="009412DF" w:rsidRDefault="00000000">
            <w:pPr>
              <w:jc w:val="left"/>
            </w:pPr>
            <w:r>
              <w:rPr>
                <w:rFonts w:eastAsia="Times New Roman"/>
                <w:b/>
                <w:sz w:val="21"/>
              </w:rPr>
              <w:t>Energy (kcal)</w:t>
            </w:r>
          </w:p>
        </w:tc>
        <w:tc>
          <w:tcPr>
            <w:tcW w:w="1900" w:type="dxa"/>
            <w:tcBorders>
              <w:top w:val="single" w:sz="8" w:space="0" w:color="000000"/>
              <w:left w:val="nil"/>
              <w:bottom w:val="single" w:sz="8" w:space="0" w:color="000000"/>
              <w:right w:val="nil"/>
            </w:tcBorders>
          </w:tcPr>
          <w:p w14:paraId="490E5A0E" w14:textId="77777777" w:rsidR="009412DF" w:rsidRDefault="00000000">
            <w:pPr>
              <w:jc w:val="left"/>
            </w:pPr>
            <w:r>
              <w:rPr>
                <w:rFonts w:eastAsia="Times New Roman"/>
                <w:b/>
                <w:sz w:val="21"/>
              </w:rPr>
              <w:t>Protein (g)</w:t>
            </w:r>
          </w:p>
        </w:tc>
        <w:tc>
          <w:tcPr>
            <w:tcW w:w="1900" w:type="dxa"/>
            <w:tcBorders>
              <w:top w:val="single" w:sz="8" w:space="0" w:color="000000"/>
              <w:left w:val="nil"/>
              <w:bottom w:val="single" w:sz="8" w:space="0" w:color="000000"/>
              <w:right w:val="nil"/>
            </w:tcBorders>
          </w:tcPr>
          <w:p w14:paraId="46A1B196" w14:textId="77777777" w:rsidR="009412DF" w:rsidRDefault="00000000">
            <w:pPr>
              <w:jc w:val="left"/>
            </w:pPr>
            <w:r>
              <w:rPr>
                <w:rFonts w:eastAsia="Times New Roman"/>
                <w:b/>
                <w:sz w:val="21"/>
              </w:rPr>
              <w:t>Iron (mg)</w:t>
            </w:r>
          </w:p>
        </w:tc>
      </w:tr>
      <w:tr w:rsidR="009412DF" w14:paraId="33708D92" w14:textId="77777777">
        <w:trPr>
          <w:jc w:val="center"/>
        </w:trPr>
        <w:tc>
          <w:tcPr>
            <w:tcW w:w="3100" w:type="dxa"/>
            <w:tcBorders>
              <w:top w:val="nil"/>
              <w:left w:val="nil"/>
              <w:bottom w:val="nil"/>
              <w:right w:val="nil"/>
            </w:tcBorders>
          </w:tcPr>
          <w:p w14:paraId="1BD0EB7B" w14:textId="77777777" w:rsidR="009412DF" w:rsidRDefault="00000000">
            <w:pPr>
              <w:jc w:val="left"/>
            </w:pPr>
            <w:r>
              <w:rPr>
                <w:rFonts w:eastAsia="Times New Roman"/>
                <w:sz w:val="21"/>
              </w:rPr>
              <w:t>Sea hare-papaya 80:20</w:t>
            </w:r>
          </w:p>
        </w:tc>
        <w:tc>
          <w:tcPr>
            <w:tcW w:w="1900" w:type="dxa"/>
            <w:tcBorders>
              <w:top w:val="nil"/>
              <w:left w:val="nil"/>
              <w:bottom w:val="nil"/>
              <w:right w:val="nil"/>
            </w:tcBorders>
          </w:tcPr>
          <w:p w14:paraId="38E68E7F" w14:textId="77777777" w:rsidR="009412DF" w:rsidRDefault="00000000">
            <w:pPr>
              <w:jc w:val="left"/>
            </w:pPr>
            <w:r>
              <w:rPr>
                <w:rFonts w:eastAsia="Times New Roman"/>
                <w:sz w:val="21"/>
              </w:rPr>
              <w:t>1,003</w:t>
            </w:r>
          </w:p>
        </w:tc>
        <w:tc>
          <w:tcPr>
            <w:tcW w:w="1900" w:type="dxa"/>
            <w:tcBorders>
              <w:top w:val="nil"/>
              <w:left w:val="nil"/>
              <w:bottom w:val="nil"/>
              <w:right w:val="nil"/>
            </w:tcBorders>
          </w:tcPr>
          <w:p w14:paraId="7FF57C8B" w14:textId="77777777" w:rsidR="009412DF" w:rsidRDefault="00000000">
            <w:pPr>
              <w:jc w:val="left"/>
            </w:pPr>
            <w:r>
              <w:rPr>
                <w:rFonts w:eastAsia="Times New Roman"/>
                <w:sz w:val="21"/>
              </w:rPr>
              <w:t>37.4</w:t>
            </w:r>
          </w:p>
        </w:tc>
        <w:tc>
          <w:tcPr>
            <w:tcW w:w="1900" w:type="dxa"/>
            <w:tcBorders>
              <w:top w:val="nil"/>
              <w:left w:val="nil"/>
              <w:bottom w:val="nil"/>
              <w:right w:val="nil"/>
            </w:tcBorders>
          </w:tcPr>
          <w:p w14:paraId="07B7DB9B" w14:textId="77777777" w:rsidR="009412DF" w:rsidRDefault="00000000">
            <w:pPr>
              <w:jc w:val="left"/>
            </w:pPr>
            <w:r>
              <w:rPr>
                <w:rFonts w:eastAsia="Times New Roman"/>
                <w:sz w:val="21"/>
              </w:rPr>
              <w:t>9.2</w:t>
            </w:r>
          </w:p>
        </w:tc>
      </w:tr>
      <w:tr w:rsidR="009412DF" w14:paraId="39820C05" w14:textId="77777777">
        <w:trPr>
          <w:jc w:val="center"/>
        </w:trPr>
        <w:tc>
          <w:tcPr>
            <w:tcW w:w="3100" w:type="dxa"/>
            <w:tcBorders>
              <w:top w:val="nil"/>
              <w:left w:val="nil"/>
              <w:bottom w:val="nil"/>
              <w:right w:val="nil"/>
            </w:tcBorders>
          </w:tcPr>
          <w:p w14:paraId="7FF3DFB8" w14:textId="77777777" w:rsidR="009412DF" w:rsidRDefault="00000000">
            <w:pPr>
              <w:jc w:val="left"/>
            </w:pPr>
            <w:r>
              <w:rPr>
                <w:rFonts w:eastAsia="Times New Roman"/>
                <w:sz w:val="21"/>
              </w:rPr>
              <w:t>Sea hare-papaya 70:30</w:t>
            </w:r>
          </w:p>
        </w:tc>
        <w:tc>
          <w:tcPr>
            <w:tcW w:w="1900" w:type="dxa"/>
            <w:tcBorders>
              <w:top w:val="nil"/>
              <w:left w:val="nil"/>
              <w:bottom w:val="nil"/>
              <w:right w:val="nil"/>
            </w:tcBorders>
          </w:tcPr>
          <w:p w14:paraId="49DA9333" w14:textId="77777777" w:rsidR="009412DF" w:rsidRDefault="00000000">
            <w:pPr>
              <w:jc w:val="left"/>
            </w:pPr>
            <w:r>
              <w:rPr>
                <w:rFonts w:eastAsia="Times New Roman"/>
                <w:sz w:val="21"/>
              </w:rPr>
              <w:t>1,033</w:t>
            </w:r>
          </w:p>
        </w:tc>
        <w:tc>
          <w:tcPr>
            <w:tcW w:w="1900" w:type="dxa"/>
            <w:tcBorders>
              <w:top w:val="nil"/>
              <w:left w:val="nil"/>
              <w:bottom w:val="nil"/>
              <w:right w:val="nil"/>
            </w:tcBorders>
          </w:tcPr>
          <w:p w14:paraId="614DE105" w14:textId="77777777" w:rsidR="009412DF" w:rsidRDefault="00000000">
            <w:pPr>
              <w:jc w:val="left"/>
            </w:pPr>
            <w:r>
              <w:rPr>
                <w:rFonts w:eastAsia="Times New Roman"/>
                <w:sz w:val="21"/>
              </w:rPr>
              <w:t>39.0</w:t>
            </w:r>
          </w:p>
        </w:tc>
        <w:tc>
          <w:tcPr>
            <w:tcW w:w="1900" w:type="dxa"/>
            <w:tcBorders>
              <w:top w:val="nil"/>
              <w:left w:val="nil"/>
              <w:bottom w:val="nil"/>
              <w:right w:val="nil"/>
            </w:tcBorders>
          </w:tcPr>
          <w:p w14:paraId="03BE6053" w14:textId="77777777" w:rsidR="009412DF" w:rsidRDefault="00000000">
            <w:pPr>
              <w:jc w:val="left"/>
            </w:pPr>
            <w:r>
              <w:rPr>
                <w:rFonts w:eastAsia="Times New Roman"/>
                <w:sz w:val="21"/>
              </w:rPr>
              <w:t>10.6</w:t>
            </w:r>
          </w:p>
        </w:tc>
      </w:tr>
      <w:tr w:rsidR="009412DF" w14:paraId="1A8ED294" w14:textId="77777777">
        <w:trPr>
          <w:jc w:val="center"/>
        </w:trPr>
        <w:tc>
          <w:tcPr>
            <w:tcW w:w="3100" w:type="dxa"/>
            <w:tcBorders>
              <w:top w:val="nil"/>
              <w:left w:val="nil"/>
              <w:bottom w:val="nil"/>
              <w:right w:val="nil"/>
            </w:tcBorders>
          </w:tcPr>
          <w:p w14:paraId="4D13FAAD" w14:textId="77777777" w:rsidR="009412DF" w:rsidRDefault="00000000">
            <w:pPr>
              <w:jc w:val="left"/>
            </w:pPr>
            <w:r>
              <w:rPr>
                <w:rFonts w:eastAsia="Times New Roman"/>
                <w:sz w:val="21"/>
              </w:rPr>
              <w:t>Sea hare-papaya 60:40</w:t>
            </w:r>
          </w:p>
        </w:tc>
        <w:tc>
          <w:tcPr>
            <w:tcW w:w="1900" w:type="dxa"/>
            <w:tcBorders>
              <w:top w:val="nil"/>
              <w:left w:val="nil"/>
              <w:bottom w:val="nil"/>
              <w:right w:val="nil"/>
            </w:tcBorders>
          </w:tcPr>
          <w:p w14:paraId="1284970B" w14:textId="77777777" w:rsidR="009412DF" w:rsidRDefault="00000000">
            <w:pPr>
              <w:jc w:val="left"/>
            </w:pPr>
            <w:r>
              <w:rPr>
                <w:rFonts w:eastAsia="Times New Roman"/>
                <w:sz w:val="21"/>
              </w:rPr>
              <w:t>1,008</w:t>
            </w:r>
          </w:p>
        </w:tc>
        <w:tc>
          <w:tcPr>
            <w:tcW w:w="1900" w:type="dxa"/>
            <w:tcBorders>
              <w:top w:val="nil"/>
              <w:left w:val="nil"/>
              <w:bottom w:val="nil"/>
              <w:right w:val="nil"/>
            </w:tcBorders>
          </w:tcPr>
          <w:p w14:paraId="03A32C75" w14:textId="77777777" w:rsidR="009412DF" w:rsidRDefault="00000000">
            <w:pPr>
              <w:jc w:val="left"/>
            </w:pPr>
            <w:r>
              <w:rPr>
                <w:rFonts w:eastAsia="Times New Roman"/>
                <w:sz w:val="21"/>
              </w:rPr>
              <w:t>37.0</w:t>
            </w:r>
          </w:p>
        </w:tc>
        <w:tc>
          <w:tcPr>
            <w:tcW w:w="1900" w:type="dxa"/>
            <w:tcBorders>
              <w:top w:val="nil"/>
              <w:left w:val="nil"/>
              <w:bottom w:val="nil"/>
              <w:right w:val="nil"/>
            </w:tcBorders>
          </w:tcPr>
          <w:p w14:paraId="25ED4578" w14:textId="77777777" w:rsidR="009412DF" w:rsidRDefault="00000000">
            <w:pPr>
              <w:jc w:val="left"/>
            </w:pPr>
            <w:r>
              <w:rPr>
                <w:rFonts w:eastAsia="Times New Roman"/>
                <w:sz w:val="21"/>
              </w:rPr>
              <w:t>10.3</w:t>
            </w:r>
          </w:p>
        </w:tc>
      </w:tr>
      <w:tr w:rsidR="009412DF" w14:paraId="41778B8F" w14:textId="77777777">
        <w:trPr>
          <w:jc w:val="center"/>
        </w:trPr>
        <w:tc>
          <w:tcPr>
            <w:tcW w:w="3100" w:type="dxa"/>
            <w:tcBorders>
              <w:top w:val="nil"/>
              <w:left w:val="nil"/>
              <w:bottom w:val="nil"/>
              <w:right w:val="nil"/>
            </w:tcBorders>
          </w:tcPr>
          <w:p w14:paraId="74314444" w14:textId="77777777" w:rsidR="009412DF" w:rsidRDefault="00000000">
            <w:pPr>
              <w:jc w:val="left"/>
            </w:pPr>
            <w:r>
              <w:rPr>
                <w:rFonts w:eastAsia="Times New Roman"/>
                <w:sz w:val="21"/>
              </w:rPr>
              <w:t>Commercial iron syrup</w:t>
            </w:r>
          </w:p>
        </w:tc>
        <w:tc>
          <w:tcPr>
            <w:tcW w:w="1900" w:type="dxa"/>
            <w:tcBorders>
              <w:top w:val="nil"/>
              <w:left w:val="nil"/>
              <w:bottom w:val="nil"/>
              <w:right w:val="nil"/>
            </w:tcBorders>
          </w:tcPr>
          <w:p w14:paraId="2114D001" w14:textId="77777777" w:rsidR="009412DF" w:rsidRDefault="00000000">
            <w:pPr>
              <w:jc w:val="left"/>
            </w:pPr>
            <w:r>
              <w:rPr>
                <w:rFonts w:eastAsia="Times New Roman"/>
                <w:sz w:val="21"/>
              </w:rPr>
              <w:t>1,040</w:t>
            </w:r>
          </w:p>
        </w:tc>
        <w:tc>
          <w:tcPr>
            <w:tcW w:w="1900" w:type="dxa"/>
            <w:tcBorders>
              <w:top w:val="nil"/>
              <w:left w:val="nil"/>
              <w:bottom w:val="nil"/>
              <w:right w:val="nil"/>
            </w:tcBorders>
          </w:tcPr>
          <w:p w14:paraId="367C6E09" w14:textId="77777777" w:rsidR="009412DF" w:rsidRDefault="00000000">
            <w:pPr>
              <w:jc w:val="left"/>
            </w:pPr>
            <w:r>
              <w:rPr>
                <w:rFonts w:eastAsia="Times New Roman"/>
                <w:sz w:val="21"/>
              </w:rPr>
              <w:t>33.2</w:t>
            </w:r>
          </w:p>
        </w:tc>
        <w:tc>
          <w:tcPr>
            <w:tcW w:w="1900" w:type="dxa"/>
            <w:tcBorders>
              <w:top w:val="nil"/>
              <w:left w:val="nil"/>
              <w:bottom w:val="nil"/>
              <w:right w:val="nil"/>
            </w:tcBorders>
          </w:tcPr>
          <w:p w14:paraId="5E962789" w14:textId="77777777" w:rsidR="009412DF" w:rsidRDefault="00000000">
            <w:pPr>
              <w:jc w:val="left"/>
            </w:pPr>
            <w:r>
              <w:rPr>
                <w:rFonts w:eastAsia="Times New Roman"/>
                <w:sz w:val="21"/>
              </w:rPr>
              <w:t>8.9</w:t>
            </w:r>
          </w:p>
        </w:tc>
      </w:tr>
      <w:tr w:rsidR="009412DF" w14:paraId="7CC1C879" w14:textId="77777777">
        <w:trPr>
          <w:jc w:val="center"/>
        </w:trPr>
        <w:tc>
          <w:tcPr>
            <w:tcW w:w="3100" w:type="dxa"/>
            <w:tcBorders>
              <w:top w:val="nil"/>
              <w:left w:val="nil"/>
              <w:bottom w:val="single" w:sz="8" w:space="0" w:color="000000"/>
              <w:right w:val="nil"/>
            </w:tcBorders>
          </w:tcPr>
          <w:p w14:paraId="2231D028" w14:textId="77777777" w:rsidR="009412DF" w:rsidRDefault="00000000">
            <w:pPr>
              <w:jc w:val="left"/>
            </w:pPr>
            <w:r>
              <w:rPr>
                <w:rFonts w:eastAsia="Times New Roman"/>
                <w:sz w:val="21"/>
              </w:rPr>
              <w:t>Placebo</w:t>
            </w:r>
          </w:p>
        </w:tc>
        <w:tc>
          <w:tcPr>
            <w:tcW w:w="1900" w:type="dxa"/>
            <w:tcBorders>
              <w:top w:val="nil"/>
              <w:left w:val="nil"/>
              <w:bottom w:val="single" w:sz="8" w:space="0" w:color="000000"/>
              <w:right w:val="nil"/>
            </w:tcBorders>
          </w:tcPr>
          <w:p w14:paraId="6C0B54E3" w14:textId="77777777" w:rsidR="009412DF" w:rsidRDefault="00000000">
            <w:pPr>
              <w:jc w:val="left"/>
            </w:pPr>
            <w:r>
              <w:rPr>
                <w:rFonts w:eastAsia="Times New Roman"/>
                <w:sz w:val="21"/>
              </w:rPr>
              <w:t>1,119</w:t>
            </w:r>
          </w:p>
        </w:tc>
        <w:tc>
          <w:tcPr>
            <w:tcW w:w="1900" w:type="dxa"/>
            <w:tcBorders>
              <w:top w:val="nil"/>
              <w:left w:val="nil"/>
              <w:bottom w:val="single" w:sz="8" w:space="0" w:color="000000"/>
              <w:right w:val="nil"/>
            </w:tcBorders>
          </w:tcPr>
          <w:p w14:paraId="09C477D0" w14:textId="77777777" w:rsidR="009412DF" w:rsidRDefault="00000000">
            <w:pPr>
              <w:jc w:val="left"/>
            </w:pPr>
            <w:r>
              <w:rPr>
                <w:rFonts w:eastAsia="Times New Roman"/>
                <w:sz w:val="21"/>
              </w:rPr>
              <w:t>41.3</w:t>
            </w:r>
          </w:p>
        </w:tc>
        <w:tc>
          <w:tcPr>
            <w:tcW w:w="1900" w:type="dxa"/>
            <w:tcBorders>
              <w:top w:val="nil"/>
              <w:left w:val="nil"/>
              <w:bottom w:val="single" w:sz="8" w:space="0" w:color="000000"/>
              <w:right w:val="nil"/>
            </w:tcBorders>
          </w:tcPr>
          <w:p w14:paraId="5135170A" w14:textId="77777777" w:rsidR="009412DF" w:rsidRDefault="00000000">
            <w:pPr>
              <w:jc w:val="left"/>
            </w:pPr>
            <w:r>
              <w:rPr>
                <w:rFonts w:eastAsia="Times New Roman"/>
                <w:sz w:val="21"/>
              </w:rPr>
              <w:t>8.6</w:t>
            </w:r>
          </w:p>
        </w:tc>
      </w:tr>
    </w:tbl>
    <w:p w14:paraId="3134D51A" w14:textId="77777777" w:rsidR="009412DF" w:rsidRDefault="00000000">
      <w:r>
        <w:rPr>
          <w:rFonts w:eastAsia="Times New Roman"/>
        </w:rPr>
        <w:t>Note: The reported overall P-value for between-group comparison of baseline dietary intake was 0.254.</w:t>
      </w:r>
    </w:p>
    <w:p w14:paraId="557BF488" w14:textId="77777777" w:rsidR="00122665" w:rsidRDefault="00122665"/>
    <w:p w14:paraId="7749CFF8" w14:textId="142E7645" w:rsidR="009412DF" w:rsidRDefault="00000000">
      <w:r>
        <w:rPr>
          <w:rFonts w:eastAsia="Times New Roman"/>
        </w:rPr>
        <w:t>Table 2. Hemoglobin Levels Before and After Intervention</w:t>
      </w:r>
    </w:p>
    <w:tbl>
      <w:tblPr>
        <w:tblW w:w="0" w:type="auto"/>
        <w:jc w:val="center"/>
        <w:tblLayout w:type="fixed"/>
        <w:tblLook w:val="04A0" w:firstRow="1" w:lastRow="0" w:firstColumn="1" w:lastColumn="0" w:noHBand="0" w:noVBand="1"/>
      </w:tblPr>
      <w:tblGrid>
        <w:gridCol w:w="4000"/>
        <w:gridCol w:w="1400"/>
        <w:gridCol w:w="1400"/>
        <w:gridCol w:w="1100"/>
        <w:gridCol w:w="1100"/>
      </w:tblGrid>
      <w:tr w:rsidR="009412DF" w14:paraId="60BD12FC" w14:textId="77777777">
        <w:trPr>
          <w:jc w:val="center"/>
        </w:trPr>
        <w:tc>
          <w:tcPr>
            <w:tcW w:w="4000" w:type="dxa"/>
            <w:tcBorders>
              <w:top w:val="single" w:sz="8" w:space="0" w:color="000000"/>
              <w:left w:val="nil"/>
              <w:bottom w:val="single" w:sz="8" w:space="0" w:color="000000"/>
              <w:right w:val="nil"/>
            </w:tcBorders>
          </w:tcPr>
          <w:p w14:paraId="65BC5DE5" w14:textId="77777777" w:rsidR="009412DF" w:rsidRDefault="00000000">
            <w:pPr>
              <w:jc w:val="left"/>
            </w:pPr>
            <w:r>
              <w:rPr>
                <w:rFonts w:eastAsia="Times New Roman"/>
                <w:b/>
                <w:sz w:val="21"/>
              </w:rPr>
              <w:t>Group</w:t>
            </w:r>
          </w:p>
        </w:tc>
        <w:tc>
          <w:tcPr>
            <w:tcW w:w="1400" w:type="dxa"/>
            <w:tcBorders>
              <w:top w:val="single" w:sz="8" w:space="0" w:color="000000"/>
              <w:left w:val="nil"/>
              <w:bottom w:val="single" w:sz="8" w:space="0" w:color="000000"/>
              <w:right w:val="nil"/>
            </w:tcBorders>
          </w:tcPr>
          <w:p w14:paraId="066AFD53" w14:textId="77777777" w:rsidR="009412DF" w:rsidRDefault="00000000">
            <w:pPr>
              <w:jc w:val="left"/>
            </w:pPr>
            <w:r>
              <w:rPr>
                <w:rFonts w:eastAsia="Times New Roman"/>
                <w:b/>
                <w:sz w:val="21"/>
              </w:rPr>
              <w:t>Before (mean±SD)</w:t>
            </w:r>
          </w:p>
        </w:tc>
        <w:tc>
          <w:tcPr>
            <w:tcW w:w="1400" w:type="dxa"/>
            <w:tcBorders>
              <w:top w:val="single" w:sz="8" w:space="0" w:color="000000"/>
              <w:left w:val="nil"/>
              <w:bottom w:val="single" w:sz="8" w:space="0" w:color="000000"/>
              <w:right w:val="nil"/>
            </w:tcBorders>
          </w:tcPr>
          <w:p w14:paraId="5185188A" w14:textId="77777777" w:rsidR="009412DF" w:rsidRDefault="00000000">
            <w:pPr>
              <w:jc w:val="left"/>
            </w:pPr>
            <w:r>
              <w:rPr>
                <w:rFonts w:eastAsia="Times New Roman"/>
                <w:b/>
                <w:sz w:val="21"/>
              </w:rPr>
              <w:t>After (mean±SD)</w:t>
            </w:r>
          </w:p>
        </w:tc>
        <w:tc>
          <w:tcPr>
            <w:tcW w:w="1100" w:type="dxa"/>
            <w:tcBorders>
              <w:top w:val="single" w:sz="8" w:space="0" w:color="000000"/>
              <w:left w:val="nil"/>
              <w:bottom w:val="single" w:sz="8" w:space="0" w:color="000000"/>
              <w:right w:val="nil"/>
            </w:tcBorders>
          </w:tcPr>
          <w:p w14:paraId="7A0B5998" w14:textId="77777777" w:rsidR="009412DF" w:rsidRDefault="00000000">
            <w:pPr>
              <w:jc w:val="left"/>
            </w:pPr>
            <w:r>
              <w:rPr>
                <w:rFonts w:eastAsia="Times New Roman"/>
                <w:b/>
                <w:sz w:val="21"/>
              </w:rPr>
              <w:t>t-value</w:t>
            </w:r>
          </w:p>
        </w:tc>
        <w:tc>
          <w:tcPr>
            <w:tcW w:w="1100" w:type="dxa"/>
            <w:tcBorders>
              <w:top w:val="single" w:sz="8" w:space="0" w:color="000000"/>
              <w:left w:val="nil"/>
              <w:bottom w:val="single" w:sz="8" w:space="0" w:color="000000"/>
              <w:right w:val="nil"/>
            </w:tcBorders>
          </w:tcPr>
          <w:p w14:paraId="207918E7" w14:textId="77777777" w:rsidR="009412DF" w:rsidRDefault="00000000">
            <w:pPr>
              <w:jc w:val="left"/>
            </w:pPr>
            <w:r>
              <w:rPr>
                <w:rFonts w:eastAsia="Times New Roman"/>
                <w:b/>
                <w:sz w:val="21"/>
              </w:rPr>
              <w:t>P-value</w:t>
            </w:r>
          </w:p>
        </w:tc>
      </w:tr>
      <w:tr w:rsidR="009412DF" w14:paraId="1DC416E2" w14:textId="77777777">
        <w:trPr>
          <w:jc w:val="center"/>
        </w:trPr>
        <w:tc>
          <w:tcPr>
            <w:tcW w:w="4000" w:type="dxa"/>
            <w:tcBorders>
              <w:top w:val="nil"/>
              <w:left w:val="nil"/>
              <w:bottom w:val="nil"/>
              <w:right w:val="nil"/>
            </w:tcBorders>
          </w:tcPr>
          <w:p w14:paraId="508E28CF" w14:textId="77777777" w:rsidR="009412DF" w:rsidRDefault="00000000">
            <w:pPr>
              <w:jc w:val="left"/>
            </w:pPr>
            <w:r>
              <w:rPr>
                <w:rFonts w:eastAsia="Times New Roman"/>
                <w:sz w:val="21"/>
              </w:rPr>
              <w:t>Sea hare-papaya 80:20</w:t>
            </w:r>
          </w:p>
        </w:tc>
        <w:tc>
          <w:tcPr>
            <w:tcW w:w="1400" w:type="dxa"/>
            <w:tcBorders>
              <w:top w:val="nil"/>
              <w:left w:val="nil"/>
              <w:bottom w:val="nil"/>
              <w:right w:val="nil"/>
            </w:tcBorders>
          </w:tcPr>
          <w:p w14:paraId="78C0702D" w14:textId="77777777" w:rsidR="009412DF" w:rsidRDefault="00000000">
            <w:pPr>
              <w:jc w:val="left"/>
            </w:pPr>
            <w:r>
              <w:rPr>
                <w:rFonts w:eastAsia="Times New Roman"/>
                <w:sz w:val="21"/>
              </w:rPr>
              <w:t>10.9±0.61</w:t>
            </w:r>
          </w:p>
        </w:tc>
        <w:tc>
          <w:tcPr>
            <w:tcW w:w="1400" w:type="dxa"/>
            <w:tcBorders>
              <w:top w:val="nil"/>
              <w:left w:val="nil"/>
              <w:bottom w:val="nil"/>
              <w:right w:val="nil"/>
            </w:tcBorders>
          </w:tcPr>
          <w:p w14:paraId="099C6C88" w14:textId="77777777" w:rsidR="009412DF" w:rsidRDefault="00000000">
            <w:pPr>
              <w:jc w:val="left"/>
            </w:pPr>
            <w:r>
              <w:rPr>
                <w:rFonts w:eastAsia="Times New Roman"/>
                <w:sz w:val="21"/>
              </w:rPr>
              <w:t>11.7±0.51</w:t>
            </w:r>
          </w:p>
        </w:tc>
        <w:tc>
          <w:tcPr>
            <w:tcW w:w="1100" w:type="dxa"/>
            <w:tcBorders>
              <w:top w:val="nil"/>
              <w:left w:val="nil"/>
              <w:bottom w:val="nil"/>
              <w:right w:val="nil"/>
            </w:tcBorders>
          </w:tcPr>
          <w:p w14:paraId="50FC4C63" w14:textId="77777777" w:rsidR="009412DF" w:rsidRDefault="00000000">
            <w:pPr>
              <w:jc w:val="left"/>
            </w:pPr>
            <w:r>
              <w:rPr>
                <w:rFonts w:eastAsia="Times New Roman"/>
                <w:sz w:val="21"/>
              </w:rPr>
              <w:t>-4.43</w:t>
            </w:r>
          </w:p>
        </w:tc>
        <w:tc>
          <w:tcPr>
            <w:tcW w:w="1100" w:type="dxa"/>
            <w:tcBorders>
              <w:top w:val="nil"/>
              <w:left w:val="nil"/>
              <w:bottom w:val="nil"/>
              <w:right w:val="nil"/>
            </w:tcBorders>
          </w:tcPr>
          <w:p w14:paraId="7A0B4788" w14:textId="77777777" w:rsidR="009412DF" w:rsidRDefault="00000000">
            <w:pPr>
              <w:jc w:val="left"/>
            </w:pPr>
            <w:r>
              <w:rPr>
                <w:rFonts w:eastAsia="Times New Roman"/>
                <w:sz w:val="21"/>
              </w:rPr>
              <w:t>0.002</w:t>
            </w:r>
          </w:p>
        </w:tc>
      </w:tr>
      <w:tr w:rsidR="009412DF" w14:paraId="3E74035B" w14:textId="77777777">
        <w:trPr>
          <w:jc w:val="center"/>
        </w:trPr>
        <w:tc>
          <w:tcPr>
            <w:tcW w:w="4000" w:type="dxa"/>
            <w:tcBorders>
              <w:top w:val="nil"/>
              <w:left w:val="nil"/>
              <w:bottom w:val="nil"/>
              <w:right w:val="nil"/>
            </w:tcBorders>
          </w:tcPr>
          <w:p w14:paraId="06AE93ED" w14:textId="77777777" w:rsidR="009412DF" w:rsidRDefault="00000000">
            <w:pPr>
              <w:jc w:val="left"/>
            </w:pPr>
            <w:r>
              <w:rPr>
                <w:rFonts w:eastAsia="Times New Roman"/>
                <w:sz w:val="21"/>
              </w:rPr>
              <w:t>Sea hare-papaya 70:30</w:t>
            </w:r>
          </w:p>
        </w:tc>
        <w:tc>
          <w:tcPr>
            <w:tcW w:w="1400" w:type="dxa"/>
            <w:tcBorders>
              <w:top w:val="nil"/>
              <w:left w:val="nil"/>
              <w:bottom w:val="nil"/>
              <w:right w:val="nil"/>
            </w:tcBorders>
          </w:tcPr>
          <w:p w14:paraId="726DAAEF" w14:textId="77777777" w:rsidR="009412DF" w:rsidRDefault="00000000">
            <w:pPr>
              <w:jc w:val="left"/>
            </w:pPr>
            <w:r>
              <w:rPr>
                <w:rFonts w:eastAsia="Times New Roman"/>
                <w:sz w:val="21"/>
              </w:rPr>
              <w:t>11.1±0.86</w:t>
            </w:r>
          </w:p>
        </w:tc>
        <w:tc>
          <w:tcPr>
            <w:tcW w:w="1400" w:type="dxa"/>
            <w:tcBorders>
              <w:top w:val="nil"/>
              <w:left w:val="nil"/>
              <w:bottom w:val="nil"/>
              <w:right w:val="nil"/>
            </w:tcBorders>
          </w:tcPr>
          <w:p w14:paraId="744389BC" w14:textId="77777777" w:rsidR="009412DF" w:rsidRDefault="00000000">
            <w:pPr>
              <w:jc w:val="left"/>
            </w:pPr>
            <w:r>
              <w:rPr>
                <w:rFonts w:eastAsia="Times New Roman"/>
                <w:sz w:val="21"/>
              </w:rPr>
              <w:t>11.8±0.57</w:t>
            </w:r>
          </w:p>
        </w:tc>
        <w:tc>
          <w:tcPr>
            <w:tcW w:w="1100" w:type="dxa"/>
            <w:tcBorders>
              <w:top w:val="nil"/>
              <w:left w:val="nil"/>
              <w:bottom w:val="nil"/>
              <w:right w:val="nil"/>
            </w:tcBorders>
          </w:tcPr>
          <w:p w14:paraId="5E07D553" w14:textId="77777777" w:rsidR="009412DF" w:rsidRDefault="00000000">
            <w:pPr>
              <w:jc w:val="left"/>
            </w:pPr>
            <w:r>
              <w:rPr>
                <w:rFonts w:eastAsia="Times New Roman"/>
                <w:sz w:val="21"/>
              </w:rPr>
              <w:t>-3.55</w:t>
            </w:r>
          </w:p>
        </w:tc>
        <w:tc>
          <w:tcPr>
            <w:tcW w:w="1100" w:type="dxa"/>
            <w:tcBorders>
              <w:top w:val="nil"/>
              <w:left w:val="nil"/>
              <w:bottom w:val="nil"/>
              <w:right w:val="nil"/>
            </w:tcBorders>
          </w:tcPr>
          <w:p w14:paraId="6D8FBDDF" w14:textId="77777777" w:rsidR="009412DF" w:rsidRDefault="00000000">
            <w:pPr>
              <w:jc w:val="left"/>
            </w:pPr>
            <w:r>
              <w:rPr>
                <w:rFonts w:eastAsia="Times New Roman"/>
                <w:sz w:val="21"/>
              </w:rPr>
              <w:t>0.008</w:t>
            </w:r>
          </w:p>
        </w:tc>
      </w:tr>
      <w:tr w:rsidR="009412DF" w14:paraId="4DB854AD" w14:textId="77777777">
        <w:trPr>
          <w:jc w:val="center"/>
        </w:trPr>
        <w:tc>
          <w:tcPr>
            <w:tcW w:w="4000" w:type="dxa"/>
            <w:tcBorders>
              <w:top w:val="nil"/>
              <w:left w:val="nil"/>
              <w:bottom w:val="nil"/>
              <w:right w:val="nil"/>
            </w:tcBorders>
          </w:tcPr>
          <w:p w14:paraId="03B190E8" w14:textId="77777777" w:rsidR="009412DF" w:rsidRDefault="00000000">
            <w:pPr>
              <w:jc w:val="left"/>
            </w:pPr>
            <w:r>
              <w:rPr>
                <w:rFonts w:eastAsia="Times New Roman"/>
                <w:sz w:val="21"/>
              </w:rPr>
              <w:t>Sea hare-papaya 60:40</w:t>
            </w:r>
          </w:p>
        </w:tc>
        <w:tc>
          <w:tcPr>
            <w:tcW w:w="1400" w:type="dxa"/>
            <w:tcBorders>
              <w:top w:val="nil"/>
              <w:left w:val="nil"/>
              <w:bottom w:val="nil"/>
              <w:right w:val="nil"/>
            </w:tcBorders>
          </w:tcPr>
          <w:p w14:paraId="4E10B566" w14:textId="77777777" w:rsidR="009412DF" w:rsidRDefault="00000000">
            <w:pPr>
              <w:jc w:val="left"/>
            </w:pPr>
            <w:r>
              <w:rPr>
                <w:rFonts w:eastAsia="Times New Roman"/>
                <w:sz w:val="21"/>
              </w:rPr>
              <w:t>10.8±1.23</w:t>
            </w:r>
          </w:p>
        </w:tc>
        <w:tc>
          <w:tcPr>
            <w:tcW w:w="1400" w:type="dxa"/>
            <w:tcBorders>
              <w:top w:val="nil"/>
              <w:left w:val="nil"/>
              <w:bottom w:val="nil"/>
              <w:right w:val="nil"/>
            </w:tcBorders>
          </w:tcPr>
          <w:p w14:paraId="720BEED5" w14:textId="77777777" w:rsidR="009412DF" w:rsidRDefault="00000000">
            <w:pPr>
              <w:jc w:val="left"/>
            </w:pPr>
            <w:r>
              <w:rPr>
                <w:rFonts w:eastAsia="Times New Roman"/>
                <w:sz w:val="21"/>
              </w:rPr>
              <w:t>11.6±0.45</w:t>
            </w:r>
          </w:p>
        </w:tc>
        <w:tc>
          <w:tcPr>
            <w:tcW w:w="1100" w:type="dxa"/>
            <w:tcBorders>
              <w:top w:val="nil"/>
              <w:left w:val="nil"/>
              <w:bottom w:val="nil"/>
              <w:right w:val="nil"/>
            </w:tcBorders>
          </w:tcPr>
          <w:p w14:paraId="4ED646FB" w14:textId="77777777" w:rsidR="009412DF" w:rsidRDefault="00000000">
            <w:pPr>
              <w:jc w:val="left"/>
            </w:pPr>
            <w:r>
              <w:rPr>
                <w:rFonts w:eastAsia="Times New Roman"/>
                <w:sz w:val="21"/>
              </w:rPr>
              <w:t>-3.10</w:t>
            </w:r>
          </w:p>
        </w:tc>
        <w:tc>
          <w:tcPr>
            <w:tcW w:w="1100" w:type="dxa"/>
            <w:tcBorders>
              <w:top w:val="nil"/>
              <w:left w:val="nil"/>
              <w:bottom w:val="nil"/>
              <w:right w:val="nil"/>
            </w:tcBorders>
          </w:tcPr>
          <w:p w14:paraId="0D6DF0B7" w14:textId="77777777" w:rsidR="009412DF" w:rsidRDefault="00000000">
            <w:pPr>
              <w:jc w:val="left"/>
            </w:pPr>
            <w:r>
              <w:rPr>
                <w:rFonts w:eastAsia="Times New Roman"/>
                <w:sz w:val="21"/>
              </w:rPr>
              <w:t>0.015</w:t>
            </w:r>
          </w:p>
        </w:tc>
      </w:tr>
      <w:tr w:rsidR="009412DF" w14:paraId="17A04D31" w14:textId="77777777">
        <w:trPr>
          <w:jc w:val="center"/>
        </w:trPr>
        <w:tc>
          <w:tcPr>
            <w:tcW w:w="4000" w:type="dxa"/>
            <w:tcBorders>
              <w:top w:val="nil"/>
              <w:left w:val="nil"/>
              <w:bottom w:val="nil"/>
              <w:right w:val="nil"/>
            </w:tcBorders>
          </w:tcPr>
          <w:p w14:paraId="33955388" w14:textId="77777777" w:rsidR="009412DF" w:rsidRDefault="00000000">
            <w:pPr>
              <w:jc w:val="left"/>
            </w:pPr>
            <w:r>
              <w:rPr>
                <w:rFonts w:eastAsia="Times New Roman"/>
                <w:sz w:val="21"/>
              </w:rPr>
              <w:t>Commercial iron syrup</w:t>
            </w:r>
          </w:p>
        </w:tc>
        <w:tc>
          <w:tcPr>
            <w:tcW w:w="1400" w:type="dxa"/>
            <w:tcBorders>
              <w:top w:val="nil"/>
              <w:left w:val="nil"/>
              <w:bottom w:val="nil"/>
              <w:right w:val="nil"/>
            </w:tcBorders>
          </w:tcPr>
          <w:p w14:paraId="02B2445A" w14:textId="77777777" w:rsidR="009412DF" w:rsidRDefault="00000000">
            <w:pPr>
              <w:jc w:val="left"/>
            </w:pPr>
            <w:r>
              <w:rPr>
                <w:rFonts w:eastAsia="Times New Roman"/>
                <w:sz w:val="21"/>
              </w:rPr>
              <w:t>10.9±1.02</w:t>
            </w:r>
          </w:p>
        </w:tc>
        <w:tc>
          <w:tcPr>
            <w:tcW w:w="1400" w:type="dxa"/>
            <w:tcBorders>
              <w:top w:val="nil"/>
              <w:left w:val="nil"/>
              <w:bottom w:val="nil"/>
              <w:right w:val="nil"/>
            </w:tcBorders>
          </w:tcPr>
          <w:p w14:paraId="0BF4F02A" w14:textId="77777777" w:rsidR="009412DF" w:rsidRDefault="00000000">
            <w:pPr>
              <w:jc w:val="left"/>
            </w:pPr>
            <w:r>
              <w:rPr>
                <w:rFonts w:eastAsia="Times New Roman"/>
                <w:sz w:val="21"/>
              </w:rPr>
              <w:t>10.9±0.90</w:t>
            </w:r>
          </w:p>
        </w:tc>
        <w:tc>
          <w:tcPr>
            <w:tcW w:w="1100" w:type="dxa"/>
            <w:tcBorders>
              <w:top w:val="nil"/>
              <w:left w:val="nil"/>
              <w:bottom w:val="nil"/>
              <w:right w:val="nil"/>
            </w:tcBorders>
          </w:tcPr>
          <w:p w14:paraId="4EAE28F7" w14:textId="77777777" w:rsidR="009412DF" w:rsidRDefault="00000000">
            <w:pPr>
              <w:jc w:val="left"/>
            </w:pPr>
            <w:r>
              <w:rPr>
                <w:rFonts w:eastAsia="Times New Roman"/>
                <w:sz w:val="21"/>
              </w:rPr>
              <w:t>-0.73</w:t>
            </w:r>
          </w:p>
        </w:tc>
        <w:tc>
          <w:tcPr>
            <w:tcW w:w="1100" w:type="dxa"/>
            <w:tcBorders>
              <w:top w:val="nil"/>
              <w:left w:val="nil"/>
              <w:bottom w:val="nil"/>
              <w:right w:val="nil"/>
            </w:tcBorders>
          </w:tcPr>
          <w:p w14:paraId="0A6674ED" w14:textId="77777777" w:rsidR="009412DF" w:rsidRDefault="00000000">
            <w:pPr>
              <w:jc w:val="left"/>
            </w:pPr>
            <w:r>
              <w:rPr>
                <w:rFonts w:eastAsia="Times New Roman"/>
                <w:sz w:val="21"/>
              </w:rPr>
              <w:t>0.486</w:t>
            </w:r>
          </w:p>
        </w:tc>
      </w:tr>
      <w:tr w:rsidR="009412DF" w14:paraId="2FFE9C39" w14:textId="77777777">
        <w:trPr>
          <w:jc w:val="center"/>
        </w:trPr>
        <w:tc>
          <w:tcPr>
            <w:tcW w:w="4000" w:type="dxa"/>
            <w:tcBorders>
              <w:top w:val="nil"/>
              <w:left w:val="nil"/>
              <w:bottom w:val="single" w:sz="8" w:space="0" w:color="000000"/>
              <w:right w:val="nil"/>
            </w:tcBorders>
          </w:tcPr>
          <w:p w14:paraId="7BBE00E7" w14:textId="77777777" w:rsidR="009412DF" w:rsidRDefault="00000000">
            <w:pPr>
              <w:jc w:val="left"/>
            </w:pPr>
            <w:r>
              <w:rPr>
                <w:rFonts w:eastAsia="Times New Roman"/>
                <w:sz w:val="21"/>
              </w:rPr>
              <w:t>Placebo</w:t>
            </w:r>
          </w:p>
        </w:tc>
        <w:tc>
          <w:tcPr>
            <w:tcW w:w="1400" w:type="dxa"/>
            <w:tcBorders>
              <w:top w:val="nil"/>
              <w:left w:val="nil"/>
              <w:bottom w:val="single" w:sz="8" w:space="0" w:color="000000"/>
              <w:right w:val="nil"/>
            </w:tcBorders>
          </w:tcPr>
          <w:p w14:paraId="43358F49" w14:textId="77777777" w:rsidR="009412DF" w:rsidRDefault="00000000">
            <w:pPr>
              <w:jc w:val="left"/>
            </w:pPr>
            <w:r>
              <w:rPr>
                <w:rFonts w:eastAsia="Times New Roman"/>
                <w:sz w:val="21"/>
              </w:rPr>
              <w:t>10.7±0.68</w:t>
            </w:r>
          </w:p>
        </w:tc>
        <w:tc>
          <w:tcPr>
            <w:tcW w:w="1400" w:type="dxa"/>
            <w:tcBorders>
              <w:top w:val="nil"/>
              <w:left w:val="nil"/>
              <w:bottom w:val="single" w:sz="8" w:space="0" w:color="000000"/>
              <w:right w:val="nil"/>
            </w:tcBorders>
          </w:tcPr>
          <w:p w14:paraId="78C6B69D" w14:textId="77777777" w:rsidR="009412DF" w:rsidRDefault="00000000">
            <w:pPr>
              <w:jc w:val="left"/>
            </w:pPr>
            <w:r>
              <w:rPr>
                <w:rFonts w:eastAsia="Times New Roman"/>
                <w:sz w:val="21"/>
              </w:rPr>
              <w:t>11.2±0.38</w:t>
            </w:r>
          </w:p>
        </w:tc>
        <w:tc>
          <w:tcPr>
            <w:tcW w:w="1100" w:type="dxa"/>
            <w:tcBorders>
              <w:top w:val="nil"/>
              <w:left w:val="nil"/>
              <w:bottom w:val="single" w:sz="8" w:space="0" w:color="000000"/>
              <w:right w:val="nil"/>
            </w:tcBorders>
          </w:tcPr>
          <w:p w14:paraId="7A588FBB" w14:textId="77777777" w:rsidR="009412DF" w:rsidRDefault="00000000">
            <w:pPr>
              <w:jc w:val="left"/>
            </w:pPr>
            <w:r>
              <w:rPr>
                <w:rFonts w:eastAsia="Times New Roman"/>
                <w:sz w:val="21"/>
              </w:rPr>
              <w:t>-2.31</w:t>
            </w:r>
          </w:p>
        </w:tc>
        <w:tc>
          <w:tcPr>
            <w:tcW w:w="1100" w:type="dxa"/>
            <w:tcBorders>
              <w:top w:val="nil"/>
              <w:left w:val="nil"/>
              <w:bottom w:val="single" w:sz="8" w:space="0" w:color="000000"/>
              <w:right w:val="nil"/>
            </w:tcBorders>
          </w:tcPr>
          <w:p w14:paraId="328EEBF3" w14:textId="77777777" w:rsidR="009412DF" w:rsidRDefault="00000000">
            <w:pPr>
              <w:jc w:val="left"/>
            </w:pPr>
            <w:r>
              <w:rPr>
                <w:rFonts w:eastAsia="Times New Roman"/>
                <w:sz w:val="21"/>
              </w:rPr>
              <w:t>0.054</w:t>
            </w:r>
          </w:p>
        </w:tc>
      </w:tr>
    </w:tbl>
    <w:p w14:paraId="55BC1378" w14:textId="77777777" w:rsidR="009412DF" w:rsidRDefault="00000000">
      <w:r>
        <w:rPr>
          <w:rFonts w:eastAsia="Times New Roman"/>
        </w:rPr>
        <w:t>Note: Values are mean±standard deviation. P-values are from paired t-tests. Hemoglobin is expressed in g/dL.</w:t>
      </w:r>
    </w:p>
    <w:p w14:paraId="2B43B77D" w14:textId="77777777" w:rsidR="009412DF" w:rsidRDefault="00000000">
      <w:r>
        <w:br w:type="page"/>
      </w:r>
    </w:p>
    <w:p w14:paraId="5FE30888" w14:textId="77777777" w:rsidR="009412DF" w:rsidRDefault="00000000">
      <w:r>
        <w:rPr>
          <w:rFonts w:eastAsia="Times New Roman"/>
        </w:rPr>
        <w:lastRenderedPageBreak/>
        <w:t>Table 3. Serum Ferritin Levels Before and After Intervention</w:t>
      </w:r>
    </w:p>
    <w:tbl>
      <w:tblPr>
        <w:tblW w:w="0" w:type="auto"/>
        <w:jc w:val="center"/>
        <w:tblLayout w:type="fixed"/>
        <w:tblLook w:val="04A0" w:firstRow="1" w:lastRow="0" w:firstColumn="1" w:lastColumn="0" w:noHBand="0" w:noVBand="1"/>
      </w:tblPr>
      <w:tblGrid>
        <w:gridCol w:w="4000"/>
        <w:gridCol w:w="1400"/>
        <w:gridCol w:w="1400"/>
        <w:gridCol w:w="1100"/>
        <w:gridCol w:w="1100"/>
      </w:tblGrid>
      <w:tr w:rsidR="009412DF" w14:paraId="721A4E95" w14:textId="77777777">
        <w:trPr>
          <w:jc w:val="center"/>
        </w:trPr>
        <w:tc>
          <w:tcPr>
            <w:tcW w:w="4000" w:type="dxa"/>
            <w:tcBorders>
              <w:top w:val="single" w:sz="8" w:space="0" w:color="000000"/>
              <w:left w:val="nil"/>
              <w:bottom w:val="single" w:sz="8" w:space="0" w:color="000000"/>
              <w:right w:val="nil"/>
            </w:tcBorders>
          </w:tcPr>
          <w:p w14:paraId="23CB263F" w14:textId="77777777" w:rsidR="009412DF" w:rsidRDefault="00000000">
            <w:pPr>
              <w:jc w:val="left"/>
            </w:pPr>
            <w:r>
              <w:rPr>
                <w:rFonts w:eastAsia="Times New Roman"/>
                <w:b/>
                <w:sz w:val="21"/>
              </w:rPr>
              <w:t>Group</w:t>
            </w:r>
          </w:p>
        </w:tc>
        <w:tc>
          <w:tcPr>
            <w:tcW w:w="1400" w:type="dxa"/>
            <w:tcBorders>
              <w:top w:val="single" w:sz="8" w:space="0" w:color="000000"/>
              <w:left w:val="nil"/>
              <w:bottom w:val="single" w:sz="8" w:space="0" w:color="000000"/>
              <w:right w:val="nil"/>
            </w:tcBorders>
          </w:tcPr>
          <w:p w14:paraId="4386F463" w14:textId="77777777" w:rsidR="009412DF" w:rsidRDefault="00000000">
            <w:pPr>
              <w:jc w:val="left"/>
            </w:pPr>
            <w:r>
              <w:rPr>
                <w:rFonts w:eastAsia="Times New Roman"/>
                <w:b/>
                <w:sz w:val="21"/>
              </w:rPr>
              <w:t>Before (mean±SD)</w:t>
            </w:r>
          </w:p>
        </w:tc>
        <w:tc>
          <w:tcPr>
            <w:tcW w:w="1400" w:type="dxa"/>
            <w:tcBorders>
              <w:top w:val="single" w:sz="8" w:space="0" w:color="000000"/>
              <w:left w:val="nil"/>
              <w:bottom w:val="single" w:sz="8" w:space="0" w:color="000000"/>
              <w:right w:val="nil"/>
            </w:tcBorders>
          </w:tcPr>
          <w:p w14:paraId="2B5A47F7" w14:textId="77777777" w:rsidR="009412DF" w:rsidRDefault="00000000">
            <w:pPr>
              <w:jc w:val="left"/>
            </w:pPr>
            <w:r>
              <w:rPr>
                <w:rFonts w:eastAsia="Times New Roman"/>
                <w:b/>
                <w:sz w:val="21"/>
              </w:rPr>
              <w:t>After (mean±SD)</w:t>
            </w:r>
          </w:p>
        </w:tc>
        <w:tc>
          <w:tcPr>
            <w:tcW w:w="1100" w:type="dxa"/>
            <w:tcBorders>
              <w:top w:val="single" w:sz="8" w:space="0" w:color="000000"/>
              <w:left w:val="nil"/>
              <w:bottom w:val="single" w:sz="8" w:space="0" w:color="000000"/>
              <w:right w:val="nil"/>
            </w:tcBorders>
          </w:tcPr>
          <w:p w14:paraId="4187ABF1" w14:textId="77777777" w:rsidR="009412DF" w:rsidRDefault="00000000">
            <w:pPr>
              <w:jc w:val="left"/>
            </w:pPr>
            <w:r>
              <w:rPr>
                <w:rFonts w:eastAsia="Times New Roman"/>
                <w:b/>
                <w:sz w:val="21"/>
              </w:rPr>
              <w:t>t-value</w:t>
            </w:r>
          </w:p>
        </w:tc>
        <w:tc>
          <w:tcPr>
            <w:tcW w:w="1100" w:type="dxa"/>
            <w:tcBorders>
              <w:top w:val="single" w:sz="8" w:space="0" w:color="000000"/>
              <w:left w:val="nil"/>
              <w:bottom w:val="single" w:sz="8" w:space="0" w:color="000000"/>
              <w:right w:val="nil"/>
            </w:tcBorders>
          </w:tcPr>
          <w:p w14:paraId="0CDC14E5" w14:textId="77777777" w:rsidR="009412DF" w:rsidRDefault="00000000">
            <w:pPr>
              <w:jc w:val="left"/>
            </w:pPr>
            <w:r>
              <w:rPr>
                <w:rFonts w:eastAsia="Times New Roman"/>
                <w:b/>
                <w:sz w:val="21"/>
              </w:rPr>
              <w:t>P-value</w:t>
            </w:r>
          </w:p>
        </w:tc>
      </w:tr>
      <w:tr w:rsidR="009412DF" w14:paraId="359A84B8" w14:textId="77777777">
        <w:trPr>
          <w:jc w:val="center"/>
        </w:trPr>
        <w:tc>
          <w:tcPr>
            <w:tcW w:w="4000" w:type="dxa"/>
            <w:tcBorders>
              <w:top w:val="nil"/>
              <w:left w:val="nil"/>
              <w:bottom w:val="nil"/>
              <w:right w:val="nil"/>
            </w:tcBorders>
          </w:tcPr>
          <w:p w14:paraId="7645AF93" w14:textId="77777777" w:rsidR="009412DF" w:rsidRDefault="00000000">
            <w:pPr>
              <w:jc w:val="left"/>
            </w:pPr>
            <w:r>
              <w:rPr>
                <w:rFonts w:eastAsia="Times New Roman"/>
                <w:sz w:val="21"/>
              </w:rPr>
              <w:t>Sea hare-papaya 80:20</w:t>
            </w:r>
          </w:p>
        </w:tc>
        <w:tc>
          <w:tcPr>
            <w:tcW w:w="1400" w:type="dxa"/>
            <w:tcBorders>
              <w:top w:val="nil"/>
              <w:left w:val="nil"/>
              <w:bottom w:val="nil"/>
              <w:right w:val="nil"/>
            </w:tcBorders>
          </w:tcPr>
          <w:p w14:paraId="6A6D8792" w14:textId="77777777" w:rsidR="009412DF" w:rsidRDefault="00000000">
            <w:pPr>
              <w:jc w:val="left"/>
            </w:pPr>
            <w:r>
              <w:rPr>
                <w:rFonts w:eastAsia="Times New Roman"/>
                <w:sz w:val="21"/>
              </w:rPr>
              <w:t>27.54±16.82</w:t>
            </w:r>
          </w:p>
        </w:tc>
        <w:tc>
          <w:tcPr>
            <w:tcW w:w="1400" w:type="dxa"/>
            <w:tcBorders>
              <w:top w:val="nil"/>
              <w:left w:val="nil"/>
              <w:bottom w:val="nil"/>
              <w:right w:val="nil"/>
            </w:tcBorders>
          </w:tcPr>
          <w:p w14:paraId="06F6DEE8" w14:textId="77777777" w:rsidR="009412DF" w:rsidRDefault="00000000">
            <w:pPr>
              <w:jc w:val="left"/>
            </w:pPr>
            <w:r>
              <w:rPr>
                <w:rFonts w:eastAsia="Times New Roman"/>
                <w:sz w:val="21"/>
              </w:rPr>
              <w:t>43.45±28.47</w:t>
            </w:r>
          </w:p>
        </w:tc>
        <w:tc>
          <w:tcPr>
            <w:tcW w:w="1100" w:type="dxa"/>
            <w:tcBorders>
              <w:top w:val="nil"/>
              <w:left w:val="nil"/>
              <w:bottom w:val="nil"/>
              <w:right w:val="nil"/>
            </w:tcBorders>
          </w:tcPr>
          <w:p w14:paraId="47D22F37" w14:textId="77777777" w:rsidR="009412DF" w:rsidRDefault="00000000">
            <w:pPr>
              <w:jc w:val="left"/>
            </w:pPr>
            <w:r>
              <w:rPr>
                <w:rFonts w:eastAsia="Times New Roman"/>
                <w:sz w:val="21"/>
              </w:rPr>
              <w:t>-1.95</w:t>
            </w:r>
          </w:p>
        </w:tc>
        <w:tc>
          <w:tcPr>
            <w:tcW w:w="1100" w:type="dxa"/>
            <w:tcBorders>
              <w:top w:val="nil"/>
              <w:left w:val="nil"/>
              <w:bottom w:val="nil"/>
              <w:right w:val="nil"/>
            </w:tcBorders>
          </w:tcPr>
          <w:p w14:paraId="656A2F03" w14:textId="77777777" w:rsidR="009412DF" w:rsidRDefault="00000000">
            <w:pPr>
              <w:jc w:val="left"/>
            </w:pPr>
            <w:r>
              <w:rPr>
                <w:rFonts w:eastAsia="Times New Roman"/>
                <w:sz w:val="21"/>
              </w:rPr>
              <w:t>0.082</w:t>
            </w:r>
          </w:p>
        </w:tc>
      </w:tr>
      <w:tr w:rsidR="009412DF" w14:paraId="654A5266" w14:textId="77777777">
        <w:trPr>
          <w:jc w:val="center"/>
        </w:trPr>
        <w:tc>
          <w:tcPr>
            <w:tcW w:w="4000" w:type="dxa"/>
            <w:tcBorders>
              <w:top w:val="nil"/>
              <w:left w:val="nil"/>
              <w:bottom w:val="nil"/>
              <w:right w:val="nil"/>
            </w:tcBorders>
          </w:tcPr>
          <w:p w14:paraId="03E25FA3" w14:textId="77777777" w:rsidR="009412DF" w:rsidRDefault="00000000">
            <w:pPr>
              <w:jc w:val="left"/>
            </w:pPr>
            <w:r>
              <w:rPr>
                <w:rFonts w:eastAsia="Times New Roman"/>
                <w:sz w:val="21"/>
              </w:rPr>
              <w:t>Sea hare-papaya 70:30</w:t>
            </w:r>
          </w:p>
        </w:tc>
        <w:tc>
          <w:tcPr>
            <w:tcW w:w="1400" w:type="dxa"/>
            <w:tcBorders>
              <w:top w:val="nil"/>
              <w:left w:val="nil"/>
              <w:bottom w:val="nil"/>
              <w:right w:val="nil"/>
            </w:tcBorders>
          </w:tcPr>
          <w:p w14:paraId="1E7BAD0F" w14:textId="77777777" w:rsidR="009412DF" w:rsidRDefault="00000000">
            <w:pPr>
              <w:jc w:val="left"/>
            </w:pPr>
            <w:r>
              <w:rPr>
                <w:rFonts w:eastAsia="Times New Roman"/>
                <w:sz w:val="21"/>
              </w:rPr>
              <w:t>13.83±7.17</w:t>
            </w:r>
          </w:p>
        </w:tc>
        <w:tc>
          <w:tcPr>
            <w:tcW w:w="1400" w:type="dxa"/>
            <w:tcBorders>
              <w:top w:val="nil"/>
              <w:left w:val="nil"/>
              <w:bottom w:val="nil"/>
              <w:right w:val="nil"/>
            </w:tcBorders>
          </w:tcPr>
          <w:p w14:paraId="09AADECF" w14:textId="77777777" w:rsidR="009412DF" w:rsidRDefault="00000000">
            <w:pPr>
              <w:jc w:val="left"/>
            </w:pPr>
            <w:r>
              <w:rPr>
                <w:rFonts w:eastAsia="Times New Roman"/>
                <w:sz w:val="21"/>
              </w:rPr>
              <w:t>16.75±7.75</w:t>
            </w:r>
          </w:p>
        </w:tc>
        <w:tc>
          <w:tcPr>
            <w:tcW w:w="1100" w:type="dxa"/>
            <w:tcBorders>
              <w:top w:val="nil"/>
              <w:left w:val="nil"/>
              <w:bottom w:val="nil"/>
              <w:right w:val="nil"/>
            </w:tcBorders>
          </w:tcPr>
          <w:p w14:paraId="7B32742D" w14:textId="77777777" w:rsidR="009412DF" w:rsidRDefault="00000000">
            <w:pPr>
              <w:jc w:val="left"/>
            </w:pPr>
            <w:r>
              <w:rPr>
                <w:rFonts w:eastAsia="Times New Roman"/>
                <w:sz w:val="21"/>
              </w:rPr>
              <w:t>-1.78</w:t>
            </w:r>
          </w:p>
        </w:tc>
        <w:tc>
          <w:tcPr>
            <w:tcW w:w="1100" w:type="dxa"/>
            <w:tcBorders>
              <w:top w:val="nil"/>
              <w:left w:val="nil"/>
              <w:bottom w:val="nil"/>
              <w:right w:val="nil"/>
            </w:tcBorders>
          </w:tcPr>
          <w:p w14:paraId="599FDF67" w14:textId="77777777" w:rsidR="009412DF" w:rsidRDefault="00000000">
            <w:pPr>
              <w:jc w:val="left"/>
            </w:pPr>
            <w:r>
              <w:rPr>
                <w:rFonts w:eastAsia="Times New Roman"/>
                <w:sz w:val="21"/>
              </w:rPr>
              <w:t>0.109</w:t>
            </w:r>
          </w:p>
        </w:tc>
      </w:tr>
      <w:tr w:rsidR="009412DF" w14:paraId="1445F790" w14:textId="77777777">
        <w:trPr>
          <w:jc w:val="center"/>
        </w:trPr>
        <w:tc>
          <w:tcPr>
            <w:tcW w:w="4000" w:type="dxa"/>
            <w:tcBorders>
              <w:top w:val="nil"/>
              <w:left w:val="nil"/>
              <w:bottom w:val="nil"/>
              <w:right w:val="nil"/>
            </w:tcBorders>
          </w:tcPr>
          <w:p w14:paraId="6F48070B" w14:textId="77777777" w:rsidR="009412DF" w:rsidRDefault="00000000">
            <w:pPr>
              <w:jc w:val="left"/>
            </w:pPr>
            <w:r>
              <w:rPr>
                <w:rFonts w:eastAsia="Times New Roman"/>
                <w:sz w:val="21"/>
              </w:rPr>
              <w:t>Sea hare-papaya 60:40</w:t>
            </w:r>
          </w:p>
        </w:tc>
        <w:tc>
          <w:tcPr>
            <w:tcW w:w="1400" w:type="dxa"/>
            <w:tcBorders>
              <w:top w:val="nil"/>
              <w:left w:val="nil"/>
              <w:bottom w:val="nil"/>
              <w:right w:val="nil"/>
            </w:tcBorders>
          </w:tcPr>
          <w:p w14:paraId="394311BB" w14:textId="77777777" w:rsidR="009412DF" w:rsidRDefault="00000000">
            <w:pPr>
              <w:jc w:val="left"/>
            </w:pPr>
            <w:r>
              <w:rPr>
                <w:rFonts w:eastAsia="Times New Roman"/>
                <w:sz w:val="21"/>
              </w:rPr>
              <w:t>14.22±15.72</w:t>
            </w:r>
          </w:p>
        </w:tc>
        <w:tc>
          <w:tcPr>
            <w:tcW w:w="1400" w:type="dxa"/>
            <w:tcBorders>
              <w:top w:val="nil"/>
              <w:left w:val="nil"/>
              <w:bottom w:val="nil"/>
              <w:right w:val="nil"/>
            </w:tcBorders>
          </w:tcPr>
          <w:p w14:paraId="5D0BF997" w14:textId="77777777" w:rsidR="009412DF" w:rsidRDefault="00000000">
            <w:pPr>
              <w:jc w:val="left"/>
            </w:pPr>
            <w:r>
              <w:rPr>
                <w:rFonts w:eastAsia="Times New Roman"/>
                <w:sz w:val="21"/>
              </w:rPr>
              <w:t>19.47±13.54</w:t>
            </w:r>
          </w:p>
        </w:tc>
        <w:tc>
          <w:tcPr>
            <w:tcW w:w="1100" w:type="dxa"/>
            <w:tcBorders>
              <w:top w:val="nil"/>
              <w:left w:val="nil"/>
              <w:bottom w:val="nil"/>
              <w:right w:val="nil"/>
            </w:tcBorders>
          </w:tcPr>
          <w:p w14:paraId="2F72FAB6" w14:textId="77777777" w:rsidR="009412DF" w:rsidRDefault="00000000">
            <w:pPr>
              <w:jc w:val="left"/>
            </w:pPr>
            <w:r>
              <w:rPr>
                <w:rFonts w:eastAsia="Times New Roman"/>
                <w:sz w:val="21"/>
              </w:rPr>
              <w:t>-1.47</w:t>
            </w:r>
          </w:p>
        </w:tc>
        <w:tc>
          <w:tcPr>
            <w:tcW w:w="1100" w:type="dxa"/>
            <w:tcBorders>
              <w:top w:val="nil"/>
              <w:left w:val="nil"/>
              <w:bottom w:val="nil"/>
              <w:right w:val="nil"/>
            </w:tcBorders>
          </w:tcPr>
          <w:p w14:paraId="6908DE53" w14:textId="77777777" w:rsidR="009412DF" w:rsidRDefault="00000000">
            <w:pPr>
              <w:jc w:val="left"/>
            </w:pPr>
            <w:r>
              <w:rPr>
                <w:rFonts w:eastAsia="Times New Roman"/>
                <w:sz w:val="21"/>
              </w:rPr>
              <w:t>0.174</w:t>
            </w:r>
          </w:p>
        </w:tc>
      </w:tr>
      <w:tr w:rsidR="009412DF" w14:paraId="1FCBA7A7" w14:textId="77777777">
        <w:trPr>
          <w:jc w:val="center"/>
        </w:trPr>
        <w:tc>
          <w:tcPr>
            <w:tcW w:w="4000" w:type="dxa"/>
            <w:tcBorders>
              <w:top w:val="nil"/>
              <w:left w:val="nil"/>
              <w:bottom w:val="nil"/>
              <w:right w:val="nil"/>
            </w:tcBorders>
          </w:tcPr>
          <w:p w14:paraId="5B3707E2" w14:textId="77777777" w:rsidR="009412DF" w:rsidRDefault="00000000">
            <w:pPr>
              <w:jc w:val="left"/>
            </w:pPr>
            <w:r>
              <w:rPr>
                <w:rFonts w:eastAsia="Times New Roman"/>
                <w:sz w:val="21"/>
              </w:rPr>
              <w:t>Commercial iron syrup</w:t>
            </w:r>
          </w:p>
        </w:tc>
        <w:tc>
          <w:tcPr>
            <w:tcW w:w="1400" w:type="dxa"/>
            <w:tcBorders>
              <w:top w:val="nil"/>
              <w:left w:val="nil"/>
              <w:bottom w:val="nil"/>
              <w:right w:val="nil"/>
            </w:tcBorders>
          </w:tcPr>
          <w:p w14:paraId="69364842" w14:textId="77777777" w:rsidR="009412DF" w:rsidRDefault="00000000">
            <w:pPr>
              <w:jc w:val="left"/>
            </w:pPr>
            <w:r>
              <w:rPr>
                <w:rFonts w:eastAsia="Times New Roman"/>
                <w:sz w:val="21"/>
              </w:rPr>
              <w:t>6.83±4.73</w:t>
            </w:r>
          </w:p>
        </w:tc>
        <w:tc>
          <w:tcPr>
            <w:tcW w:w="1400" w:type="dxa"/>
            <w:tcBorders>
              <w:top w:val="nil"/>
              <w:left w:val="nil"/>
              <w:bottom w:val="nil"/>
              <w:right w:val="nil"/>
            </w:tcBorders>
          </w:tcPr>
          <w:p w14:paraId="627F000A" w14:textId="77777777" w:rsidR="009412DF" w:rsidRDefault="00000000">
            <w:pPr>
              <w:jc w:val="left"/>
            </w:pPr>
            <w:r>
              <w:rPr>
                <w:rFonts w:eastAsia="Times New Roman"/>
                <w:sz w:val="21"/>
              </w:rPr>
              <w:t>8.72±5.86</w:t>
            </w:r>
          </w:p>
        </w:tc>
        <w:tc>
          <w:tcPr>
            <w:tcW w:w="1100" w:type="dxa"/>
            <w:tcBorders>
              <w:top w:val="nil"/>
              <w:left w:val="nil"/>
              <w:bottom w:val="nil"/>
              <w:right w:val="nil"/>
            </w:tcBorders>
          </w:tcPr>
          <w:p w14:paraId="3D316756" w14:textId="77777777" w:rsidR="009412DF" w:rsidRDefault="00000000">
            <w:pPr>
              <w:jc w:val="left"/>
            </w:pPr>
            <w:r>
              <w:rPr>
                <w:rFonts w:eastAsia="Times New Roman"/>
                <w:sz w:val="21"/>
              </w:rPr>
              <w:t>-0.92</w:t>
            </w:r>
          </w:p>
        </w:tc>
        <w:tc>
          <w:tcPr>
            <w:tcW w:w="1100" w:type="dxa"/>
            <w:tcBorders>
              <w:top w:val="nil"/>
              <w:left w:val="nil"/>
              <w:bottom w:val="nil"/>
              <w:right w:val="nil"/>
            </w:tcBorders>
          </w:tcPr>
          <w:p w14:paraId="2B5610B5" w14:textId="77777777" w:rsidR="009412DF" w:rsidRDefault="00000000">
            <w:pPr>
              <w:jc w:val="left"/>
            </w:pPr>
            <w:r>
              <w:rPr>
                <w:rFonts w:eastAsia="Times New Roman"/>
                <w:sz w:val="21"/>
              </w:rPr>
              <w:t>0.380</w:t>
            </w:r>
          </w:p>
        </w:tc>
      </w:tr>
      <w:tr w:rsidR="009412DF" w14:paraId="590B9C02" w14:textId="77777777">
        <w:trPr>
          <w:jc w:val="center"/>
        </w:trPr>
        <w:tc>
          <w:tcPr>
            <w:tcW w:w="4000" w:type="dxa"/>
            <w:tcBorders>
              <w:top w:val="nil"/>
              <w:left w:val="nil"/>
              <w:bottom w:val="single" w:sz="8" w:space="0" w:color="000000"/>
              <w:right w:val="nil"/>
            </w:tcBorders>
          </w:tcPr>
          <w:p w14:paraId="62EB7879" w14:textId="77777777" w:rsidR="009412DF" w:rsidRDefault="00000000">
            <w:pPr>
              <w:jc w:val="left"/>
            </w:pPr>
            <w:r>
              <w:rPr>
                <w:rFonts w:eastAsia="Times New Roman"/>
                <w:sz w:val="21"/>
              </w:rPr>
              <w:t>Placebo</w:t>
            </w:r>
          </w:p>
        </w:tc>
        <w:tc>
          <w:tcPr>
            <w:tcW w:w="1400" w:type="dxa"/>
            <w:tcBorders>
              <w:top w:val="nil"/>
              <w:left w:val="nil"/>
              <w:bottom w:val="single" w:sz="8" w:space="0" w:color="000000"/>
              <w:right w:val="nil"/>
            </w:tcBorders>
          </w:tcPr>
          <w:p w14:paraId="7E79ACBE" w14:textId="77777777" w:rsidR="009412DF" w:rsidRDefault="00000000">
            <w:pPr>
              <w:jc w:val="left"/>
            </w:pPr>
            <w:r>
              <w:rPr>
                <w:rFonts w:eastAsia="Times New Roman"/>
                <w:sz w:val="21"/>
              </w:rPr>
              <w:t>9.90±8.51</w:t>
            </w:r>
          </w:p>
        </w:tc>
        <w:tc>
          <w:tcPr>
            <w:tcW w:w="1400" w:type="dxa"/>
            <w:tcBorders>
              <w:top w:val="nil"/>
              <w:left w:val="nil"/>
              <w:bottom w:val="single" w:sz="8" w:space="0" w:color="000000"/>
              <w:right w:val="nil"/>
            </w:tcBorders>
          </w:tcPr>
          <w:p w14:paraId="1CE4FFB8" w14:textId="77777777" w:rsidR="009412DF" w:rsidRDefault="00000000">
            <w:pPr>
              <w:jc w:val="left"/>
            </w:pPr>
            <w:r>
              <w:rPr>
                <w:rFonts w:eastAsia="Times New Roman"/>
                <w:sz w:val="21"/>
              </w:rPr>
              <w:t>13.89±9.72</w:t>
            </w:r>
          </w:p>
        </w:tc>
        <w:tc>
          <w:tcPr>
            <w:tcW w:w="1100" w:type="dxa"/>
            <w:tcBorders>
              <w:top w:val="nil"/>
              <w:left w:val="nil"/>
              <w:bottom w:val="single" w:sz="8" w:space="0" w:color="000000"/>
              <w:right w:val="nil"/>
            </w:tcBorders>
          </w:tcPr>
          <w:p w14:paraId="1832F1B7" w14:textId="77777777" w:rsidR="009412DF" w:rsidRDefault="00000000">
            <w:pPr>
              <w:jc w:val="left"/>
            </w:pPr>
            <w:r>
              <w:rPr>
                <w:rFonts w:eastAsia="Times New Roman"/>
                <w:sz w:val="21"/>
              </w:rPr>
              <w:t>-1.34</w:t>
            </w:r>
          </w:p>
        </w:tc>
        <w:tc>
          <w:tcPr>
            <w:tcW w:w="1100" w:type="dxa"/>
            <w:tcBorders>
              <w:top w:val="nil"/>
              <w:left w:val="nil"/>
              <w:bottom w:val="single" w:sz="8" w:space="0" w:color="000000"/>
              <w:right w:val="nil"/>
            </w:tcBorders>
          </w:tcPr>
          <w:p w14:paraId="756FB1F9" w14:textId="77777777" w:rsidR="009412DF" w:rsidRDefault="00000000">
            <w:pPr>
              <w:jc w:val="left"/>
            </w:pPr>
            <w:r>
              <w:rPr>
                <w:rFonts w:eastAsia="Times New Roman"/>
                <w:sz w:val="21"/>
              </w:rPr>
              <w:t>0.213</w:t>
            </w:r>
          </w:p>
        </w:tc>
      </w:tr>
    </w:tbl>
    <w:p w14:paraId="2D6CF0FD" w14:textId="77777777" w:rsidR="009412DF" w:rsidRDefault="00000000">
      <w:r>
        <w:rPr>
          <w:rFonts w:eastAsia="Times New Roman"/>
        </w:rPr>
        <w:t>Note: Values are mean±standard deviation. P-values are from paired t-tests. Ferritin is expressed in ng/mL.</w:t>
      </w:r>
    </w:p>
    <w:sectPr w:rsidR="009412DF">
      <w:footerReference w:type="default" r:id="rId7"/>
      <w:pgSz w:w="11909" w:h="16834"/>
      <w:pgMar w:top="1701" w:right="1440" w:bottom="1440" w:left="1440"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2901E" w14:textId="77777777" w:rsidR="00A24C68" w:rsidRDefault="00A24C68">
      <w:pPr>
        <w:spacing w:line="240" w:lineRule="auto"/>
      </w:pPr>
      <w:r>
        <w:separator/>
      </w:r>
    </w:p>
  </w:endnote>
  <w:endnote w:type="continuationSeparator" w:id="0">
    <w:p w14:paraId="365E8F0E" w14:textId="77777777" w:rsidR="00A24C68" w:rsidRDefault="00A24C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73CE" w14:textId="77777777" w:rsidR="009412DF" w:rsidRDefault="00000000">
    <w:pPr>
      <w:suppressLineNumbers/>
      <w:jc w:val="center"/>
    </w:pPr>
    <w:r>
      <w:rPr>
        <w:sz w:val="20"/>
      </w:rPr>
      <w:fldChar w:fldCharType="begin"/>
    </w:r>
    <w:r>
      <w:rPr>
        <w:sz w:val="20"/>
      </w:rPr>
      <w:instrText xml:space="preserve"> PAGE </w:instrText>
    </w:r>
    <w:r>
      <w:rPr>
        <w:sz w:val="20"/>
      </w:rPr>
      <w:fldChar w:fldCharType="separate"/>
    </w:r>
    <w:r w:rsidR="007821D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D1B7B" w14:textId="77777777" w:rsidR="00A24C68" w:rsidRDefault="00A24C68">
      <w:pPr>
        <w:spacing w:line="240" w:lineRule="auto"/>
      </w:pPr>
      <w:r>
        <w:separator/>
      </w:r>
    </w:p>
  </w:footnote>
  <w:footnote w:type="continuationSeparator" w:id="0">
    <w:p w14:paraId="4636D147" w14:textId="77777777" w:rsidR="00A24C68" w:rsidRDefault="00A24C6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FBA"/>
    <w:multiLevelType w:val="hybridMultilevel"/>
    <w:tmpl w:val="CF0C8588"/>
    <w:lvl w:ilvl="0" w:tplc="F7589A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52A71695"/>
    <w:multiLevelType w:val="hybridMultilevel"/>
    <w:tmpl w:val="9AD8B912"/>
    <w:lvl w:ilvl="0" w:tplc="F276398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5EE83E5E"/>
    <w:multiLevelType w:val="hybridMultilevel"/>
    <w:tmpl w:val="A7FE42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7647968">
    <w:abstractNumId w:val="1"/>
  </w:num>
  <w:num w:numId="2" w16cid:durableId="64190434">
    <w:abstractNumId w:val="0"/>
  </w:num>
  <w:num w:numId="3" w16cid:durableId="281961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14E9"/>
    <w:rsid w:val="00032382"/>
    <w:rsid w:val="00044579"/>
    <w:rsid w:val="00071244"/>
    <w:rsid w:val="000A06A2"/>
    <w:rsid w:val="000E776D"/>
    <w:rsid w:val="00101852"/>
    <w:rsid w:val="00122665"/>
    <w:rsid w:val="001341E7"/>
    <w:rsid w:val="00141DD5"/>
    <w:rsid w:val="001438C4"/>
    <w:rsid w:val="00146241"/>
    <w:rsid w:val="0015309A"/>
    <w:rsid w:val="0015374E"/>
    <w:rsid w:val="00165E4E"/>
    <w:rsid w:val="00181E92"/>
    <w:rsid w:val="0019026D"/>
    <w:rsid w:val="001967B7"/>
    <w:rsid w:val="00197112"/>
    <w:rsid w:val="001A53D7"/>
    <w:rsid w:val="001C0C84"/>
    <w:rsid w:val="001F03E8"/>
    <w:rsid w:val="001F588F"/>
    <w:rsid w:val="00207208"/>
    <w:rsid w:val="0023211C"/>
    <w:rsid w:val="00241C8F"/>
    <w:rsid w:val="00246787"/>
    <w:rsid w:val="00254B4D"/>
    <w:rsid w:val="00266034"/>
    <w:rsid w:val="00297201"/>
    <w:rsid w:val="002B3C0D"/>
    <w:rsid w:val="002C7FA9"/>
    <w:rsid w:val="002F0407"/>
    <w:rsid w:val="00313869"/>
    <w:rsid w:val="00314BF1"/>
    <w:rsid w:val="0031735B"/>
    <w:rsid w:val="00330578"/>
    <w:rsid w:val="00361B3D"/>
    <w:rsid w:val="00362A55"/>
    <w:rsid w:val="003819DF"/>
    <w:rsid w:val="003A53A2"/>
    <w:rsid w:val="003A56B1"/>
    <w:rsid w:val="003B30F7"/>
    <w:rsid w:val="003C4BA0"/>
    <w:rsid w:val="003D666B"/>
    <w:rsid w:val="004B4119"/>
    <w:rsid w:val="004B4A8C"/>
    <w:rsid w:val="004C3EB6"/>
    <w:rsid w:val="004D4136"/>
    <w:rsid w:val="004E4774"/>
    <w:rsid w:val="004E530C"/>
    <w:rsid w:val="00510EF0"/>
    <w:rsid w:val="00514433"/>
    <w:rsid w:val="00516288"/>
    <w:rsid w:val="00534BE5"/>
    <w:rsid w:val="00536929"/>
    <w:rsid w:val="005530E1"/>
    <w:rsid w:val="005538B8"/>
    <w:rsid w:val="00563AA3"/>
    <w:rsid w:val="00574551"/>
    <w:rsid w:val="00580216"/>
    <w:rsid w:val="005A4B59"/>
    <w:rsid w:val="005B459D"/>
    <w:rsid w:val="005B646B"/>
    <w:rsid w:val="005C200C"/>
    <w:rsid w:val="005C3576"/>
    <w:rsid w:val="005C787F"/>
    <w:rsid w:val="005E1754"/>
    <w:rsid w:val="00600857"/>
    <w:rsid w:val="00600F75"/>
    <w:rsid w:val="00615077"/>
    <w:rsid w:val="00627E09"/>
    <w:rsid w:val="00631FCE"/>
    <w:rsid w:val="00633EF4"/>
    <w:rsid w:val="006C71C3"/>
    <w:rsid w:val="00713BA7"/>
    <w:rsid w:val="00723212"/>
    <w:rsid w:val="00725839"/>
    <w:rsid w:val="00755A16"/>
    <w:rsid w:val="00767040"/>
    <w:rsid w:val="007821D1"/>
    <w:rsid w:val="00783EF6"/>
    <w:rsid w:val="007842F4"/>
    <w:rsid w:val="00792FE0"/>
    <w:rsid w:val="007B164E"/>
    <w:rsid w:val="007D7893"/>
    <w:rsid w:val="0083439E"/>
    <w:rsid w:val="00851323"/>
    <w:rsid w:val="008951CC"/>
    <w:rsid w:val="008B657E"/>
    <w:rsid w:val="008B776C"/>
    <w:rsid w:val="008D28E5"/>
    <w:rsid w:val="008F29E1"/>
    <w:rsid w:val="00905EAC"/>
    <w:rsid w:val="00915267"/>
    <w:rsid w:val="00924A82"/>
    <w:rsid w:val="009315C3"/>
    <w:rsid w:val="009412DF"/>
    <w:rsid w:val="00950F69"/>
    <w:rsid w:val="009603EB"/>
    <w:rsid w:val="009641A6"/>
    <w:rsid w:val="009E3D23"/>
    <w:rsid w:val="00A2414A"/>
    <w:rsid w:val="00A24C68"/>
    <w:rsid w:val="00A34073"/>
    <w:rsid w:val="00A608DB"/>
    <w:rsid w:val="00A66567"/>
    <w:rsid w:val="00AA62CB"/>
    <w:rsid w:val="00AA6F1D"/>
    <w:rsid w:val="00AB3CA1"/>
    <w:rsid w:val="00AD2F9F"/>
    <w:rsid w:val="00B0079D"/>
    <w:rsid w:val="00B06246"/>
    <w:rsid w:val="00BC3EE1"/>
    <w:rsid w:val="00BE120D"/>
    <w:rsid w:val="00BE238B"/>
    <w:rsid w:val="00BE4206"/>
    <w:rsid w:val="00BF6D01"/>
    <w:rsid w:val="00C13424"/>
    <w:rsid w:val="00C70980"/>
    <w:rsid w:val="00C72A48"/>
    <w:rsid w:val="00C76713"/>
    <w:rsid w:val="00C8016C"/>
    <w:rsid w:val="00C914E9"/>
    <w:rsid w:val="00CD737B"/>
    <w:rsid w:val="00CE489B"/>
    <w:rsid w:val="00D13F5C"/>
    <w:rsid w:val="00D21690"/>
    <w:rsid w:val="00D41162"/>
    <w:rsid w:val="00D435E0"/>
    <w:rsid w:val="00D6799D"/>
    <w:rsid w:val="00D7328C"/>
    <w:rsid w:val="00D764A7"/>
    <w:rsid w:val="00D821D1"/>
    <w:rsid w:val="00D94706"/>
    <w:rsid w:val="00D968E6"/>
    <w:rsid w:val="00DA394E"/>
    <w:rsid w:val="00DE5AFC"/>
    <w:rsid w:val="00E20695"/>
    <w:rsid w:val="00E516F4"/>
    <w:rsid w:val="00E60FAA"/>
    <w:rsid w:val="00E72B60"/>
    <w:rsid w:val="00E8046A"/>
    <w:rsid w:val="00E93DE5"/>
    <w:rsid w:val="00EB15BE"/>
    <w:rsid w:val="00ED40C0"/>
    <w:rsid w:val="00EE3A72"/>
    <w:rsid w:val="00F22628"/>
    <w:rsid w:val="00F237EE"/>
    <w:rsid w:val="00F84EC7"/>
    <w:rsid w:val="00F96C4E"/>
    <w:rsid w:val="00FB5A6C"/>
    <w:rsid w:val="00FB657A"/>
    <w:rsid w:val="00FD1C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71D0F"/>
  <w15:docId w15:val="{8DBD12BC-8E5F-4A78-B5CF-962E2629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1D1"/>
    <w:pPr>
      <w:widowControl w:val="0"/>
      <w:wordWrap w:val="0"/>
      <w:autoSpaceDE w:val="0"/>
      <w:autoSpaceDN w:val="0"/>
      <w:spacing w:after="0" w:line="48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315C3"/>
  </w:style>
  <w:style w:type="paragraph" w:styleId="ListParagraph">
    <w:name w:val="List Paragraph"/>
    <w:basedOn w:val="Normal"/>
    <w:uiPriority w:val="34"/>
    <w:qFormat/>
    <w:rsid w:val="00254B4D"/>
    <w:pPr>
      <w:ind w:leftChars="400" w:left="800"/>
    </w:pPr>
  </w:style>
  <w:style w:type="character" w:styleId="Hyperlink">
    <w:name w:val="Hyperlink"/>
    <w:basedOn w:val="DefaultParagraphFont"/>
    <w:uiPriority w:val="99"/>
    <w:unhideWhenUsed/>
    <w:rsid w:val="002B3C0D"/>
    <w:rPr>
      <w:color w:val="0000FF" w:themeColor="hyperlink"/>
      <w:u w:val="single"/>
    </w:rPr>
  </w:style>
  <w:style w:type="paragraph" w:styleId="Header">
    <w:name w:val="header"/>
    <w:basedOn w:val="Normal"/>
    <w:link w:val="HeaderChar"/>
    <w:uiPriority w:val="99"/>
    <w:unhideWhenUsed/>
    <w:rsid w:val="00297201"/>
    <w:pPr>
      <w:tabs>
        <w:tab w:val="center" w:pos="4513"/>
        <w:tab w:val="right" w:pos="9026"/>
      </w:tabs>
      <w:snapToGrid w:val="0"/>
    </w:pPr>
  </w:style>
  <w:style w:type="character" w:customStyle="1" w:styleId="HeaderChar">
    <w:name w:val="Header Char"/>
    <w:basedOn w:val="DefaultParagraphFont"/>
    <w:link w:val="Header"/>
    <w:uiPriority w:val="99"/>
    <w:rsid w:val="00297201"/>
  </w:style>
  <w:style w:type="paragraph" w:styleId="Footer">
    <w:name w:val="footer"/>
    <w:basedOn w:val="Normal"/>
    <w:link w:val="FooterChar"/>
    <w:uiPriority w:val="99"/>
    <w:unhideWhenUsed/>
    <w:rsid w:val="00297201"/>
    <w:pPr>
      <w:tabs>
        <w:tab w:val="center" w:pos="4513"/>
        <w:tab w:val="right" w:pos="9026"/>
      </w:tabs>
      <w:snapToGrid w:val="0"/>
    </w:pPr>
  </w:style>
  <w:style w:type="character" w:customStyle="1" w:styleId="FooterChar">
    <w:name w:val="Footer Char"/>
    <w:basedOn w:val="DefaultParagraphFont"/>
    <w:link w:val="Footer"/>
    <w:uiPriority w:val="99"/>
    <w:rsid w:val="00297201"/>
  </w:style>
  <w:style w:type="character" w:styleId="UnresolvedMention">
    <w:name w:val="Unresolved Mention"/>
    <w:basedOn w:val="DefaultParagraphFont"/>
    <w:uiPriority w:val="99"/>
    <w:semiHidden/>
    <w:unhideWhenUsed/>
    <w:rsid w:val="00BE4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08026">
      <w:bodyDiv w:val="1"/>
      <w:marLeft w:val="0"/>
      <w:marRight w:val="0"/>
      <w:marTop w:val="0"/>
      <w:marBottom w:val="0"/>
      <w:divBdr>
        <w:top w:val="none" w:sz="0" w:space="0" w:color="auto"/>
        <w:left w:val="none" w:sz="0" w:space="0" w:color="auto"/>
        <w:bottom w:val="none" w:sz="0" w:space="0" w:color="auto"/>
        <w:right w:val="none" w:sz="0" w:space="0" w:color="auto"/>
      </w:divBdr>
    </w:div>
    <w:div w:id="1363701446">
      <w:bodyDiv w:val="1"/>
      <w:marLeft w:val="0"/>
      <w:marRight w:val="0"/>
      <w:marTop w:val="0"/>
      <w:marBottom w:val="0"/>
      <w:divBdr>
        <w:top w:val="none" w:sz="0" w:space="0" w:color="auto"/>
        <w:left w:val="none" w:sz="0" w:space="0" w:color="auto"/>
        <w:bottom w:val="none" w:sz="0" w:space="0" w:color="auto"/>
        <w:right w:val="none" w:sz="0" w:space="0" w:color="auto"/>
      </w:divBdr>
      <w:divsChild>
        <w:div w:id="2105685572">
          <w:marLeft w:val="0"/>
          <w:marRight w:val="0"/>
          <w:marTop w:val="0"/>
          <w:marBottom w:val="0"/>
          <w:divBdr>
            <w:top w:val="none" w:sz="0" w:space="0" w:color="auto"/>
            <w:left w:val="none" w:sz="0" w:space="0" w:color="auto"/>
            <w:bottom w:val="none" w:sz="0" w:space="0" w:color="auto"/>
            <w:right w:val="none" w:sz="0" w:space="0" w:color="auto"/>
          </w:divBdr>
          <w:divsChild>
            <w:div w:id="1835409173">
              <w:marLeft w:val="0"/>
              <w:marRight w:val="0"/>
              <w:marTop w:val="0"/>
              <w:marBottom w:val="0"/>
              <w:divBdr>
                <w:top w:val="none" w:sz="0" w:space="0" w:color="auto"/>
                <w:left w:val="none" w:sz="0" w:space="0" w:color="auto"/>
                <w:bottom w:val="none" w:sz="0" w:space="0" w:color="auto"/>
                <w:right w:val="none" w:sz="0" w:space="0" w:color="auto"/>
              </w:divBdr>
              <w:divsChild>
                <w:div w:id="120641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63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13</Pages>
  <Words>3287</Words>
  <Characters>18736</Characters>
  <Application>Microsoft Office Word</Application>
  <DocSecurity>0</DocSecurity>
  <Lines>156</Lines>
  <Paragraphs>43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 Hare-Papaya Syrup and Iron Status in Stunted Toddlers</dc:title>
  <dc:subject/>
  <dc:creator/>
  <cp:keywords/>
  <dc:description/>
  <cp:lastModifiedBy>.</cp:lastModifiedBy>
  <cp:revision>472</cp:revision>
  <dcterms:created xsi:type="dcterms:W3CDTF">2017-07-14T05:06:00Z</dcterms:created>
  <dcterms:modified xsi:type="dcterms:W3CDTF">2026-07-20T08:33:00Z</dcterms:modified>
  <cp:category/>
</cp:coreProperties>
</file>