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40" w:lineRule="auto"/>
        <w:jc w:val="center"/>
      </w:pPr>
      <w:r>
        <w:rPr>
          <w:rFonts w:ascii="Trebuchet MS" w:hAnsi="Trebuchet MS" w:eastAsia="Trebuchet MS"/>
          <w:b/>
          <w:sz w:val="28"/>
        </w:rPr>
        <w:t>COMMUNITY-BASED GUIDED IMAGERY AND</w:t>
        <w:br/>
        <w:t>GOLDEN BANANA COOKIE SUPPLEMENTATION FOR</w:t>
        <w:br/>
        <w:t>SUPPORTING ESTIMATED FETAL WEIGHT AMONG</w:t>
        <w:br/>
        <w:t>PREGNANT WOMEN WITH ANXIETY IN KENDARI, INDONESIA</w:t>
      </w:r>
    </w:p>
    <w:p>
      <w:pPr>
        <w:spacing w:before="0" w:after="160" w:line="240" w:lineRule="auto"/>
        <w:jc w:val="center"/>
      </w:pPr>
      <w:r>
        <w:rPr>
          <w:rFonts w:ascii="Trebuchet MS" w:hAnsi="Trebuchet MS" w:eastAsia="Trebuchet MS"/>
          <w:b w:val="0"/>
          <w:i/>
          <w:sz w:val="20"/>
        </w:rPr>
        <w:t>Original Paper</w:t>
      </w:r>
    </w:p>
    <w:p>
      <w:pPr>
        <w:spacing w:before="0" w:after="0" w:line="240" w:lineRule="auto"/>
        <w:jc w:val="center"/>
      </w:pPr>
      <w:r>
        <w:rPr>
          <w:rFonts w:ascii="Trebuchet MS" w:hAnsi="Trebuchet MS" w:eastAsia="Trebuchet MS"/>
          <w:b/>
          <w:i w:val="0"/>
          <w:sz w:val="20"/>
        </w:rPr>
        <w:t>Kartini¹*, Arsulfa¹, Farming¹, Sultima Sarita¹, Halijah¹, Syahrianti¹, Sitti Aisa¹, Haikmadayani¹</w:t>
      </w:r>
    </w:p>
    <w:p>
      <w:pPr>
        <w:spacing w:before="0" w:after="120" w:line="240" w:lineRule="auto"/>
        <w:jc w:val="center"/>
      </w:pPr>
      <w:r>
        <w:rPr>
          <w:rFonts w:ascii="Trebuchet MS" w:hAnsi="Trebuchet MS" w:eastAsia="Trebuchet MS"/>
          <w:b w:val="0"/>
          <w:i w:val="0"/>
          <w:sz w:val="20"/>
        </w:rPr>
        <w:t>¹Poltekkes Kemenkes Kendari, Jl. Jenderal A.H. Nasution No. G14, Anduonohu, Kendari 93232, Southeast Sulawesi, Indonesia</w:t>
      </w:r>
    </w:p>
    <w:p>
      <w:pPr>
        <w:spacing w:before="0" w:after="160" w:line="240" w:lineRule="auto"/>
        <w:jc w:val="center"/>
      </w:pPr>
      <w:r>
        <w:rPr>
          <w:rFonts w:ascii="Trebuchet MS" w:hAnsi="Trebuchet MS" w:eastAsia="Trebuchet MS"/>
          <w:b w:val="0"/>
          <w:i w:val="0"/>
          <w:sz w:val="20"/>
        </w:rPr>
        <w:t>*Corresponding author</w:t>
      </w:r>
    </w:p>
    <w:p>
      <w:pPr>
        <w:spacing w:before="0" w:after="40" w:line="240" w:lineRule="auto"/>
      </w:pPr>
      <w:r>
        <w:rPr>
          <w:rFonts w:ascii="Trebuchet MS" w:hAnsi="Trebuchet MS" w:eastAsia="Trebuchet MS"/>
          <w:b/>
          <w:i w:val="0"/>
          <w:sz w:val="21"/>
        </w:rPr>
        <w:t>CORRESPONDING AUTHOR</w:t>
      </w:r>
    </w:p>
    <w:p>
      <w:pPr>
        <w:spacing w:before="0" w:after="0" w:line="240" w:lineRule="auto"/>
      </w:pPr>
      <w:r>
        <w:rPr>
          <w:rFonts w:ascii="Trebuchet MS" w:hAnsi="Trebuchet MS" w:eastAsia="Trebuchet MS"/>
          <w:b/>
          <w:sz w:val="20"/>
        </w:rPr>
        <w:t xml:space="preserve">Name: </w:t>
      </w:r>
      <w:r>
        <w:rPr>
          <w:rFonts w:ascii="Trebuchet MS" w:hAnsi="Trebuchet MS" w:eastAsia="Trebuchet MS"/>
          <w:sz w:val="20"/>
        </w:rPr>
        <w:t>Kartini</w:t>
      </w:r>
    </w:p>
    <w:p>
      <w:pPr>
        <w:spacing w:before="0" w:after="0" w:line="240" w:lineRule="auto"/>
      </w:pPr>
      <w:r>
        <w:rPr>
          <w:rFonts w:ascii="Trebuchet MS" w:hAnsi="Trebuchet MS" w:eastAsia="Trebuchet MS"/>
          <w:b/>
          <w:sz w:val="20"/>
        </w:rPr>
        <w:t xml:space="preserve">Affiliation: </w:t>
      </w:r>
      <w:r>
        <w:rPr>
          <w:rFonts w:ascii="Trebuchet MS" w:hAnsi="Trebuchet MS" w:eastAsia="Trebuchet MS"/>
          <w:sz w:val="20"/>
        </w:rPr>
        <w:t>Poltekkes Kemenkes Kendari</w:t>
      </w:r>
    </w:p>
    <w:p>
      <w:pPr>
        <w:spacing w:before="0" w:after="0" w:line="240" w:lineRule="auto"/>
      </w:pPr>
      <w:r>
        <w:rPr>
          <w:rFonts w:ascii="Trebuchet MS" w:hAnsi="Trebuchet MS" w:eastAsia="Trebuchet MS"/>
          <w:b/>
          <w:sz w:val="20"/>
        </w:rPr>
        <w:t xml:space="preserve">Postal address: </w:t>
      </w:r>
      <w:r>
        <w:rPr>
          <w:rFonts w:ascii="Trebuchet MS" w:hAnsi="Trebuchet MS" w:eastAsia="Trebuchet MS"/>
          <w:sz w:val="20"/>
        </w:rPr>
        <w:t>Jalan Beringin 3, Kendari Caddi, Kecamatan Kendari, Sulawesi Tenggara, Indonesia</w:t>
      </w:r>
    </w:p>
    <w:p>
      <w:pPr>
        <w:spacing w:before="0" w:after="0" w:line="240" w:lineRule="auto"/>
      </w:pPr>
      <w:r>
        <w:rPr>
          <w:rFonts w:ascii="Trebuchet MS" w:hAnsi="Trebuchet MS" w:eastAsia="Trebuchet MS"/>
          <w:b/>
          <w:sz w:val="20"/>
        </w:rPr>
        <w:t xml:space="preserve">E-mail: </w:t>
      </w:r>
      <w:r>
        <w:rPr>
          <w:rFonts w:ascii="Trebuchet MS" w:hAnsi="Trebuchet MS" w:eastAsia="Trebuchet MS"/>
          <w:sz w:val="20"/>
        </w:rPr>
        <w:t>gloriakartini@gmail.com</w:t>
      </w:r>
    </w:p>
    <w:p>
      <w:pPr>
        <w:spacing w:before="160" w:after="40" w:line="240" w:lineRule="auto"/>
      </w:pPr>
      <w:r>
        <w:rPr>
          <w:rFonts w:ascii="Trebuchet MS" w:hAnsi="Trebuchet MS" w:eastAsia="Trebuchet MS"/>
          <w:b/>
          <w:i w:val="0"/>
          <w:sz w:val="21"/>
        </w:rPr>
        <w:t>ETHICAL APPROVAL AND CONSENT TO PARTICIPATE</w:t>
      </w:r>
    </w:p>
    <w:p>
      <w:pPr>
        <w:spacing w:before="0" w:after="100" w:line="240" w:lineRule="auto"/>
      </w:pPr>
      <w:r>
        <w:rPr>
          <w:rFonts w:ascii="Trebuchet MS" w:hAnsi="Trebuchet MS" w:eastAsia="Trebuchet MS"/>
          <w:b w:val="0"/>
          <w:i w:val="0"/>
          <w:sz w:val="20"/>
        </w:rPr>
        <w:t>The study protocol was reviewed and approved by the Research Ethics Committee of STIKES Nani Hasanuddin, Makassar, Indonesia (Approval No. 87/STIKES-NH/KEPK/II/2021; protocol version dated 12 February 2021). The ethics approval letter classifies the protocol as exempted under the committee's review procedure. Written informed consent was obtained from all participants before enrolment. All procedures were conducted in accordance with the ethical principles of the Declaration of Helsinki.</w:t>
      </w:r>
    </w:p>
    <w:p>
      <w:pPr>
        <w:spacing w:before="40" w:after="40" w:line="240" w:lineRule="auto"/>
      </w:pPr>
      <w:r>
        <w:rPr>
          <w:rFonts w:ascii="Trebuchet MS" w:hAnsi="Trebuchet MS" w:eastAsia="Trebuchet MS"/>
          <w:b/>
          <w:i w:val="0"/>
          <w:sz w:val="21"/>
        </w:rPr>
        <w:t>DECLARATIONS</w:t>
      </w:r>
    </w:p>
    <w:p>
      <w:pPr>
        <w:spacing w:before="0" w:after="0" w:line="240" w:lineRule="auto"/>
      </w:pPr>
      <w:r>
        <w:rPr>
          <w:rFonts w:ascii="Trebuchet MS" w:hAnsi="Trebuchet MS" w:eastAsia="Trebuchet MS"/>
          <w:b/>
          <w:sz w:val="20"/>
        </w:rPr>
        <w:t xml:space="preserve">Competing interests: </w:t>
      </w:r>
      <w:r>
        <w:rPr>
          <w:rFonts w:ascii="Trebuchet MS" w:hAnsi="Trebuchet MS" w:eastAsia="Trebuchet MS"/>
          <w:sz w:val="20"/>
        </w:rPr>
        <w:t>The authors declare no competing interests.</w:t>
      </w:r>
    </w:p>
    <w:p>
      <w:pPr>
        <w:spacing w:before="0" w:after="0" w:line="240" w:lineRule="auto"/>
      </w:pPr>
      <w:r>
        <w:rPr>
          <w:rFonts w:ascii="Trebuchet MS" w:hAnsi="Trebuchet MS" w:eastAsia="Trebuchet MS"/>
          <w:b/>
          <w:sz w:val="20"/>
        </w:rPr>
        <w:t xml:space="preserve">Funding: </w:t>
      </w:r>
      <w:r>
        <w:rPr>
          <w:rFonts w:ascii="Trebuchet MS" w:hAnsi="Trebuchet MS" w:eastAsia="Trebuchet MS"/>
          <w:sz w:val="20"/>
        </w:rPr>
        <w:t>No external funding was received.</w:t>
      </w:r>
    </w:p>
    <w:p>
      <w:pPr>
        <w:spacing w:before="0" w:after="0" w:line="240" w:lineRule="auto"/>
      </w:pPr>
      <w:r>
        <w:rPr>
          <w:rFonts w:ascii="Trebuchet MS" w:hAnsi="Trebuchet MS" w:eastAsia="Trebuchet MS"/>
          <w:b/>
          <w:sz w:val="20"/>
        </w:rPr>
        <w:t xml:space="preserve">Acknowledgements: </w:t>
      </w:r>
      <w:r>
        <w:rPr>
          <w:rFonts w:ascii="Trebuchet MS" w:hAnsi="Trebuchet MS" w:eastAsia="Trebuchet MS"/>
          <w:sz w:val="20"/>
        </w:rPr>
        <w:t>The authors thank all pregnant women and health workers who supported the data collection process.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