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Trebuchet MS" w:hAnsi="Trebuchet MS" w:eastAsia="Trebuchet MS"/>
          <w:b/>
          <w:sz w:val="28"/>
        </w:rPr>
        <w:t>CORRELATES OF HYPOGLYCAEMIA AWARENESS AMONG PATIENTS WITH TYPE 2 DIABETES MELLITUS IN AN INDONESIAN PRIMARY HEALTH CARE SETTING</w:t>
      </w:r>
    </w:p>
    <w:p>
      <w:pPr>
        <w:spacing w:after="120" w:before="0" w:line="240" w:lineRule="auto"/>
      </w:pPr>
    </w:p>
    <w:p>
      <w:pPr>
        <w:spacing w:after="0"/>
        <w:jc w:val="center"/>
      </w:pPr>
      <w:r>
        <w:rPr>
          <w:rFonts w:ascii="Trebuchet MS" w:hAnsi="Trebuchet MS" w:eastAsia="Trebuchet MS"/>
          <w:sz w:val="20"/>
        </w:rPr>
        <w:t>Maria Manungkalit*</w:t>
      </w:r>
      <w:r>
        <w:rPr>
          <w:rFonts w:ascii="Trebuchet MS" w:hAnsi="Trebuchet MS" w:eastAsia="Trebuchet MS"/>
          <w:sz w:val="20"/>
          <w:vertAlign w:val="superscript"/>
        </w:rPr>
        <w:t>1</w:t>
      </w:r>
      <w:r>
        <w:t xml:space="preserve">, </w:t>
      </w:r>
      <w:r>
        <w:rPr>
          <w:rFonts w:ascii="Trebuchet MS" w:hAnsi="Trebuchet MS" w:eastAsia="Trebuchet MS"/>
          <w:sz w:val="20"/>
        </w:rPr>
        <w:t>Ni Putu Wulan Purnama Sari</w:t>
      </w:r>
      <w:r>
        <w:rPr>
          <w:rFonts w:ascii="Trebuchet MS" w:hAnsi="Trebuchet MS" w:eastAsia="Trebuchet MS"/>
          <w:sz w:val="20"/>
          <w:vertAlign w:val="superscript"/>
        </w:rPr>
        <w:t>1</w:t>
      </w:r>
      <w:r>
        <w:t xml:space="preserve">, </w:t>
      </w:r>
      <w:r>
        <w:rPr>
          <w:rFonts w:ascii="Trebuchet MS" w:hAnsi="Trebuchet MS" w:eastAsia="Trebuchet MS"/>
          <w:sz w:val="20"/>
        </w:rPr>
        <w:t>Agustina Chriswinda Bura Mare</w:t>
      </w:r>
      <w:r>
        <w:rPr>
          <w:rFonts w:ascii="Trebuchet MS" w:hAnsi="Trebuchet MS" w:eastAsia="Trebuchet MS"/>
          <w:sz w:val="20"/>
          <w:vertAlign w:val="superscript"/>
        </w:rPr>
        <w:t>1</w:t>
      </w:r>
    </w:p>
    <w:p>
      <w:pPr>
        <w:spacing w:after="80" w:before="0" w:line="240" w:lineRule="auto"/>
      </w:pPr>
    </w:p>
    <w:p>
      <w:pPr>
        <w:spacing w:after="0"/>
        <w:jc w:val="center"/>
      </w:pPr>
      <w:r>
        <w:rPr>
          <w:rFonts w:ascii="Trebuchet MS" w:hAnsi="Trebuchet MS" w:eastAsia="Trebuchet MS"/>
          <w:sz w:val="20"/>
        </w:rPr>
        <w:t>1 Faculty of Nursing, Widya Mandala Surabaya Catholic University, Jl. Raya Kalisari Selatan 1, Pakuwon City, Surabaya 60112, Indonesia</w:t>
      </w:r>
    </w:p>
    <w:p>
      <w:pPr>
        <w:spacing w:after="120" w:before="0" w:line="240" w:lineRule="auto"/>
      </w:pPr>
    </w:p>
    <w:p>
      <w:pPr>
        <w:pStyle w:val="MJPHMSubheading"/>
        <w:keepNext/>
      </w:pPr>
      <w:r>
        <w:rPr>
          <w:rFonts w:ascii="Trebuchet MS" w:hAnsi="Trebuchet MS" w:eastAsia="Trebuchet MS"/>
          <w:b/>
          <w:sz w:val="20"/>
        </w:rPr>
        <w:t>Corresponding author</w:t>
      </w:r>
    </w:p>
    <w:p>
      <w:pPr>
        <w:spacing w:before="0" w:after="0" w:line="240" w:lineRule="auto"/>
      </w:pPr>
      <w:r>
        <w:rPr>
          <w:rFonts w:ascii="Trebuchet MS" w:hAnsi="Trebuchet MS" w:eastAsia="Trebuchet MS"/>
          <w:i w:val="0"/>
          <w:sz w:val="20"/>
        </w:rPr>
        <w:t>Maria Manungkalit</w:t>
        <w:br/>
        <w:t>Faculty of Nursing, Widya Mandala Surabaya Catholic University</w:t>
        <w:br/>
        <w:t>Perum Grand Semanggo Residence Blok B No. 15, Kelurahan Wonorejo, Kecamatan Rungkut, Surabaya 60296, Indonesia</w:t>
        <w:br/>
        <w:t>Email: Maria-manungkalit@ukwms.ac.id</w:t>
      </w:r>
    </w:p>
    <w:p>
      <w:pPr>
        <w:spacing w:after="80" w:before="0" w:line="240" w:lineRule="auto"/>
      </w:pPr>
    </w:p>
    <w:p>
      <w:pPr>
        <w:pStyle w:val="MJPHMSubheading"/>
        <w:keepNext/>
      </w:pPr>
      <w:r>
        <w:rPr>
          <w:rFonts w:ascii="Trebuchet MS" w:hAnsi="Trebuchet MS" w:eastAsia="Trebuchet MS"/>
          <w:b/>
          <w:sz w:val="20"/>
        </w:rPr>
        <w:t>Author identifiers</w:t>
      </w:r>
    </w:p>
    <w:p>
      <w:pPr>
        <w:spacing w:before="0" w:after="0" w:line="240" w:lineRule="auto"/>
      </w:pPr>
      <w:r>
        <w:rPr>
          <w:rFonts w:ascii="Trebuchet MS" w:hAnsi="Trebuchet MS" w:eastAsia="Trebuchet MS"/>
          <w:i w:val="0"/>
          <w:sz w:val="20"/>
        </w:rPr>
        <w:t>Maria Manungkalit: ORCID 0000-0002-7038-7664; Scopus ID 58153982800</w:t>
      </w:r>
    </w:p>
    <w:p>
      <w:pPr>
        <w:spacing w:before="0" w:after="0" w:line="240" w:lineRule="auto"/>
      </w:pPr>
      <w:r>
        <w:rPr>
          <w:rFonts w:ascii="Trebuchet MS" w:hAnsi="Trebuchet MS" w:eastAsia="Trebuchet MS"/>
          <w:i w:val="0"/>
          <w:sz w:val="20"/>
        </w:rPr>
        <w:t>Ni Putu Wulan Purnama Sari: ORCID 0000-0002-8869-9607; Scopus ID 57203529996</w:t>
      </w:r>
    </w:p>
    <w:p>
      <w:pPr>
        <w:spacing w:before="0" w:after="0" w:line="240" w:lineRule="auto"/>
      </w:pPr>
      <w:r>
        <w:rPr>
          <w:rFonts w:ascii="Trebuchet MS" w:hAnsi="Trebuchet MS" w:eastAsia="Trebuchet MS"/>
          <w:i w:val="0"/>
          <w:sz w:val="20"/>
        </w:rPr>
        <w:t>Agustina Chriswinda Bura Mare: ORCID 0009-0006-6919-5813</w:t>
      </w:r>
    </w:p>
    <w:p>
      <w:pPr>
        <w:spacing w:after="80" w:before="0" w:line="240" w:lineRule="auto"/>
      </w:pPr>
    </w:p>
    <w:p>
      <w:pPr>
        <w:pStyle w:val="MJPHMSubheading"/>
        <w:keepNext/>
      </w:pPr>
      <w:r>
        <w:rPr>
          <w:rFonts w:ascii="Trebuchet MS" w:hAnsi="Trebuchet MS" w:eastAsia="Trebuchet MS"/>
          <w:b/>
          <w:sz w:val="20"/>
        </w:rPr>
        <w:t>Article type</w:t>
      </w:r>
    </w:p>
    <w:p>
      <w:pPr>
        <w:spacing w:before="0" w:after="0" w:line="240" w:lineRule="auto"/>
      </w:pPr>
      <w:r>
        <w:rPr>
          <w:rFonts w:ascii="Trebuchet MS" w:hAnsi="Trebuchet MS" w:eastAsia="Trebuchet MS"/>
          <w:i w:val="0"/>
          <w:sz w:val="20"/>
        </w:rPr>
        <w:t>Original paper</w:t>
      </w:r>
    </w:p>
    <w:p>
      <w:pPr>
        <w:pStyle w:val="MJPHMSubheading"/>
        <w:keepNext/>
      </w:pPr>
      <w:r>
        <w:rPr>
          <w:rFonts w:ascii="Trebuchet MS" w:hAnsi="Trebuchet MS" w:eastAsia="Trebuchet MS"/>
          <w:b/>
          <w:sz w:val="20"/>
        </w:rPr>
        <w:t>Short title</w:t>
      </w:r>
    </w:p>
    <w:p>
      <w:pPr>
        <w:spacing w:before="0" w:after="0" w:line="240" w:lineRule="auto"/>
      </w:pPr>
      <w:r>
        <w:rPr>
          <w:rFonts w:ascii="Trebuchet MS" w:hAnsi="Trebuchet MS" w:eastAsia="Trebuchet MS"/>
          <w:i w:val="0"/>
          <w:sz w:val="20"/>
        </w:rPr>
        <w:t>Hypoglycaemia Awareness in Type 2 Diabetes</w:t>
      </w:r>
    </w:p>
    <w:p>
      <w:pPr>
        <w:pStyle w:val="MJPHMSubheading"/>
        <w:keepNext/>
      </w:pPr>
      <w:r>
        <w:rPr>
          <w:rFonts w:ascii="Trebuchet MS" w:hAnsi="Trebuchet MS" w:eastAsia="Trebuchet MS"/>
          <w:b/>
          <w:sz w:val="20"/>
        </w:rPr>
        <w:t>Word count</w:t>
      </w:r>
    </w:p>
    <w:p>
      <w:pPr>
        <w:spacing w:before="0" w:after="0" w:line="240" w:lineRule="auto"/>
      </w:pPr>
      <w:r>
        <w:rPr>
          <w:rFonts w:ascii="Trebuchet MS" w:hAnsi="Trebuchet MS" w:eastAsia="Trebuchet MS"/>
          <w:i w:val="0"/>
          <w:sz w:val="20"/>
        </w:rPr>
        <w:t>Main text: approximately 1,482 words (excluding abstract, references and tables). Abstract: 220 words.</w:t>
      </w:r>
    </w:p>
    <w:p>
      <w:pPr>
        <w:pStyle w:val="MJPHMSubheading"/>
        <w:keepNext/>
      </w:pPr>
      <w:r>
        <w:rPr>
          <w:rFonts w:ascii="Trebuchet MS" w:hAnsi="Trebuchet MS" w:eastAsia="Trebuchet MS"/>
          <w:b/>
          <w:sz w:val="20"/>
        </w:rPr>
        <w:t>Number of tables and figures</w:t>
      </w:r>
    </w:p>
    <w:p>
      <w:pPr>
        <w:spacing w:before="0" w:after="0" w:line="240" w:lineRule="auto"/>
      </w:pPr>
      <w:r>
        <w:rPr>
          <w:rFonts w:ascii="Trebuchet MS" w:hAnsi="Trebuchet MS" w:eastAsia="Trebuchet MS"/>
          <w:i w:val="0"/>
          <w:sz w:val="20"/>
        </w:rPr>
        <w:t>Tables: 3. Figures: 0.</w:t>
      </w:r>
    </w:p>
    <w:p>
      <w:r>
        <w:br w:type="page"/>
      </w:r>
    </w:p>
    <w:p>
      <w:pPr>
        <w:spacing w:before="0" w:after="0" w:line="240" w:lineRule="auto"/>
        <w:jc w:val="center"/>
      </w:pPr>
      <w:r>
        <w:rPr>
          <w:rFonts w:ascii="Trebuchet MS" w:hAnsi="Trebuchet MS" w:eastAsia="Trebuchet MS"/>
          <w:b/>
          <w:sz w:val="28"/>
        </w:rPr>
        <w:t>CORRELATES OF HYPOGLYCAEMIA AWARENESS AMONG PATIENTS WITH TYPE 2 DIABETES MELLITUS IN AN INDONESIAN PRIMARY HEALTH CARE SETTING</w:t>
      </w:r>
    </w:p>
    <w:p>
      <w:pPr>
        <w:pStyle w:val="MJPHMHeading"/>
        <w:keepNext/>
      </w:pPr>
      <w:r>
        <w:rPr>
          <w:rFonts w:ascii="Trebuchet MS" w:hAnsi="Trebuchet MS" w:eastAsia="Trebuchet MS"/>
          <w:b/>
          <w:sz w:val="20"/>
        </w:rPr>
        <w:t>ABSTRACT</w:t>
      </w:r>
    </w:p>
    <w:p>
      <w:pPr>
        <w:spacing w:before="0" w:after="0" w:line="240" w:lineRule="auto"/>
      </w:pPr>
      <w:r>
        <w:rPr>
          <w:rFonts w:ascii="Trebuchet MS" w:hAnsi="Trebuchet MS" w:eastAsia="Trebuchet MS"/>
          <w:i w:val="0"/>
          <w:sz w:val="20"/>
        </w:rPr>
        <w:t>Hypoglycaemia is an important acute safety issue in diabetes care, particularly among patients who have difficulty recognising early warning symptoms. This study aimed to identify the strongest correlates of hypoglycaemia awareness among patients with type 2 diabetes mellitus receiving primary health care in Indonesia. A cross-sectional study was conducted among 110 adults with type 2 diabetes mellitus registered at a community health centre in Surabaya, Indonesia. Participants were recruited using purposive sampling during routine follow-up visits. Hypoglycaemia awareness was measured using the Hypoglycaemia Awareness Questionnaire. Data were analysed using descriptive statistics and Pearson or Spearman correlation tests according to data distribution. Most respondents were female (67.3%), married (74.5%), and high-school graduates (49.1%). Low hypoglycaemia awareness was reported by 104 respondents (94.5%). The item most strongly correlated with the total hypoglycaemia awareness score was relying on other people to recognise hypoglycaemia before the patient became aware of it (r=0.698, p&lt;0.001). Other strong correlates were reduced awareness compared with previous hypoglycaemic experience (r=0.692, p&lt;0.001) and checking blood glucose when feeling hypoglycaemic (r=0.681, p&lt;0.001). Low hypoglycaemia awareness was common in this primary health care sample. Diabetes education in community health services should include family or caregiver involvement, symptom recognition, and practical self-monitoring guidance to strengthen patient safety.</w:t>
      </w:r>
    </w:p>
    <w:p>
      <w:pPr>
        <w:spacing w:before="0" w:after="0" w:line="240" w:lineRule="auto"/>
      </w:pPr>
      <w:r>
        <w:rPr>
          <w:rFonts w:ascii="Trebuchet MS" w:hAnsi="Trebuchet MS" w:eastAsia="Trebuchet MS"/>
          <w:i w:val="0"/>
          <w:sz w:val="20"/>
        </w:rPr>
        <w:t>Keywords: diabetes mellitus; hypoglycaemia; health education; patient safety; primary health care</w:t>
      </w:r>
    </w:p>
    <w:p>
      <w:pPr>
        <w:pStyle w:val="MJPHMHeading"/>
        <w:keepNext/>
      </w:pPr>
      <w:r>
        <w:rPr>
          <w:rFonts w:ascii="Trebuchet MS" w:hAnsi="Trebuchet MS" w:eastAsia="Trebuchet MS"/>
          <w:b/>
          <w:sz w:val="20"/>
        </w:rPr>
        <w:t>INTRODUCTION</w:t>
      </w:r>
    </w:p>
    <w:p>
      <w:pPr>
        <w:spacing w:before="0" w:after="0" w:line="240" w:lineRule="auto"/>
      </w:pPr>
      <w:r>
        <w:rPr>
          <w:rFonts w:ascii="Trebuchet MS" w:hAnsi="Trebuchet MS" w:eastAsia="Trebuchet MS"/>
          <w:i w:val="0"/>
          <w:sz w:val="20"/>
        </w:rPr>
        <w:t>Diabetes mellitus remains a major non-communicable disease burden and an important challenge for public health systems. Its increasing prevalence requires continuous prevention, treatment, monitoring, and self-management support, especially in low- and middle-income countries where primary health care services provide routine follow-up for large numbers of patients</w:t>
      </w:r>
      <w:r>
        <w:rPr>
          <w:rFonts w:ascii="Trebuchet MS" w:hAnsi="Trebuchet MS" w:eastAsia="Trebuchet MS"/>
          <w:i w:val="0"/>
          <w:sz w:val="20"/>
          <w:vertAlign w:val="superscript"/>
        </w:rPr>
        <w:t>1,2</w:t>
      </w:r>
      <w:r>
        <w:rPr>
          <w:rFonts w:ascii="Trebuchet MS" w:hAnsi="Trebuchet MS" w:eastAsia="Trebuchet MS"/>
          <w:i w:val="0"/>
          <w:sz w:val="20"/>
        </w:rPr>
        <w:t>. In Indonesia, diabetes care is commonly delivered through community health centres, which provide regular screening, medication monitoring, education, and chronic disease follow-up.</w:t>
      </w:r>
    </w:p>
    <w:p>
      <w:pPr>
        <w:spacing w:before="0" w:after="0" w:line="240" w:lineRule="auto"/>
      </w:pPr>
      <w:r>
        <w:rPr>
          <w:rFonts w:ascii="Trebuchet MS" w:hAnsi="Trebuchet MS" w:eastAsia="Trebuchet MS"/>
          <w:i w:val="0"/>
          <w:sz w:val="20"/>
        </w:rPr>
        <w:t>Beyond long-term vascular complications, hypoglycaemia is a common acute complication of diabetes treatment. The risk is particularly relevant among patients using insulin or sulfonylureas, although other treatment and behavioural factors may also contribute</w:t>
      </w:r>
      <w:r>
        <w:rPr>
          <w:rFonts w:ascii="Trebuchet MS" w:hAnsi="Trebuchet MS" w:eastAsia="Trebuchet MS"/>
          <w:i w:val="0"/>
          <w:sz w:val="20"/>
          <w:vertAlign w:val="superscript"/>
        </w:rPr>
        <w:t>3,4</w:t>
      </w:r>
      <w:r>
        <w:rPr>
          <w:rFonts w:ascii="Trebuchet MS" w:hAnsi="Trebuchet MS" w:eastAsia="Trebuchet MS"/>
          <w:i w:val="0"/>
          <w:sz w:val="20"/>
        </w:rPr>
        <w:t>. Hypoglycaemia can cause tremor, sweating, weakness, confusion, behavioural change, loss of coordination, or more severe outcomes when not managed promptly</w:t>
      </w:r>
      <w:r>
        <w:rPr>
          <w:rFonts w:ascii="Trebuchet MS" w:hAnsi="Trebuchet MS" w:eastAsia="Trebuchet MS"/>
          <w:i w:val="0"/>
          <w:sz w:val="20"/>
          <w:vertAlign w:val="superscript"/>
        </w:rPr>
        <w:t>5,6</w:t>
      </w:r>
      <w:r>
        <w:rPr>
          <w:rFonts w:ascii="Trebuchet MS" w:hAnsi="Trebuchet MS" w:eastAsia="Trebuchet MS"/>
          <w:i w:val="0"/>
          <w:sz w:val="20"/>
        </w:rPr>
        <w:t>. Because many hypoglycaemic episodes occur at home or in daily living settings, early recognition by patients and family members is central to patient safety.</w:t>
      </w:r>
    </w:p>
    <w:p>
      <w:pPr>
        <w:spacing w:before="0" w:after="0" w:line="240" w:lineRule="auto"/>
      </w:pPr>
      <w:r>
        <w:rPr>
          <w:rFonts w:ascii="Trebuchet MS" w:hAnsi="Trebuchet MS" w:eastAsia="Trebuchet MS"/>
          <w:i w:val="0"/>
          <w:sz w:val="20"/>
        </w:rPr>
        <w:t>Impaired awareness of hypoglycaemia occurs when the usual autonomic warning response to falling blood glucose is reduced or absent, often after recurrent hypoglycaemic episodes</w:t>
      </w:r>
      <w:r>
        <w:rPr>
          <w:rFonts w:ascii="Trebuchet MS" w:hAnsi="Trebuchet MS" w:eastAsia="Trebuchet MS"/>
          <w:i w:val="0"/>
          <w:sz w:val="20"/>
          <w:vertAlign w:val="superscript"/>
        </w:rPr>
        <w:t>7</w:t>
      </w:r>
      <w:r>
        <w:rPr>
          <w:rFonts w:ascii="Trebuchet MS" w:hAnsi="Trebuchet MS" w:eastAsia="Trebuchet MS"/>
          <w:i w:val="0"/>
          <w:sz w:val="20"/>
        </w:rPr>
        <w:t>. This condition increases the risk of severe hypoglycaemia requiring external assistance and may lead to injury, hospitalisation, and mortality</w:t>
      </w:r>
      <w:r>
        <w:rPr>
          <w:rFonts w:ascii="Trebuchet MS" w:hAnsi="Trebuchet MS" w:eastAsia="Trebuchet MS"/>
          <w:i w:val="0"/>
          <w:sz w:val="20"/>
          <w:vertAlign w:val="superscript"/>
        </w:rPr>
        <w:t>4,8-10</w:t>
      </w:r>
      <w:r>
        <w:rPr>
          <w:rFonts w:ascii="Trebuchet MS" w:hAnsi="Trebuchet MS" w:eastAsia="Trebuchet MS"/>
          <w:i w:val="0"/>
          <w:sz w:val="20"/>
        </w:rPr>
        <w:t>. A systematic review has shown that impaired awareness is a global problem among people with diabetes, but evidence from Indonesian primary health care settings remains limited</w:t>
      </w:r>
      <w:r>
        <w:rPr>
          <w:rFonts w:ascii="Trebuchet MS" w:hAnsi="Trebuchet MS" w:eastAsia="Trebuchet MS"/>
          <w:i w:val="0"/>
          <w:sz w:val="20"/>
          <w:vertAlign w:val="superscript"/>
        </w:rPr>
        <w:t>8</w:t>
      </w:r>
      <w:r>
        <w:rPr>
          <w:rFonts w:ascii="Trebuchet MS" w:hAnsi="Trebuchet MS" w:eastAsia="Trebuchet MS"/>
          <w:i w:val="0"/>
          <w:sz w:val="20"/>
        </w:rPr>
        <w:t>.</w:t>
      </w:r>
    </w:p>
    <w:p>
      <w:pPr>
        <w:spacing w:before="0" w:after="0" w:line="240" w:lineRule="auto"/>
      </w:pPr>
      <w:r>
        <w:rPr>
          <w:rFonts w:ascii="Trebuchet MS" w:hAnsi="Trebuchet MS" w:eastAsia="Trebuchet MS"/>
          <w:i w:val="0"/>
          <w:sz w:val="20"/>
        </w:rPr>
        <w:t>Primary health care professionals are well positioned to identify patients who may not recognise hypoglycaemia early. Routine diabetes visits provide opportunities to ask about previous hypoglycaemic symptoms, self-monitoring behaviour, and the role of family or caregivers in recognising warning signs. However, previous studies have focused mainly on clinical characteristics, while behavioural and family-related aspects have received less attention in community-based diabetes care</w:t>
      </w:r>
      <w:r>
        <w:rPr>
          <w:rFonts w:ascii="Trebuchet MS" w:hAnsi="Trebuchet MS" w:eastAsia="Trebuchet MS"/>
          <w:i w:val="0"/>
          <w:sz w:val="20"/>
          <w:vertAlign w:val="superscript"/>
        </w:rPr>
        <w:t>11,12</w:t>
      </w:r>
      <w:r>
        <w:rPr>
          <w:rFonts w:ascii="Trebuchet MS" w:hAnsi="Trebuchet MS" w:eastAsia="Trebuchet MS"/>
          <w:i w:val="0"/>
          <w:sz w:val="20"/>
        </w:rPr>
        <w:t>. Therefore, this study aimed to identify the strongest correlates of hypoglycaemia awareness among patients with type 2 diabetes mellitus in an Indonesian community health centre by examining clinical, behavioural, and self-care factors.</w:t>
      </w:r>
    </w:p>
    <w:p>
      <w:pPr>
        <w:pStyle w:val="MJPHMHeading"/>
        <w:keepNext/>
      </w:pPr>
      <w:r>
        <w:rPr>
          <w:rFonts w:ascii="Trebuchet MS" w:hAnsi="Trebuchet MS" w:eastAsia="Trebuchet MS"/>
          <w:b/>
          <w:sz w:val="20"/>
        </w:rPr>
        <w:t>METHODOLOGY</w:t>
      </w:r>
    </w:p>
    <w:p>
      <w:pPr>
        <w:pStyle w:val="MJPHMSubheading"/>
        <w:keepNext/>
      </w:pPr>
      <w:r>
        <w:rPr>
          <w:rFonts w:ascii="Trebuchet MS" w:hAnsi="Trebuchet MS" w:eastAsia="Trebuchet MS"/>
          <w:b/>
          <w:sz w:val="20"/>
        </w:rPr>
        <w:t>Study design and setting</w:t>
      </w:r>
    </w:p>
    <w:p>
      <w:pPr>
        <w:spacing w:before="0" w:after="0" w:line="240" w:lineRule="auto"/>
      </w:pPr>
      <w:r>
        <w:rPr>
          <w:rFonts w:ascii="Trebuchet MS" w:hAnsi="Trebuchet MS" w:eastAsia="Trebuchet MS"/>
          <w:i w:val="0"/>
          <w:sz w:val="20"/>
        </w:rPr>
        <w:t>This cross-sectional study was conducted at a community health centre in Surabaya, Indonesia. The design was selected to describe the level of hypoglycaemia awareness and its correlates among patients with type 2 diabetes mellitus receiving routine primary health care follow-up.</w:t>
      </w:r>
    </w:p>
    <w:p>
      <w:pPr>
        <w:pStyle w:val="MJPHMSubheading"/>
        <w:keepNext/>
      </w:pPr>
      <w:r>
        <w:rPr>
          <w:rFonts w:ascii="Trebuchet MS" w:hAnsi="Trebuchet MS" w:eastAsia="Trebuchet MS"/>
          <w:b/>
          <w:sz w:val="20"/>
        </w:rPr>
        <w:t>Population, sample, and sampling technique</w:t>
      </w:r>
    </w:p>
    <w:p>
      <w:pPr>
        <w:spacing w:before="0" w:after="0" w:line="240" w:lineRule="auto"/>
      </w:pPr>
      <w:r>
        <w:rPr>
          <w:rFonts w:ascii="Trebuchet MS" w:hAnsi="Trebuchet MS" w:eastAsia="Trebuchet MS"/>
          <w:i w:val="0"/>
          <w:sz w:val="20"/>
        </w:rPr>
        <w:t>The study population consisted of all patients with type 2 diabetes mellitus registered in the working area of the community health centre. Based on 2024 service records, 1,722 patients with type 2 diabetes were registered. Participants were recruited using purposive sampling during follow-up visits from 14 to 26 July 2025. The inclusion criteria were diagnosis of type 2 diabetes mellitus for at least six months, registration as a regular patient at the community health centre, and attendance during the data collection period. A total of 110 respondents met the criteria and agreed to participate.</w:t>
      </w:r>
    </w:p>
    <w:p>
      <w:pPr>
        <w:pStyle w:val="MJPHMSubheading"/>
        <w:keepNext/>
      </w:pPr>
      <w:r>
        <w:rPr>
          <w:rFonts w:ascii="Trebuchet MS" w:hAnsi="Trebuchet MS" w:eastAsia="Trebuchet MS"/>
          <w:b/>
          <w:sz w:val="20"/>
        </w:rPr>
        <w:t>Instrument</w:t>
      </w:r>
    </w:p>
    <w:p>
      <w:pPr>
        <w:spacing w:before="0" w:after="0" w:line="240" w:lineRule="auto"/>
      </w:pPr>
      <w:r>
        <w:rPr>
          <w:rFonts w:ascii="Trebuchet MS" w:hAnsi="Trebuchet MS" w:eastAsia="Trebuchet MS"/>
          <w:i w:val="0"/>
          <w:sz w:val="20"/>
        </w:rPr>
        <w:t>Hypoglycaemia awareness was measured using the Hypoglycaemia Awareness Questionnaire (HypoA-Q), which contains 19 items assessing awareness during wakefulness and sleep, including impaired awareness, symptom severity, and symptom frequency. Responses were scored on a five-point Likert scale from 0 (never) to 4 (always). The questionnaire was translated into Indonesian by the research team. Because a standardised Indonesian version was not available, item validity and reliability testing were conducted before inferential analysis. Four invalid items (P2, P4, P5, and P15) were excluded from the item-level correlation analysis.</w:t>
      </w:r>
    </w:p>
    <w:p>
      <w:pPr>
        <w:pStyle w:val="MJPHMSubheading"/>
        <w:keepNext/>
      </w:pPr>
      <w:r>
        <w:rPr>
          <w:rFonts w:ascii="Trebuchet MS" w:hAnsi="Trebuchet MS" w:eastAsia="Trebuchet MS"/>
          <w:b/>
          <w:sz w:val="20"/>
        </w:rPr>
        <w:t>Data collection procedure</w:t>
      </w:r>
    </w:p>
    <w:p>
      <w:pPr>
        <w:spacing w:before="0" w:after="0" w:line="240" w:lineRule="auto"/>
      </w:pPr>
      <w:r>
        <w:rPr>
          <w:rFonts w:ascii="Trebuchet MS" w:hAnsi="Trebuchet MS" w:eastAsia="Trebuchet MS"/>
          <w:i w:val="0"/>
          <w:sz w:val="20"/>
        </w:rPr>
        <w:t>Administrative approval was obtained through the faculty, the relevant municipal agency, the city health office, and the community health centre before data collection. Three trained student data collectors assisted with questionnaire administration. Data were collected during routine follow-up visits. All responses were checked for completeness, coded, and entered into SPSS for analysis.</w:t>
      </w:r>
    </w:p>
    <w:p>
      <w:pPr>
        <w:pStyle w:val="MJPHMSubheading"/>
        <w:keepNext/>
      </w:pPr>
      <w:r>
        <w:rPr>
          <w:rFonts w:ascii="Trebuchet MS" w:hAnsi="Trebuchet MS" w:eastAsia="Trebuchet MS"/>
          <w:b/>
          <w:sz w:val="20"/>
        </w:rPr>
        <w:t>Data analysis</w:t>
      </w:r>
    </w:p>
    <w:p>
      <w:pPr>
        <w:spacing w:before="0" w:after="0" w:line="240" w:lineRule="auto"/>
      </w:pPr>
      <w:r>
        <w:rPr>
          <w:rFonts w:ascii="Trebuchet MS" w:hAnsi="Trebuchet MS" w:eastAsia="Trebuchet MS"/>
          <w:i w:val="0"/>
          <w:sz w:val="20"/>
        </w:rPr>
        <w:t>Data were analysed using SPSS software. Categorical variables were summarised as frequencies and percentages, while item scores were summarised using means and standard deviations. The total hypoglycaemia awareness score ranged from 0 to 76 and was categorised as low (0-25), moderate (26-50), or high (51-76) for descriptive presentation. Normality was assessed using the Kolmogorov-Smirnov test. Pearson correlation was used for normally distributed variables, and Spearman rank correlation was used for non-normally distributed variables. Statistical significance was set at p&lt;0.05. The statistical analysis used exact p values where available; values printed by the software as 0.000 were reported as p&lt;0.001.</w:t>
      </w:r>
    </w:p>
    <w:p>
      <w:pPr>
        <w:pStyle w:val="MJPHMSubheading"/>
        <w:keepNext/>
      </w:pPr>
      <w:r>
        <w:rPr>
          <w:rFonts w:ascii="Trebuchet MS" w:hAnsi="Trebuchet MS" w:eastAsia="Trebuchet MS"/>
          <w:b/>
          <w:sz w:val="20"/>
        </w:rPr>
        <w:t>Ethical considerations</w:t>
      </w:r>
    </w:p>
    <w:p>
      <w:pPr>
        <w:spacing w:before="0" w:after="0" w:line="240" w:lineRule="auto"/>
      </w:pPr>
      <w:r>
        <w:rPr>
          <w:rFonts w:ascii="Trebuchet MS" w:hAnsi="Trebuchet MS" w:eastAsia="Trebuchet MS"/>
          <w:i w:val="0"/>
          <w:sz w:val="20"/>
        </w:rPr>
        <w:t>Participation in this study was voluntary. All respondents were informed about the study objectives, data collection procedures, confidentiality, and their right to withdraw at any stage without consequences for their healthcare services. Written informed consent was obtained before questionnaire completion. No personally identifiable information was collected, and each respondent was assigned a study code for data management. Data were stored securely and presented only in aggregate form. The study used an anonymous questionnaire and involved no clinical intervention or experimental treatment. Administrative permission for data collection was obtained from the community health centre.</w:t>
      </w:r>
    </w:p>
    <w:p>
      <w:pPr>
        <w:pStyle w:val="MJPHMHeading"/>
        <w:keepNext/>
      </w:pPr>
      <w:r>
        <w:rPr>
          <w:rFonts w:ascii="Trebuchet MS" w:hAnsi="Trebuchet MS" w:eastAsia="Trebuchet MS"/>
          <w:b/>
          <w:sz w:val="20"/>
        </w:rPr>
        <w:t>RESULTS</w:t>
      </w:r>
    </w:p>
    <w:p>
      <w:pPr>
        <w:spacing w:before="0" w:after="0" w:line="240" w:lineRule="auto"/>
      </w:pPr>
      <w:r>
        <w:rPr>
          <w:rFonts w:ascii="Trebuchet MS" w:hAnsi="Trebuchet MS" w:eastAsia="Trebuchet MS"/>
          <w:i w:val="0"/>
          <w:sz w:val="20"/>
        </w:rPr>
        <w:t>A total of 110 patients with type 2 diabetes mellitus participated in this study. Most respondents were female (67.3%), middle-aged adults (45.5%), married (74.5%), and high-school graduates (49.1%) (Table 1).</w:t>
      </w:r>
    </w:p>
    <w:p>
      <w:r>
        <w:br w:type="page"/>
      </w:r>
    </w:p>
    <w:p>
      <w:pPr>
        <w:spacing w:before="120" w:after="0" w:line="240" w:lineRule="auto"/>
      </w:pPr>
      <w:r>
        <w:rPr>
          <w:rFonts w:ascii="Trebuchet MS" w:hAnsi="Trebuchet MS" w:eastAsia="Trebuchet MS"/>
          <w:b/>
          <w:sz w:val="20"/>
        </w:rPr>
        <w:t>Table 1. Demographic characteristics of respondents (n=110)</w:t>
      </w:r>
    </w:p>
    <w:tbl>
      <w:tblPr>
        <w:tblStyle w:val="TableGrid"/>
        <w:tblW w:type="auto" w:w="0"/>
        <w:jc w:val="center"/>
        <w:tblLayout w:type="autofit"/>
        <w:tblLook w:firstColumn="1" w:firstRow="1" w:lastColumn="0" w:lastRow="0" w:noHBand="0" w:noVBand="1" w:val="04A0"/>
      </w:tblPr>
      <w:tblGrid>
        <w:gridCol w:w="3400"/>
        <w:gridCol w:w="3400"/>
        <w:gridCol w:w="3400"/>
      </w:tblGrid>
      <w:tr>
        <w:tc>
          <w:tcPr>
            <w:tcW w:type="dxa" w:w="4608"/>
            <w:vAlign w:val="center"/>
            <w:shd w:fill="D9EAD3"/>
          </w:tcPr>
          <w:p>
            <w:pPr>
              <w:spacing w:after="0" w:before="0" w:line="240" w:lineRule="auto"/>
            </w:pPr>
            <w:r/>
            <w:r>
              <w:rPr>
                <w:rFonts w:ascii="Trebuchet MS" w:hAnsi="Trebuchet MS" w:eastAsia="Trebuchet MS"/>
                <w:b/>
                <w:i w:val="0"/>
                <w:sz w:val="20"/>
              </w:rPr>
              <w:t>Characteristics</w:t>
            </w:r>
          </w:p>
        </w:tc>
        <w:tc>
          <w:tcPr>
            <w:tcW w:type="dxa" w:w="2160"/>
            <w:vAlign w:val="center"/>
            <w:shd w:fill="D9EAD3"/>
          </w:tcPr>
          <w:p>
            <w:pPr>
              <w:spacing w:after="0" w:before="0" w:line="240" w:lineRule="auto"/>
            </w:pPr>
            <w:r/>
            <w:r>
              <w:rPr>
                <w:rFonts w:ascii="Trebuchet MS" w:hAnsi="Trebuchet MS" w:eastAsia="Trebuchet MS"/>
                <w:b/>
                <w:i w:val="0"/>
                <w:sz w:val="20"/>
              </w:rPr>
              <w:t>Frequency (n)</w:t>
            </w:r>
          </w:p>
        </w:tc>
        <w:tc>
          <w:tcPr>
            <w:tcW w:type="dxa" w:w="2160"/>
            <w:vAlign w:val="center"/>
            <w:shd w:fill="D9EAD3"/>
          </w:tcPr>
          <w:p>
            <w:pPr>
              <w:spacing w:after="0" w:before="0" w:line="240" w:lineRule="auto"/>
            </w:pPr>
            <w:r/>
            <w:r>
              <w:rPr>
                <w:rFonts w:ascii="Trebuchet MS" w:hAnsi="Trebuchet MS" w:eastAsia="Trebuchet MS"/>
                <w:b/>
                <w:i w:val="0"/>
                <w:sz w:val="20"/>
              </w:rPr>
              <w:t>Percentage (%)</w:t>
            </w:r>
          </w:p>
        </w:tc>
      </w:tr>
      <w:tr>
        <w:tc>
          <w:tcPr>
            <w:tcW w:type="dxa" w:w="4608"/>
            <w:vAlign w:val="center"/>
            <w:shd w:fill="F2F2F2"/>
          </w:tcPr>
          <w:p>
            <w:pPr>
              <w:spacing w:after="0" w:before="0" w:line="240" w:lineRule="auto"/>
            </w:pPr>
            <w:r/>
            <w:r>
              <w:rPr>
                <w:rFonts w:ascii="Trebuchet MS" w:hAnsi="Trebuchet MS" w:eastAsia="Trebuchet MS"/>
                <w:b/>
                <w:i w:val="0"/>
                <w:sz w:val="20"/>
              </w:rPr>
              <w:t>Sex</w:t>
            </w:r>
          </w:p>
        </w:tc>
        <w:tc>
          <w:tcPr>
            <w:tcW w:type="dxa" w:w="2160"/>
            <w:vAlign w:val="center"/>
          </w:tcPr>
          <w:p>
            <w:pPr>
              <w:spacing w:after="0" w:before="0" w:line="240" w:lineRule="auto"/>
            </w:pPr>
            <w:r/>
            <w:r>
              <w:rPr>
                <w:rFonts w:ascii="Trebuchet MS" w:hAnsi="Trebuchet MS" w:eastAsia="Trebuchet MS"/>
                <w:b w:val="0"/>
                <w:i w:val="0"/>
                <w:sz w:val="20"/>
              </w:rPr>
            </w:r>
          </w:p>
        </w:tc>
        <w:tc>
          <w:tcPr>
            <w:tcW w:type="dxa" w:w="2160"/>
            <w:vAlign w:val="center"/>
          </w:tcPr>
          <w:p>
            <w:pPr>
              <w:spacing w:after="0" w:before="0" w:line="240" w:lineRule="auto"/>
            </w:pPr>
            <w:r/>
            <w:r>
              <w:rPr>
                <w:rFonts w:ascii="Trebuchet MS" w:hAnsi="Trebuchet MS" w:eastAsia="Trebuchet MS"/>
                <w:b w:val="0"/>
                <w:i w:val="0"/>
                <w:sz w:val="20"/>
              </w:rPr>
            </w:r>
          </w:p>
        </w:tc>
      </w:tr>
      <w:tr>
        <w:tc>
          <w:tcPr>
            <w:tcW w:type="dxa" w:w="4608"/>
            <w:vAlign w:val="center"/>
          </w:tcPr>
          <w:p>
            <w:pPr>
              <w:spacing w:after="0" w:before="0" w:line="240" w:lineRule="auto"/>
            </w:pPr>
            <w:r/>
            <w:r>
              <w:rPr>
                <w:rFonts w:ascii="Trebuchet MS" w:hAnsi="Trebuchet MS" w:eastAsia="Trebuchet MS"/>
                <w:b w:val="0"/>
                <w:i w:val="0"/>
                <w:sz w:val="20"/>
              </w:rPr>
              <w:t>Female</w:t>
            </w:r>
          </w:p>
        </w:tc>
        <w:tc>
          <w:tcPr>
            <w:tcW w:type="dxa" w:w="2160"/>
            <w:vAlign w:val="center"/>
          </w:tcPr>
          <w:p>
            <w:pPr>
              <w:spacing w:after="0" w:before="0" w:line="240" w:lineRule="auto"/>
            </w:pPr>
            <w:r/>
            <w:r>
              <w:rPr>
                <w:rFonts w:ascii="Trebuchet MS" w:hAnsi="Trebuchet MS" w:eastAsia="Trebuchet MS"/>
                <w:b w:val="0"/>
                <w:i w:val="0"/>
                <w:sz w:val="20"/>
              </w:rPr>
              <w:t>74</w:t>
            </w:r>
          </w:p>
        </w:tc>
        <w:tc>
          <w:tcPr>
            <w:tcW w:type="dxa" w:w="2160"/>
            <w:vAlign w:val="center"/>
          </w:tcPr>
          <w:p>
            <w:pPr>
              <w:spacing w:after="0" w:before="0" w:line="240" w:lineRule="auto"/>
            </w:pPr>
            <w:r/>
            <w:r>
              <w:rPr>
                <w:rFonts w:ascii="Trebuchet MS" w:hAnsi="Trebuchet MS" w:eastAsia="Trebuchet MS"/>
                <w:b w:val="0"/>
                <w:i w:val="0"/>
                <w:sz w:val="20"/>
              </w:rPr>
              <w:t>67.3</w:t>
            </w:r>
          </w:p>
        </w:tc>
      </w:tr>
      <w:tr>
        <w:tc>
          <w:tcPr>
            <w:tcW w:type="dxa" w:w="4608"/>
            <w:vAlign w:val="center"/>
          </w:tcPr>
          <w:p>
            <w:pPr>
              <w:spacing w:after="0" w:before="0" w:line="240" w:lineRule="auto"/>
            </w:pPr>
            <w:r/>
            <w:r>
              <w:rPr>
                <w:rFonts w:ascii="Trebuchet MS" w:hAnsi="Trebuchet MS" w:eastAsia="Trebuchet MS"/>
                <w:b w:val="0"/>
                <w:i w:val="0"/>
                <w:sz w:val="20"/>
              </w:rPr>
              <w:t>Male</w:t>
            </w:r>
          </w:p>
        </w:tc>
        <w:tc>
          <w:tcPr>
            <w:tcW w:type="dxa" w:w="2160"/>
            <w:vAlign w:val="center"/>
          </w:tcPr>
          <w:p>
            <w:pPr>
              <w:spacing w:after="0" w:before="0" w:line="240" w:lineRule="auto"/>
            </w:pPr>
            <w:r/>
            <w:r>
              <w:rPr>
                <w:rFonts w:ascii="Trebuchet MS" w:hAnsi="Trebuchet MS" w:eastAsia="Trebuchet MS"/>
                <w:b w:val="0"/>
                <w:i w:val="0"/>
                <w:sz w:val="20"/>
              </w:rPr>
              <w:t>36</w:t>
            </w:r>
          </w:p>
        </w:tc>
        <w:tc>
          <w:tcPr>
            <w:tcW w:type="dxa" w:w="2160"/>
            <w:vAlign w:val="center"/>
          </w:tcPr>
          <w:p>
            <w:pPr>
              <w:spacing w:after="0" w:before="0" w:line="240" w:lineRule="auto"/>
            </w:pPr>
            <w:r/>
            <w:r>
              <w:rPr>
                <w:rFonts w:ascii="Trebuchet MS" w:hAnsi="Trebuchet MS" w:eastAsia="Trebuchet MS"/>
                <w:b w:val="0"/>
                <w:i w:val="0"/>
                <w:sz w:val="20"/>
              </w:rPr>
              <w:t>32.7</w:t>
            </w:r>
          </w:p>
        </w:tc>
      </w:tr>
      <w:tr>
        <w:tc>
          <w:tcPr>
            <w:tcW w:type="dxa" w:w="4608"/>
            <w:vAlign w:val="center"/>
            <w:shd w:fill="F2F2F2"/>
          </w:tcPr>
          <w:p>
            <w:pPr>
              <w:spacing w:after="0" w:before="0" w:line="240" w:lineRule="auto"/>
            </w:pPr>
            <w:r/>
            <w:r>
              <w:rPr>
                <w:rFonts w:ascii="Trebuchet MS" w:hAnsi="Trebuchet MS" w:eastAsia="Trebuchet MS"/>
                <w:b/>
                <w:i w:val="0"/>
                <w:sz w:val="20"/>
              </w:rPr>
              <w:t>Age group (years)</w:t>
            </w:r>
          </w:p>
        </w:tc>
        <w:tc>
          <w:tcPr>
            <w:tcW w:type="dxa" w:w="2160"/>
            <w:vAlign w:val="center"/>
          </w:tcPr>
          <w:p>
            <w:pPr>
              <w:spacing w:after="0" w:before="0" w:line="240" w:lineRule="auto"/>
            </w:pPr>
            <w:r/>
            <w:r>
              <w:rPr>
                <w:rFonts w:ascii="Trebuchet MS" w:hAnsi="Trebuchet MS" w:eastAsia="Trebuchet MS"/>
                <w:b w:val="0"/>
                <w:i w:val="0"/>
                <w:sz w:val="20"/>
              </w:rPr>
            </w:r>
          </w:p>
        </w:tc>
        <w:tc>
          <w:tcPr>
            <w:tcW w:type="dxa" w:w="2160"/>
            <w:vAlign w:val="center"/>
          </w:tcPr>
          <w:p>
            <w:pPr>
              <w:spacing w:after="0" w:before="0" w:line="240" w:lineRule="auto"/>
            </w:pPr>
            <w:r/>
            <w:r>
              <w:rPr>
                <w:rFonts w:ascii="Trebuchet MS" w:hAnsi="Trebuchet MS" w:eastAsia="Trebuchet MS"/>
                <w:b w:val="0"/>
                <w:i w:val="0"/>
                <w:sz w:val="20"/>
              </w:rPr>
            </w:r>
          </w:p>
        </w:tc>
      </w:tr>
      <w:tr>
        <w:tc>
          <w:tcPr>
            <w:tcW w:type="dxa" w:w="4608"/>
            <w:vAlign w:val="center"/>
          </w:tcPr>
          <w:p>
            <w:pPr>
              <w:spacing w:after="0" w:before="0" w:line="240" w:lineRule="auto"/>
            </w:pPr>
            <w:r/>
            <w:r>
              <w:rPr>
                <w:rFonts w:ascii="Trebuchet MS" w:hAnsi="Trebuchet MS" w:eastAsia="Trebuchet MS"/>
                <w:b w:val="0"/>
                <w:i w:val="0"/>
                <w:sz w:val="20"/>
              </w:rPr>
              <w:t>Early adult (20-30)</w:t>
            </w:r>
          </w:p>
        </w:tc>
        <w:tc>
          <w:tcPr>
            <w:tcW w:type="dxa" w:w="2160"/>
            <w:vAlign w:val="center"/>
          </w:tcPr>
          <w:p>
            <w:pPr>
              <w:spacing w:after="0" w:before="0" w:line="240" w:lineRule="auto"/>
            </w:pPr>
            <w:r/>
            <w:r>
              <w:rPr>
                <w:rFonts w:ascii="Trebuchet MS" w:hAnsi="Trebuchet MS" w:eastAsia="Trebuchet MS"/>
                <w:b w:val="0"/>
                <w:i w:val="0"/>
                <w:sz w:val="20"/>
              </w:rPr>
              <w:t>20</w:t>
            </w:r>
          </w:p>
        </w:tc>
        <w:tc>
          <w:tcPr>
            <w:tcW w:type="dxa" w:w="2160"/>
            <w:vAlign w:val="center"/>
          </w:tcPr>
          <w:p>
            <w:pPr>
              <w:spacing w:after="0" w:before="0" w:line="240" w:lineRule="auto"/>
            </w:pPr>
            <w:r/>
            <w:r>
              <w:rPr>
                <w:rFonts w:ascii="Trebuchet MS" w:hAnsi="Trebuchet MS" w:eastAsia="Trebuchet MS"/>
                <w:b w:val="0"/>
                <w:i w:val="0"/>
                <w:sz w:val="20"/>
              </w:rPr>
              <w:t>18.2</w:t>
            </w:r>
          </w:p>
        </w:tc>
      </w:tr>
      <w:tr>
        <w:tc>
          <w:tcPr>
            <w:tcW w:type="dxa" w:w="4608"/>
            <w:vAlign w:val="center"/>
          </w:tcPr>
          <w:p>
            <w:pPr>
              <w:spacing w:after="0" w:before="0" w:line="240" w:lineRule="auto"/>
            </w:pPr>
            <w:r/>
            <w:r>
              <w:rPr>
                <w:rFonts w:ascii="Trebuchet MS" w:hAnsi="Trebuchet MS" w:eastAsia="Trebuchet MS"/>
                <w:b w:val="0"/>
                <w:i w:val="0"/>
                <w:sz w:val="20"/>
              </w:rPr>
              <w:t>Middle-aged adult (40-59)</w:t>
            </w:r>
          </w:p>
        </w:tc>
        <w:tc>
          <w:tcPr>
            <w:tcW w:type="dxa" w:w="2160"/>
            <w:vAlign w:val="center"/>
          </w:tcPr>
          <w:p>
            <w:pPr>
              <w:spacing w:after="0" w:before="0" w:line="240" w:lineRule="auto"/>
            </w:pPr>
            <w:r/>
            <w:r>
              <w:rPr>
                <w:rFonts w:ascii="Trebuchet MS" w:hAnsi="Trebuchet MS" w:eastAsia="Trebuchet MS"/>
                <w:b w:val="0"/>
                <w:i w:val="0"/>
                <w:sz w:val="20"/>
              </w:rPr>
              <w:t>50</w:t>
            </w:r>
          </w:p>
        </w:tc>
        <w:tc>
          <w:tcPr>
            <w:tcW w:type="dxa" w:w="2160"/>
            <w:vAlign w:val="center"/>
          </w:tcPr>
          <w:p>
            <w:pPr>
              <w:spacing w:after="0" w:before="0" w:line="240" w:lineRule="auto"/>
            </w:pPr>
            <w:r/>
            <w:r>
              <w:rPr>
                <w:rFonts w:ascii="Trebuchet MS" w:hAnsi="Trebuchet MS" w:eastAsia="Trebuchet MS"/>
                <w:b w:val="0"/>
                <w:i w:val="0"/>
                <w:sz w:val="20"/>
              </w:rPr>
              <w:t>45.5</w:t>
            </w:r>
          </w:p>
        </w:tc>
      </w:tr>
      <w:tr>
        <w:tc>
          <w:tcPr>
            <w:tcW w:type="dxa" w:w="4608"/>
            <w:vAlign w:val="center"/>
          </w:tcPr>
          <w:p>
            <w:pPr>
              <w:spacing w:after="0" w:before="0" w:line="240" w:lineRule="auto"/>
            </w:pPr>
            <w:r/>
            <w:r>
              <w:rPr>
                <w:rFonts w:ascii="Trebuchet MS" w:hAnsi="Trebuchet MS" w:eastAsia="Trebuchet MS"/>
                <w:b w:val="0"/>
                <w:i w:val="0"/>
                <w:sz w:val="20"/>
              </w:rPr>
              <w:t>Late adult (&gt;=60)</w:t>
            </w:r>
          </w:p>
        </w:tc>
        <w:tc>
          <w:tcPr>
            <w:tcW w:type="dxa" w:w="2160"/>
            <w:vAlign w:val="center"/>
          </w:tcPr>
          <w:p>
            <w:pPr>
              <w:spacing w:after="0" w:before="0" w:line="240" w:lineRule="auto"/>
            </w:pPr>
            <w:r/>
            <w:r>
              <w:rPr>
                <w:rFonts w:ascii="Trebuchet MS" w:hAnsi="Trebuchet MS" w:eastAsia="Trebuchet MS"/>
                <w:b w:val="0"/>
                <w:i w:val="0"/>
                <w:sz w:val="20"/>
              </w:rPr>
              <w:t>40</w:t>
            </w:r>
          </w:p>
        </w:tc>
        <w:tc>
          <w:tcPr>
            <w:tcW w:type="dxa" w:w="2160"/>
            <w:vAlign w:val="center"/>
          </w:tcPr>
          <w:p>
            <w:pPr>
              <w:spacing w:after="0" w:before="0" w:line="240" w:lineRule="auto"/>
            </w:pPr>
            <w:r/>
            <w:r>
              <w:rPr>
                <w:rFonts w:ascii="Trebuchet MS" w:hAnsi="Trebuchet MS" w:eastAsia="Trebuchet MS"/>
                <w:b w:val="0"/>
                <w:i w:val="0"/>
                <w:sz w:val="20"/>
              </w:rPr>
              <w:t>36.4</w:t>
            </w:r>
          </w:p>
        </w:tc>
      </w:tr>
      <w:tr>
        <w:tc>
          <w:tcPr>
            <w:tcW w:type="dxa" w:w="4608"/>
            <w:vAlign w:val="center"/>
            <w:shd w:fill="F2F2F2"/>
          </w:tcPr>
          <w:p>
            <w:pPr>
              <w:spacing w:after="0" w:before="0" w:line="240" w:lineRule="auto"/>
            </w:pPr>
            <w:r/>
            <w:r>
              <w:rPr>
                <w:rFonts w:ascii="Trebuchet MS" w:hAnsi="Trebuchet MS" w:eastAsia="Trebuchet MS"/>
                <w:b/>
                <w:i w:val="0"/>
                <w:sz w:val="20"/>
              </w:rPr>
              <w:t>Education</w:t>
            </w:r>
          </w:p>
        </w:tc>
        <w:tc>
          <w:tcPr>
            <w:tcW w:type="dxa" w:w="2160"/>
            <w:vAlign w:val="center"/>
          </w:tcPr>
          <w:p>
            <w:pPr>
              <w:spacing w:after="0" w:before="0" w:line="240" w:lineRule="auto"/>
            </w:pPr>
            <w:r/>
            <w:r>
              <w:rPr>
                <w:rFonts w:ascii="Trebuchet MS" w:hAnsi="Trebuchet MS" w:eastAsia="Trebuchet MS"/>
                <w:b w:val="0"/>
                <w:i w:val="0"/>
                <w:sz w:val="20"/>
              </w:rPr>
            </w:r>
          </w:p>
        </w:tc>
        <w:tc>
          <w:tcPr>
            <w:tcW w:type="dxa" w:w="2160"/>
            <w:vAlign w:val="center"/>
          </w:tcPr>
          <w:p>
            <w:pPr>
              <w:spacing w:after="0" w:before="0" w:line="240" w:lineRule="auto"/>
            </w:pPr>
            <w:r/>
            <w:r>
              <w:rPr>
                <w:rFonts w:ascii="Trebuchet MS" w:hAnsi="Trebuchet MS" w:eastAsia="Trebuchet MS"/>
                <w:b w:val="0"/>
                <w:i w:val="0"/>
                <w:sz w:val="20"/>
              </w:rPr>
            </w:r>
          </w:p>
        </w:tc>
      </w:tr>
      <w:tr>
        <w:tc>
          <w:tcPr>
            <w:tcW w:type="dxa" w:w="4608"/>
            <w:vAlign w:val="center"/>
          </w:tcPr>
          <w:p>
            <w:pPr>
              <w:spacing w:after="0" w:before="0" w:line="240" w:lineRule="auto"/>
            </w:pPr>
            <w:r/>
            <w:r>
              <w:rPr>
                <w:rFonts w:ascii="Trebuchet MS" w:hAnsi="Trebuchet MS" w:eastAsia="Trebuchet MS"/>
                <w:b w:val="0"/>
                <w:i w:val="0"/>
                <w:sz w:val="20"/>
              </w:rPr>
              <w:t>Elementary school</w:t>
            </w:r>
          </w:p>
        </w:tc>
        <w:tc>
          <w:tcPr>
            <w:tcW w:type="dxa" w:w="2160"/>
            <w:vAlign w:val="center"/>
          </w:tcPr>
          <w:p>
            <w:pPr>
              <w:spacing w:after="0" w:before="0" w:line="240" w:lineRule="auto"/>
            </w:pPr>
            <w:r/>
            <w:r>
              <w:rPr>
                <w:rFonts w:ascii="Trebuchet MS" w:hAnsi="Trebuchet MS" w:eastAsia="Trebuchet MS"/>
                <w:b w:val="0"/>
                <w:i w:val="0"/>
                <w:sz w:val="20"/>
              </w:rPr>
              <w:t>16</w:t>
            </w:r>
          </w:p>
        </w:tc>
        <w:tc>
          <w:tcPr>
            <w:tcW w:type="dxa" w:w="2160"/>
            <w:vAlign w:val="center"/>
          </w:tcPr>
          <w:p>
            <w:pPr>
              <w:spacing w:after="0" w:before="0" w:line="240" w:lineRule="auto"/>
            </w:pPr>
            <w:r/>
            <w:r>
              <w:rPr>
                <w:rFonts w:ascii="Trebuchet MS" w:hAnsi="Trebuchet MS" w:eastAsia="Trebuchet MS"/>
                <w:b w:val="0"/>
                <w:i w:val="0"/>
                <w:sz w:val="20"/>
              </w:rPr>
              <w:t>14.5</w:t>
            </w:r>
          </w:p>
        </w:tc>
      </w:tr>
      <w:tr>
        <w:tc>
          <w:tcPr>
            <w:tcW w:type="dxa" w:w="4608"/>
            <w:vAlign w:val="center"/>
          </w:tcPr>
          <w:p>
            <w:pPr>
              <w:spacing w:after="0" w:before="0" w:line="240" w:lineRule="auto"/>
            </w:pPr>
            <w:r/>
            <w:r>
              <w:rPr>
                <w:rFonts w:ascii="Trebuchet MS" w:hAnsi="Trebuchet MS" w:eastAsia="Trebuchet MS"/>
                <w:b w:val="0"/>
                <w:i w:val="0"/>
                <w:sz w:val="20"/>
              </w:rPr>
              <w:t>Secondary school</w:t>
            </w:r>
          </w:p>
        </w:tc>
        <w:tc>
          <w:tcPr>
            <w:tcW w:type="dxa" w:w="2160"/>
            <w:vAlign w:val="center"/>
          </w:tcPr>
          <w:p>
            <w:pPr>
              <w:spacing w:after="0" w:before="0" w:line="240" w:lineRule="auto"/>
            </w:pPr>
            <w:r/>
            <w:r>
              <w:rPr>
                <w:rFonts w:ascii="Trebuchet MS" w:hAnsi="Trebuchet MS" w:eastAsia="Trebuchet MS"/>
                <w:b w:val="0"/>
                <w:i w:val="0"/>
                <w:sz w:val="20"/>
              </w:rPr>
              <w:t>26</w:t>
            </w:r>
          </w:p>
        </w:tc>
        <w:tc>
          <w:tcPr>
            <w:tcW w:type="dxa" w:w="2160"/>
            <w:vAlign w:val="center"/>
          </w:tcPr>
          <w:p>
            <w:pPr>
              <w:spacing w:after="0" w:before="0" w:line="240" w:lineRule="auto"/>
            </w:pPr>
            <w:r/>
            <w:r>
              <w:rPr>
                <w:rFonts w:ascii="Trebuchet MS" w:hAnsi="Trebuchet MS" w:eastAsia="Trebuchet MS"/>
                <w:b w:val="0"/>
                <w:i w:val="0"/>
                <w:sz w:val="20"/>
              </w:rPr>
              <w:t>23.6</w:t>
            </w:r>
          </w:p>
        </w:tc>
      </w:tr>
      <w:tr>
        <w:tc>
          <w:tcPr>
            <w:tcW w:type="dxa" w:w="4608"/>
            <w:vAlign w:val="center"/>
          </w:tcPr>
          <w:p>
            <w:pPr>
              <w:spacing w:after="0" w:before="0" w:line="240" w:lineRule="auto"/>
            </w:pPr>
            <w:r/>
            <w:r>
              <w:rPr>
                <w:rFonts w:ascii="Trebuchet MS" w:hAnsi="Trebuchet MS" w:eastAsia="Trebuchet MS"/>
                <w:b w:val="0"/>
                <w:i w:val="0"/>
                <w:sz w:val="20"/>
              </w:rPr>
              <w:t>High school</w:t>
            </w:r>
          </w:p>
        </w:tc>
        <w:tc>
          <w:tcPr>
            <w:tcW w:type="dxa" w:w="2160"/>
            <w:vAlign w:val="center"/>
          </w:tcPr>
          <w:p>
            <w:pPr>
              <w:spacing w:after="0" w:before="0" w:line="240" w:lineRule="auto"/>
            </w:pPr>
            <w:r/>
            <w:r>
              <w:rPr>
                <w:rFonts w:ascii="Trebuchet MS" w:hAnsi="Trebuchet MS" w:eastAsia="Trebuchet MS"/>
                <w:b w:val="0"/>
                <w:i w:val="0"/>
                <w:sz w:val="20"/>
              </w:rPr>
              <w:t>54</w:t>
            </w:r>
          </w:p>
        </w:tc>
        <w:tc>
          <w:tcPr>
            <w:tcW w:type="dxa" w:w="2160"/>
            <w:vAlign w:val="center"/>
          </w:tcPr>
          <w:p>
            <w:pPr>
              <w:spacing w:after="0" w:before="0" w:line="240" w:lineRule="auto"/>
            </w:pPr>
            <w:r/>
            <w:r>
              <w:rPr>
                <w:rFonts w:ascii="Trebuchet MS" w:hAnsi="Trebuchet MS" w:eastAsia="Trebuchet MS"/>
                <w:b w:val="0"/>
                <w:i w:val="0"/>
                <w:sz w:val="20"/>
              </w:rPr>
              <w:t>49.1</w:t>
            </w:r>
          </w:p>
        </w:tc>
      </w:tr>
      <w:tr>
        <w:tc>
          <w:tcPr>
            <w:tcW w:type="dxa" w:w="4608"/>
            <w:vAlign w:val="center"/>
          </w:tcPr>
          <w:p>
            <w:pPr>
              <w:spacing w:after="0" w:before="0" w:line="240" w:lineRule="auto"/>
            </w:pPr>
            <w:r/>
            <w:r>
              <w:rPr>
                <w:rFonts w:ascii="Trebuchet MS" w:hAnsi="Trebuchet MS" w:eastAsia="Trebuchet MS"/>
                <w:b w:val="0"/>
                <w:i w:val="0"/>
                <w:sz w:val="20"/>
              </w:rPr>
              <w:t>Higher education</w:t>
            </w:r>
          </w:p>
        </w:tc>
        <w:tc>
          <w:tcPr>
            <w:tcW w:type="dxa" w:w="2160"/>
            <w:vAlign w:val="center"/>
          </w:tcPr>
          <w:p>
            <w:pPr>
              <w:spacing w:after="0" w:before="0" w:line="240" w:lineRule="auto"/>
            </w:pPr>
            <w:r/>
            <w:r>
              <w:rPr>
                <w:rFonts w:ascii="Trebuchet MS" w:hAnsi="Trebuchet MS" w:eastAsia="Trebuchet MS"/>
                <w:b w:val="0"/>
                <w:i w:val="0"/>
                <w:sz w:val="20"/>
              </w:rPr>
              <w:t>14</w:t>
            </w:r>
          </w:p>
        </w:tc>
        <w:tc>
          <w:tcPr>
            <w:tcW w:type="dxa" w:w="2160"/>
            <w:vAlign w:val="center"/>
          </w:tcPr>
          <w:p>
            <w:pPr>
              <w:spacing w:after="0" w:before="0" w:line="240" w:lineRule="auto"/>
            </w:pPr>
            <w:r/>
            <w:r>
              <w:rPr>
                <w:rFonts w:ascii="Trebuchet MS" w:hAnsi="Trebuchet MS" w:eastAsia="Trebuchet MS"/>
                <w:b w:val="0"/>
                <w:i w:val="0"/>
                <w:sz w:val="20"/>
              </w:rPr>
              <w:t>12.7</w:t>
            </w:r>
          </w:p>
        </w:tc>
      </w:tr>
      <w:tr>
        <w:tc>
          <w:tcPr>
            <w:tcW w:type="dxa" w:w="4608"/>
            <w:vAlign w:val="center"/>
            <w:shd w:fill="F2F2F2"/>
          </w:tcPr>
          <w:p>
            <w:pPr>
              <w:spacing w:after="0" w:before="0" w:line="240" w:lineRule="auto"/>
            </w:pPr>
            <w:r/>
            <w:r>
              <w:rPr>
                <w:rFonts w:ascii="Trebuchet MS" w:hAnsi="Trebuchet MS" w:eastAsia="Trebuchet MS"/>
                <w:b/>
                <w:i w:val="0"/>
                <w:sz w:val="20"/>
              </w:rPr>
              <w:t>Marital status</w:t>
            </w:r>
          </w:p>
        </w:tc>
        <w:tc>
          <w:tcPr>
            <w:tcW w:type="dxa" w:w="2160"/>
            <w:vAlign w:val="center"/>
          </w:tcPr>
          <w:p>
            <w:pPr>
              <w:spacing w:after="0" w:before="0" w:line="240" w:lineRule="auto"/>
            </w:pPr>
            <w:r/>
            <w:r>
              <w:rPr>
                <w:rFonts w:ascii="Trebuchet MS" w:hAnsi="Trebuchet MS" w:eastAsia="Trebuchet MS"/>
                <w:b w:val="0"/>
                <w:i w:val="0"/>
                <w:sz w:val="20"/>
              </w:rPr>
            </w:r>
          </w:p>
        </w:tc>
        <w:tc>
          <w:tcPr>
            <w:tcW w:type="dxa" w:w="2160"/>
            <w:vAlign w:val="center"/>
          </w:tcPr>
          <w:p>
            <w:pPr>
              <w:spacing w:after="0" w:before="0" w:line="240" w:lineRule="auto"/>
            </w:pPr>
            <w:r/>
            <w:r>
              <w:rPr>
                <w:rFonts w:ascii="Trebuchet MS" w:hAnsi="Trebuchet MS" w:eastAsia="Trebuchet MS"/>
                <w:b w:val="0"/>
                <w:i w:val="0"/>
                <w:sz w:val="20"/>
              </w:rPr>
            </w:r>
          </w:p>
        </w:tc>
      </w:tr>
      <w:tr>
        <w:tc>
          <w:tcPr>
            <w:tcW w:type="dxa" w:w="4608"/>
            <w:vAlign w:val="center"/>
          </w:tcPr>
          <w:p>
            <w:pPr>
              <w:spacing w:after="0" w:before="0" w:line="240" w:lineRule="auto"/>
            </w:pPr>
            <w:r/>
            <w:r>
              <w:rPr>
                <w:rFonts w:ascii="Trebuchet MS" w:hAnsi="Trebuchet MS" w:eastAsia="Trebuchet MS"/>
                <w:b w:val="0"/>
                <w:i w:val="0"/>
                <w:sz w:val="20"/>
              </w:rPr>
              <w:t>Single</w:t>
            </w:r>
          </w:p>
        </w:tc>
        <w:tc>
          <w:tcPr>
            <w:tcW w:type="dxa" w:w="2160"/>
            <w:vAlign w:val="center"/>
          </w:tcPr>
          <w:p>
            <w:pPr>
              <w:spacing w:after="0" w:before="0" w:line="240" w:lineRule="auto"/>
            </w:pPr>
            <w:r/>
            <w:r>
              <w:rPr>
                <w:rFonts w:ascii="Trebuchet MS" w:hAnsi="Trebuchet MS" w:eastAsia="Trebuchet MS"/>
                <w:b w:val="0"/>
                <w:i w:val="0"/>
                <w:sz w:val="20"/>
              </w:rPr>
              <w:t>4</w:t>
            </w:r>
          </w:p>
        </w:tc>
        <w:tc>
          <w:tcPr>
            <w:tcW w:type="dxa" w:w="2160"/>
            <w:vAlign w:val="center"/>
          </w:tcPr>
          <w:p>
            <w:pPr>
              <w:spacing w:after="0" w:before="0" w:line="240" w:lineRule="auto"/>
            </w:pPr>
            <w:r/>
            <w:r>
              <w:rPr>
                <w:rFonts w:ascii="Trebuchet MS" w:hAnsi="Trebuchet MS" w:eastAsia="Trebuchet MS"/>
                <w:b w:val="0"/>
                <w:i w:val="0"/>
                <w:sz w:val="20"/>
              </w:rPr>
              <w:t>3.6</w:t>
            </w:r>
          </w:p>
        </w:tc>
      </w:tr>
      <w:tr>
        <w:tc>
          <w:tcPr>
            <w:tcW w:type="dxa" w:w="4608"/>
            <w:vAlign w:val="center"/>
          </w:tcPr>
          <w:p>
            <w:pPr>
              <w:spacing w:after="0" w:before="0" w:line="240" w:lineRule="auto"/>
            </w:pPr>
            <w:r/>
            <w:r>
              <w:rPr>
                <w:rFonts w:ascii="Trebuchet MS" w:hAnsi="Trebuchet MS" w:eastAsia="Trebuchet MS"/>
                <w:b w:val="0"/>
                <w:i w:val="0"/>
                <w:sz w:val="20"/>
              </w:rPr>
              <w:t>Married</w:t>
            </w:r>
          </w:p>
        </w:tc>
        <w:tc>
          <w:tcPr>
            <w:tcW w:type="dxa" w:w="2160"/>
            <w:vAlign w:val="center"/>
          </w:tcPr>
          <w:p>
            <w:pPr>
              <w:spacing w:after="0" w:before="0" w:line="240" w:lineRule="auto"/>
            </w:pPr>
            <w:r/>
            <w:r>
              <w:rPr>
                <w:rFonts w:ascii="Trebuchet MS" w:hAnsi="Trebuchet MS" w:eastAsia="Trebuchet MS"/>
                <w:b w:val="0"/>
                <w:i w:val="0"/>
                <w:sz w:val="20"/>
              </w:rPr>
              <w:t>82</w:t>
            </w:r>
          </w:p>
        </w:tc>
        <w:tc>
          <w:tcPr>
            <w:tcW w:type="dxa" w:w="2160"/>
            <w:vAlign w:val="center"/>
          </w:tcPr>
          <w:p>
            <w:pPr>
              <w:spacing w:after="0" w:before="0" w:line="240" w:lineRule="auto"/>
            </w:pPr>
            <w:r/>
            <w:r>
              <w:rPr>
                <w:rFonts w:ascii="Trebuchet MS" w:hAnsi="Trebuchet MS" w:eastAsia="Trebuchet MS"/>
                <w:b w:val="0"/>
                <w:i w:val="0"/>
                <w:sz w:val="20"/>
              </w:rPr>
              <w:t>74.5</w:t>
            </w:r>
          </w:p>
        </w:tc>
      </w:tr>
      <w:tr>
        <w:tc>
          <w:tcPr>
            <w:tcW w:type="dxa" w:w="4608"/>
            <w:vAlign w:val="center"/>
          </w:tcPr>
          <w:p>
            <w:pPr>
              <w:spacing w:after="0" w:before="0" w:line="240" w:lineRule="auto"/>
            </w:pPr>
            <w:r/>
            <w:r>
              <w:rPr>
                <w:rFonts w:ascii="Trebuchet MS" w:hAnsi="Trebuchet MS" w:eastAsia="Trebuchet MS"/>
                <w:b w:val="0"/>
                <w:i w:val="0"/>
                <w:sz w:val="20"/>
              </w:rPr>
              <w:t>Divorced</w:t>
            </w:r>
          </w:p>
        </w:tc>
        <w:tc>
          <w:tcPr>
            <w:tcW w:type="dxa" w:w="2160"/>
            <w:vAlign w:val="center"/>
          </w:tcPr>
          <w:p>
            <w:pPr>
              <w:spacing w:after="0" w:before="0" w:line="240" w:lineRule="auto"/>
            </w:pPr>
            <w:r/>
            <w:r>
              <w:rPr>
                <w:rFonts w:ascii="Trebuchet MS" w:hAnsi="Trebuchet MS" w:eastAsia="Trebuchet MS"/>
                <w:b w:val="0"/>
                <w:i w:val="0"/>
                <w:sz w:val="20"/>
              </w:rPr>
              <w:t>1</w:t>
            </w:r>
          </w:p>
        </w:tc>
        <w:tc>
          <w:tcPr>
            <w:tcW w:type="dxa" w:w="2160"/>
            <w:vAlign w:val="center"/>
          </w:tcPr>
          <w:p>
            <w:pPr>
              <w:spacing w:after="0" w:before="0" w:line="240" w:lineRule="auto"/>
            </w:pPr>
            <w:r/>
            <w:r>
              <w:rPr>
                <w:rFonts w:ascii="Trebuchet MS" w:hAnsi="Trebuchet MS" w:eastAsia="Trebuchet MS"/>
                <w:b w:val="0"/>
                <w:i w:val="0"/>
                <w:sz w:val="20"/>
              </w:rPr>
              <w:t>0.9</w:t>
            </w:r>
          </w:p>
        </w:tc>
      </w:tr>
      <w:tr>
        <w:tc>
          <w:tcPr>
            <w:tcW w:type="dxa" w:w="4608"/>
            <w:vAlign w:val="center"/>
          </w:tcPr>
          <w:p>
            <w:pPr>
              <w:spacing w:after="0" w:before="0" w:line="240" w:lineRule="auto"/>
            </w:pPr>
            <w:r/>
            <w:r>
              <w:rPr>
                <w:rFonts w:ascii="Trebuchet MS" w:hAnsi="Trebuchet MS" w:eastAsia="Trebuchet MS"/>
                <w:b w:val="0"/>
                <w:i w:val="0"/>
                <w:sz w:val="20"/>
              </w:rPr>
              <w:t>Widowed</w:t>
            </w:r>
          </w:p>
        </w:tc>
        <w:tc>
          <w:tcPr>
            <w:tcW w:type="dxa" w:w="2160"/>
            <w:vAlign w:val="center"/>
          </w:tcPr>
          <w:p>
            <w:pPr>
              <w:spacing w:after="0" w:before="0" w:line="240" w:lineRule="auto"/>
            </w:pPr>
            <w:r/>
            <w:r>
              <w:rPr>
                <w:rFonts w:ascii="Trebuchet MS" w:hAnsi="Trebuchet MS" w:eastAsia="Trebuchet MS"/>
                <w:b w:val="0"/>
                <w:i w:val="0"/>
                <w:sz w:val="20"/>
              </w:rPr>
              <w:t>23</w:t>
            </w:r>
          </w:p>
        </w:tc>
        <w:tc>
          <w:tcPr>
            <w:tcW w:type="dxa" w:w="2160"/>
            <w:vAlign w:val="center"/>
          </w:tcPr>
          <w:p>
            <w:pPr>
              <w:spacing w:after="0" w:before="0" w:line="240" w:lineRule="auto"/>
            </w:pPr>
            <w:r/>
            <w:r>
              <w:rPr>
                <w:rFonts w:ascii="Trebuchet MS" w:hAnsi="Trebuchet MS" w:eastAsia="Trebuchet MS"/>
                <w:b w:val="0"/>
                <w:i w:val="0"/>
                <w:sz w:val="20"/>
              </w:rPr>
              <w:t>20.9</w:t>
            </w:r>
          </w:p>
        </w:tc>
      </w:tr>
    </w:tbl>
    <w:p>
      <w:pPr>
        <w:spacing w:before="0" w:after="0" w:line="240" w:lineRule="auto"/>
      </w:pPr>
      <w:r>
        <w:rPr>
          <w:rFonts w:ascii="Trebuchet MS" w:hAnsi="Trebuchet MS" w:eastAsia="Trebuchet MS"/>
          <w:i w:val="0"/>
          <w:sz w:val="20"/>
        </w:rPr>
        <w:t>Most respondents had low hypoglycaemia awareness. Overall, 104 respondents (94.5%) were in the low awareness category, six respondents (5.5%) were in the moderate category, and no respondent was in the high category (Table 2).</w:t>
      </w:r>
    </w:p>
    <w:p>
      <w:pPr>
        <w:spacing w:before="120" w:after="0" w:line="240" w:lineRule="auto"/>
      </w:pPr>
      <w:r>
        <w:rPr>
          <w:rFonts w:ascii="Trebuchet MS" w:hAnsi="Trebuchet MS" w:eastAsia="Trebuchet MS"/>
          <w:b/>
          <w:sz w:val="20"/>
        </w:rPr>
        <w:t>Table 2. Categories of hypoglycaemia awareness (n=110)</w:t>
      </w:r>
    </w:p>
    <w:tbl>
      <w:tblPr>
        <w:tblStyle w:val="TableGrid"/>
        <w:tblW w:type="auto" w:w="0"/>
        <w:jc w:val="center"/>
        <w:tblLayout w:type="autofit"/>
        <w:tblLook w:firstColumn="1" w:firstRow="1" w:lastColumn="0" w:lastRow="0" w:noHBand="0" w:noVBand="1" w:val="04A0"/>
      </w:tblPr>
      <w:tblGrid>
        <w:gridCol w:w="3400"/>
        <w:gridCol w:w="3400"/>
        <w:gridCol w:w="3400"/>
      </w:tblGrid>
      <w:tr>
        <w:tc>
          <w:tcPr>
            <w:tcW w:type="dxa" w:w="4608"/>
            <w:vAlign w:val="center"/>
            <w:shd w:fill="D9EAD3"/>
          </w:tcPr>
          <w:p>
            <w:pPr>
              <w:spacing w:after="0" w:before="0" w:line="240" w:lineRule="auto"/>
            </w:pPr>
            <w:r/>
            <w:r>
              <w:rPr>
                <w:rFonts w:ascii="Trebuchet MS" w:hAnsi="Trebuchet MS" w:eastAsia="Trebuchet MS"/>
                <w:b/>
                <w:i w:val="0"/>
                <w:sz w:val="20"/>
              </w:rPr>
              <w:t>Category</w:t>
            </w:r>
          </w:p>
        </w:tc>
        <w:tc>
          <w:tcPr>
            <w:tcW w:type="dxa" w:w="2160"/>
            <w:vAlign w:val="center"/>
            <w:shd w:fill="D9EAD3"/>
          </w:tcPr>
          <w:p>
            <w:pPr>
              <w:spacing w:after="0" w:before="0" w:line="240" w:lineRule="auto"/>
            </w:pPr>
            <w:r/>
            <w:r>
              <w:rPr>
                <w:rFonts w:ascii="Trebuchet MS" w:hAnsi="Trebuchet MS" w:eastAsia="Trebuchet MS"/>
                <w:b/>
                <w:i w:val="0"/>
                <w:sz w:val="20"/>
              </w:rPr>
              <w:t>Frequency (n)</w:t>
            </w:r>
          </w:p>
        </w:tc>
        <w:tc>
          <w:tcPr>
            <w:tcW w:type="dxa" w:w="2160"/>
            <w:vAlign w:val="center"/>
            <w:shd w:fill="D9EAD3"/>
          </w:tcPr>
          <w:p>
            <w:pPr>
              <w:spacing w:after="0" w:before="0" w:line="240" w:lineRule="auto"/>
            </w:pPr>
            <w:r/>
            <w:r>
              <w:rPr>
                <w:rFonts w:ascii="Trebuchet MS" w:hAnsi="Trebuchet MS" w:eastAsia="Trebuchet MS"/>
                <w:b/>
                <w:i w:val="0"/>
                <w:sz w:val="20"/>
              </w:rPr>
              <w:t>Percentage (%)</w:t>
            </w:r>
          </w:p>
        </w:tc>
      </w:tr>
      <w:tr>
        <w:tc>
          <w:tcPr>
            <w:tcW w:type="dxa" w:w="4608"/>
            <w:vAlign w:val="center"/>
          </w:tcPr>
          <w:p>
            <w:pPr>
              <w:spacing w:after="0" w:before="0" w:line="240" w:lineRule="auto"/>
            </w:pPr>
            <w:r/>
            <w:r>
              <w:rPr>
                <w:rFonts w:ascii="Trebuchet MS" w:hAnsi="Trebuchet MS" w:eastAsia="Trebuchet MS"/>
                <w:b w:val="0"/>
                <w:i w:val="0"/>
                <w:sz w:val="20"/>
              </w:rPr>
              <w:t>Low</w:t>
            </w:r>
          </w:p>
        </w:tc>
        <w:tc>
          <w:tcPr>
            <w:tcW w:type="dxa" w:w="2160"/>
            <w:vAlign w:val="center"/>
          </w:tcPr>
          <w:p>
            <w:pPr>
              <w:spacing w:after="0" w:before="0" w:line="240" w:lineRule="auto"/>
            </w:pPr>
            <w:r/>
            <w:r>
              <w:rPr>
                <w:rFonts w:ascii="Trebuchet MS" w:hAnsi="Trebuchet MS" w:eastAsia="Trebuchet MS"/>
                <w:b w:val="0"/>
                <w:i w:val="0"/>
                <w:sz w:val="20"/>
              </w:rPr>
              <w:t>104</w:t>
            </w:r>
          </w:p>
        </w:tc>
        <w:tc>
          <w:tcPr>
            <w:tcW w:type="dxa" w:w="2160"/>
            <w:vAlign w:val="center"/>
          </w:tcPr>
          <w:p>
            <w:pPr>
              <w:spacing w:after="0" w:before="0" w:line="240" w:lineRule="auto"/>
            </w:pPr>
            <w:r/>
            <w:r>
              <w:rPr>
                <w:rFonts w:ascii="Trebuchet MS" w:hAnsi="Trebuchet MS" w:eastAsia="Trebuchet MS"/>
                <w:b w:val="0"/>
                <w:i w:val="0"/>
                <w:sz w:val="20"/>
              </w:rPr>
              <w:t>94.5</w:t>
            </w:r>
          </w:p>
        </w:tc>
      </w:tr>
      <w:tr>
        <w:tc>
          <w:tcPr>
            <w:tcW w:type="dxa" w:w="4608"/>
            <w:vAlign w:val="center"/>
          </w:tcPr>
          <w:p>
            <w:pPr>
              <w:spacing w:after="0" w:before="0" w:line="240" w:lineRule="auto"/>
            </w:pPr>
            <w:r/>
            <w:r>
              <w:rPr>
                <w:rFonts w:ascii="Trebuchet MS" w:hAnsi="Trebuchet MS" w:eastAsia="Trebuchet MS"/>
                <w:b w:val="0"/>
                <w:i w:val="0"/>
                <w:sz w:val="20"/>
              </w:rPr>
              <w:t>Moderate</w:t>
            </w:r>
          </w:p>
        </w:tc>
        <w:tc>
          <w:tcPr>
            <w:tcW w:type="dxa" w:w="2160"/>
            <w:vAlign w:val="center"/>
          </w:tcPr>
          <w:p>
            <w:pPr>
              <w:spacing w:after="0" w:before="0" w:line="240" w:lineRule="auto"/>
            </w:pPr>
            <w:r/>
            <w:r>
              <w:rPr>
                <w:rFonts w:ascii="Trebuchet MS" w:hAnsi="Trebuchet MS" w:eastAsia="Trebuchet MS"/>
                <w:b w:val="0"/>
                <w:i w:val="0"/>
                <w:sz w:val="20"/>
              </w:rPr>
              <w:t>6</w:t>
            </w:r>
          </w:p>
        </w:tc>
        <w:tc>
          <w:tcPr>
            <w:tcW w:type="dxa" w:w="2160"/>
            <w:vAlign w:val="center"/>
          </w:tcPr>
          <w:p>
            <w:pPr>
              <w:spacing w:after="0" w:before="0" w:line="240" w:lineRule="auto"/>
            </w:pPr>
            <w:r/>
            <w:r>
              <w:rPr>
                <w:rFonts w:ascii="Trebuchet MS" w:hAnsi="Trebuchet MS" w:eastAsia="Trebuchet MS"/>
                <w:b w:val="0"/>
                <w:i w:val="0"/>
                <w:sz w:val="20"/>
              </w:rPr>
              <w:t>5.5</w:t>
            </w:r>
          </w:p>
        </w:tc>
      </w:tr>
      <w:tr>
        <w:tc>
          <w:tcPr>
            <w:tcW w:type="dxa" w:w="4608"/>
            <w:vAlign w:val="center"/>
          </w:tcPr>
          <w:p>
            <w:pPr>
              <w:spacing w:after="0" w:before="0" w:line="240" w:lineRule="auto"/>
            </w:pPr>
            <w:r/>
            <w:r>
              <w:rPr>
                <w:rFonts w:ascii="Trebuchet MS" w:hAnsi="Trebuchet MS" w:eastAsia="Trebuchet MS"/>
                <w:b w:val="0"/>
                <w:i w:val="0"/>
                <w:sz w:val="20"/>
              </w:rPr>
              <w:t>High</w:t>
            </w:r>
          </w:p>
        </w:tc>
        <w:tc>
          <w:tcPr>
            <w:tcW w:type="dxa" w:w="2160"/>
            <w:vAlign w:val="center"/>
          </w:tcPr>
          <w:p>
            <w:pPr>
              <w:spacing w:after="0" w:before="0" w:line="240" w:lineRule="auto"/>
            </w:pPr>
            <w:r/>
            <w:r>
              <w:rPr>
                <w:rFonts w:ascii="Trebuchet MS" w:hAnsi="Trebuchet MS" w:eastAsia="Trebuchet MS"/>
                <w:b w:val="0"/>
                <w:i w:val="0"/>
                <w:sz w:val="20"/>
              </w:rPr>
              <w:t>0</w:t>
            </w:r>
          </w:p>
        </w:tc>
        <w:tc>
          <w:tcPr>
            <w:tcW w:type="dxa" w:w="2160"/>
            <w:vAlign w:val="center"/>
          </w:tcPr>
          <w:p>
            <w:pPr>
              <w:spacing w:after="0" w:before="0" w:line="240" w:lineRule="auto"/>
            </w:pPr>
            <w:r/>
            <w:r>
              <w:rPr>
                <w:rFonts w:ascii="Trebuchet MS" w:hAnsi="Trebuchet MS" w:eastAsia="Trebuchet MS"/>
                <w:b w:val="0"/>
                <w:i w:val="0"/>
                <w:sz w:val="20"/>
              </w:rPr>
              <w:t>0.0</w:t>
            </w:r>
          </w:p>
        </w:tc>
      </w:tr>
    </w:tbl>
    <w:p>
      <w:pPr>
        <w:spacing w:before="0" w:after="0" w:line="240" w:lineRule="auto"/>
      </w:pPr>
      <w:r>
        <w:rPr>
          <w:rFonts w:ascii="Trebuchet MS" w:hAnsi="Trebuchet MS" w:eastAsia="Trebuchet MS"/>
          <w:i w:val="0"/>
          <w:sz w:val="20"/>
        </w:rPr>
        <w:t>The strongest correlate of the total hypoglycaemia awareness score was item P13, “other people realise my hypo before I myself am aware of it” (r=0.698, p&lt;0.001). The next strongest correlates were P14, “I am less aware of my current hypo compared to my previous experience” (r=0.692, p&lt;0.001), and P12, “I check on my blood glucose level when I feel like hypo” (r=0.681, p&lt;0.001). The remaining significant item-level correlations are shown in Table 3.</w:t>
      </w:r>
    </w:p>
    <w:p>
      <w:r>
        <w:br w:type="page"/>
      </w:r>
    </w:p>
    <w:p>
      <w:pPr>
        <w:spacing w:before="120" w:after="0" w:line="240" w:lineRule="auto"/>
      </w:pPr>
      <w:r>
        <w:rPr>
          <w:rFonts w:ascii="Trebuchet MS" w:hAnsi="Trebuchet MS" w:eastAsia="Trebuchet MS"/>
          <w:b/>
          <w:sz w:val="20"/>
        </w:rPr>
        <w:t>Table 3. Item-level correlates of hypoglycaemia awareness (n=110)</w:t>
      </w:r>
    </w:p>
    <w:tbl>
      <w:tblPr>
        <w:tblStyle w:val="TableGrid"/>
        <w:tblW w:type="auto" w:w="0"/>
        <w:jc w:val="center"/>
        <w:tblLayout w:type="autofit"/>
        <w:tblLook w:firstColumn="1" w:firstRow="1" w:lastColumn="0" w:lastRow="0" w:noHBand="0" w:noVBand="1" w:val="04A0"/>
      </w:tblPr>
      <w:tblGrid>
        <w:gridCol w:w="2040"/>
        <w:gridCol w:w="2040"/>
        <w:gridCol w:w="2040"/>
        <w:gridCol w:w="2040"/>
        <w:gridCol w:w="2040"/>
      </w:tblGrid>
      <w:tr>
        <w:tc>
          <w:tcPr>
            <w:tcW w:type="dxa" w:w="1080"/>
            <w:vAlign w:val="center"/>
            <w:shd w:fill="D9EAD3"/>
          </w:tcPr>
          <w:p>
            <w:pPr>
              <w:spacing w:after="0" w:before="0" w:line="240" w:lineRule="auto"/>
            </w:pPr>
            <w:r/>
            <w:r>
              <w:rPr>
                <w:rFonts w:ascii="Trebuchet MS" w:hAnsi="Trebuchet MS" w:eastAsia="Trebuchet MS"/>
                <w:b/>
                <w:i w:val="0"/>
                <w:sz w:val="18"/>
              </w:rPr>
              <w:t>Item</w:t>
            </w:r>
          </w:p>
        </w:tc>
        <w:tc>
          <w:tcPr>
            <w:tcW w:type="dxa" w:w="1368"/>
            <w:vAlign w:val="center"/>
            <w:shd w:fill="D9EAD3"/>
          </w:tcPr>
          <w:p>
            <w:pPr>
              <w:spacing w:after="0" w:before="0" w:line="240" w:lineRule="auto"/>
            </w:pPr>
            <w:r/>
            <w:r>
              <w:rPr>
                <w:rFonts w:ascii="Trebuchet MS" w:hAnsi="Trebuchet MS" w:eastAsia="Trebuchet MS"/>
                <w:b/>
                <w:i w:val="0"/>
                <w:sz w:val="18"/>
              </w:rPr>
              <w:t>Mean</w:t>
            </w:r>
          </w:p>
        </w:tc>
        <w:tc>
          <w:tcPr>
            <w:tcW w:type="dxa" w:w="1800"/>
            <w:vAlign w:val="center"/>
            <w:shd w:fill="D9EAD3"/>
          </w:tcPr>
          <w:p>
            <w:pPr>
              <w:spacing w:after="0" w:before="0" w:line="240" w:lineRule="auto"/>
            </w:pPr>
            <w:r/>
            <w:r>
              <w:rPr>
                <w:rFonts w:ascii="Trebuchet MS" w:hAnsi="Trebuchet MS" w:eastAsia="Trebuchet MS"/>
                <w:b/>
                <w:i w:val="0"/>
                <w:sz w:val="18"/>
              </w:rPr>
              <w:t>Standard deviation</w:t>
            </w:r>
          </w:p>
        </w:tc>
        <w:tc>
          <w:tcPr>
            <w:tcW w:type="dxa" w:w="3240"/>
            <w:vAlign w:val="center"/>
            <w:shd w:fill="D9EAD3"/>
          </w:tcPr>
          <w:p>
            <w:pPr>
              <w:spacing w:after="0" w:before="0" w:line="240" w:lineRule="auto"/>
            </w:pPr>
            <w:r/>
            <w:r>
              <w:rPr>
                <w:rFonts w:ascii="Trebuchet MS" w:hAnsi="Trebuchet MS" w:eastAsia="Trebuchet MS"/>
                <w:b/>
                <w:i w:val="0"/>
                <w:sz w:val="18"/>
              </w:rPr>
              <w:t>Correlation coefficient (r)</w:t>
            </w:r>
          </w:p>
        </w:tc>
        <w:tc>
          <w:tcPr>
            <w:tcW w:type="dxa" w:w="1368"/>
            <w:vAlign w:val="center"/>
            <w:shd w:fill="D9EAD3"/>
          </w:tcPr>
          <w:p>
            <w:pPr>
              <w:spacing w:after="0" w:before="0" w:line="240" w:lineRule="auto"/>
            </w:pPr>
            <w:r/>
            <w:r>
              <w:rPr>
                <w:rFonts w:ascii="Trebuchet MS" w:hAnsi="Trebuchet MS" w:eastAsia="Trebuchet MS"/>
                <w:b/>
                <w:i w:val="0"/>
                <w:sz w:val="18"/>
              </w:rPr>
              <w:t>p value</w:t>
            </w:r>
          </w:p>
        </w:tc>
      </w:tr>
      <w:tr>
        <w:tc>
          <w:tcPr>
            <w:tcW w:type="dxa" w:w="1080"/>
            <w:vAlign w:val="center"/>
          </w:tcPr>
          <w:p>
            <w:pPr>
              <w:spacing w:after="0" w:before="0" w:line="240" w:lineRule="auto"/>
            </w:pPr>
            <w:r/>
            <w:r>
              <w:rPr>
                <w:rFonts w:ascii="Trebuchet MS" w:hAnsi="Trebuchet MS" w:eastAsia="Trebuchet MS"/>
                <w:b w:val="0"/>
                <w:i w:val="0"/>
                <w:sz w:val="18"/>
              </w:rPr>
              <w:t>P1</w:t>
            </w:r>
          </w:p>
        </w:tc>
        <w:tc>
          <w:tcPr>
            <w:tcW w:type="dxa" w:w="1368"/>
            <w:vAlign w:val="center"/>
          </w:tcPr>
          <w:p>
            <w:pPr>
              <w:spacing w:after="0" w:before="0" w:line="240" w:lineRule="auto"/>
            </w:pPr>
            <w:r/>
            <w:r>
              <w:rPr>
                <w:rFonts w:ascii="Trebuchet MS" w:hAnsi="Trebuchet MS" w:eastAsia="Trebuchet MS"/>
                <w:b w:val="0"/>
                <w:i w:val="0"/>
                <w:sz w:val="18"/>
              </w:rPr>
              <w:t>0.55</w:t>
            </w:r>
          </w:p>
        </w:tc>
        <w:tc>
          <w:tcPr>
            <w:tcW w:type="dxa" w:w="1800"/>
            <w:vAlign w:val="center"/>
          </w:tcPr>
          <w:p>
            <w:pPr>
              <w:spacing w:after="0" w:before="0" w:line="240" w:lineRule="auto"/>
            </w:pPr>
            <w:r/>
            <w:r>
              <w:rPr>
                <w:rFonts w:ascii="Trebuchet MS" w:hAnsi="Trebuchet MS" w:eastAsia="Trebuchet MS"/>
                <w:b w:val="0"/>
                <w:i w:val="0"/>
                <w:sz w:val="18"/>
              </w:rPr>
              <w:t>0.773</w:t>
            </w:r>
          </w:p>
        </w:tc>
        <w:tc>
          <w:tcPr>
            <w:tcW w:type="dxa" w:w="3240"/>
            <w:vAlign w:val="center"/>
          </w:tcPr>
          <w:p>
            <w:pPr>
              <w:spacing w:after="0" w:before="0" w:line="240" w:lineRule="auto"/>
            </w:pPr>
            <w:r/>
            <w:r>
              <w:rPr>
                <w:rFonts w:ascii="Trebuchet MS" w:hAnsi="Trebuchet MS" w:eastAsia="Trebuchet MS"/>
                <w:b w:val="0"/>
                <w:i w:val="0"/>
                <w:sz w:val="18"/>
              </w:rPr>
              <w:t>0.461</w:t>
            </w:r>
          </w:p>
        </w:tc>
        <w:tc>
          <w:tcPr>
            <w:tcW w:type="dxa" w:w="1368"/>
            <w:vAlign w:val="center"/>
          </w:tcPr>
          <w:p>
            <w:pPr>
              <w:spacing w:after="0" w:before="0" w:line="240" w:lineRule="auto"/>
            </w:pPr>
            <w:r/>
            <w:r>
              <w:rPr>
                <w:rFonts w:ascii="Trebuchet MS" w:hAnsi="Trebuchet MS" w:eastAsia="Trebuchet MS"/>
                <w:b w:val="0"/>
                <w:i w:val="0"/>
                <w:sz w:val="18"/>
              </w:rPr>
              <w:t>&lt;0.001</w:t>
            </w:r>
          </w:p>
        </w:tc>
      </w:tr>
      <w:tr>
        <w:tc>
          <w:tcPr>
            <w:tcW w:type="dxa" w:w="1080"/>
            <w:vAlign w:val="center"/>
          </w:tcPr>
          <w:p>
            <w:pPr>
              <w:spacing w:after="0" w:before="0" w:line="240" w:lineRule="auto"/>
            </w:pPr>
            <w:r/>
            <w:r>
              <w:rPr>
                <w:rFonts w:ascii="Trebuchet MS" w:hAnsi="Trebuchet MS" w:eastAsia="Trebuchet MS"/>
                <w:b w:val="0"/>
                <w:i w:val="0"/>
                <w:sz w:val="18"/>
              </w:rPr>
              <w:t>P3</w:t>
            </w:r>
          </w:p>
        </w:tc>
        <w:tc>
          <w:tcPr>
            <w:tcW w:type="dxa" w:w="1368"/>
            <w:vAlign w:val="center"/>
          </w:tcPr>
          <w:p>
            <w:pPr>
              <w:spacing w:after="0" w:before="0" w:line="240" w:lineRule="auto"/>
            </w:pPr>
            <w:r/>
            <w:r>
              <w:rPr>
                <w:rFonts w:ascii="Trebuchet MS" w:hAnsi="Trebuchet MS" w:eastAsia="Trebuchet MS"/>
                <w:b w:val="0"/>
                <w:i w:val="0"/>
                <w:sz w:val="18"/>
              </w:rPr>
              <w:t>0.10</w:t>
            </w:r>
          </w:p>
        </w:tc>
        <w:tc>
          <w:tcPr>
            <w:tcW w:type="dxa" w:w="1800"/>
            <w:vAlign w:val="center"/>
          </w:tcPr>
          <w:p>
            <w:pPr>
              <w:spacing w:after="0" w:before="0" w:line="240" w:lineRule="auto"/>
            </w:pPr>
            <w:r/>
            <w:r>
              <w:rPr>
                <w:rFonts w:ascii="Trebuchet MS" w:hAnsi="Trebuchet MS" w:eastAsia="Trebuchet MS"/>
                <w:b w:val="0"/>
                <w:i w:val="0"/>
                <w:sz w:val="18"/>
              </w:rPr>
              <w:t>0.301</w:t>
            </w:r>
          </w:p>
        </w:tc>
        <w:tc>
          <w:tcPr>
            <w:tcW w:type="dxa" w:w="3240"/>
            <w:vAlign w:val="center"/>
          </w:tcPr>
          <w:p>
            <w:pPr>
              <w:spacing w:after="0" w:before="0" w:line="240" w:lineRule="auto"/>
            </w:pPr>
            <w:r/>
            <w:r>
              <w:rPr>
                <w:rFonts w:ascii="Trebuchet MS" w:hAnsi="Trebuchet MS" w:eastAsia="Trebuchet MS"/>
                <w:b w:val="0"/>
                <w:i w:val="0"/>
                <w:sz w:val="18"/>
              </w:rPr>
              <w:t>0.190</w:t>
            </w:r>
          </w:p>
        </w:tc>
        <w:tc>
          <w:tcPr>
            <w:tcW w:type="dxa" w:w="1368"/>
            <w:vAlign w:val="center"/>
          </w:tcPr>
          <w:p>
            <w:pPr>
              <w:spacing w:after="0" w:before="0" w:line="240" w:lineRule="auto"/>
            </w:pPr>
            <w:r/>
            <w:r>
              <w:rPr>
                <w:rFonts w:ascii="Trebuchet MS" w:hAnsi="Trebuchet MS" w:eastAsia="Trebuchet MS"/>
                <w:b w:val="0"/>
                <w:i w:val="0"/>
                <w:sz w:val="18"/>
              </w:rPr>
              <w:t>0.047</w:t>
            </w:r>
          </w:p>
        </w:tc>
      </w:tr>
      <w:tr>
        <w:tc>
          <w:tcPr>
            <w:tcW w:type="dxa" w:w="1080"/>
            <w:vAlign w:val="center"/>
          </w:tcPr>
          <w:p>
            <w:pPr>
              <w:spacing w:after="0" w:before="0" w:line="240" w:lineRule="auto"/>
            </w:pPr>
            <w:r/>
            <w:r>
              <w:rPr>
                <w:rFonts w:ascii="Trebuchet MS" w:hAnsi="Trebuchet MS" w:eastAsia="Trebuchet MS"/>
                <w:b w:val="0"/>
                <w:i w:val="0"/>
                <w:sz w:val="18"/>
              </w:rPr>
              <w:t>P6</w:t>
            </w:r>
          </w:p>
        </w:tc>
        <w:tc>
          <w:tcPr>
            <w:tcW w:type="dxa" w:w="1368"/>
            <w:vAlign w:val="center"/>
          </w:tcPr>
          <w:p>
            <w:pPr>
              <w:spacing w:after="0" w:before="0" w:line="240" w:lineRule="auto"/>
            </w:pPr>
            <w:r/>
            <w:r>
              <w:rPr>
                <w:rFonts w:ascii="Trebuchet MS" w:hAnsi="Trebuchet MS" w:eastAsia="Trebuchet MS"/>
                <w:b w:val="0"/>
                <w:i w:val="0"/>
                <w:sz w:val="18"/>
              </w:rPr>
              <w:t>0.63</w:t>
            </w:r>
          </w:p>
        </w:tc>
        <w:tc>
          <w:tcPr>
            <w:tcW w:type="dxa" w:w="1800"/>
            <w:vAlign w:val="center"/>
          </w:tcPr>
          <w:p>
            <w:pPr>
              <w:spacing w:after="0" w:before="0" w:line="240" w:lineRule="auto"/>
            </w:pPr>
            <w:r/>
            <w:r>
              <w:rPr>
                <w:rFonts w:ascii="Trebuchet MS" w:hAnsi="Trebuchet MS" w:eastAsia="Trebuchet MS"/>
                <w:b w:val="0"/>
                <w:i w:val="0"/>
                <w:sz w:val="18"/>
              </w:rPr>
              <w:t>0.833</w:t>
            </w:r>
          </w:p>
        </w:tc>
        <w:tc>
          <w:tcPr>
            <w:tcW w:type="dxa" w:w="3240"/>
            <w:vAlign w:val="center"/>
          </w:tcPr>
          <w:p>
            <w:pPr>
              <w:spacing w:after="0" w:before="0" w:line="240" w:lineRule="auto"/>
            </w:pPr>
            <w:r/>
            <w:r>
              <w:rPr>
                <w:rFonts w:ascii="Trebuchet MS" w:hAnsi="Trebuchet MS" w:eastAsia="Trebuchet MS"/>
                <w:b w:val="0"/>
                <w:i w:val="0"/>
                <w:sz w:val="18"/>
              </w:rPr>
              <w:t>0.647</w:t>
            </w:r>
          </w:p>
        </w:tc>
        <w:tc>
          <w:tcPr>
            <w:tcW w:type="dxa" w:w="1368"/>
            <w:vAlign w:val="center"/>
          </w:tcPr>
          <w:p>
            <w:pPr>
              <w:spacing w:after="0" w:before="0" w:line="240" w:lineRule="auto"/>
            </w:pPr>
            <w:r/>
            <w:r>
              <w:rPr>
                <w:rFonts w:ascii="Trebuchet MS" w:hAnsi="Trebuchet MS" w:eastAsia="Trebuchet MS"/>
                <w:b w:val="0"/>
                <w:i w:val="0"/>
                <w:sz w:val="18"/>
              </w:rPr>
              <w:t>&lt;0.001</w:t>
            </w:r>
          </w:p>
        </w:tc>
      </w:tr>
      <w:tr>
        <w:tc>
          <w:tcPr>
            <w:tcW w:type="dxa" w:w="1080"/>
            <w:vAlign w:val="center"/>
          </w:tcPr>
          <w:p>
            <w:pPr>
              <w:spacing w:after="0" w:before="0" w:line="240" w:lineRule="auto"/>
            </w:pPr>
            <w:r/>
            <w:r>
              <w:rPr>
                <w:rFonts w:ascii="Trebuchet MS" w:hAnsi="Trebuchet MS" w:eastAsia="Trebuchet MS"/>
                <w:b w:val="0"/>
                <w:i w:val="0"/>
                <w:sz w:val="18"/>
              </w:rPr>
              <w:t>P7</w:t>
            </w:r>
          </w:p>
        </w:tc>
        <w:tc>
          <w:tcPr>
            <w:tcW w:type="dxa" w:w="1368"/>
            <w:vAlign w:val="center"/>
          </w:tcPr>
          <w:p>
            <w:pPr>
              <w:spacing w:after="0" w:before="0" w:line="240" w:lineRule="auto"/>
            </w:pPr>
            <w:r/>
            <w:r>
              <w:rPr>
                <w:rFonts w:ascii="Trebuchet MS" w:hAnsi="Trebuchet MS" w:eastAsia="Trebuchet MS"/>
                <w:b w:val="0"/>
                <w:i w:val="0"/>
                <w:sz w:val="18"/>
              </w:rPr>
              <w:t>0.91</w:t>
            </w:r>
          </w:p>
        </w:tc>
        <w:tc>
          <w:tcPr>
            <w:tcW w:type="dxa" w:w="1800"/>
            <w:vAlign w:val="center"/>
          </w:tcPr>
          <w:p>
            <w:pPr>
              <w:spacing w:after="0" w:before="0" w:line="240" w:lineRule="auto"/>
            </w:pPr>
            <w:r/>
            <w:r>
              <w:rPr>
                <w:rFonts w:ascii="Trebuchet MS" w:hAnsi="Trebuchet MS" w:eastAsia="Trebuchet MS"/>
                <w:b w:val="0"/>
                <w:i w:val="0"/>
                <w:sz w:val="18"/>
              </w:rPr>
              <w:t>0.953</w:t>
            </w:r>
          </w:p>
        </w:tc>
        <w:tc>
          <w:tcPr>
            <w:tcW w:type="dxa" w:w="3240"/>
            <w:vAlign w:val="center"/>
          </w:tcPr>
          <w:p>
            <w:pPr>
              <w:spacing w:after="0" w:before="0" w:line="240" w:lineRule="auto"/>
            </w:pPr>
            <w:r/>
            <w:r>
              <w:rPr>
                <w:rFonts w:ascii="Trebuchet MS" w:hAnsi="Trebuchet MS" w:eastAsia="Trebuchet MS"/>
                <w:b w:val="0"/>
                <w:i w:val="0"/>
                <w:sz w:val="18"/>
              </w:rPr>
              <w:t>0.598</w:t>
            </w:r>
          </w:p>
        </w:tc>
        <w:tc>
          <w:tcPr>
            <w:tcW w:type="dxa" w:w="1368"/>
            <w:vAlign w:val="center"/>
          </w:tcPr>
          <w:p>
            <w:pPr>
              <w:spacing w:after="0" w:before="0" w:line="240" w:lineRule="auto"/>
            </w:pPr>
            <w:r/>
            <w:r>
              <w:rPr>
                <w:rFonts w:ascii="Trebuchet MS" w:hAnsi="Trebuchet MS" w:eastAsia="Trebuchet MS"/>
                <w:b w:val="0"/>
                <w:i w:val="0"/>
                <w:sz w:val="18"/>
              </w:rPr>
              <w:t>&lt;0.001</w:t>
            </w:r>
          </w:p>
        </w:tc>
      </w:tr>
      <w:tr>
        <w:tc>
          <w:tcPr>
            <w:tcW w:type="dxa" w:w="1080"/>
            <w:vAlign w:val="center"/>
          </w:tcPr>
          <w:p>
            <w:pPr>
              <w:spacing w:after="0" w:before="0" w:line="240" w:lineRule="auto"/>
            </w:pPr>
            <w:r/>
            <w:r>
              <w:rPr>
                <w:rFonts w:ascii="Trebuchet MS" w:hAnsi="Trebuchet MS" w:eastAsia="Trebuchet MS"/>
                <w:b w:val="0"/>
                <w:i w:val="0"/>
                <w:sz w:val="18"/>
              </w:rPr>
              <w:t>P8</w:t>
            </w:r>
          </w:p>
        </w:tc>
        <w:tc>
          <w:tcPr>
            <w:tcW w:type="dxa" w:w="1368"/>
            <w:vAlign w:val="center"/>
          </w:tcPr>
          <w:p>
            <w:pPr>
              <w:spacing w:after="0" w:before="0" w:line="240" w:lineRule="auto"/>
            </w:pPr>
            <w:r/>
            <w:r>
              <w:rPr>
                <w:rFonts w:ascii="Trebuchet MS" w:hAnsi="Trebuchet MS" w:eastAsia="Trebuchet MS"/>
                <w:b w:val="0"/>
                <w:i w:val="0"/>
                <w:sz w:val="18"/>
              </w:rPr>
              <w:t>1.22</w:t>
            </w:r>
          </w:p>
        </w:tc>
        <w:tc>
          <w:tcPr>
            <w:tcW w:type="dxa" w:w="1800"/>
            <w:vAlign w:val="center"/>
          </w:tcPr>
          <w:p>
            <w:pPr>
              <w:spacing w:after="0" w:before="0" w:line="240" w:lineRule="auto"/>
            </w:pPr>
            <w:r/>
            <w:r>
              <w:rPr>
                <w:rFonts w:ascii="Trebuchet MS" w:hAnsi="Trebuchet MS" w:eastAsia="Trebuchet MS"/>
                <w:b w:val="0"/>
                <w:i w:val="0"/>
                <w:sz w:val="18"/>
              </w:rPr>
              <w:t>1.078</w:t>
            </w:r>
          </w:p>
        </w:tc>
        <w:tc>
          <w:tcPr>
            <w:tcW w:type="dxa" w:w="3240"/>
            <w:vAlign w:val="center"/>
          </w:tcPr>
          <w:p>
            <w:pPr>
              <w:spacing w:after="0" w:before="0" w:line="240" w:lineRule="auto"/>
            </w:pPr>
            <w:r/>
            <w:r>
              <w:rPr>
                <w:rFonts w:ascii="Trebuchet MS" w:hAnsi="Trebuchet MS" w:eastAsia="Trebuchet MS"/>
                <w:b w:val="0"/>
                <w:i w:val="0"/>
                <w:sz w:val="18"/>
              </w:rPr>
              <w:t>0.468</w:t>
            </w:r>
          </w:p>
        </w:tc>
        <w:tc>
          <w:tcPr>
            <w:tcW w:type="dxa" w:w="1368"/>
            <w:vAlign w:val="center"/>
          </w:tcPr>
          <w:p>
            <w:pPr>
              <w:spacing w:after="0" w:before="0" w:line="240" w:lineRule="auto"/>
            </w:pPr>
            <w:r/>
            <w:r>
              <w:rPr>
                <w:rFonts w:ascii="Trebuchet MS" w:hAnsi="Trebuchet MS" w:eastAsia="Trebuchet MS"/>
                <w:b w:val="0"/>
                <w:i w:val="0"/>
                <w:sz w:val="18"/>
              </w:rPr>
              <w:t>&lt;0.001</w:t>
            </w:r>
          </w:p>
        </w:tc>
      </w:tr>
      <w:tr>
        <w:tc>
          <w:tcPr>
            <w:tcW w:type="dxa" w:w="1080"/>
            <w:vAlign w:val="center"/>
          </w:tcPr>
          <w:p>
            <w:pPr>
              <w:spacing w:after="0" w:before="0" w:line="240" w:lineRule="auto"/>
            </w:pPr>
            <w:r/>
            <w:r>
              <w:rPr>
                <w:rFonts w:ascii="Trebuchet MS" w:hAnsi="Trebuchet MS" w:eastAsia="Trebuchet MS"/>
                <w:b w:val="0"/>
                <w:i w:val="0"/>
                <w:sz w:val="18"/>
              </w:rPr>
              <w:t>P9</w:t>
            </w:r>
          </w:p>
        </w:tc>
        <w:tc>
          <w:tcPr>
            <w:tcW w:type="dxa" w:w="1368"/>
            <w:vAlign w:val="center"/>
          </w:tcPr>
          <w:p>
            <w:pPr>
              <w:spacing w:after="0" w:before="0" w:line="240" w:lineRule="auto"/>
            </w:pPr>
            <w:r/>
            <w:r>
              <w:rPr>
                <w:rFonts w:ascii="Trebuchet MS" w:hAnsi="Trebuchet MS" w:eastAsia="Trebuchet MS"/>
                <w:b w:val="0"/>
                <w:i w:val="0"/>
                <w:sz w:val="18"/>
              </w:rPr>
              <w:t>0.75</w:t>
            </w:r>
          </w:p>
        </w:tc>
        <w:tc>
          <w:tcPr>
            <w:tcW w:type="dxa" w:w="1800"/>
            <w:vAlign w:val="center"/>
          </w:tcPr>
          <w:p>
            <w:pPr>
              <w:spacing w:after="0" w:before="0" w:line="240" w:lineRule="auto"/>
            </w:pPr>
            <w:r/>
            <w:r>
              <w:rPr>
                <w:rFonts w:ascii="Trebuchet MS" w:hAnsi="Trebuchet MS" w:eastAsia="Trebuchet MS"/>
                <w:b w:val="0"/>
                <w:i w:val="0"/>
                <w:sz w:val="18"/>
              </w:rPr>
              <w:t>0.759</w:t>
            </w:r>
          </w:p>
        </w:tc>
        <w:tc>
          <w:tcPr>
            <w:tcW w:type="dxa" w:w="3240"/>
            <w:vAlign w:val="center"/>
          </w:tcPr>
          <w:p>
            <w:pPr>
              <w:spacing w:after="0" w:before="0" w:line="240" w:lineRule="auto"/>
            </w:pPr>
            <w:r/>
            <w:r>
              <w:rPr>
                <w:rFonts w:ascii="Trebuchet MS" w:hAnsi="Trebuchet MS" w:eastAsia="Trebuchet MS"/>
                <w:b w:val="0"/>
                <w:i w:val="0"/>
                <w:sz w:val="18"/>
              </w:rPr>
              <w:t>0.539</w:t>
            </w:r>
          </w:p>
        </w:tc>
        <w:tc>
          <w:tcPr>
            <w:tcW w:type="dxa" w:w="1368"/>
            <w:vAlign w:val="center"/>
          </w:tcPr>
          <w:p>
            <w:pPr>
              <w:spacing w:after="0" w:before="0" w:line="240" w:lineRule="auto"/>
            </w:pPr>
            <w:r/>
            <w:r>
              <w:rPr>
                <w:rFonts w:ascii="Trebuchet MS" w:hAnsi="Trebuchet MS" w:eastAsia="Trebuchet MS"/>
                <w:b w:val="0"/>
                <w:i w:val="0"/>
                <w:sz w:val="18"/>
              </w:rPr>
              <w:t>&lt;0.001</w:t>
            </w:r>
          </w:p>
        </w:tc>
      </w:tr>
      <w:tr>
        <w:tc>
          <w:tcPr>
            <w:tcW w:type="dxa" w:w="1080"/>
            <w:vAlign w:val="center"/>
          </w:tcPr>
          <w:p>
            <w:pPr>
              <w:spacing w:after="0" w:before="0" w:line="240" w:lineRule="auto"/>
            </w:pPr>
            <w:r/>
            <w:r>
              <w:rPr>
                <w:rFonts w:ascii="Trebuchet MS" w:hAnsi="Trebuchet MS" w:eastAsia="Trebuchet MS"/>
                <w:b w:val="0"/>
                <w:i w:val="0"/>
                <w:sz w:val="18"/>
              </w:rPr>
              <w:t>P10</w:t>
            </w:r>
          </w:p>
        </w:tc>
        <w:tc>
          <w:tcPr>
            <w:tcW w:type="dxa" w:w="1368"/>
            <w:vAlign w:val="center"/>
          </w:tcPr>
          <w:p>
            <w:pPr>
              <w:spacing w:after="0" w:before="0" w:line="240" w:lineRule="auto"/>
            </w:pPr>
            <w:r/>
            <w:r>
              <w:rPr>
                <w:rFonts w:ascii="Trebuchet MS" w:hAnsi="Trebuchet MS" w:eastAsia="Trebuchet MS"/>
                <w:b w:val="0"/>
                <w:i w:val="0"/>
                <w:sz w:val="18"/>
              </w:rPr>
              <w:t>0.70</w:t>
            </w:r>
          </w:p>
        </w:tc>
        <w:tc>
          <w:tcPr>
            <w:tcW w:type="dxa" w:w="1800"/>
            <w:vAlign w:val="center"/>
          </w:tcPr>
          <w:p>
            <w:pPr>
              <w:spacing w:after="0" w:before="0" w:line="240" w:lineRule="auto"/>
            </w:pPr>
            <w:r/>
            <w:r>
              <w:rPr>
                <w:rFonts w:ascii="Trebuchet MS" w:hAnsi="Trebuchet MS" w:eastAsia="Trebuchet MS"/>
                <w:b w:val="0"/>
                <w:i w:val="0"/>
                <w:sz w:val="18"/>
              </w:rPr>
              <w:t>0.761</w:t>
            </w:r>
          </w:p>
        </w:tc>
        <w:tc>
          <w:tcPr>
            <w:tcW w:type="dxa" w:w="3240"/>
            <w:vAlign w:val="center"/>
          </w:tcPr>
          <w:p>
            <w:pPr>
              <w:spacing w:after="0" w:before="0" w:line="240" w:lineRule="auto"/>
            </w:pPr>
            <w:r/>
            <w:r>
              <w:rPr>
                <w:rFonts w:ascii="Trebuchet MS" w:hAnsi="Trebuchet MS" w:eastAsia="Trebuchet MS"/>
                <w:b w:val="0"/>
                <w:i w:val="0"/>
                <w:sz w:val="18"/>
              </w:rPr>
              <w:t>0.584</w:t>
            </w:r>
          </w:p>
        </w:tc>
        <w:tc>
          <w:tcPr>
            <w:tcW w:type="dxa" w:w="1368"/>
            <w:vAlign w:val="center"/>
          </w:tcPr>
          <w:p>
            <w:pPr>
              <w:spacing w:after="0" w:before="0" w:line="240" w:lineRule="auto"/>
            </w:pPr>
            <w:r/>
            <w:r>
              <w:rPr>
                <w:rFonts w:ascii="Trebuchet MS" w:hAnsi="Trebuchet MS" w:eastAsia="Trebuchet MS"/>
                <w:b w:val="0"/>
                <w:i w:val="0"/>
                <w:sz w:val="18"/>
              </w:rPr>
              <w:t>&lt;0.001</w:t>
            </w:r>
          </w:p>
        </w:tc>
      </w:tr>
      <w:tr>
        <w:tc>
          <w:tcPr>
            <w:tcW w:type="dxa" w:w="1080"/>
            <w:vAlign w:val="center"/>
          </w:tcPr>
          <w:p>
            <w:pPr>
              <w:spacing w:after="0" w:before="0" w:line="240" w:lineRule="auto"/>
            </w:pPr>
            <w:r/>
            <w:r>
              <w:rPr>
                <w:rFonts w:ascii="Trebuchet MS" w:hAnsi="Trebuchet MS" w:eastAsia="Trebuchet MS"/>
                <w:b w:val="0"/>
                <w:i w:val="0"/>
                <w:sz w:val="18"/>
              </w:rPr>
              <w:t>P11</w:t>
            </w:r>
          </w:p>
        </w:tc>
        <w:tc>
          <w:tcPr>
            <w:tcW w:type="dxa" w:w="1368"/>
            <w:vAlign w:val="center"/>
          </w:tcPr>
          <w:p>
            <w:pPr>
              <w:spacing w:after="0" w:before="0" w:line="240" w:lineRule="auto"/>
            </w:pPr>
            <w:r/>
            <w:r>
              <w:rPr>
                <w:rFonts w:ascii="Trebuchet MS" w:hAnsi="Trebuchet MS" w:eastAsia="Trebuchet MS"/>
                <w:b w:val="0"/>
                <w:i w:val="0"/>
                <w:sz w:val="18"/>
              </w:rPr>
              <w:t>0.70</w:t>
            </w:r>
          </w:p>
        </w:tc>
        <w:tc>
          <w:tcPr>
            <w:tcW w:type="dxa" w:w="1800"/>
            <w:vAlign w:val="center"/>
          </w:tcPr>
          <w:p>
            <w:pPr>
              <w:spacing w:after="0" w:before="0" w:line="240" w:lineRule="auto"/>
            </w:pPr>
            <w:r/>
            <w:r>
              <w:rPr>
                <w:rFonts w:ascii="Trebuchet MS" w:hAnsi="Trebuchet MS" w:eastAsia="Trebuchet MS"/>
                <w:b w:val="0"/>
                <w:i w:val="0"/>
                <w:sz w:val="18"/>
              </w:rPr>
              <w:t>0.819</w:t>
            </w:r>
          </w:p>
        </w:tc>
        <w:tc>
          <w:tcPr>
            <w:tcW w:type="dxa" w:w="3240"/>
            <w:vAlign w:val="center"/>
          </w:tcPr>
          <w:p>
            <w:pPr>
              <w:spacing w:after="0" w:before="0" w:line="240" w:lineRule="auto"/>
            </w:pPr>
            <w:r/>
            <w:r>
              <w:rPr>
                <w:rFonts w:ascii="Trebuchet MS" w:hAnsi="Trebuchet MS" w:eastAsia="Trebuchet MS"/>
                <w:b w:val="0"/>
                <w:i w:val="0"/>
                <w:sz w:val="18"/>
              </w:rPr>
              <w:t>0.648</w:t>
            </w:r>
          </w:p>
        </w:tc>
        <w:tc>
          <w:tcPr>
            <w:tcW w:type="dxa" w:w="1368"/>
            <w:vAlign w:val="center"/>
          </w:tcPr>
          <w:p>
            <w:pPr>
              <w:spacing w:after="0" w:before="0" w:line="240" w:lineRule="auto"/>
            </w:pPr>
            <w:r/>
            <w:r>
              <w:rPr>
                <w:rFonts w:ascii="Trebuchet MS" w:hAnsi="Trebuchet MS" w:eastAsia="Trebuchet MS"/>
                <w:b w:val="0"/>
                <w:i w:val="0"/>
                <w:sz w:val="18"/>
              </w:rPr>
              <w:t>&lt;0.001</w:t>
            </w:r>
          </w:p>
        </w:tc>
      </w:tr>
      <w:tr>
        <w:tc>
          <w:tcPr>
            <w:tcW w:type="dxa" w:w="1080"/>
            <w:vAlign w:val="center"/>
          </w:tcPr>
          <w:p>
            <w:pPr>
              <w:spacing w:after="0" w:before="0" w:line="240" w:lineRule="auto"/>
            </w:pPr>
            <w:r/>
            <w:r>
              <w:rPr>
                <w:rFonts w:ascii="Trebuchet MS" w:hAnsi="Trebuchet MS" w:eastAsia="Trebuchet MS"/>
                <w:b w:val="0"/>
                <w:i w:val="0"/>
                <w:sz w:val="18"/>
              </w:rPr>
              <w:t>P12</w:t>
            </w:r>
          </w:p>
        </w:tc>
        <w:tc>
          <w:tcPr>
            <w:tcW w:type="dxa" w:w="1368"/>
            <w:vAlign w:val="center"/>
          </w:tcPr>
          <w:p>
            <w:pPr>
              <w:spacing w:after="0" w:before="0" w:line="240" w:lineRule="auto"/>
            </w:pPr>
            <w:r/>
            <w:r>
              <w:rPr>
                <w:rFonts w:ascii="Trebuchet MS" w:hAnsi="Trebuchet MS" w:eastAsia="Trebuchet MS"/>
                <w:b w:val="0"/>
                <w:i w:val="0"/>
                <w:sz w:val="18"/>
              </w:rPr>
              <w:t>0.79</w:t>
            </w:r>
          </w:p>
        </w:tc>
        <w:tc>
          <w:tcPr>
            <w:tcW w:type="dxa" w:w="1800"/>
            <w:vAlign w:val="center"/>
          </w:tcPr>
          <w:p>
            <w:pPr>
              <w:spacing w:after="0" w:before="0" w:line="240" w:lineRule="auto"/>
            </w:pPr>
            <w:r/>
            <w:r>
              <w:rPr>
                <w:rFonts w:ascii="Trebuchet MS" w:hAnsi="Trebuchet MS" w:eastAsia="Trebuchet MS"/>
                <w:b w:val="0"/>
                <w:i w:val="0"/>
                <w:sz w:val="18"/>
              </w:rPr>
              <w:t>0.847</w:t>
            </w:r>
          </w:p>
        </w:tc>
        <w:tc>
          <w:tcPr>
            <w:tcW w:type="dxa" w:w="3240"/>
            <w:vAlign w:val="center"/>
          </w:tcPr>
          <w:p>
            <w:pPr>
              <w:spacing w:after="0" w:before="0" w:line="240" w:lineRule="auto"/>
            </w:pPr>
            <w:r/>
            <w:r>
              <w:rPr>
                <w:rFonts w:ascii="Trebuchet MS" w:hAnsi="Trebuchet MS" w:eastAsia="Trebuchet MS"/>
                <w:b w:val="0"/>
                <w:i w:val="0"/>
                <w:sz w:val="18"/>
              </w:rPr>
              <w:t>0.681</w:t>
            </w:r>
          </w:p>
        </w:tc>
        <w:tc>
          <w:tcPr>
            <w:tcW w:type="dxa" w:w="1368"/>
            <w:vAlign w:val="center"/>
          </w:tcPr>
          <w:p>
            <w:pPr>
              <w:spacing w:after="0" w:before="0" w:line="240" w:lineRule="auto"/>
            </w:pPr>
            <w:r/>
            <w:r>
              <w:rPr>
                <w:rFonts w:ascii="Trebuchet MS" w:hAnsi="Trebuchet MS" w:eastAsia="Trebuchet MS"/>
                <w:b w:val="0"/>
                <w:i w:val="0"/>
                <w:sz w:val="18"/>
              </w:rPr>
              <w:t>&lt;0.001</w:t>
            </w:r>
          </w:p>
        </w:tc>
      </w:tr>
      <w:tr>
        <w:tc>
          <w:tcPr>
            <w:tcW w:type="dxa" w:w="1080"/>
            <w:vAlign w:val="center"/>
          </w:tcPr>
          <w:p>
            <w:pPr>
              <w:spacing w:after="0" w:before="0" w:line="240" w:lineRule="auto"/>
            </w:pPr>
            <w:r/>
            <w:r>
              <w:rPr>
                <w:rFonts w:ascii="Trebuchet MS" w:hAnsi="Trebuchet MS" w:eastAsia="Trebuchet MS"/>
                <w:b w:val="0"/>
                <w:i w:val="0"/>
                <w:sz w:val="18"/>
              </w:rPr>
              <w:t>P13</w:t>
            </w:r>
          </w:p>
        </w:tc>
        <w:tc>
          <w:tcPr>
            <w:tcW w:type="dxa" w:w="1368"/>
            <w:vAlign w:val="center"/>
          </w:tcPr>
          <w:p>
            <w:pPr>
              <w:spacing w:after="0" w:before="0" w:line="240" w:lineRule="auto"/>
            </w:pPr>
            <w:r/>
            <w:r>
              <w:rPr>
                <w:rFonts w:ascii="Trebuchet MS" w:hAnsi="Trebuchet MS" w:eastAsia="Trebuchet MS"/>
                <w:b w:val="0"/>
                <w:i w:val="0"/>
                <w:sz w:val="18"/>
              </w:rPr>
              <w:t>0.69</w:t>
            </w:r>
          </w:p>
        </w:tc>
        <w:tc>
          <w:tcPr>
            <w:tcW w:type="dxa" w:w="1800"/>
            <w:vAlign w:val="center"/>
          </w:tcPr>
          <w:p>
            <w:pPr>
              <w:spacing w:after="0" w:before="0" w:line="240" w:lineRule="auto"/>
            </w:pPr>
            <w:r/>
            <w:r>
              <w:rPr>
                <w:rFonts w:ascii="Trebuchet MS" w:hAnsi="Trebuchet MS" w:eastAsia="Trebuchet MS"/>
                <w:b w:val="0"/>
                <w:i w:val="0"/>
                <w:sz w:val="18"/>
              </w:rPr>
              <w:t>0.739</w:t>
            </w:r>
          </w:p>
        </w:tc>
        <w:tc>
          <w:tcPr>
            <w:tcW w:type="dxa" w:w="3240"/>
            <w:vAlign w:val="center"/>
          </w:tcPr>
          <w:p>
            <w:pPr>
              <w:spacing w:after="0" w:before="0" w:line="240" w:lineRule="auto"/>
            </w:pPr>
            <w:r/>
            <w:r>
              <w:rPr>
                <w:rFonts w:ascii="Trebuchet MS" w:hAnsi="Trebuchet MS" w:eastAsia="Trebuchet MS"/>
                <w:b w:val="0"/>
                <w:i w:val="0"/>
                <w:sz w:val="18"/>
              </w:rPr>
              <w:t>0.698</w:t>
            </w:r>
          </w:p>
        </w:tc>
        <w:tc>
          <w:tcPr>
            <w:tcW w:type="dxa" w:w="1368"/>
            <w:vAlign w:val="center"/>
          </w:tcPr>
          <w:p>
            <w:pPr>
              <w:spacing w:after="0" w:before="0" w:line="240" w:lineRule="auto"/>
            </w:pPr>
            <w:r/>
            <w:r>
              <w:rPr>
                <w:rFonts w:ascii="Trebuchet MS" w:hAnsi="Trebuchet MS" w:eastAsia="Trebuchet MS"/>
                <w:b w:val="0"/>
                <w:i w:val="0"/>
                <w:sz w:val="18"/>
              </w:rPr>
              <w:t>&lt;0.001</w:t>
            </w:r>
          </w:p>
        </w:tc>
      </w:tr>
      <w:tr>
        <w:tc>
          <w:tcPr>
            <w:tcW w:type="dxa" w:w="1080"/>
            <w:vAlign w:val="center"/>
          </w:tcPr>
          <w:p>
            <w:pPr>
              <w:spacing w:after="0" w:before="0" w:line="240" w:lineRule="auto"/>
            </w:pPr>
            <w:r/>
            <w:r>
              <w:rPr>
                <w:rFonts w:ascii="Trebuchet MS" w:hAnsi="Trebuchet MS" w:eastAsia="Trebuchet MS"/>
                <w:b w:val="0"/>
                <w:i w:val="0"/>
                <w:sz w:val="18"/>
              </w:rPr>
              <w:t>P14</w:t>
            </w:r>
          </w:p>
        </w:tc>
        <w:tc>
          <w:tcPr>
            <w:tcW w:type="dxa" w:w="1368"/>
            <w:vAlign w:val="center"/>
          </w:tcPr>
          <w:p>
            <w:pPr>
              <w:spacing w:after="0" w:before="0" w:line="240" w:lineRule="auto"/>
            </w:pPr>
            <w:r/>
            <w:r>
              <w:rPr>
                <w:rFonts w:ascii="Trebuchet MS" w:hAnsi="Trebuchet MS" w:eastAsia="Trebuchet MS"/>
                <w:b w:val="0"/>
                <w:i w:val="0"/>
                <w:sz w:val="18"/>
              </w:rPr>
              <w:t>0.65</w:t>
            </w:r>
          </w:p>
        </w:tc>
        <w:tc>
          <w:tcPr>
            <w:tcW w:type="dxa" w:w="1800"/>
            <w:vAlign w:val="center"/>
          </w:tcPr>
          <w:p>
            <w:pPr>
              <w:spacing w:after="0" w:before="0" w:line="240" w:lineRule="auto"/>
            </w:pPr>
            <w:r/>
            <w:r>
              <w:rPr>
                <w:rFonts w:ascii="Trebuchet MS" w:hAnsi="Trebuchet MS" w:eastAsia="Trebuchet MS"/>
                <w:b w:val="0"/>
                <w:i w:val="0"/>
                <w:sz w:val="18"/>
              </w:rPr>
              <w:t>0.773</w:t>
            </w:r>
          </w:p>
        </w:tc>
        <w:tc>
          <w:tcPr>
            <w:tcW w:type="dxa" w:w="3240"/>
            <w:vAlign w:val="center"/>
          </w:tcPr>
          <w:p>
            <w:pPr>
              <w:spacing w:after="0" w:before="0" w:line="240" w:lineRule="auto"/>
            </w:pPr>
            <w:r/>
            <w:r>
              <w:rPr>
                <w:rFonts w:ascii="Trebuchet MS" w:hAnsi="Trebuchet MS" w:eastAsia="Trebuchet MS"/>
                <w:b w:val="0"/>
                <w:i w:val="0"/>
                <w:sz w:val="18"/>
              </w:rPr>
              <w:t>0.692</w:t>
            </w:r>
          </w:p>
        </w:tc>
        <w:tc>
          <w:tcPr>
            <w:tcW w:type="dxa" w:w="1368"/>
            <w:vAlign w:val="center"/>
          </w:tcPr>
          <w:p>
            <w:pPr>
              <w:spacing w:after="0" w:before="0" w:line="240" w:lineRule="auto"/>
            </w:pPr>
            <w:r/>
            <w:r>
              <w:rPr>
                <w:rFonts w:ascii="Trebuchet MS" w:hAnsi="Trebuchet MS" w:eastAsia="Trebuchet MS"/>
                <w:b w:val="0"/>
                <w:i w:val="0"/>
                <w:sz w:val="18"/>
              </w:rPr>
              <w:t>&lt;0.001</w:t>
            </w:r>
          </w:p>
        </w:tc>
      </w:tr>
      <w:tr>
        <w:tc>
          <w:tcPr>
            <w:tcW w:type="dxa" w:w="1080"/>
            <w:vAlign w:val="center"/>
          </w:tcPr>
          <w:p>
            <w:pPr>
              <w:spacing w:after="0" w:before="0" w:line="240" w:lineRule="auto"/>
            </w:pPr>
            <w:r/>
            <w:r>
              <w:rPr>
                <w:rFonts w:ascii="Trebuchet MS" w:hAnsi="Trebuchet MS" w:eastAsia="Trebuchet MS"/>
                <w:b w:val="0"/>
                <w:i w:val="0"/>
                <w:sz w:val="18"/>
              </w:rPr>
              <w:t>P16</w:t>
            </w:r>
          </w:p>
        </w:tc>
        <w:tc>
          <w:tcPr>
            <w:tcW w:type="dxa" w:w="1368"/>
            <w:vAlign w:val="center"/>
          </w:tcPr>
          <w:p>
            <w:pPr>
              <w:spacing w:after="0" w:before="0" w:line="240" w:lineRule="auto"/>
            </w:pPr>
            <w:r/>
            <w:r>
              <w:rPr>
                <w:rFonts w:ascii="Trebuchet MS" w:hAnsi="Trebuchet MS" w:eastAsia="Trebuchet MS"/>
                <w:b w:val="0"/>
                <w:i w:val="0"/>
                <w:sz w:val="18"/>
              </w:rPr>
              <w:t>0.67</w:t>
            </w:r>
          </w:p>
        </w:tc>
        <w:tc>
          <w:tcPr>
            <w:tcW w:type="dxa" w:w="1800"/>
            <w:vAlign w:val="center"/>
          </w:tcPr>
          <w:p>
            <w:pPr>
              <w:spacing w:after="0" w:before="0" w:line="240" w:lineRule="auto"/>
            </w:pPr>
            <w:r/>
            <w:r>
              <w:rPr>
                <w:rFonts w:ascii="Trebuchet MS" w:hAnsi="Trebuchet MS" w:eastAsia="Trebuchet MS"/>
                <w:b w:val="0"/>
                <w:i w:val="0"/>
                <w:sz w:val="18"/>
              </w:rPr>
              <w:t>0.679</w:t>
            </w:r>
          </w:p>
        </w:tc>
        <w:tc>
          <w:tcPr>
            <w:tcW w:type="dxa" w:w="3240"/>
            <w:vAlign w:val="center"/>
          </w:tcPr>
          <w:p>
            <w:pPr>
              <w:spacing w:after="0" w:before="0" w:line="240" w:lineRule="auto"/>
            </w:pPr>
            <w:r/>
            <w:r>
              <w:rPr>
                <w:rFonts w:ascii="Trebuchet MS" w:hAnsi="Trebuchet MS" w:eastAsia="Trebuchet MS"/>
                <w:b w:val="0"/>
                <w:i w:val="0"/>
                <w:sz w:val="18"/>
              </w:rPr>
              <w:t>0.652</w:t>
            </w:r>
          </w:p>
        </w:tc>
        <w:tc>
          <w:tcPr>
            <w:tcW w:type="dxa" w:w="1368"/>
            <w:vAlign w:val="center"/>
          </w:tcPr>
          <w:p>
            <w:pPr>
              <w:spacing w:after="0" w:before="0" w:line="240" w:lineRule="auto"/>
            </w:pPr>
            <w:r/>
            <w:r>
              <w:rPr>
                <w:rFonts w:ascii="Trebuchet MS" w:hAnsi="Trebuchet MS" w:eastAsia="Trebuchet MS"/>
                <w:b w:val="0"/>
                <w:i w:val="0"/>
                <w:sz w:val="18"/>
              </w:rPr>
              <w:t>&lt;0.001</w:t>
            </w:r>
          </w:p>
        </w:tc>
      </w:tr>
      <w:tr>
        <w:tc>
          <w:tcPr>
            <w:tcW w:type="dxa" w:w="1080"/>
            <w:vAlign w:val="center"/>
          </w:tcPr>
          <w:p>
            <w:pPr>
              <w:spacing w:after="0" w:before="0" w:line="240" w:lineRule="auto"/>
            </w:pPr>
            <w:r/>
            <w:r>
              <w:rPr>
                <w:rFonts w:ascii="Trebuchet MS" w:hAnsi="Trebuchet MS" w:eastAsia="Trebuchet MS"/>
                <w:b w:val="0"/>
                <w:i w:val="0"/>
                <w:sz w:val="18"/>
              </w:rPr>
              <w:t>P17</w:t>
            </w:r>
          </w:p>
        </w:tc>
        <w:tc>
          <w:tcPr>
            <w:tcW w:type="dxa" w:w="1368"/>
            <w:vAlign w:val="center"/>
          </w:tcPr>
          <w:p>
            <w:pPr>
              <w:spacing w:after="0" w:before="0" w:line="240" w:lineRule="auto"/>
            </w:pPr>
            <w:r/>
            <w:r>
              <w:rPr>
                <w:rFonts w:ascii="Trebuchet MS" w:hAnsi="Trebuchet MS" w:eastAsia="Trebuchet MS"/>
                <w:b w:val="0"/>
                <w:i w:val="0"/>
                <w:sz w:val="18"/>
              </w:rPr>
              <w:t>0.67</w:t>
            </w:r>
          </w:p>
        </w:tc>
        <w:tc>
          <w:tcPr>
            <w:tcW w:type="dxa" w:w="1800"/>
            <w:vAlign w:val="center"/>
          </w:tcPr>
          <w:p>
            <w:pPr>
              <w:spacing w:after="0" w:before="0" w:line="240" w:lineRule="auto"/>
            </w:pPr>
            <w:r/>
            <w:r>
              <w:rPr>
                <w:rFonts w:ascii="Trebuchet MS" w:hAnsi="Trebuchet MS" w:eastAsia="Trebuchet MS"/>
                <w:b w:val="0"/>
                <w:i w:val="0"/>
                <w:sz w:val="18"/>
              </w:rPr>
              <w:t>0.791</w:t>
            </w:r>
          </w:p>
        </w:tc>
        <w:tc>
          <w:tcPr>
            <w:tcW w:type="dxa" w:w="3240"/>
            <w:vAlign w:val="center"/>
          </w:tcPr>
          <w:p>
            <w:pPr>
              <w:spacing w:after="0" w:before="0" w:line="240" w:lineRule="auto"/>
            </w:pPr>
            <w:r/>
            <w:r>
              <w:rPr>
                <w:rFonts w:ascii="Trebuchet MS" w:hAnsi="Trebuchet MS" w:eastAsia="Trebuchet MS"/>
                <w:b w:val="0"/>
                <w:i w:val="0"/>
                <w:sz w:val="18"/>
              </w:rPr>
              <w:t>0.633</w:t>
            </w:r>
          </w:p>
        </w:tc>
        <w:tc>
          <w:tcPr>
            <w:tcW w:type="dxa" w:w="1368"/>
            <w:vAlign w:val="center"/>
          </w:tcPr>
          <w:p>
            <w:pPr>
              <w:spacing w:after="0" w:before="0" w:line="240" w:lineRule="auto"/>
            </w:pPr>
            <w:r/>
            <w:r>
              <w:rPr>
                <w:rFonts w:ascii="Trebuchet MS" w:hAnsi="Trebuchet MS" w:eastAsia="Trebuchet MS"/>
                <w:b w:val="0"/>
                <w:i w:val="0"/>
                <w:sz w:val="18"/>
              </w:rPr>
              <w:t>&lt;0.001</w:t>
            </w:r>
          </w:p>
        </w:tc>
      </w:tr>
      <w:tr>
        <w:tc>
          <w:tcPr>
            <w:tcW w:type="dxa" w:w="1080"/>
            <w:vAlign w:val="center"/>
          </w:tcPr>
          <w:p>
            <w:pPr>
              <w:spacing w:after="0" w:before="0" w:line="240" w:lineRule="auto"/>
            </w:pPr>
            <w:r/>
            <w:r>
              <w:rPr>
                <w:rFonts w:ascii="Trebuchet MS" w:hAnsi="Trebuchet MS" w:eastAsia="Trebuchet MS"/>
                <w:b w:val="0"/>
                <w:i w:val="0"/>
                <w:sz w:val="18"/>
              </w:rPr>
              <w:t>P18</w:t>
            </w:r>
          </w:p>
        </w:tc>
        <w:tc>
          <w:tcPr>
            <w:tcW w:type="dxa" w:w="1368"/>
            <w:vAlign w:val="center"/>
          </w:tcPr>
          <w:p>
            <w:pPr>
              <w:spacing w:after="0" w:before="0" w:line="240" w:lineRule="auto"/>
            </w:pPr>
            <w:r/>
            <w:r>
              <w:rPr>
                <w:rFonts w:ascii="Trebuchet MS" w:hAnsi="Trebuchet MS" w:eastAsia="Trebuchet MS"/>
                <w:b w:val="0"/>
                <w:i w:val="0"/>
                <w:sz w:val="18"/>
              </w:rPr>
              <w:t>0.75</w:t>
            </w:r>
          </w:p>
        </w:tc>
        <w:tc>
          <w:tcPr>
            <w:tcW w:type="dxa" w:w="1800"/>
            <w:vAlign w:val="center"/>
          </w:tcPr>
          <w:p>
            <w:pPr>
              <w:spacing w:after="0" w:before="0" w:line="240" w:lineRule="auto"/>
            </w:pPr>
            <w:r/>
            <w:r>
              <w:rPr>
                <w:rFonts w:ascii="Trebuchet MS" w:hAnsi="Trebuchet MS" w:eastAsia="Trebuchet MS"/>
                <w:b w:val="0"/>
                <w:i w:val="0"/>
                <w:sz w:val="18"/>
              </w:rPr>
              <w:t>0.840</w:t>
            </w:r>
          </w:p>
        </w:tc>
        <w:tc>
          <w:tcPr>
            <w:tcW w:type="dxa" w:w="3240"/>
            <w:vAlign w:val="center"/>
          </w:tcPr>
          <w:p>
            <w:pPr>
              <w:spacing w:after="0" w:before="0" w:line="240" w:lineRule="auto"/>
            </w:pPr>
            <w:r/>
            <w:r>
              <w:rPr>
                <w:rFonts w:ascii="Trebuchet MS" w:hAnsi="Trebuchet MS" w:eastAsia="Trebuchet MS"/>
                <w:b w:val="0"/>
                <w:i w:val="0"/>
                <w:sz w:val="18"/>
              </w:rPr>
              <w:t>0.603</w:t>
            </w:r>
          </w:p>
        </w:tc>
        <w:tc>
          <w:tcPr>
            <w:tcW w:type="dxa" w:w="1368"/>
            <w:vAlign w:val="center"/>
          </w:tcPr>
          <w:p>
            <w:pPr>
              <w:spacing w:after="0" w:before="0" w:line="240" w:lineRule="auto"/>
            </w:pPr>
            <w:r/>
            <w:r>
              <w:rPr>
                <w:rFonts w:ascii="Trebuchet MS" w:hAnsi="Trebuchet MS" w:eastAsia="Trebuchet MS"/>
                <w:b w:val="0"/>
                <w:i w:val="0"/>
                <w:sz w:val="18"/>
              </w:rPr>
              <w:t>&lt;0.001</w:t>
            </w:r>
          </w:p>
        </w:tc>
      </w:tr>
      <w:tr>
        <w:tc>
          <w:tcPr>
            <w:tcW w:type="dxa" w:w="1080"/>
            <w:vAlign w:val="center"/>
          </w:tcPr>
          <w:p>
            <w:pPr>
              <w:spacing w:after="0" w:before="0" w:line="240" w:lineRule="auto"/>
            </w:pPr>
            <w:r/>
            <w:r>
              <w:rPr>
                <w:rFonts w:ascii="Trebuchet MS" w:hAnsi="Trebuchet MS" w:eastAsia="Trebuchet MS"/>
                <w:b w:val="0"/>
                <w:i w:val="0"/>
                <w:sz w:val="18"/>
              </w:rPr>
              <w:t>P19</w:t>
            </w:r>
          </w:p>
        </w:tc>
        <w:tc>
          <w:tcPr>
            <w:tcW w:type="dxa" w:w="1368"/>
            <w:vAlign w:val="center"/>
          </w:tcPr>
          <w:p>
            <w:pPr>
              <w:spacing w:after="0" w:before="0" w:line="240" w:lineRule="auto"/>
            </w:pPr>
            <w:r/>
            <w:r>
              <w:rPr>
                <w:rFonts w:ascii="Trebuchet MS" w:hAnsi="Trebuchet MS" w:eastAsia="Trebuchet MS"/>
                <w:b w:val="0"/>
                <w:i w:val="0"/>
                <w:sz w:val="18"/>
              </w:rPr>
              <w:t>2.29</w:t>
            </w:r>
          </w:p>
        </w:tc>
        <w:tc>
          <w:tcPr>
            <w:tcW w:type="dxa" w:w="1800"/>
            <w:vAlign w:val="center"/>
          </w:tcPr>
          <w:p>
            <w:pPr>
              <w:spacing w:after="0" w:before="0" w:line="240" w:lineRule="auto"/>
            </w:pPr>
            <w:r/>
            <w:r>
              <w:rPr>
                <w:rFonts w:ascii="Trebuchet MS" w:hAnsi="Trebuchet MS" w:eastAsia="Trebuchet MS"/>
                <w:b w:val="0"/>
                <w:i w:val="0"/>
                <w:sz w:val="18"/>
              </w:rPr>
              <w:t>1.988</w:t>
            </w:r>
          </w:p>
        </w:tc>
        <w:tc>
          <w:tcPr>
            <w:tcW w:type="dxa" w:w="3240"/>
            <w:vAlign w:val="center"/>
          </w:tcPr>
          <w:p>
            <w:pPr>
              <w:spacing w:after="0" w:before="0" w:line="240" w:lineRule="auto"/>
            </w:pPr>
            <w:r/>
            <w:r>
              <w:rPr>
                <w:rFonts w:ascii="Trebuchet MS" w:hAnsi="Trebuchet MS" w:eastAsia="Trebuchet MS"/>
                <w:b w:val="0"/>
                <w:i w:val="0"/>
                <w:sz w:val="18"/>
              </w:rPr>
              <w:t>0.619</w:t>
            </w:r>
          </w:p>
        </w:tc>
        <w:tc>
          <w:tcPr>
            <w:tcW w:type="dxa" w:w="1368"/>
            <w:vAlign w:val="center"/>
          </w:tcPr>
          <w:p>
            <w:pPr>
              <w:spacing w:after="0" w:before="0" w:line="240" w:lineRule="auto"/>
            </w:pPr>
            <w:r/>
            <w:r>
              <w:rPr>
                <w:rFonts w:ascii="Trebuchet MS" w:hAnsi="Trebuchet MS" w:eastAsia="Trebuchet MS"/>
                <w:b w:val="0"/>
                <w:i w:val="0"/>
                <w:sz w:val="18"/>
              </w:rPr>
              <w:t>&lt;0.001</w:t>
            </w:r>
          </w:p>
        </w:tc>
      </w:tr>
    </w:tbl>
    <w:p>
      <w:pPr>
        <w:spacing w:before="0" w:after="0" w:line="240" w:lineRule="auto"/>
      </w:pPr>
      <w:r>
        <w:rPr>
          <w:rFonts w:ascii="Trebuchet MS" w:hAnsi="Trebuchet MS" w:eastAsia="Trebuchet MS"/>
          <w:i/>
          <w:sz w:val="20"/>
        </w:rPr>
        <w:t>Note: Invalid questionnaire items (P2, P4, P5, and P15) were excluded from the item-level correlation analysis. P12 = “I check on my blood glucose level when I feel like hypo”; P13 = “Other people realise my hypo before I myself am aware of it”; P14 = “I am less aware of my current hypo compared to my previous experience”.</w:t>
      </w:r>
    </w:p>
    <w:p>
      <w:pPr>
        <w:pStyle w:val="MJPHMHeading"/>
        <w:keepNext/>
      </w:pPr>
      <w:r>
        <w:rPr>
          <w:rFonts w:ascii="Trebuchet MS" w:hAnsi="Trebuchet MS" w:eastAsia="Trebuchet MS"/>
          <w:b/>
          <w:sz w:val="20"/>
        </w:rPr>
        <w:t>DISCUSSION</w:t>
      </w:r>
    </w:p>
    <w:p>
      <w:pPr>
        <w:spacing w:before="0" w:after="0" w:line="240" w:lineRule="auto"/>
      </w:pPr>
      <w:r>
        <w:rPr>
          <w:rFonts w:ascii="Trebuchet MS" w:hAnsi="Trebuchet MS" w:eastAsia="Trebuchet MS"/>
          <w:i w:val="0"/>
          <w:sz w:val="20"/>
        </w:rPr>
        <w:t>This study found that low hypoglycaemia awareness was common among patients with type 2 diabetes mellitus receiving care at an Indonesian community health centre. This finding is consistent with previous evidence showing that impaired awareness of hypoglycaemia is frequent among people with diabetes and increases the risk of severe hypoglycaemia</w:t>
      </w:r>
      <w:r>
        <w:rPr>
          <w:rFonts w:ascii="Trebuchet MS" w:hAnsi="Trebuchet MS" w:eastAsia="Trebuchet MS"/>
          <w:i w:val="0"/>
          <w:sz w:val="20"/>
          <w:vertAlign w:val="superscript"/>
        </w:rPr>
        <w:t>8,11,12</w:t>
      </w:r>
      <w:r>
        <w:rPr>
          <w:rFonts w:ascii="Trebuchet MS" w:hAnsi="Trebuchet MS" w:eastAsia="Trebuchet MS"/>
          <w:i w:val="0"/>
          <w:sz w:val="20"/>
        </w:rPr>
        <w:t>. In public health practice, this finding is important because poor recognition of hypoglycaemia can reduce the safety of diabetes self-management outside health facilities.</w:t>
      </w:r>
    </w:p>
    <w:p>
      <w:pPr>
        <w:spacing w:before="0" w:after="0" w:line="240" w:lineRule="auto"/>
      </w:pPr>
      <w:r>
        <w:rPr>
          <w:rFonts w:ascii="Trebuchet MS" w:hAnsi="Trebuchet MS" w:eastAsia="Trebuchet MS"/>
          <w:i w:val="0"/>
          <w:sz w:val="20"/>
        </w:rPr>
        <w:t>The strongest correlate was patient reliance on other people to recognise hypoglycaemia before the patient became aware of it. This finding has clear relevance for community health and health promotion because hypoglycaemia is often first managed at home. Observable symptoms such as sweating, tremor, pallor, confusion, irritability, slurred speech, and poor coordination may be noticed by family members or caregivers before the patient takes action. Asking patients whether others recognise their hypoglycaemic episodes may help primary health care staff identify those with reduced self-awareness</w:t>
      </w:r>
      <w:r>
        <w:rPr>
          <w:rFonts w:ascii="Trebuchet MS" w:hAnsi="Trebuchet MS" w:eastAsia="Trebuchet MS"/>
          <w:i w:val="0"/>
          <w:sz w:val="20"/>
          <w:vertAlign w:val="superscript"/>
        </w:rPr>
        <w:t>17</w:t>
      </w:r>
      <w:r>
        <w:rPr>
          <w:rFonts w:ascii="Trebuchet MS" w:hAnsi="Trebuchet MS" w:eastAsia="Trebuchet MS"/>
          <w:i w:val="0"/>
          <w:sz w:val="20"/>
        </w:rPr>
        <w:t>.</w:t>
      </w:r>
    </w:p>
    <w:p>
      <w:pPr>
        <w:spacing w:before="0" w:after="0" w:line="240" w:lineRule="auto"/>
      </w:pPr>
      <w:r>
        <w:rPr>
          <w:rFonts w:ascii="Trebuchet MS" w:hAnsi="Trebuchet MS" w:eastAsia="Trebuchet MS"/>
          <w:i w:val="0"/>
          <w:sz w:val="20"/>
        </w:rPr>
        <w:t>The second strongest correlate was reduced awareness compared with previous hypoglycaemic experience. This supports evidence that recurrent episodes and longer diabetes duration may blunt symptom recognition</w:t>
      </w:r>
      <w:r>
        <w:rPr>
          <w:rFonts w:ascii="Trebuchet MS" w:hAnsi="Trebuchet MS" w:eastAsia="Trebuchet MS"/>
          <w:i w:val="0"/>
          <w:sz w:val="20"/>
          <w:vertAlign w:val="superscript"/>
        </w:rPr>
        <w:t>18,19</w:t>
      </w:r>
      <w:r>
        <w:rPr>
          <w:rFonts w:ascii="Trebuchet MS" w:hAnsi="Trebuchet MS" w:eastAsia="Trebuchet MS"/>
          <w:i w:val="0"/>
          <w:sz w:val="20"/>
        </w:rPr>
        <w:t>. In community-based diabetes care, patients who have lived with diabetes for a long period should not automatically be considered more capable of recognising hypoglycaemia. Repeated education and structured follow-up may still be required, particularly for patients using insulin or sulfonylureas.</w:t>
      </w:r>
    </w:p>
    <w:p>
      <w:pPr>
        <w:spacing w:before="0" w:after="0" w:line="240" w:lineRule="auto"/>
      </w:pPr>
      <w:r>
        <w:rPr>
          <w:rFonts w:ascii="Trebuchet MS" w:hAnsi="Trebuchet MS" w:eastAsia="Trebuchet MS"/>
          <w:i w:val="0"/>
          <w:sz w:val="20"/>
        </w:rPr>
        <w:t>The third strongest correlate involved checking blood glucose when patients felt hypoglycaemic. Self-monitoring can support early recognition, confirmation, and prompt treatment of suspected hypoglycaemia</w:t>
      </w:r>
      <w:r>
        <w:rPr>
          <w:rFonts w:ascii="Trebuchet MS" w:hAnsi="Trebuchet MS" w:eastAsia="Trebuchet MS"/>
          <w:i w:val="0"/>
          <w:sz w:val="20"/>
          <w:vertAlign w:val="superscript"/>
        </w:rPr>
        <w:t>20</w:t>
      </w:r>
      <w:r>
        <w:rPr>
          <w:rFonts w:ascii="Trebuchet MS" w:hAnsi="Trebuchet MS" w:eastAsia="Trebuchet MS"/>
          <w:i w:val="0"/>
          <w:sz w:val="20"/>
        </w:rPr>
        <w:t>. For health education programmes, this finding reinforces the need to teach patients not only the symptoms of hypoglycaemia but also practical actions, including when to check blood glucose, how to respond to low readings, and when to seek assistance.</w:t>
      </w:r>
    </w:p>
    <w:p>
      <w:pPr>
        <w:spacing w:before="0" w:after="0" w:line="240" w:lineRule="auto"/>
      </w:pPr>
      <w:r>
        <w:rPr>
          <w:rFonts w:ascii="Trebuchet MS" w:hAnsi="Trebuchet MS" w:eastAsia="Trebuchet MS"/>
          <w:i w:val="0"/>
          <w:sz w:val="20"/>
        </w:rPr>
        <w:t>The demographic pattern also deserves attention. Low awareness was frequent among female, middle-aged, married, and high-school educated respondents. These findings should be interpreted cautiously because this study was not designed to establish independent demographic predictors. However, the pattern may help community health teams identify patient groups who require more focused counselling during routine diabetes follow-up. Previous studies have also reported associations between hypoglycaemia awareness and sex, age, education, and living arrangement, although findings have not always been consistent</w:t>
      </w:r>
      <w:r>
        <w:rPr>
          <w:rFonts w:ascii="Trebuchet MS" w:hAnsi="Trebuchet MS" w:eastAsia="Trebuchet MS"/>
          <w:i w:val="0"/>
          <w:sz w:val="20"/>
          <w:vertAlign w:val="superscript"/>
        </w:rPr>
        <w:t>13-16</w:t>
      </w:r>
      <w:r>
        <w:rPr>
          <w:rFonts w:ascii="Trebuchet MS" w:hAnsi="Trebuchet MS" w:eastAsia="Trebuchet MS"/>
          <w:i w:val="0"/>
          <w:sz w:val="20"/>
        </w:rPr>
        <w:t>.</w:t>
      </w:r>
    </w:p>
    <w:p>
      <w:pPr>
        <w:spacing w:before="0" w:after="0" w:line="240" w:lineRule="auto"/>
      </w:pPr>
      <w:r>
        <w:rPr>
          <w:rFonts w:ascii="Trebuchet MS" w:hAnsi="Trebuchet MS" w:eastAsia="Trebuchet MS"/>
          <w:i w:val="0"/>
          <w:sz w:val="20"/>
        </w:rPr>
        <w:t>This study has several limitations. First, the cross-sectional design does not allow causal inference; therefore, the term correlate is more appropriate than cause. Second, purposive sampling at one community health centre limits generalisability. Third, the instrument was translated by the research team and did not undergo full formal cultural validation, although item testing was conducted before analysis. Fourth, medication regimen, glycaemic control, frequency of previous hypoglycaemia, and caregiver characteristics were not fully analysed. Future studies should use validated Indonesian instruments, larger multicentre samples, and multivariable analysis to identify independent predictors of impaired hypoglycaemia awareness.</w:t>
      </w:r>
    </w:p>
    <w:p>
      <w:pPr>
        <w:pStyle w:val="MJPHMHeading"/>
        <w:keepNext/>
      </w:pPr>
      <w:r>
        <w:rPr>
          <w:rFonts w:ascii="Trebuchet MS" w:hAnsi="Trebuchet MS" w:eastAsia="Trebuchet MS"/>
          <w:b/>
          <w:sz w:val="20"/>
        </w:rPr>
        <w:t>CONCLUSIONS</w:t>
      </w:r>
    </w:p>
    <w:p>
      <w:pPr>
        <w:spacing w:before="0" w:after="0" w:line="240" w:lineRule="auto"/>
      </w:pPr>
      <w:r>
        <w:rPr>
          <w:rFonts w:ascii="Trebuchet MS" w:hAnsi="Trebuchet MS" w:eastAsia="Trebuchet MS"/>
          <w:i w:val="0"/>
          <w:sz w:val="20"/>
        </w:rPr>
        <w:t>Low hypoglycaemia awareness was common among patients with type 2 diabetes mellitus receiving primary health care in this Indonesian community sample. The strongest correlates involved reliance on other people to recognise hypoglycaemia, reduced awareness compared with previous hypoglycaemic experience, and checking blood glucose when hypoglycaemia was suspected. These findings support the need for primary health care services to strengthen diabetes education by involving family members or caregivers, reinforcing symptom recognition, and providing practical guidance on blood glucose self-monitoring and early response to suspected hypoglycaemia.</w:t>
      </w:r>
    </w:p>
    <w:p>
      <w:pPr>
        <w:pStyle w:val="MJPHMHeading"/>
        <w:keepNext/>
      </w:pPr>
      <w:r>
        <w:rPr>
          <w:rFonts w:ascii="Trebuchet MS" w:hAnsi="Trebuchet MS" w:eastAsia="Trebuchet MS"/>
          <w:b/>
          <w:sz w:val="20"/>
        </w:rPr>
        <w:t>ACKNOWLEDGEMENTS</w:t>
      </w:r>
    </w:p>
    <w:p>
      <w:pPr>
        <w:spacing w:before="0" w:after="0" w:line="240" w:lineRule="auto"/>
      </w:pPr>
      <w:r>
        <w:rPr>
          <w:rFonts w:ascii="Trebuchet MS" w:hAnsi="Trebuchet MS" w:eastAsia="Trebuchet MS"/>
          <w:i w:val="0"/>
          <w:sz w:val="20"/>
        </w:rPr>
        <w:t>The authors thank Mulyorejo Community Health Centre staff and all respondents who participated in this study.</w:t>
      </w:r>
    </w:p>
    <w:p>
      <w:pPr>
        <w:pStyle w:val="MJPHMHeading"/>
        <w:keepNext/>
      </w:pPr>
      <w:r>
        <w:rPr>
          <w:rFonts w:ascii="Trebuchet MS" w:hAnsi="Trebuchet MS" w:eastAsia="Trebuchet MS"/>
          <w:b/>
          <w:sz w:val="20"/>
        </w:rPr>
        <w:t>COMPETING INTERESTS</w:t>
      </w:r>
    </w:p>
    <w:p>
      <w:pPr>
        <w:spacing w:before="0" w:after="0" w:line="240" w:lineRule="auto"/>
      </w:pPr>
      <w:r>
        <w:rPr>
          <w:rFonts w:ascii="Trebuchet MS" w:hAnsi="Trebuchet MS" w:eastAsia="Trebuchet MS"/>
          <w:i w:val="0"/>
          <w:sz w:val="20"/>
        </w:rPr>
        <w:t>The authors declare that they have no competing interests.</w:t>
      </w:r>
    </w:p>
    <w:p>
      <w:pPr>
        <w:pStyle w:val="MJPHMHeading"/>
        <w:keepNext/>
      </w:pPr>
      <w:r>
        <w:rPr>
          <w:rFonts w:ascii="Trebuchet MS" w:hAnsi="Trebuchet MS" w:eastAsia="Trebuchet MS"/>
          <w:b/>
          <w:sz w:val="20"/>
        </w:rPr>
        <w:t>FUNDING</w:t>
      </w:r>
    </w:p>
    <w:p>
      <w:pPr>
        <w:spacing w:before="0" w:after="0" w:line="240" w:lineRule="auto"/>
      </w:pPr>
      <w:r>
        <w:rPr>
          <w:rFonts w:ascii="Trebuchet MS" w:hAnsi="Trebuchet MS" w:eastAsia="Trebuchet MS"/>
          <w:i w:val="0"/>
          <w:sz w:val="20"/>
        </w:rPr>
        <w:t>This study received no specific grant from any funding agency in the public, commercial, or not-for-profit sectors.</w:t>
      </w:r>
    </w:p>
    <w:p>
      <w:pPr>
        <w:pStyle w:val="MJPHMHeading"/>
        <w:keepNext/>
      </w:pPr>
      <w:r>
        <w:rPr>
          <w:rFonts w:ascii="Trebuchet MS" w:hAnsi="Trebuchet MS" w:eastAsia="Trebuchet MS"/>
          <w:b/>
          <w:sz w:val="20"/>
        </w:rPr>
        <w:t>REFERENCES</w:t>
      </w:r>
    </w:p>
    <w:p>
      <w:pPr>
        <w:spacing w:before="0" w:after="0" w:line="240" w:lineRule="auto"/>
        <w:ind w:hanging="360" w:left="360"/>
      </w:pPr>
      <w:r>
        <w:rPr>
          <w:rFonts w:ascii="Trebuchet MS" w:hAnsi="Trebuchet MS" w:eastAsia="Trebuchet MS"/>
          <w:sz w:val="20"/>
        </w:rPr>
        <w:t>1. World Health Organization. Diabetes [Internet]. Geneva: World Health Organization; 2024 [cited 2026 Jun 4]. Available from: https://www.who.int/news-room/fact-sheets/detail/diabetes</w:t>
      </w:r>
    </w:p>
    <w:p>
      <w:pPr>
        <w:spacing w:before="0" w:after="0" w:line="240" w:lineRule="auto"/>
        <w:ind w:hanging="360" w:left="360"/>
      </w:pPr>
      <w:r>
        <w:rPr>
          <w:rFonts w:ascii="Trebuchet MS" w:hAnsi="Trebuchet MS" w:eastAsia="Trebuchet MS"/>
          <w:sz w:val="20"/>
        </w:rPr>
        <w:t>2. International Diabetes Federation. IDF Diabetes Atlas. 11th ed. Brussels: International Diabetes Federation; 2025.</w:t>
      </w:r>
    </w:p>
    <w:p>
      <w:pPr>
        <w:spacing w:before="0" w:after="0" w:line="240" w:lineRule="auto"/>
        <w:ind w:hanging="360" w:left="360"/>
      </w:pPr>
      <w:r>
        <w:rPr>
          <w:rFonts w:ascii="Trebuchet MS" w:hAnsi="Trebuchet MS" w:eastAsia="Trebuchet MS"/>
          <w:sz w:val="20"/>
        </w:rPr>
        <w:t>3. Harding JL, Weber MB, Shaw JE. The global burden of diabetes. In: Textbook of Diabetes. 6th ed. Wiley; 2024. p. 28-40.</w:t>
      </w:r>
    </w:p>
    <w:p>
      <w:pPr>
        <w:spacing w:before="0" w:after="0" w:line="240" w:lineRule="auto"/>
        <w:ind w:hanging="360" w:left="360"/>
      </w:pPr>
      <w:r>
        <w:rPr>
          <w:rFonts w:ascii="Trebuchet MS" w:hAnsi="Trebuchet MS" w:eastAsia="Trebuchet MS"/>
          <w:sz w:val="20"/>
        </w:rPr>
        <w:t>4. McCall AL, Lieb DC, Gianchandani R, et al. Management of individuals with diabetes at high risk for hypoglycemia: an Endocrine Society clinical practice guideline. J Clin Endocrinol Metab 2023;108(3):529-62. doi:10.1210/clinem/dgac596.</w:t>
      </w:r>
    </w:p>
    <w:p>
      <w:pPr>
        <w:spacing w:before="0" w:after="0" w:line="240" w:lineRule="auto"/>
        <w:ind w:hanging="360" w:left="360"/>
      </w:pPr>
      <w:r>
        <w:rPr>
          <w:rFonts w:ascii="Trebuchet MS" w:hAnsi="Trebuchet MS" w:eastAsia="Trebuchet MS"/>
          <w:sz w:val="20"/>
        </w:rPr>
        <w:t>5. Przezak A, Bielka W, Moleda P. Fear of hypoglycemia-an underestimated problem. Brain Behav 2022;12(7):e2633. doi:10.1002/brb3.2633.</w:t>
      </w:r>
    </w:p>
    <w:p>
      <w:pPr>
        <w:spacing w:before="0" w:after="0" w:line="240" w:lineRule="auto"/>
        <w:ind w:hanging="360" w:left="360"/>
      </w:pPr>
      <w:r>
        <w:rPr>
          <w:rFonts w:ascii="Trebuchet MS" w:hAnsi="Trebuchet MS" w:eastAsia="Trebuchet MS"/>
          <w:sz w:val="20"/>
        </w:rPr>
        <w:t>6. Christou MA, Christou PA, Kyriakopoulos C, et al. Effects of hypoglycemia on cardiovascular function in patients with diabetes. Int J Mol Sci 2023;24(11):9357. doi:10.3390/ijms24119357.</w:t>
      </w:r>
    </w:p>
    <w:p>
      <w:pPr>
        <w:spacing w:before="0" w:after="0" w:line="240" w:lineRule="auto"/>
        <w:ind w:hanging="360" w:left="360"/>
      </w:pPr>
      <w:r>
        <w:rPr>
          <w:rFonts w:ascii="Trebuchet MS" w:hAnsi="Trebuchet MS" w:eastAsia="Trebuchet MS"/>
          <w:sz w:val="20"/>
        </w:rPr>
        <w:t>7. Holzen L, Schultes B, Meyhofer SM, Meyhofer S. Hypoglycemia unawareness-a review on pathophysiology and clinical implications. Biomedicines 2024;12(2):391. doi:10.3390/biomedicines12020391.</w:t>
      </w:r>
    </w:p>
    <w:p>
      <w:pPr>
        <w:spacing w:before="0" w:after="0" w:line="240" w:lineRule="auto"/>
        <w:ind w:hanging="360" w:left="360"/>
      </w:pPr>
      <w:r>
        <w:rPr>
          <w:rFonts w:ascii="Trebuchet MS" w:hAnsi="Trebuchet MS" w:eastAsia="Trebuchet MS"/>
          <w:sz w:val="20"/>
        </w:rPr>
        <w:t>8. Yu X, Fan M, Zhao X, et al. Prevalence of impaired awareness of hypoglycaemia in people with diabetes mellitus: a systematic review and meta-analysis from 21 countries and regions. Diabet Med 2023;40(9):e15129. doi:10.1111/dme.15129.</w:t>
      </w:r>
    </w:p>
    <w:p>
      <w:pPr>
        <w:spacing w:before="0" w:after="0" w:line="240" w:lineRule="auto"/>
        <w:ind w:hanging="360" w:left="360"/>
      </w:pPr>
      <w:r>
        <w:rPr>
          <w:rFonts w:ascii="Trebuchet MS" w:hAnsi="Trebuchet MS" w:eastAsia="Trebuchet MS"/>
          <w:sz w:val="20"/>
        </w:rPr>
        <w:t>9. Nakhleh A, Shehadeh N. Hypoglycemia in diabetes: an update on pathophysiology, treatment, and prevention. World J Diabetes 2021;12(12):2036-49. doi:10.4239/wjd.v12.i12.2036.</w:t>
      </w:r>
    </w:p>
    <w:p>
      <w:pPr>
        <w:spacing w:before="0" w:after="0" w:line="240" w:lineRule="auto"/>
        <w:ind w:hanging="360" w:left="360"/>
      </w:pPr>
      <w:r>
        <w:rPr>
          <w:rFonts w:ascii="Trebuchet MS" w:hAnsi="Trebuchet MS" w:eastAsia="Trebuchet MS"/>
          <w:sz w:val="20"/>
        </w:rPr>
        <w:t>10. Tsichlaki S, Koumakis L, Tsiknakis M. Type 1 diabetes hypoglycemia prediction algorithms: systematic review. JMIR Diabetes 2022;7(3):e34699. doi:10.2196/34699.</w:t>
      </w:r>
    </w:p>
    <w:p>
      <w:pPr>
        <w:spacing w:before="0" w:after="0" w:line="240" w:lineRule="auto"/>
        <w:ind w:hanging="360" w:left="360"/>
      </w:pPr>
      <w:r>
        <w:rPr>
          <w:rFonts w:ascii="Trebuchet MS" w:hAnsi="Trebuchet MS" w:eastAsia="Trebuchet MS"/>
          <w:sz w:val="20"/>
        </w:rPr>
        <w:t>11. Van Meijel LA, de Vegt F, Abbink EJ, et al. High prevalence of impaired awareness of hypoglycemia and severe hypoglycemia among people with insulin-treated type 2 diabetes: the Dutch Diabetes Pearl Cohort. BMJ Open Diabetes Res Care 2020;8(1):e000935.</w:t>
      </w:r>
    </w:p>
    <w:p>
      <w:pPr>
        <w:spacing w:before="0" w:after="0" w:line="240" w:lineRule="auto"/>
        <w:ind w:hanging="360" w:left="360"/>
      </w:pPr>
      <w:r>
        <w:rPr>
          <w:rFonts w:ascii="Trebuchet MS" w:hAnsi="Trebuchet MS" w:eastAsia="Trebuchet MS"/>
          <w:sz w:val="20"/>
        </w:rPr>
        <w:t>12. Li XN, Kan YS, Liu HY, et al. Prevalence and contributing factors of impaired awareness of hypoglycemia in patients with type 2 diabetes: a meta-analysis. Acta Diabetol 2023;60(9):1155-69.</w:t>
      </w:r>
    </w:p>
    <w:p>
      <w:pPr>
        <w:spacing w:before="0" w:after="0" w:line="240" w:lineRule="auto"/>
        <w:ind w:hanging="360" w:left="360"/>
      </w:pPr>
      <w:r>
        <w:rPr>
          <w:rFonts w:ascii="Trebuchet MS" w:hAnsi="Trebuchet MS" w:eastAsia="Trebuchet MS"/>
          <w:sz w:val="20"/>
        </w:rPr>
        <w:t>13. LaManna J, Litchman ML, Dickinson JK, et al. Diabetes education impact on hypoglycemia outcomes: a systematic review of evidence and gaps in the literature. Diabetes Educ 2019;45(4):349-69.</w:t>
      </w:r>
    </w:p>
    <w:p>
      <w:pPr>
        <w:spacing w:before="0" w:after="0" w:line="240" w:lineRule="auto"/>
        <w:ind w:hanging="360" w:left="360"/>
      </w:pPr>
      <w:r>
        <w:rPr>
          <w:rFonts w:ascii="Trebuchet MS" w:hAnsi="Trebuchet MS" w:eastAsia="Trebuchet MS"/>
          <w:sz w:val="20"/>
        </w:rPr>
        <w:t>14. Cook AJ, DuBose SN, Foster N, et al. Cognitions associated with hypoglycemia awareness status and severe hypoglycemia experience in adults with type 1 diabetes. Diabetes Care 2019;42(10):1854-64.</w:t>
      </w:r>
    </w:p>
    <w:p>
      <w:pPr>
        <w:spacing w:before="0" w:after="0" w:line="240" w:lineRule="auto"/>
        <w:ind w:hanging="360" w:left="360"/>
      </w:pPr>
      <w:r>
        <w:rPr>
          <w:rFonts w:ascii="Trebuchet MS" w:hAnsi="Trebuchet MS" w:eastAsia="Trebuchet MS"/>
          <w:sz w:val="20"/>
        </w:rPr>
        <w:t>15. Fisher SJ, Huang X, Pawaskar M, et al. Hypoglycemia in type 2 diabetes: understanding patients' and physicians' knowledge and experience. Endocrine 2018;60(3):435-44.</w:t>
      </w:r>
    </w:p>
    <w:p>
      <w:pPr>
        <w:spacing w:before="0" w:after="0" w:line="240" w:lineRule="auto"/>
        <w:ind w:hanging="360" w:left="360"/>
      </w:pPr>
      <w:r>
        <w:rPr>
          <w:rFonts w:ascii="Trebuchet MS" w:hAnsi="Trebuchet MS" w:eastAsia="Trebuchet MS"/>
          <w:sz w:val="20"/>
        </w:rPr>
        <w:t>16. Wu FL, Wu EC, Chang YC, et al. Factors affecting the ability of people with diabetes to avoid hypoglycemia. J Nurs Res 2018;26(1):44-51.</w:t>
      </w:r>
    </w:p>
    <w:p>
      <w:pPr>
        <w:spacing w:before="0" w:after="0" w:line="240" w:lineRule="auto"/>
        <w:ind w:hanging="360" w:left="360"/>
      </w:pPr>
      <w:r>
        <w:rPr>
          <w:rFonts w:ascii="Trebuchet MS" w:hAnsi="Trebuchet MS" w:eastAsia="Trebuchet MS"/>
          <w:sz w:val="20"/>
        </w:rPr>
        <w:t>17. Yale JF, Paty B, Senior PA. Hypoglycemia. Can J Diabetes 2018;42 Suppl 1:S104-8.</w:t>
      </w:r>
    </w:p>
    <w:p>
      <w:pPr>
        <w:spacing w:before="0" w:after="0" w:line="240" w:lineRule="auto"/>
        <w:ind w:hanging="360" w:left="360"/>
      </w:pPr>
      <w:r>
        <w:rPr>
          <w:rFonts w:ascii="Trebuchet MS" w:hAnsi="Trebuchet MS" w:eastAsia="Trebuchet MS"/>
          <w:sz w:val="20"/>
        </w:rPr>
        <w:t>18. Martin-Timon I, del Canizo-Gomez FJ. Mechanisms of hypoglycemia unawareness and implications in diabetic patients. World J Diabetes 2015;6(7):912-26.</w:t>
      </w:r>
    </w:p>
    <w:p>
      <w:pPr>
        <w:spacing w:before="0" w:after="0" w:line="240" w:lineRule="auto"/>
        <w:ind w:hanging="360" w:left="360"/>
      </w:pPr>
      <w:r>
        <w:rPr>
          <w:rFonts w:ascii="Trebuchet MS" w:hAnsi="Trebuchet MS" w:eastAsia="Trebuchet MS"/>
          <w:sz w:val="20"/>
        </w:rPr>
        <w:t>19. International Hypoglycaemia Study Group. Minimizing hypoglycemia in diabetes. Diabetes Care 2015;38(8):1583-91.</w:t>
      </w:r>
    </w:p>
    <w:p>
      <w:pPr>
        <w:spacing w:before="0" w:after="0" w:line="240" w:lineRule="auto"/>
        <w:ind w:hanging="360" w:left="360"/>
      </w:pPr>
      <w:r>
        <w:rPr>
          <w:rFonts w:ascii="Trebuchet MS" w:hAnsi="Trebuchet MS" w:eastAsia="Trebuchet MS"/>
          <w:sz w:val="20"/>
        </w:rPr>
        <w:t>20. Hendrieckx C, Hagger V, Jenkins A, et al. Severe hypoglycemia, impaired awareness of hypoglycemia, and self-monitoring in adults with type 1 diabetes: results from Diabetes MILES-Australia. J Diabetes Complications 2017;31(3):577-82.</w:t>
      </w:r>
    </w:p>
    <w:sectPr>
      <w:pgSz w:w="12240" w:h="15840"/>
      <w:pgMar w:top="1020" w:right="1020" w:bottom="1020" w:left="1020"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rebuchet MS" w:hAnsi="Trebuchet MS" w:eastAsia="Trebuchet M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JPHMHeading">
    <w:name w:val="MJPHM Heading"/>
    <w:pPr>
      <w:spacing w:before="160" w:after="0" w:line="240" w:lineRule="auto"/>
    </w:pPr>
    <w:rPr>
      <w:rFonts w:ascii="Trebuchet MS" w:hAnsi="Trebuchet MS" w:eastAsia="Trebuchet MS"/>
      <w:b/>
      <w:sz w:val="20"/>
    </w:rPr>
  </w:style>
  <w:style w:type="paragraph" w:customStyle="1" w:styleId="MJPHMSubheading">
    <w:name w:val="MJPHM Subheading"/>
    <w:pPr>
      <w:spacing w:before="120" w:after="0" w:line="240" w:lineRule="auto"/>
    </w:pPr>
    <w:rPr>
      <w:rFonts w:ascii="Trebuchet MS" w:hAnsi="Trebuchet MS" w:eastAsia="Trebuchet MS"/>
      <w: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