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Perbandingan Nucleic Acid Amplification Test (NAAT) dan Kultur Mikobakteri sebagai Metode Diagnostik Tuberkulosis: Kajian Literatur dalam Perspektif Ilmu Laboratorium Klinis dan Islam</w:t>
      </w:r>
    </w:p>
    <w:p>
      <w:pPr>
        <w:spacing w:after="50"/>
        <w:jc w:val="center"/>
      </w:pPr>
      <w:r>
        <w:rPr>
          <w:rFonts w:ascii="Times New Roman" w:cs="Times New Roman" w:eastAsia="Times New Roman" w:hAnsi="Times New Roman"/>
          <w:b/>
          <w:bCs/>
          <w:sz w:val="22"/>
          <w:szCs w:val="22"/>
        </w:rPr>
        <w:t xml:space="preserve">Wa Ode Uswatun Auliya¹, Desta Meliana², Ahmad Aldo Fernandes³, Zul Mira Dos Santos Martins⁴</w:t>
      </w:r>
    </w:p>
    <w:p>
      <w:pPr>
        <w:spacing w:after="50"/>
        <w:jc w:val="center"/>
      </w:pPr>
      <w:r>
        <w:rPr>
          <w:rFonts w:ascii="Times New Roman" w:cs="Times New Roman" w:eastAsia="Times New Roman" w:hAnsi="Times New Roman"/>
          <w:i/>
          <w:iCs/>
          <w:sz w:val="20"/>
          <w:szCs w:val="20"/>
        </w:rPr>
        <w:t xml:space="preserve">Program Magister Ilmu Laboratorium Klinis, Fakultas Ilmu Keperawatan dan Kesehatan, Universitas Muhammadiyah Semarang</w:t>
      </w:r>
    </w:p>
    <w:p>
      <w:pPr>
        <w:spacing w:after="300"/>
        <w:jc w:val="center"/>
      </w:pPr>
      <w:r>
        <w:rPr>
          <w:rFonts w:ascii="Times New Roman" w:cs="Times New Roman" w:eastAsia="Times New Roman" w:hAnsi="Times New Roman"/>
          <w:i/>
          <w:iCs/>
          <w:sz w:val="20"/>
          <w:szCs w:val="20"/>
        </w:rPr>
        <w:t xml:space="preserve">Dosen Pengampu: Rohmat Suprapto, M.Ag.; Mamdukh Budiman, M.Ag.</w:t>
      </w:r>
    </w:p>
    <w:p>
      <w:pPr>
        <w:pStyle w:val="Heading2"/>
        <w:spacing w:after="150" w:before="300"/>
      </w:pPr>
      <w:r>
        <w:rPr>
          <w:rFonts w:ascii="Times New Roman" w:cs="Times New Roman" w:eastAsia="Times New Roman" w:hAnsi="Times New Roman"/>
          <w:b/>
          <w:bCs/>
          <w:sz w:val="22"/>
          <w:szCs w:val="22"/>
        </w:rPr>
        <w:t xml:space="preserve">ABSTRAK</w:t>
      </w:r>
    </w:p>
    <w:p>
      <w:pPr>
        <w:spacing w:after="100" w:line="300"/>
        <w:jc w:val="both"/>
      </w:pPr>
      <w:r>
        <w:rPr>
          <w:rFonts w:ascii="Times New Roman" w:cs="Times New Roman" w:eastAsia="Times New Roman" w:hAnsi="Times New Roman"/>
          <w:sz w:val="22"/>
          <w:szCs w:val="22"/>
        </w:rPr>
        <w:t xml:space="preserve">Tuberkulosis (TB) yang disebabkan oleh Mycobacterium tuberculosis complex (MTBC) masih menjadi salah satu penyebab utama kematian akibat penyakit infeksi tunggal di dunia. Diagnosis dini dan akurat menjadi kunci keberhasilan pengendalian penyakit ini, terutama sejak keterbatasan sensitivitas mikroskopi basil tahan asam (BTA) mendorong pergeseran paradigma ke arah metode molekuler dan mikrobiologi modern. Artikel ini bertujuan mengkaji secara naratif dua metode diagnostik utama TB, yaitu Nucleic Acid Amplification Test (NAAT) dan kultur mikobakteri (media Löwenstein–Jensen dan MGIT), meliputi prinsip kerja, indikasi klinis, performa diagnostik, kemampuan deteksi resistensi obat, serta integrasinya dalam algoritma diagnosis klinis. Kajian dilakukan melalui telaah literatur terhadap pedoman World Health Organization (WHO) dan publikasi ilmiah terkait. Hasil kajian menunjukkan bahwa NAAT unggul dalam kecepatan hasil, sensitivitas pada spesimen paukisiler, serta deteksi cepat resistensi rifampisin, sedangkan kultur mikobakteri tetap menjadi baku emas (gold standard) karena mampu membuktikan viabilitas bakteri dan mendukung uji kepekaan obat (Drug Susceptibility Testing) yang komprehensif. Kedua metode bersifat saling melengkapi, bukan saling menggantikan, dalam algoritma diagnosis TB yang terintegrasi. Kajian ini juga menyoroti relevansi upaya diagnostik tersebut dengan prinsip ḥifẓ al-nafs (menjaga jiwa) dalam maqāṣid al-syarī'ah, sebagai bentuk ikhtiar ilmiah untuk melindungi kehidupan manusia.</w:t>
      </w:r>
    </w:p>
    <w:p>
      <w:pPr>
        <w:spacing w:after="100" w:line="300"/>
        <w:jc w:val="both"/>
      </w:pPr>
      <w:r>
        <w:rPr>
          <w:rFonts w:ascii="Times New Roman" w:cs="Times New Roman" w:eastAsia="Times New Roman" w:hAnsi="Times New Roman"/>
          <w:b/>
          <w:bCs/>
          <w:sz w:val="22"/>
          <w:szCs w:val="22"/>
        </w:rPr>
        <w:t xml:space="preserve">Kata kunci: </w:t>
      </w:r>
      <w:r>
        <w:rPr>
          <w:rFonts w:ascii="Times New Roman" w:cs="Times New Roman" w:eastAsia="Times New Roman" w:hAnsi="Times New Roman"/>
          <w:sz w:val="22"/>
          <w:szCs w:val="22"/>
        </w:rPr>
        <w:t xml:space="preserve">tuberkulosis; NAAT; kultur mikobakteri; diagnostik molekuler; resistensi obat</w:t>
      </w:r>
    </w:p>
    <w:p>
      <w:pPr>
        <w:pStyle w:val="Heading2"/>
        <w:spacing w:after="150" w:before="300"/>
      </w:pPr>
      <w:r>
        <w:rPr>
          <w:rFonts w:ascii="Times New Roman" w:cs="Times New Roman" w:eastAsia="Times New Roman" w:hAnsi="Times New Roman"/>
          <w:b/>
          <w:bCs/>
          <w:sz w:val="22"/>
          <w:szCs w:val="22"/>
        </w:rPr>
        <w:t xml:space="preserve">ABSTRACT</w:t>
      </w:r>
    </w:p>
    <w:p>
      <w:pPr>
        <w:spacing w:after="100" w:line="300"/>
        <w:jc w:val="both"/>
      </w:pPr>
      <w:r>
        <w:rPr>
          <w:rFonts w:ascii="Times New Roman" w:cs="Times New Roman" w:eastAsia="Times New Roman" w:hAnsi="Times New Roman"/>
          <w:sz w:val="22"/>
          <w:szCs w:val="22"/>
        </w:rPr>
        <w:t xml:space="preserve">Tuberculosis (TB), caused by the Mycobacterium tuberculosis complex (MTBC), remains one of the leading causes of death from a single infectious agent worldwide. Early and accurate diagnosis is essential for disease control, particularly as the limited sensitivity of acid-fast bacilli (AFB) microscopy has driven a shift toward molecular and modern microbiological methods. This article presents a narrative review of two principal TB diagnostic methods, namely the Nucleic Acid Amplification Test (NAAT) and mycobacterial culture (Löwenstein–Jensen and MGIT media), covering their working principles, clinical indications, diagnostic performance, drug-resistance detection capability, and integration within clinical diagnostic algorithms. The review was conducted through a literature study of World Health Organization (WHO) guidelines and related scientific publications. The findings indicate that NAAT offers advantages in turnaround time, sensitivity for paucibacillary specimens, and rapid detection of rifampicin resistance, while mycobacterial culture remains the gold standard because it confirms bacterial viability and supports comprehensive drug susceptibility testing. Both methods are complementary rather than substitutive within an integrated TB diagnostic algorithm. This review also highlights the relevance of such diagnostic efforts to the principle of ḥifẓ al-nafs (protection of life) within maqāṣid al-syarī'ah, as a scientific endeavor to safeguard human life.</w:t>
      </w:r>
    </w:p>
    <w:p>
      <w:pPr>
        <w:spacing w:after="300" w:line="3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tuberculosis; NAAT; mycobacterial culture; molecular diagnostics; drug resistance</w:t>
      </w:r>
    </w:p>
    <w:p>
      <w:pPr>
        <w:pStyle w:val="Heading1"/>
        <w:spacing w:after="150" w:before="300"/>
      </w:pPr>
      <w:r>
        <w:rPr>
          <w:rFonts w:ascii="Times New Roman" w:cs="Times New Roman" w:eastAsia="Times New Roman" w:hAnsi="Times New Roman"/>
          <w:b/>
          <w:bCs/>
          <w:sz w:val="24"/>
          <w:szCs w:val="24"/>
        </w:rPr>
        <w:t xml:space="preserve">PENDAHULUAN</w:t>
      </w:r>
    </w:p>
    <w:p>
      <w:pPr>
        <w:spacing w:after="200" w:line="300"/>
        <w:ind w:firstLine="720"/>
        <w:jc w:val="both"/>
      </w:pPr>
      <w:r>
        <w:rPr>
          <w:rFonts w:ascii="Times New Roman" w:cs="Times New Roman" w:eastAsia="Times New Roman" w:hAnsi="Times New Roman"/>
          <w:sz w:val="22"/>
          <w:szCs w:val="22"/>
        </w:rPr>
        <w:t xml:space="preserve">Tuberkulosis (TB) disebabkan oleh agen etiologi kompleks Mycobacterium tuberculosis (MTBC) dan menempati posisi teratas sebagai penyebab kematian global akibat infeksi oleh agen tunggal sepanjang sejarah pencatatan epidemiologi modern. Dinding sel mikobakteria mengandung lipid kompleks, terutama asam mikolat, dalam jumlah tinggi sehingga memberikan ketahanan struktural terhadap lisis lingkungan, eliminasi oleh sistem imun pejamu, maupun penetrasi agen kemoterapi konvensional. Penatalaksanaan klinis yang efektif bergantung sepenuhnya pada diagnosis dini yang presisi, yaitu yang mampu mengonfirmasi infeksi aktif secara kualitatif sekaligus mengidentifikasi determinan resistensi terhadap obat antituberkulosis (OAT).</w:t>
      </w:r>
    </w:p>
    <w:p>
      <w:pPr>
        <w:spacing w:after="200" w:line="300"/>
        <w:ind w:firstLine="720"/>
        <w:jc w:val="both"/>
      </w:pPr>
      <w:r>
        <w:rPr>
          <w:rFonts w:ascii="Times New Roman" w:cs="Times New Roman" w:eastAsia="Times New Roman" w:hAnsi="Times New Roman"/>
          <w:sz w:val="22"/>
          <w:szCs w:val="22"/>
        </w:rPr>
        <w:t xml:space="preserve">Selama kurang lebih satu abad, mikroskopi basil tahan asam (BTA) dengan pewarnaan Ziehl–Neelsen berperan sebagai modalitas diagnostik lini depan karena efisiensi biaya dan kemudahan implementasinya. Namun demikian, metode tersebut memiliki batas deteksi bawah (limit of detection) yang relatif tinggi, sekitar 5.000–10.000 basil per mililiter spesimen, sehingga rawan menghasilkan negatif palsu pada populasi paukisiler seperti pasien koinfeksi HIV, anak, dan TB ekstraparu. Keterbatasan ini mendorong pergeseran paradigma diagnostik ke arah integrasi dua pilar metodologis, yaitu Nucleic Acid Amplification Test (NAAT) yang berlandaskan prinsip genetika molekuler, dan kultur mikobakteri yang berlandaskan prinsip viabilitas fisiologis mikroorganisme.</w:t>
      </w:r>
    </w:p>
    <w:p>
      <w:pPr>
        <w:spacing w:after="200" w:line="300"/>
        <w:ind w:firstLine="720"/>
        <w:jc w:val="both"/>
      </w:pPr>
      <w:r>
        <w:rPr>
          <w:rFonts w:ascii="Times New Roman" w:cs="Times New Roman" w:eastAsia="Times New Roman" w:hAnsi="Times New Roman"/>
          <w:sz w:val="22"/>
          <w:szCs w:val="22"/>
        </w:rPr>
        <w:t xml:space="preserve">Berdasarkan uraian tersebut, artikel ini disusun untuk mengkaji prinsip kerja, indikasi klinis, performa diagnostik, serta kemampuan deteksi resistensi obat dari metode NAAT dan kultur mikobakteri, sekaligus menjelaskan peran integratif keduanya dalam algoritma diagnosis TB. Kajian turut disertai tinjauan perspektif Islam terhadap upaya diagnostik tersebut sebagai bagian dari pembelajaran Ilmu Laboratorium Klinis dalam Perspektif Islam.</w:t>
      </w:r>
    </w:p>
    <w:p>
      <w:pPr>
        <w:pStyle w:val="Heading1"/>
        <w:spacing w:after="150" w:before="300"/>
      </w:pPr>
      <w:r>
        <w:rPr>
          <w:rFonts w:ascii="Times New Roman" w:cs="Times New Roman" w:eastAsia="Times New Roman" w:hAnsi="Times New Roman"/>
          <w:b/>
          <w:bCs/>
          <w:sz w:val="24"/>
          <w:szCs w:val="24"/>
        </w:rPr>
        <w:t xml:space="preserve">METODE PENULISAN</w:t>
      </w:r>
    </w:p>
    <w:p>
      <w:pPr>
        <w:spacing w:after="200" w:line="300"/>
        <w:ind w:firstLine="720"/>
        <w:jc w:val="both"/>
      </w:pPr>
      <w:r>
        <w:rPr>
          <w:rFonts w:ascii="Times New Roman" w:cs="Times New Roman" w:eastAsia="Times New Roman" w:hAnsi="Times New Roman"/>
          <w:sz w:val="22"/>
          <w:szCs w:val="22"/>
        </w:rPr>
        <w:t xml:space="preserve">Artikel ini disusun menggunakan metode kajian literatur (narrative literature review) yang bersumber dari pedoman resmi World Health Organization (WHO), buku ajar mikrobiologi klinis, serta artikel ilmiah yang telah terbit pada jurnal terindeks. Sumber pustaka utama mencakup pedoman WHO Consolidated Guidelines on Tuberculosis (2021), publikasi hasil uji akurasi diagnostik Xpert MTB/RIF dan Xpert MTB/RIF Ultra, pedoman Clinical and Laboratory Standards Institute (CLSI) mengenai deteksi dan identifikasi mikobakteria, serta artikel telaah mengenai imunopatogenesis dan faktor virulensi Mycobacterium tuberculosis. Analisis dilakukan secara deskriptif-komparatif dengan membandingkan prinsip kerja, indikasi klinis, metrik kinerja diagnostik (sensitivitas, spesifisitas, limit of detection), serta kemampuan deteksi resistensi obat antara metode NAAT dan kultur mikobakteri. Pembahasan turut diperkaya dengan tinjauan normatif berdasarkan Al-Qur'an dan hadis yang relevan dengan konsep maqāṣid al-syarī'ah, khususnya prinsip ḥifẓ al-nafs.</w:t>
      </w:r>
    </w:p>
    <w:p>
      <w:pPr>
        <w:pStyle w:val="Heading1"/>
        <w:spacing w:after="150" w:before="300"/>
      </w:pPr>
      <w:r>
        <w:rPr>
          <w:rFonts w:ascii="Times New Roman" w:cs="Times New Roman" w:eastAsia="Times New Roman" w:hAnsi="Times New Roman"/>
          <w:b/>
          <w:bCs/>
          <w:sz w:val="24"/>
          <w:szCs w:val="24"/>
        </w:rPr>
        <w:t xml:space="preserve">HASIL DAN PEMBAHASAN</w:t>
      </w:r>
    </w:p>
    <w:p>
      <w:pPr>
        <w:pStyle w:val="Heading2"/>
        <w:spacing w:after="150" w:before="300"/>
      </w:pPr>
      <w:r>
        <w:rPr>
          <w:rFonts w:ascii="Times New Roman" w:cs="Times New Roman" w:eastAsia="Times New Roman" w:hAnsi="Times New Roman"/>
          <w:b/>
          <w:bCs/>
          <w:sz w:val="22"/>
          <w:szCs w:val="22"/>
        </w:rPr>
        <w:t xml:space="preserve">Definisi dan Patofisiologi Tuberkulosis</w:t>
      </w:r>
    </w:p>
    <w:p>
      <w:pPr>
        <w:spacing w:after="200" w:line="300"/>
        <w:ind w:firstLine="720"/>
        <w:jc w:val="both"/>
      </w:pPr>
      <w:r>
        <w:rPr>
          <w:rFonts w:ascii="Times New Roman" w:cs="Times New Roman" w:eastAsia="Times New Roman" w:hAnsi="Times New Roman"/>
          <w:sz w:val="22"/>
          <w:szCs w:val="22"/>
        </w:rPr>
        <w:t xml:space="preserve">Tuberkulosis merupakan penyakit infeksi menular kronis yang disebabkan oleh Mycobacterium tuberculosis complex, terutama menyerang paru namun dapat pula menginfeksi organ ekstra paru melalui penyebaran limfatik atau hematogen. Secara mikrobiologis, M. tuberculosis berbentuk basil, tidak berspora, aerob obligat, dan bersifat tahan asam (acid-fast bacilli) akibat kandungan lipid tinggi pada dinding selnya, terutama asam mikolat, arabinogalaktan, dan peptidoglikan. Bakteri ini memiliki waktu generasi lambat, sekitar 15–20 jam, sehingga pemeriksaan kultur konvensional memerlukan waktu berminggu-minggu.</w:t>
      </w:r>
    </w:p>
    <w:p>
      <w:pPr>
        <w:spacing w:after="200" w:line="300"/>
        <w:ind w:firstLine="720"/>
        <w:jc w:val="both"/>
      </w:pPr>
      <w:r>
        <w:rPr>
          <w:rFonts w:ascii="Times New Roman" w:cs="Times New Roman" w:eastAsia="Times New Roman" w:hAnsi="Times New Roman"/>
          <w:sz w:val="22"/>
          <w:szCs w:val="22"/>
        </w:rPr>
        <w:t xml:space="preserve">Secara patofisiologis, infeksi diawali dengan inhalasi droplet nuclei yang difagositosis oleh makrofag alveolar. Melalui protein virulensi seperti ESAT-6, CFP-10, dan PknG, bakteri menghambat fusi fagosom-lisosom sehingga mampu bertahan hidup intraseluler. Aktivasi respons imun adaptif Th1 melalui sitokin IFN-γ dan TNF-α mendorong pembentukan granuloma dengan nekrosis kaseosa di bagian tengahnya. Pada kondisi imunitas menurun, bakteri dorman di dalam granuloma dapat mengalami reaktivasi menjadi TB aktif yang menular.</w:t>
      </w:r>
    </w:p>
    <w:p>
      <w:pPr>
        <w:pStyle w:val="Heading2"/>
        <w:spacing w:after="150" w:before="300"/>
      </w:pPr>
      <w:r>
        <w:rPr>
          <w:rFonts w:ascii="Times New Roman" w:cs="Times New Roman" w:eastAsia="Times New Roman" w:hAnsi="Times New Roman"/>
          <w:b/>
          <w:bCs/>
          <w:sz w:val="22"/>
          <w:szCs w:val="22"/>
        </w:rPr>
        <w:t xml:space="preserve">Indikasi Klinis NAAT dan Kultur Mikobakteri</w:t>
      </w:r>
    </w:p>
    <w:p>
      <w:pPr>
        <w:spacing w:after="200" w:line="300"/>
        <w:ind w:firstLine="720"/>
        <w:jc w:val="both"/>
      </w:pPr>
      <w:r>
        <w:rPr>
          <w:rFonts w:ascii="Times New Roman" w:cs="Times New Roman" w:eastAsia="Times New Roman" w:hAnsi="Times New Roman"/>
          <w:sz w:val="22"/>
          <w:szCs w:val="22"/>
        </w:rPr>
        <w:t xml:space="preserve">NAAT direkomendasikan sebagai pemeriksaan awal (initial diagnostic test) pada pasien terduga TB paru maupun ekstra paru, terutama pada kondisi paukisiler seperti pasien anak, koinfeksi HIV, dan gangguan imun, karena mampu mendeteksi DNA bakteri meski jumlahnya berada di bawah ambang deteksi mikroskopis. Selain itu, sistem GeneXpert MTB/RIF dan MTB/RIF Ultra mampu mendeteksi mutasi gen rpoB yang berkaitan dengan resistensi rifampisin, sehingga memberikan nilai prognostik penting dalam skrining Multidrug Resistant Tuberculosis (MDR-TB) tanpa menunggu hasil kultur.</w:t>
      </w:r>
    </w:p>
    <w:p>
      <w:pPr>
        <w:spacing w:after="200" w:line="300"/>
        <w:ind w:firstLine="720"/>
        <w:jc w:val="both"/>
      </w:pPr>
      <w:r>
        <w:rPr>
          <w:rFonts w:ascii="Times New Roman" w:cs="Times New Roman" w:eastAsia="Times New Roman" w:hAnsi="Times New Roman"/>
          <w:sz w:val="22"/>
          <w:szCs w:val="22"/>
        </w:rPr>
        <w:t xml:space="preserve">Kultur mikobakteri memiliki indikasi lebih luas pada tahap konfirmasi diagnosis, evaluasi kegagalan terapi, kekambuhan, dugaan infeksi Non-Tuberculous Mycobacteria (NTM), serta pelaksanaan Drug Susceptibility Testing (DST) fenotipik terhadap obat lini pertama maupun kedua. Karena hanya kultur yang membuktikan viabilitas bakteri, metode ini tetap dipertahankan sebagai baku emas meskipun teknologi molekuler berkembang pesat.</w:t>
      </w:r>
    </w:p>
    <w:p>
      <w:pPr>
        <w:pStyle w:val="Heading2"/>
        <w:spacing w:after="150" w:before="300"/>
      </w:pPr>
      <w:r>
        <w:rPr>
          <w:rFonts w:ascii="Times New Roman" w:cs="Times New Roman" w:eastAsia="Times New Roman" w:hAnsi="Times New Roman"/>
          <w:b/>
          <w:bCs/>
          <w:sz w:val="22"/>
          <w:szCs w:val="22"/>
        </w:rPr>
        <w:t xml:space="preserve">Jenis Spesimen Pemeriksaan</w:t>
      </w:r>
    </w:p>
    <w:p>
      <w:pPr>
        <w:spacing w:after="200" w:line="300"/>
        <w:ind w:firstLine="720"/>
        <w:jc w:val="both"/>
      </w:pPr>
      <w:r>
        <w:rPr>
          <w:rFonts w:ascii="Times New Roman" w:cs="Times New Roman" w:eastAsia="Times New Roman" w:hAnsi="Times New Roman"/>
          <w:sz w:val="22"/>
          <w:szCs w:val="22"/>
        </w:rPr>
        <w:t xml:space="preserve">Spesimen yang paling umum digunakan pada TB paru adalah sputum yang berasal dari saluran napas bawah, sedangkan saliva tidak layak digunakan karena tidak representatif. Pada pasien yang tidak dapat mengeluarkan sputum, spesimen dapat diperoleh melalui induksi sputum, bronchoalveolar lavage (BAL), atau aspirat trakea. Pada TB ekstra paru, spesimen dapat berupa cairan serebrospinal, cairan pleura, cairan sinovial, urin, maupun biopsi jaringan, disesuaikan dengan lokasi lesi.</w:t>
      </w:r>
    </w:p>
    <w:p>
      <w:pPr>
        <w:pStyle w:val="Heading2"/>
        <w:spacing w:after="150" w:before="300"/>
      </w:pPr>
      <w:r>
        <w:rPr>
          <w:rFonts w:ascii="Times New Roman" w:cs="Times New Roman" w:eastAsia="Times New Roman" w:hAnsi="Times New Roman"/>
          <w:b/>
          <w:bCs/>
          <w:sz w:val="22"/>
          <w:szCs w:val="22"/>
        </w:rPr>
        <w:t xml:space="preserve">Metrik Kinerja Diagnostik</w:t>
      </w:r>
    </w:p>
    <w:p>
      <w:pPr>
        <w:spacing w:after="200" w:line="300"/>
        <w:ind w:firstLine="720"/>
        <w:jc w:val="both"/>
      </w:pPr>
      <w:r>
        <w:rPr>
          <w:rFonts w:ascii="Times New Roman" w:cs="Times New Roman" w:eastAsia="Times New Roman" w:hAnsi="Times New Roman"/>
          <w:sz w:val="22"/>
          <w:szCs w:val="22"/>
        </w:rPr>
        <w:t xml:space="preserve">Performa suatu metode diagnostik dievaluasi melalui sensitivitas, spesifisitas, nilai prediktif positif dan negatif, serta limit of detection (LOD). GeneXpert MTB/RIF Ultra memiliki LOD sekitar 16 CFU/mL, jauh lebih rendah dibandingkan GeneXpert MTB/RIF generasi sebelumnya yang berkisar 131 CFU/mL, sehingga lebih unggul mendeteksi bakteri pada spesimen dengan beban basil rendah. Di sisi lain, kultur memiliki sensitivitas tinggi terhadap bakteri hidup namun memerlukan waktu lebih lama, yaitu 7–21 hari pada media cair MGIT dan 3–8 minggu pada media padat Löwenstein–Jensen, sehingga kurang sesuai sebagai pemeriksaan skrining awal meski tetap unggul sebagai konfirmasi.</w:t>
      </w:r>
    </w:p>
    <w:p>
      <w:pPr>
        <w:pStyle w:val="Heading2"/>
        <w:spacing w:after="150" w:before="300"/>
      </w:pPr>
      <w:r>
        <w:rPr>
          <w:rFonts w:ascii="Times New Roman" w:cs="Times New Roman" w:eastAsia="Times New Roman" w:hAnsi="Times New Roman"/>
          <w:b/>
          <w:bCs/>
          <w:sz w:val="22"/>
          <w:szCs w:val="22"/>
        </w:rPr>
        <w:t xml:space="preserve">Perbandingan Karakteristik NAAT dan Kultur Mikobakteri</w:t>
      </w:r>
    </w:p>
    <w:p>
      <w:pPr>
        <w:spacing w:after="200" w:line="300"/>
        <w:ind w:firstLine="720"/>
        <w:jc w:val="both"/>
      </w:pPr>
      <w:r>
        <w:rPr>
          <w:rFonts w:ascii="Times New Roman" w:cs="Times New Roman" w:eastAsia="Times New Roman" w:hAnsi="Times New Roman"/>
          <w:sz w:val="22"/>
          <w:szCs w:val="22"/>
        </w:rPr>
        <w:t xml:space="preserve">Ringkasan perbandingan karakteristik utama kedua metode disajikan pada Tabel 1 berikut.</w:t>
      </w:r>
    </w:p>
    <w:p>
      <w:pPr>
        <w:spacing w:after="100"/>
      </w:pPr>
      <w:r>
        <w:rPr>
          <w:rFonts w:ascii="Times New Roman" w:cs="Times New Roman" w:eastAsia="Times New Roman" w:hAnsi="Times New Roman"/>
          <w:b/>
          <w:bCs/>
          <w:i/>
          <w:iCs/>
          <w:sz w:val="20"/>
          <w:szCs w:val="20"/>
        </w:rPr>
        <w:t xml:space="preserve">Tabel 1. Perbandingan NAAT dan Kultur Mikobakteri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tblHeader/>
        </w:trPr>
        <w:tc>
          <w:tcPr>
            <w:tcW w:type="dxa" w:w="2600"/>
            <w:shd w:fill="D9D9D9"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Karakteristik</w:t>
            </w:r>
          </w:p>
        </w:tc>
        <w:tc>
          <w:tcPr>
            <w:tcW w:type="dxa" w:w="3300"/>
            <w:shd w:fill="D9D9D9"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NAAT (GeneXpert MTB/RIF Ultra)</w:t>
            </w:r>
          </w:p>
        </w:tc>
        <w:tc>
          <w:tcPr>
            <w:tcW w:type="dxa" w:w="3400"/>
            <w:shd w:fill="D9D9D9" w:val="clear"/>
            <w:tcMar>
              <w:top w:type="dxa" w:w="80"/>
              <w:left w:type="dxa" w:w="100"/>
              <w:bottom w:type="dxa" w:w="80"/>
              <w:right w:type="dxa" w:w="100"/>
            </w:tcMar>
          </w:tcPr>
          <w:p>
            <w:pPr>
              <w:spacing w:line="260"/>
              <w:jc w:val="left"/>
            </w:pPr>
            <w:r>
              <w:rPr>
                <w:rFonts w:ascii="Times New Roman" w:cs="Times New Roman" w:eastAsia="Times New Roman" w:hAnsi="Times New Roman"/>
                <w:b/>
                <w:bCs/>
                <w:sz w:val="20"/>
                <w:szCs w:val="20"/>
              </w:rPr>
              <w:t xml:space="preserve">Kultur Mikobakteri (LJ/MGIT)</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Prinsip dasar</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Amplifikasi DNA target spesifik MTBC (real-time PCR)</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Pertumbuhan bakteri hidup pada media padat/cair</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Waktu hasil</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Sekitar 2 jam</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7–21 hari (MGIT); 3–8 minggu (LJ)</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Limit of detection</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 16 CFU/mL (Ultra)</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Sangat rendah (bergantung viabilitas)</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Deteksi resistensi obat</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Genotipik cepat (mutasi gen rpoB untuk rifampisin)</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Fenotipik komprehensif (DST lini pertama &amp; kedua)</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Kemampuan bedakan bakteri hidup/mati</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Tidak dapat</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Dapat (hanya bakteri hidup yang tumbuh)</w:t>
            </w:r>
          </w:p>
        </w:tc>
      </w:tr>
      <w:tr>
        <w:tc>
          <w:tcPr>
            <w:tcW w:type="dxa" w:w="26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Peran utama</w:t>
            </w:r>
          </w:p>
        </w:tc>
        <w:tc>
          <w:tcPr>
            <w:tcW w:type="dxa" w:w="33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Skrining awal &amp; deteksi cepat resistensi rifampisin</w:t>
            </w:r>
          </w:p>
        </w:tc>
        <w:tc>
          <w:tcPr>
            <w:tcW w:type="dxa" w:w="3400"/>
            <w:tcMar>
              <w:top w:type="dxa" w:w="80"/>
              <w:left w:type="dxa" w:w="100"/>
              <w:bottom w:type="dxa" w:w="80"/>
              <w:right w:type="dxa" w:w="100"/>
            </w:tcMar>
          </w:tcPr>
          <w:p>
            <w:pPr>
              <w:spacing w:line="260"/>
              <w:jc w:val="left"/>
            </w:pPr>
            <w:r>
              <w:rPr>
                <w:rFonts w:ascii="Times New Roman" w:cs="Times New Roman" w:eastAsia="Times New Roman" w:hAnsi="Times New Roman"/>
                <w:b w:val="false"/>
                <w:bCs w:val="false"/>
                <w:sz w:val="20"/>
                <w:szCs w:val="20"/>
              </w:rPr>
              <w:t xml:space="preserve">Konfirmasi diagnosis (gold standard) &amp; DST komprehensif</w:t>
            </w:r>
          </w:p>
        </w:tc>
      </w:tr>
    </w:tbl>
    <w:p>
      <w:pPr>
        <w:spacing w:after="300" w:before="150"/>
      </w:pPr>
      <w:r>
        <w:rPr>
          <w:sz w:val="10"/>
          <w:szCs w:val="10"/>
        </w:rPr>
        <w:t xml:space="preserve"/>
      </w:r>
    </w:p>
    <w:p>
      <w:pPr>
        <w:pStyle w:val="Heading2"/>
        <w:spacing w:after="150" w:before="300"/>
      </w:pPr>
      <w:r>
        <w:rPr>
          <w:rFonts w:ascii="Times New Roman" w:cs="Times New Roman" w:eastAsia="Times New Roman" w:hAnsi="Times New Roman"/>
          <w:b/>
          <w:bCs/>
          <w:sz w:val="22"/>
          <w:szCs w:val="22"/>
        </w:rPr>
        <w:t xml:space="preserve">Prinsip Molekuler NAAT</w:t>
      </w:r>
    </w:p>
    <w:p>
      <w:pPr>
        <w:spacing w:after="200" w:line="300"/>
        <w:ind w:firstLine="720"/>
        <w:jc w:val="both"/>
      </w:pPr>
      <w:r>
        <w:rPr>
          <w:rFonts w:ascii="Times New Roman" w:cs="Times New Roman" w:eastAsia="Times New Roman" w:hAnsi="Times New Roman"/>
          <w:sz w:val="22"/>
          <w:szCs w:val="22"/>
        </w:rPr>
        <w:t xml:space="preserve">NAAT bekerja melalui amplifikasi enzimatik sekuens DNA target spesifik MTBC menggunakan reaksi Polymerase Chain Reaction (PCR) yang berlangsung dalam tiga tahap siklik, yaitu denaturasi (94–95°C), annealing (55–65°C), dan ekstensi (72°C), diulang sebanyak 35–45 siklus hingga DNA target meningkat secara eksponensial dan terdeteksi melalui sistem fluoresensi real-time PCR. Pada sistem GeneXpert, seluruh proses ekstraksi, amplifikasi, dan deteksi berlangsung otomatis dalam kartrid tertutup sehingga meminimalkan risiko kontaminasi silang. Target molekuler utama berupa elemen penyisipan IS6110 dan IS1081 pada genom MTBC. Selain mendeteksi keberadaan bakteri, sistem ini turut mengidentifikasi mutasi pada Rifampicin Resistance Determining Region (RRDR) gen rpoB menggunakan molecular beacon probes, yang mengubah pola fluoresensi ketika terjadi mutasi penyebab resistensi rifampisin.</w:t>
      </w:r>
    </w:p>
    <w:p>
      <w:pPr>
        <w:spacing w:after="200" w:line="300"/>
        <w:ind w:firstLine="720"/>
        <w:jc w:val="both"/>
      </w:pPr>
      <w:r>
        <w:rPr>
          <w:rFonts w:ascii="Times New Roman" w:cs="Times New Roman" w:eastAsia="Times New Roman" w:hAnsi="Times New Roman"/>
          <w:sz w:val="22"/>
          <w:szCs w:val="22"/>
        </w:rPr>
        <w:t xml:space="preserve">Meskipun sensitif dan spesifik, NAAT tidak dapat membedakan DNA dari bakteri hidup dan bakteri mati sehingga hasil positif masih dapat ditemukan pada pasien yang telah menjalani terapi. NAAT juga hanya mendeteksi mutasi yang telah diprogram dalam sistem sehingga tidak seluruh mekanisme resistensi dapat teridentifikasi, sehingga konfirmasi kultur dan DST tetap diperlukan.</w:t>
      </w:r>
    </w:p>
    <w:p>
      <w:pPr>
        <w:pStyle w:val="Heading2"/>
        <w:spacing w:after="150" w:before="300"/>
      </w:pPr>
      <w:r>
        <w:rPr>
          <w:rFonts w:ascii="Times New Roman" w:cs="Times New Roman" w:eastAsia="Times New Roman" w:hAnsi="Times New Roman"/>
          <w:b/>
          <w:bCs/>
          <w:sz w:val="22"/>
          <w:szCs w:val="22"/>
        </w:rPr>
        <w:t xml:space="preserve">Prinsip Fisiologis Kultur Mikobakteri</w:t>
      </w:r>
    </w:p>
    <w:p>
      <w:pPr>
        <w:spacing w:after="200" w:line="300"/>
        <w:ind w:firstLine="720"/>
        <w:jc w:val="both"/>
      </w:pPr>
      <w:r>
        <w:rPr>
          <w:rFonts w:ascii="Times New Roman" w:cs="Times New Roman" w:eastAsia="Times New Roman" w:hAnsi="Times New Roman"/>
          <w:sz w:val="22"/>
          <w:szCs w:val="22"/>
        </w:rPr>
        <w:t xml:space="preserve">Kultur mikobakteri mengevaluasi viabilitas mikroorganisme melalui kemampuannya membentuk koloni pada media pertumbuhan. Media padat Löwenstein–Jensen mengandung telur, gliserol, dan malachite green sebagai penghambat kontaminan, dengan waktu pertumbuhan 3–8 minggu. Sistem MGIT menggunakan media cair Middlebrook 7H9 yang diperkaya suplemen OADC dan antibiotik PANTA, dengan indikator fluorokrom sensitif oksigen yang mendeteksi pertumbuhan bakteri secara otomatis dalam 7–21 hari. Sebelum dikultur, spesimen sputum harus didekontaminasi menggunakan kombinasi NALC-NaOH untuk mengeliminasi flora normal tanpa mematikan MTBC secara berlebihan.</w:t>
      </w:r>
    </w:p>
    <w:p>
      <w:pPr>
        <w:pStyle w:val="Heading2"/>
        <w:spacing w:after="150" w:before="300"/>
      </w:pPr>
      <w:r>
        <w:rPr>
          <w:rFonts w:ascii="Times New Roman" w:cs="Times New Roman" w:eastAsia="Times New Roman" w:hAnsi="Times New Roman"/>
          <w:b/>
          <w:bCs/>
          <w:sz w:val="22"/>
          <w:szCs w:val="22"/>
        </w:rPr>
        <w:t xml:space="preserve">Algoritma Interpretasi dan Peran Integratif</w:t>
      </w:r>
    </w:p>
    <w:p>
      <w:pPr>
        <w:spacing w:after="200" w:line="300"/>
        <w:ind w:firstLine="720"/>
        <w:jc w:val="both"/>
      </w:pPr>
      <w:r>
        <w:rPr>
          <w:rFonts w:ascii="Times New Roman" w:cs="Times New Roman" w:eastAsia="Times New Roman" w:hAnsi="Times New Roman"/>
          <w:sz w:val="22"/>
          <w:szCs w:val="22"/>
        </w:rPr>
        <w:t xml:space="preserve">Interpretasi hasil pemeriksaan TB memerlukan pendekatan diagnostik terintegrasi (integrated diagnostic approach) yang menggabungkan data klinis, radiologis, dan laboratorium. Hasil NAAT positif dan kultur positif menegakkan diagnosis TB aktif dengan keyakinan tinggi. NAAT positif dengan kultur negatif dapat mengindikasikan DNA residual pascaterapi atau bakteri di bawah ambang deteksi kultur, sedangkan NAAT negatif dengan kultur positif dapat disebabkan oleh inhibitor PCR atau infeksi NTM. Apabila kedua hasil negatif namun kecurigaan klinis kuat, pemeriksaan ulang dengan spesimen baru tetap diperlukan. Pola diskordansi tersebut menegaskan bahwa NAAT dan kultur bersifat saling melengkapi: NAAT sebagai pemeriksaan awal yang cepat, dan kultur sebagai konfirmasi sekaligus dasar uji kepekaan obat.</w:t>
      </w:r>
    </w:p>
    <w:p>
      <w:pPr>
        <w:pStyle w:val="Heading2"/>
        <w:spacing w:after="150" w:before="300"/>
      </w:pPr>
      <w:r>
        <w:rPr>
          <w:rFonts w:ascii="Times New Roman" w:cs="Times New Roman" w:eastAsia="Times New Roman" w:hAnsi="Times New Roman"/>
          <w:b/>
          <w:bCs/>
          <w:sz w:val="22"/>
          <w:szCs w:val="22"/>
        </w:rPr>
        <w:t xml:space="preserve">Kritik dan Rekomendasi</w:t>
      </w:r>
    </w:p>
    <w:p>
      <w:pPr>
        <w:spacing w:after="200" w:line="300"/>
        <w:ind w:firstLine="720"/>
        <w:jc w:val="both"/>
      </w:pPr>
      <w:r>
        <w:rPr>
          <w:rFonts w:ascii="Times New Roman" w:cs="Times New Roman" w:eastAsia="Times New Roman" w:hAnsi="Times New Roman"/>
          <w:sz w:val="22"/>
          <w:szCs w:val="22"/>
        </w:rPr>
        <w:t xml:space="preserve">Keterbatasan utama NAAT adalah ketidakmampuannya membedakan bakteri hidup dan mati sehingga kurang ideal untuk pemantauan terapi, sementara akses terhadap fasilitas NAAT masih belum merata akibat keterbatasan infrastruktur dan biaya operasional. Di sisi lain, kultur memiliki keterbatasan berupa waktu pemeriksaan yang panjang dan ketergantungan tinggi pada kualitas spesimen serta kompetensi laboratorium. Interpretasi hasil yang dilakukan secara parsial tanpa integrasi data klinis dan radiologis berisiko menimbulkan overdiagnosis maupun underdiagnosis. Oleh karena itu, direkomendasikan penerapan algoritma diagnosis terintegrasi, penguatan sistem manajemen mutu laboratorium sesuai ISO 15189, pemerataan akses teknologi molekuler, serta penelitian lanjutan untuk mengembangkan metode yang mampu membedakan viabilitas bakteri secara lebih akurat.</w:t>
      </w:r>
    </w:p>
    <w:p>
      <w:pPr>
        <w:pStyle w:val="Heading2"/>
        <w:spacing w:after="150" w:before="300"/>
      </w:pPr>
      <w:r>
        <w:rPr>
          <w:rFonts w:ascii="Times New Roman" w:cs="Times New Roman" w:eastAsia="Times New Roman" w:hAnsi="Times New Roman"/>
          <w:b/>
          <w:bCs/>
          <w:sz w:val="22"/>
          <w:szCs w:val="22"/>
        </w:rPr>
        <w:t xml:space="preserve">Tinjauan Perspektif Islam</w:t>
      </w:r>
    </w:p>
    <w:p>
      <w:pPr>
        <w:spacing w:after="200" w:line="300"/>
        <w:ind w:firstLine="720"/>
        <w:jc w:val="both"/>
      </w:pPr>
      <w:r>
        <w:rPr>
          <w:rFonts w:ascii="Times New Roman" w:cs="Times New Roman" w:eastAsia="Times New Roman" w:hAnsi="Times New Roman"/>
          <w:sz w:val="22"/>
          <w:szCs w:val="22"/>
        </w:rPr>
        <w:t xml:space="preserve">Dalam kerangka maqāṣid al-syarī'ah, upaya diagnosis TB yang akurat merupakan wujud pelaksanaan prinsip ḥifẓ al-nafs (menjaga jiwa). Allah Swt. berfirman dalam QS. Al-Mā'idah [5]: 32 bahwa memelihara kehidupan seorang manusia seakan-akan memelihara kehidupan seluruh manusia, sehingga ikhtiar diagnostik yang tepat dan cepat melalui NAAT dan kultur memiliki nilai ibadah yang tinggi. Islam juga mendorong penguasaan ilmu pengetahuan sebagaimana ditegaskan dalam QS. Al-Mujādilah [58]: 11, serta menganjurkan ikhtiar pengobatan sesuai hadis riwayat Abu Dawud dan At-Tirmidzi bahwa setiap penyakit memiliki obat yang diturunkan Allah Swt. Prinsip amanah (QS. An-Nisā' [4]: 58) dan itqān (ketelitian dan kesungguhan kerja) menjadi landasan etika profesional bagi tenaga laboratorium klinis dalam menjamin akurasi dan keandalan hasil pemeriksaan TB.</w:t>
      </w:r>
    </w:p>
    <w:p>
      <w:pPr>
        <w:pStyle w:val="Heading1"/>
        <w:spacing w:after="150" w:before="300"/>
      </w:pPr>
      <w:r>
        <w:rPr>
          <w:rFonts w:ascii="Times New Roman" w:cs="Times New Roman" w:eastAsia="Times New Roman" w:hAnsi="Times New Roman"/>
          <w:b/>
          <w:bCs/>
          <w:sz w:val="24"/>
          <w:szCs w:val="24"/>
        </w:rPr>
        <w:t xml:space="preserve">KESIMPULAN</w:t>
      </w:r>
    </w:p>
    <w:p>
      <w:pPr>
        <w:spacing w:after="200" w:line="300"/>
        <w:ind w:firstLine="720"/>
        <w:jc w:val="both"/>
      </w:pPr>
      <w:r>
        <w:rPr>
          <w:rFonts w:ascii="Times New Roman" w:cs="Times New Roman" w:eastAsia="Times New Roman" w:hAnsi="Times New Roman"/>
          <w:sz w:val="22"/>
          <w:szCs w:val="22"/>
        </w:rPr>
        <w:t xml:space="preserve">NAAT dan kultur mikobakteri merupakan dua metode diagnostik TB yang memiliki prinsip, keunggulan, dan keterbatasan berbeda namun saling melengkapi. NAAT unggul dalam kecepatan hasil, sensitivitas pada spesimen paukisiler, serta deteksi cepat resistensi rifampisin, sedangkan kultur mikobakteri tetap menjadi baku emas karena mampu membuktikan viabilitas bakteri dan mendukung uji kepekaan obat secara komprehensif. Pemilihan dan interpretasi kedua metode harus disesuaikan dengan kondisi klinis pasien dan diintegrasikan dengan data radiologis serta epidemiologis. Integrasi NAAT sebagai pemeriksaan awal dan kultur sebagai konfirmasi merupakan pendekatan paling rasional untuk mempercepat diagnosis, meningkatkan ketepatan terapi, serta mendukung pengendalian tuberkulosis. Dari perspektif Islam, upaya diagnostik ini merupakan bentuk ikhtiar ilmiah yang selaras dengan prinsip ḥifẓ al-nafs, amanah, dan itqān dalam pelayanan kesehatan.</w:t>
      </w:r>
    </w:p>
    <w:p>
      <w:pPr>
        <w:pStyle w:val="Heading1"/>
        <w:spacing w:after="150" w:before="300"/>
      </w:pPr>
      <w:r>
        <w:rPr>
          <w:rFonts w:ascii="Times New Roman" w:cs="Times New Roman" w:eastAsia="Times New Roman" w:hAnsi="Times New Roman"/>
          <w:b/>
          <w:bCs/>
          <w:sz w:val="24"/>
          <w:szCs w:val="24"/>
        </w:rPr>
        <w:t xml:space="preserve">DAFTAR PUSTAKA</w:t>
      </w:r>
    </w:p>
    <w:p>
      <w:pPr>
        <w:spacing w:after="150" w:line="276"/>
        <w:ind w:left="720" w:hanging="720"/>
        <w:jc w:val="both"/>
      </w:pPr>
      <w:r>
        <w:rPr>
          <w:rFonts w:ascii="Times New Roman" w:cs="Times New Roman" w:eastAsia="Times New Roman" w:hAnsi="Times New Roman"/>
          <w:sz w:val="22"/>
          <w:szCs w:val="22"/>
        </w:rPr>
        <w:t xml:space="preserve">Al-Qur'an Surah Al-Mā'idah [5]: 32.</w:t>
      </w:r>
    </w:p>
    <w:p>
      <w:pPr>
        <w:spacing w:after="150" w:line="276"/>
        <w:ind w:left="720" w:hanging="720"/>
        <w:jc w:val="both"/>
      </w:pPr>
      <w:r>
        <w:rPr>
          <w:rFonts w:ascii="Times New Roman" w:cs="Times New Roman" w:eastAsia="Times New Roman" w:hAnsi="Times New Roman"/>
          <w:sz w:val="22"/>
          <w:szCs w:val="22"/>
        </w:rPr>
        <w:t xml:space="preserve">Al-Qur'an Surah Al-Mujādilah [58]: 11.</w:t>
      </w:r>
    </w:p>
    <w:p>
      <w:pPr>
        <w:spacing w:after="150" w:line="276"/>
        <w:ind w:left="720" w:hanging="720"/>
        <w:jc w:val="both"/>
      </w:pPr>
      <w:r>
        <w:rPr>
          <w:rFonts w:ascii="Times New Roman" w:cs="Times New Roman" w:eastAsia="Times New Roman" w:hAnsi="Times New Roman"/>
          <w:sz w:val="22"/>
          <w:szCs w:val="22"/>
        </w:rPr>
        <w:t xml:space="preserve">Al-Qur'an Surah An-Nisā' [4]: 58.</w:t>
      </w:r>
    </w:p>
    <w:p>
      <w:pPr>
        <w:spacing w:after="150" w:line="276"/>
        <w:ind w:left="720" w:hanging="720"/>
        <w:jc w:val="both"/>
      </w:pPr>
      <w:r>
        <w:rPr>
          <w:rFonts w:ascii="Times New Roman" w:cs="Times New Roman" w:eastAsia="Times New Roman" w:hAnsi="Times New Roman"/>
          <w:sz w:val="22"/>
          <w:szCs w:val="22"/>
        </w:rPr>
        <w:t xml:space="preserve">Altman, D. G., &amp; Bland, J. M. (1994). Diagnostic tests 1: Sensitivity and specificity. BMJ, 308, 1552.</w:t>
      </w:r>
    </w:p>
    <w:p>
      <w:pPr>
        <w:spacing w:after="150" w:line="276"/>
        <w:ind w:left="720" w:hanging="720"/>
        <w:jc w:val="both"/>
      </w:pPr>
      <w:r>
        <w:rPr>
          <w:rFonts w:ascii="Times New Roman" w:cs="Times New Roman" w:eastAsia="Times New Roman" w:hAnsi="Times New Roman"/>
          <w:sz w:val="22"/>
          <w:szCs w:val="22"/>
        </w:rPr>
        <w:t xml:space="preserve">Boehme, C. C., Nabeta, P., Hillemann, D., Nicol, M. P., Shenai, S., Krapp, F., ... &amp; Perkins, M. D. (2010). Rapid molecular detection of tuberculosis and rifampin resistance. New England Journal of Medicine, 363(11), 1005–1015.</w:t>
      </w:r>
    </w:p>
    <w:p>
      <w:pPr>
        <w:spacing w:after="150" w:line="276"/>
        <w:ind w:left="720" w:hanging="720"/>
        <w:jc w:val="both"/>
      </w:pPr>
      <w:r>
        <w:rPr>
          <w:rFonts w:ascii="Times New Roman" w:cs="Times New Roman" w:eastAsia="Times New Roman" w:hAnsi="Times New Roman"/>
          <w:sz w:val="22"/>
          <w:szCs w:val="22"/>
        </w:rPr>
        <w:t xml:space="preserve">Clinical and Laboratory Standards Institute (CLSI). (2018). Laboratory detection and identification of mycobacteria (CLSI Guideline M48). CLSI.</w:t>
      </w:r>
    </w:p>
    <w:p>
      <w:pPr>
        <w:spacing w:after="150" w:line="276"/>
        <w:ind w:left="720" w:hanging="720"/>
        <w:jc w:val="both"/>
      </w:pPr>
      <w:r>
        <w:rPr>
          <w:rFonts w:ascii="Times New Roman" w:cs="Times New Roman" w:eastAsia="Times New Roman" w:hAnsi="Times New Roman"/>
          <w:sz w:val="22"/>
          <w:szCs w:val="22"/>
        </w:rPr>
        <w:t xml:space="preserve">Dorman, S. E., Schumacher, S. G., Alland, D., Nabeta, P., Armstrong, D. T., King, B., ... &amp; Denkinger, C. M. (2018). Xpert MTB/RIF Ultra for detection of Mycobacterium tuberculosis and rifampicin resistance: A prospective multicentre diagnostic accuracy study. The Lancet Infectious Diseases, 18(1), 76–84.</w:t>
      </w:r>
    </w:p>
    <w:p>
      <w:pPr>
        <w:spacing w:after="150" w:line="276"/>
        <w:ind w:left="720" w:hanging="720"/>
        <w:jc w:val="both"/>
      </w:pPr>
      <w:r>
        <w:rPr>
          <w:rFonts w:ascii="Times New Roman" w:cs="Times New Roman" w:eastAsia="Times New Roman" w:hAnsi="Times New Roman"/>
          <w:sz w:val="22"/>
          <w:szCs w:val="22"/>
        </w:rPr>
        <w:t xml:space="preserve">Flynn, J. L., &amp; Chan, J. (2001). Immunology of tuberculosis. Annual Review of Immunology, 19, 93–129.</w:t>
      </w:r>
    </w:p>
    <w:p>
      <w:pPr>
        <w:spacing w:after="150" w:line="276"/>
        <w:ind w:left="720" w:hanging="720"/>
        <w:jc w:val="both"/>
      </w:pPr>
      <w:r>
        <w:rPr>
          <w:rFonts w:ascii="Times New Roman" w:cs="Times New Roman" w:eastAsia="Times New Roman" w:hAnsi="Times New Roman"/>
          <w:sz w:val="22"/>
          <w:szCs w:val="22"/>
        </w:rPr>
        <w:t xml:space="preserve">Forrellad, M. A., Klepp, L. I., Gioffré, A., Sabio y García, J., Morbidoni, H. R., de la Paz Santangelo, M., ... &amp; Bigi, F. (2013). Virulence factors of the Mycobacterium tuberculosis complex. Virulence, 4(1), 3–66.</w:t>
      </w:r>
    </w:p>
    <w:p>
      <w:pPr>
        <w:spacing w:after="150" w:line="276"/>
        <w:ind w:left="720" w:hanging="720"/>
        <w:jc w:val="both"/>
      </w:pPr>
      <w:r>
        <w:rPr>
          <w:rFonts w:ascii="Times New Roman" w:cs="Times New Roman" w:eastAsia="Times New Roman" w:hAnsi="Times New Roman"/>
          <w:sz w:val="22"/>
          <w:szCs w:val="22"/>
        </w:rPr>
        <w:t xml:space="preserve">HR. Abu Dawud No. 3855.</w:t>
      </w:r>
    </w:p>
    <w:p>
      <w:pPr>
        <w:spacing w:after="150" w:line="276"/>
        <w:ind w:left="720" w:hanging="720"/>
        <w:jc w:val="both"/>
      </w:pPr>
      <w:r>
        <w:rPr>
          <w:rFonts w:ascii="Times New Roman" w:cs="Times New Roman" w:eastAsia="Times New Roman" w:hAnsi="Times New Roman"/>
          <w:sz w:val="22"/>
          <w:szCs w:val="22"/>
        </w:rPr>
        <w:t xml:space="preserve">HR. At-Tirmidzi No. 2038.</w:t>
      </w:r>
    </w:p>
    <w:p>
      <w:pPr>
        <w:spacing w:after="150" w:line="276"/>
        <w:ind w:left="720" w:hanging="720"/>
        <w:jc w:val="both"/>
      </w:pPr>
      <w:r>
        <w:rPr>
          <w:rFonts w:ascii="Times New Roman" w:cs="Times New Roman" w:eastAsia="Times New Roman" w:hAnsi="Times New Roman"/>
          <w:sz w:val="22"/>
          <w:szCs w:val="22"/>
        </w:rPr>
        <w:t xml:space="preserve">Lewinsohn, D. M., Leonard, M. K., LoBue, P. A., Cohn, D. L., Daley, C. L., Desmond, E., ... &amp; Jereb, J. A. (2017). Clinical practice guidelines: Diagnosis of tuberculosis in adults and children. Clinical Infectious Diseases, 64(2), e1–e33.</w:t>
      </w:r>
    </w:p>
    <w:p>
      <w:pPr>
        <w:spacing w:after="150" w:line="276"/>
        <w:ind w:left="720" w:hanging="720"/>
        <w:jc w:val="both"/>
      </w:pPr>
      <w:r>
        <w:rPr>
          <w:rFonts w:ascii="Times New Roman" w:cs="Times New Roman" w:eastAsia="Times New Roman" w:hAnsi="Times New Roman"/>
          <w:sz w:val="22"/>
          <w:szCs w:val="22"/>
        </w:rPr>
        <w:t xml:space="preserve">Pai, M., Behr, M. A., Dowdy, D., Dheda, K., Divangahi, M., Boehme, C. C., ... &amp; Raviglione, M. (2016). Tuberculosis. Nature Reviews Disease Primers, 2, 16076.</w:t>
      </w:r>
    </w:p>
    <w:p>
      <w:pPr>
        <w:spacing w:after="150" w:line="276"/>
        <w:ind w:left="720" w:hanging="720"/>
        <w:jc w:val="both"/>
      </w:pPr>
      <w:r>
        <w:rPr>
          <w:rFonts w:ascii="Times New Roman" w:cs="Times New Roman" w:eastAsia="Times New Roman" w:hAnsi="Times New Roman"/>
          <w:sz w:val="22"/>
          <w:szCs w:val="22"/>
        </w:rPr>
        <w:t xml:space="preserve">World Health Organization. (2021). WHO consolidated guidelines on tuberculosis: Module 3: Diagnosis – Rapid diagnostics for tuberculosis detection. WHO.</w:t>
      </w:r>
    </w:p>
    <w:p>
      <w:pPr>
        <w:spacing w:after="150" w:line="276"/>
        <w:ind w:left="720" w:hanging="720"/>
        <w:jc w:val="both"/>
      </w:pPr>
      <w:r>
        <w:rPr>
          <w:rFonts w:ascii="Times New Roman" w:cs="Times New Roman" w:eastAsia="Times New Roman" w:hAnsi="Times New Roman"/>
          <w:sz w:val="22"/>
          <w:szCs w:val="22"/>
        </w:rPr>
        <w:t xml:space="preserve">World Health Organization. (2023). Global tuberculosis report 2023. WHO.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Jurnal Ilmu Laboratorium Klinis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2026-07-16T13:55:17.609Z</dcterms:created>
  <dcterms:modified xsi:type="dcterms:W3CDTF">2026-07-16T13:55:17.632Z</dcterms:modified>
</cp:coreProperties>
</file>

<file path=docProps/custom.xml><?xml version="1.0" encoding="utf-8"?>
<Properties xmlns="http://schemas.openxmlformats.org/officeDocument/2006/custom-properties" xmlns:vt="http://schemas.openxmlformats.org/officeDocument/2006/docPropsVTypes"/>
</file>