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spacing w:after="400"/>
        <w:jc w:val="left"/>
      </w:pPr>
      <w:r>
        <w:drawing>
          <wp:inline xmlns:a="http://schemas.openxmlformats.org/drawingml/2006/main" xmlns:pic="http://schemas.openxmlformats.org/drawingml/2006/picture">
            <wp:extent cx="6126480" cy="806116"/>
            <wp:docPr id="1" name="Picture 1"/>
            <wp:cNvGraphicFramePr>
              <a:graphicFrameLocks noChangeAspect="1"/>
            </wp:cNvGraphicFramePr>
            <a:graphic>
              <a:graphicData uri="http://schemas.openxmlformats.org/drawingml/2006/picture">
                <pic:pic>
                  <pic:nvPicPr>
                    <pic:cNvPr id="0" name="cd_header_crop.png"/>
                    <pic:cNvPicPr/>
                  </pic:nvPicPr>
                  <pic:blipFill>
                    <a:blip r:embed="rId10"/>
                    <a:stretch>
                      <a:fillRect/>
                    </a:stretch>
                  </pic:blipFill>
                  <pic:spPr>
                    <a:xfrm>
                      <a:off x="0" y="0"/>
                      <a:ext cx="6126480" cy="806116"/>
                    </a:xfrm>
                    <a:prstGeom prst="rect"/>
                  </pic:spPr>
                </pic:pic>
              </a:graphicData>
            </a:graphic>
          </wp:inline>
        </w:drawing>
      </w:r>
    </w:p>
    <w:p>
      <w:pPr>
        <w:spacing w:before="0" w:after="160"/>
        <w:jc w:val="right"/>
      </w:pPr>
      <w:r>
        <w:rPr>
          <w:rFonts w:ascii="Arial" w:hAnsi="Arial"/>
          <w:b/>
          <w:i w:val="0"/>
          <w:sz w:val="24"/>
        </w:rPr>
        <w:t>www.viamedica.journals.pl</w:t>
      </w:r>
    </w:p>
    <w:p>
      <w:pPr>
        <w:spacing w:before="0" w:after="360"/>
        <w:jc w:val="right"/>
      </w:pPr>
      <w:r>
        <w:rPr>
          <w:rFonts w:ascii="Times New Roman" w:hAnsi="Times New Roman"/>
          <w:b/>
          <w:i w:val="0"/>
          <w:sz w:val="24"/>
        </w:rPr>
        <w:t>Submission date: 25 September 2026</w:t>
      </w:r>
    </w:p>
    <w:p>
      <w:pPr>
        <w:spacing w:before="0" w:after="40"/>
      </w:pPr>
      <w:r>
        <w:rPr>
          <w:rFonts w:ascii="Arial" w:hAnsi="Arial"/>
          <w:b/>
          <w:i w:val="0"/>
          <w:sz w:val="21"/>
        </w:rPr>
        <w:t>Address to the Editors-in-Chief:</w:t>
      </w:r>
    </w:p>
    <w:p>
      <w:pPr>
        <w:spacing w:before="0" w:after="20"/>
      </w:pPr>
      <w:r>
        <w:rPr>
          <w:rFonts w:ascii="Arial" w:hAnsi="Arial"/>
          <w:b w:val="0"/>
          <w:i w:val="0"/>
          <w:sz w:val="21"/>
        </w:rPr>
        <w:t>Prof. Viral N. Shah</w:t>
      </w:r>
    </w:p>
    <w:p>
      <w:pPr>
        <w:spacing w:before="0" w:after="200"/>
      </w:pPr>
      <w:r>
        <w:rPr>
          <w:rFonts w:ascii="Arial" w:hAnsi="Arial"/>
          <w:b w:val="0"/>
          <w:i w:val="0"/>
          <w:sz w:val="21"/>
        </w:rPr>
        <w:t>Editor-in-Chief, Clinical Diabetology</w:t>
      </w:r>
    </w:p>
    <w:p>
      <w:pPr>
        <w:spacing w:before="0" w:after="320"/>
        <w:jc w:val="center"/>
      </w:pPr>
      <w:r>
        <w:rPr>
          <w:rFonts w:ascii="Arial" w:hAnsi="Arial"/>
          <w:b/>
          <w:i w:val="0"/>
          <w:sz w:val="24"/>
        </w:rPr>
        <w:t>COVER LETTER</w:t>
      </w:r>
    </w:p>
    <w:p>
      <w:pPr>
        <w:spacing w:before="0" w:after="200"/>
      </w:pPr>
      <w:r>
        <w:rPr>
          <w:rFonts w:ascii="Arial" w:hAnsi="Arial"/>
          <w:b w:val="0"/>
          <w:i w:val="0"/>
          <w:sz w:val="21"/>
        </w:rPr>
        <w:t>Dear Editor,</w:t>
      </w:r>
    </w:p>
    <w:p>
      <w:pPr>
        <w:spacing w:before="0" w:after="80"/>
      </w:pPr>
      <w:r>
        <w:rPr>
          <w:rFonts w:ascii="Arial" w:hAnsi="Arial"/>
          <w:b/>
          <w:i w:val="0"/>
          <w:sz w:val="21"/>
        </w:rPr>
        <w:t>Paragraph 1: Overview (Article title, type, design, major finding)</w:t>
      </w:r>
    </w:p>
    <w:p>
      <w:pPr>
        <w:spacing w:before="0" w:after="160"/>
      </w:pPr>
      <w:r>
        <w:rPr>
          <w:rFonts w:ascii="Times New Roman" w:hAnsi="Times New Roman"/>
          <w:b w:val="0"/>
          <w:i w:val="0"/>
          <w:sz w:val="24"/>
        </w:rPr>
        <w:t>We are pleased to submit our manuscript titled: “Glycaemic Control and Lipid Profiles in Adults With Type 2 Diabetes Not Receiving Lipid-Lowering Therapy: A Retrospective Cross-Sectional Study in Indonesia”, for consideration as a Research paper. This retrospective cross-sectional study analysed de-identified medical-record data from adults with type 2 diabetes (T2D) who were not receiving lipid-lowering therapy. The main finding showed that uncontrolled glycaemia was associated with higher total cholesterol, LDL-C and triglyceride concentrations, while HDL-C did not differ significantly between glycaemic-control groups. This finding is relevant to the scope of Clinical Diabetology because it addresses cardiometabolic risk assessment using routinely available clinical markers in T2D care.</w:t>
      </w:r>
    </w:p>
    <w:p>
      <w:pPr>
        <w:spacing w:before="0" w:after="80"/>
      </w:pPr>
      <w:r>
        <w:rPr>
          <w:rFonts w:ascii="Arial" w:hAnsi="Arial"/>
          <w:b/>
          <w:i w:val="0"/>
          <w:sz w:val="21"/>
        </w:rPr>
        <w:t>Paragraph 2: Current submission and prior presentations disclosure</w:t>
      </w:r>
    </w:p>
    <w:p>
      <w:pPr>
        <w:spacing w:before="0" w:after="160"/>
      </w:pPr>
      <w:r>
        <w:rPr>
          <w:rFonts w:ascii="Arial" w:hAnsi="Arial"/>
          <w:b w:val="0"/>
          <w:i w:val="0"/>
          <w:sz w:val="21"/>
        </w:rPr>
        <w:t>This manuscript has not been previously published and is not under consideration in the same or substantially similar form in any other peer-reviewed media. The manuscript has been prepared according to the Guide for Authors and the journal’s formatting requirements, including the use of square-bracket reference citations. This work has not been presented previously in any scientific meeting.</w:t>
      </w:r>
    </w:p>
    <w:p>
      <w:pPr>
        <w:spacing w:before="0" w:after="80"/>
      </w:pPr>
      <w:r>
        <w:rPr>
          <w:rFonts w:ascii="Arial" w:hAnsi="Arial"/>
          <w:b/>
          <w:i w:val="0"/>
          <w:sz w:val="21"/>
        </w:rPr>
        <w:t>Paragraph 3: Authorship and conflicts</w:t>
      </w:r>
    </w:p>
    <w:p>
      <w:pPr>
        <w:spacing w:before="0" w:after="160"/>
      </w:pPr>
      <w:r>
        <w:rPr>
          <w:rFonts w:ascii="Arial" w:hAnsi="Arial"/>
          <w:b w:val="0"/>
          <w:i/>
          <w:sz w:val="21"/>
        </w:rPr>
        <w:t>All authors listed have contributed sufficiently to the project to be included as authors, and all those who are qualified to be authors are listed in the author byline. All authors have read and approved the submitted version of the manuscript. Author contributions, funding, and conflict of interest are disclosed in the manuscript according to the Journal guidelines. The authors declare that they have no conflict of interest. This research received no external funding.</w:t>
      </w:r>
    </w:p>
    <w:p>
      <w:pPr>
        <w:spacing w:before="0" w:after="80"/>
      </w:pPr>
      <w:r>
        <w:rPr>
          <w:rFonts w:ascii="Arial" w:hAnsi="Arial"/>
          <w:b/>
          <w:i w:val="0"/>
          <w:sz w:val="21"/>
        </w:rPr>
        <w:t>Paragraph 4: Potential reviewers (optional)</w:t>
      </w:r>
    </w:p>
    <w:p>
      <w:pPr>
        <w:spacing w:before="0" w:after="320"/>
      </w:pPr>
      <w:r>
        <w:rPr>
          <w:rFonts w:ascii="Times New Roman" w:hAnsi="Times New Roman"/>
          <w:sz w:val="22"/>
        </w:rPr>
        <w:t>We suggest the following potential reviewers for consideration by the Editorial Office: Dr Tan Hong Chang, Singapore General Hospital / Duke-NUS Medical School, Singapore, e-mail: tan.hong.chang@singhealth.com.sg; Dr Subashini Chellappah Thambiah, Universiti Putra Malaysia, Malaysia, e-mail: subashini@upm.edu.my; and Dr Ploypun Narindrarangkura, Phramongkutklao College of Medicine, Thailand, e-mail: n.ploypun@pcm.ac.th. To the best of our knowledge, the suggested reviewers are not from our institution and have no known conflicts of interest with the authors or this work.</w:t>
      </w:r>
    </w:p>
    <w:p>
      <w:pPr>
        <w:spacing w:after="400"/>
        <w:jc w:val="left"/>
      </w:pPr>
      <w:r>
        <w:drawing>
          <wp:inline xmlns:a="http://schemas.openxmlformats.org/drawingml/2006/main" xmlns:pic="http://schemas.openxmlformats.org/drawingml/2006/picture">
            <wp:extent cx="6126480" cy="806116"/>
            <wp:docPr id="2" name="Picture 2"/>
            <wp:cNvGraphicFramePr>
              <a:graphicFrameLocks noChangeAspect="1"/>
            </wp:cNvGraphicFramePr>
            <a:graphic>
              <a:graphicData uri="http://schemas.openxmlformats.org/drawingml/2006/picture">
                <pic:pic>
                  <pic:nvPicPr>
                    <pic:cNvPr id="0" name="cd_header_crop.png"/>
                    <pic:cNvPicPr/>
                  </pic:nvPicPr>
                  <pic:blipFill>
                    <a:blip r:embed="rId10"/>
                    <a:stretch>
                      <a:fillRect/>
                    </a:stretch>
                  </pic:blipFill>
                  <pic:spPr>
                    <a:xfrm>
                      <a:off x="0" y="0"/>
                      <a:ext cx="6126480" cy="806116"/>
                    </a:xfrm>
                    <a:prstGeom prst="rect"/>
                  </pic:spPr>
                </pic:pic>
              </a:graphicData>
            </a:graphic>
          </wp:inline>
        </w:drawing>
      </w:r>
    </w:p>
    <w:p>
      <w:pPr>
        <w:spacing w:before="0" w:after="320"/>
        <w:jc w:val="right"/>
      </w:pPr>
      <w:r>
        <w:rPr>
          <w:rFonts w:ascii="Arial" w:hAnsi="Arial"/>
          <w:b/>
          <w:i w:val="0"/>
          <w:sz w:val="24"/>
        </w:rPr>
        <w:t>www.viamedica.journals.pl</w:t>
      </w:r>
    </w:p>
    <w:p>
      <w:pPr>
        <w:spacing w:before="0" w:after="320"/>
      </w:pPr>
      <w:r>
        <w:rPr>
          <w:rFonts w:ascii="Arial" w:hAnsi="Arial"/>
          <w:b/>
          <w:i w:val="0"/>
          <w:sz w:val="21"/>
        </w:rPr>
        <w:t>Sincerely,</w:t>
      </w:r>
    </w:p>
    <w:p>
      <w:pPr>
        <w:spacing w:before="0" w:after="240"/>
      </w:pPr>
      <w:r>
        <w:rPr>
          <w:rFonts w:ascii="Arial" w:hAnsi="Arial"/>
          <w:b w:val="0"/>
          <w:i w:val="0"/>
          <w:sz w:val="21"/>
        </w:rPr>
        <w:t>Corresponding author</w:t>
        <w:br/>
        <w:t>Linny Luciana</w:t>
        <w:br/>
        <w:t>Faculty of Medicine and Health Sciences, Krida Wacana Christian University, Jakarta, Indonesia</w:t>
        <w:br/>
        <w:t>E-mail: linny.luciana@ukrida.ac.id</w:t>
        <w:br/>
        <w:t>Phone: +62 856 9026 035</w:t>
        <w:br/>
        <w:t>Fax: -</w:t>
      </w:r>
    </w:p>
    <w:p>
      <w:pPr>
        <w:spacing w:before="0" w:after="0"/>
      </w:pPr>
      <w:r>
        <w:rPr>
          <w:rFonts w:ascii="Arial" w:hAnsi="Arial"/>
          <w:b w:val="0"/>
          <w:i w:val="0"/>
          <w:sz w:val="21"/>
        </w:rPr>
        <w:t>Back up contact</w:t>
        <w:br/>
        <w:t>Vebriona Angellee</w:t>
        <w:br/>
        <w:t>Faculty of Medicine and Health Sciences, Krida Wacana Christian University, Jakarta, Indonesia</w:t>
        <w:br/>
        <w:t>E-mail: yowveve@gmail.com</w:t>
        <w:br/>
        <w:t>Phone: +62 878 9302 1357</w:t>
        <w:br/>
        <w:t>Fax: -</w:t>
      </w:r>
    </w:p>
    <w:sectPr w:rsidR="00FC693F" w:rsidRPr="0006063C" w:rsidSect="00034616">
      <w:footerReference w:type="default" r:id="rId9"/>
      <w:pgSz w:w="11909" w:h="16834"/>
      <w:pgMar w:top="504"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drawing>
        <wp:inline xmlns:a="http://schemas.openxmlformats.org/drawingml/2006/main" xmlns:pic="http://schemas.openxmlformats.org/drawingml/2006/picture">
          <wp:extent cx="502920" cy="363220"/>
          <wp:docPr id="1" name="Picture 1"/>
          <wp:cNvGraphicFramePr>
            <a:graphicFrameLocks noChangeAspect="1"/>
          </wp:cNvGraphicFramePr>
          <a:graphic>
            <a:graphicData uri="http://schemas.openxmlformats.org/drawingml/2006/picture">
              <pic:pic>
                <pic:nvPicPr>
                  <pic:cNvPr id="0" name="cd_footer_logo_crop.png"/>
                  <pic:cNvPicPr/>
                </pic:nvPicPr>
                <pic:blipFill>
                  <a:blip r:embed="rId1"/>
                  <a:stretch>
                    <a:fillRect/>
                  </a:stretch>
                </pic:blipFill>
                <pic:spPr>
                  <a:xfrm>
                    <a:off x="0" y="0"/>
                    <a:ext cx="502920" cy="363220"/>
                  </a:xfrm>
                  <a:prstGeom prst="rect"/>
                </pic:spPr>
              </pic:pic>
            </a:graphicData>
          </a:graphic>
        </wp:inline>
      </w:drawing>
    </w:r>
    <w:r>
      <w:rPr>
        <w:rFonts w:ascii="Arial" w:hAnsi="Arial"/>
        <w:sz w:val="14"/>
      </w:rPr>
      <w:t xml:space="preserve">   Publisher: VM Media Sp. z o.o., VM Group Sp.k. Grupa Via Medica, ul. Swietokrzyska 73, 80-180 Gdansk, Poland</w:t>
      <w:br/>
      <w:t>Tel: (+48 58) 320 94 94, fax: (+48 58) 320 94 60, e-mail: viamedica@viamedica.pl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