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2E2C" w14:textId="77777777" w:rsidR="007D6A3F" w:rsidRPr="0081276C" w:rsidRDefault="00000000">
      <w:pPr>
        <w:jc w:val="center"/>
        <w:rPr>
          <w:rFonts w:ascii="Times New Roman" w:hAnsi="Times New Roman" w:cs="Times New Roman"/>
          <w:sz w:val="24"/>
          <w:szCs w:val="24"/>
        </w:rPr>
      </w:pPr>
      <w:r w:rsidRPr="0081276C">
        <w:rPr>
          <w:rFonts w:ascii="Times New Roman" w:hAnsi="Times New Roman" w:cs="Times New Roman"/>
          <w:b/>
          <w:sz w:val="24"/>
          <w:szCs w:val="24"/>
        </w:rPr>
        <w:t>Maternal nutritional and socioeconomic determinants of cleft lip and palate: a scoping review</w:t>
      </w:r>
    </w:p>
    <w:p w14:paraId="71AF1DEE" w14:textId="77777777" w:rsidR="007D6A3F" w:rsidRPr="0081276C" w:rsidRDefault="00000000" w:rsidP="0081276C">
      <w:pPr>
        <w:jc w:val="center"/>
        <w:rPr>
          <w:rFonts w:ascii="Times New Roman" w:hAnsi="Times New Roman" w:cs="Times New Roman"/>
          <w:sz w:val="24"/>
          <w:szCs w:val="24"/>
        </w:rPr>
      </w:pPr>
      <w:r w:rsidRPr="0081276C">
        <w:rPr>
          <w:rFonts w:ascii="Times New Roman" w:hAnsi="Times New Roman" w:cs="Times New Roman"/>
          <w:sz w:val="24"/>
          <w:szCs w:val="24"/>
        </w:rPr>
        <w:t>Ruby Riana Asparini¹, Aida Musyarrofah², Haura Tsabitah Kuswoyo³</w:t>
      </w:r>
    </w:p>
    <w:p w14:paraId="661C2C65" w14:textId="77777777" w:rsidR="007D6A3F" w:rsidRPr="0081276C" w:rsidRDefault="00000000" w:rsidP="0081276C">
      <w:pPr>
        <w:ind w:left="142" w:hanging="142"/>
        <w:rPr>
          <w:rFonts w:ascii="Times New Roman" w:hAnsi="Times New Roman" w:cs="Times New Roman"/>
          <w:sz w:val="24"/>
          <w:szCs w:val="24"/>
        </w:rPr>
      </w:pPr>
      <w:r w:rsidRPr="0081276C">
        <w:rPr>
          <w:rFonts w:ascii="Times New Roman" w:hAnsi="Times New Roman" w:cs="Times New Roman"/>
          <w:sz w:val="24"/>
          <w:szCs w:val="24"/>
        </w:rPr>
        <w:t>¹ Department of Surgery, Faculty of Medicine, University of Muhammadiyah Malang, Malang, Indonesia.</w:t>
      </w:r>
    </w:p>
    <w:p w14:paraId="61DFFF1F" w14:textId="77777777" w:rsidR="007D6A3F" w:rsidRPr="0081276C" w:rsidRDefault="00000000" w:rsidP="0081276C">
      <w:pPr>
        <w:ind w:left="142" w:hanging="142"/>
        <w:rPr>
          <w:rFonts w:ascii="Times New Roman" w:hAnsi="Times New Roman" w:cs="Times New Roman"/>
          <w:sz w:val="24"/>
          <w:szCs w:val="24"/>
        </w:rPr>
      </w:pPr>
      <w:r w:rsidRPr="0081276C">
        <w:rPr>
          <w:rFonts w:ascii="Times New Roman" w:hAnsi="Times New Roman" w:cs="Times New Roman"/>
          <w:sz w:val="24"/>
          <w:szCs w:val="24"/>
        </w:rPr>
        <w:t>² Department of Obstetrics and Gynecology, Faculty of Medicine, University of Muhammadiyah Malang, Malang, Indonesia.</w:t>
      </w:r>
    </w:p>
    <w:p w14:paraId="694B3FB2" w14:textId="77777777" w:rsidR="007D6A3F" w:rsidRPr="0081276C" w:rsidRDefault="00000000" w:rsidP="0081276C">
      <w:pPr>
        <w:rPr>
          <w:rFonts w:ascii="Times New Roman" w:hAnsi="Times New Roman" w:cs="Times New Roman"/>
          <w:sz w:val="24"/>
          <w:szCs w:val="24"/>
        </w:rPr>
      </w:pPr>
      <w:r w:rsidRPr="0081276C">
        <w:rPr>
          <w:rFonts w:ascii="Times New Roman" w:hAnsi="Times New Roman" w:cs="Times New Roman"/>
          <w:sz w:val="24"/>
          <w:szCs w:val="24"/>
        </w:rPr>
        <w:t>³ Faculty of Medicine, University of Muhammadiyah Malang, Malang, Indonesia.</w:t>
      </w:r>
    </w:p>
    <w:p w14:paraId="06D77E0A" w14:textId="3D146AF6"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Corresponding author: Ruby Riana Asparini, Department of Surgery, Faculty of Medicine, University of Muhammadiyah Malang, Malang, Indonesia. Postal address: </w:t>
      </w:r>
      <w:r w:rsidR="00923334" w:rsidRPr="00923334">
        <w:rPr>
          <w:rFonts w:ascii="Times New Roman" w:hAnsi="Times New Roman" w:cs="Times New Roman"/>
          <w:sz w:val="24"/>
          <w:szCs w:val="24"/>
        </w:rPr>
        <w:t xml:space="preserve">Faculty of Medicine, University of Muhammadiyah Malang, Jl. </w:t>
      </w:r>
      <w:proofErr w:type="spellStart"/>
      <w:r w:rsidR="00923334" w:rsidRPr="00923334">
        <w:rPr>
          <w:rFonts w:ascii="Times New Roman" w:hAnsi="Times New Roman" w:cs="Times New Roman"/>
          <w:sz w:val="24"/>
          <w:szCs w:val="24"/>
        </w:rPr>
        <w:t>Bendungan</w:t>
      </w:r>
      <w:proofErr w:type="spellEnd"/>
      <w:r w:rsidR="00923334" w:rsidRPr="00923334">
        <w:rPr>
          <w:rFonts w:ascii="Times New Roman" w:hAnsi="Times New Roman" w:cs="Times New Roman"/>
          <w:sz w:val="24"/>
          <w:szCs w:val="24"/>
        </w:rPr>
        <w:t xml:space="preserve"> </w:t>
      </w:r>
      <w:proofErr w:type="spellStart"/>
      <w:r w:rsidR="00923334" w:rsidRPr="00923334">
        <w:rPr>
          <w:rFonts w:ascii="Times New Roman" w:hAnsi="Times New Roman" w:cs="Times New Roman"/>
          <w:sz w:val="24"/>
          <w:szCs w:val="24"/>
        </w:rPr>
        <w:t>Sutami</w:t>
      </w:r>
      <w:proofErr w:type="spellEnd"/>
      <w:r w:rsidR="00923334" w:rsidRPr="00923334">
        <w:rPr>
          <w:rFonts w:ascii="Times New Roman" w:hAnsi="Times New Roman" w:cs="Times New Roman"/>
          <w:sz w:val="24"/>
          <w:szCs w:val="24"/>
        </w:rPr>
        <w:t xml:space="preserve"> No. 188A, Malang 65145, East Java, Indonesia</w:t>
      </w:r>
      <w:r w:rsidRPr="0081276C">
        <w:rPr>
          <w:rFonts w:ascii="Times New Roman" w:hAnsi="Times New Roman" w:cs="Times New Roman"/>
          <w:sz w:val="24"/>
          <w:szCs w:val="24"/>
        </w:rPr>
        <w:t xml:space="preserve">. Email: ruby@umm.ac.id. ORCID </w:t>
      </w:r>
      <w:proofErr w:type="spellStart"/>
      <w:r w:rsidRPr="0081276C">
        <w:rPr>
          <w:rFonts w:ascii="Times New Roman" w:hAnsi="Times New Roman" w:cs="Times New Roman"/>
          <w:sz w:val="24"/>
          <w:szCs w:val="24"/>
        </w:rPr>
        <w:t>iD</w:t>
      </w:r>
      <w:proofErr w:type="spellEnd"/>
      <w:r w:rsidRPr="0081276C">
        <w:rPr>
          <w:rFonts w:ascii="Times New Roman" w:hAnsi="Times New Roman" w:cs="Times New Roman"/>
          <w:sz w:val="24"/>
          <w:szCs w:val="24"/>
        </w:rPr>
        <w:t xml:space="preserve">: </w:t>
      </w:r>
      <w:r w:rsidR="0081276C" w:rsidRPr="0081276C">
        <w:rPr>
          <w:rFonts w:ascii="Times New Roman" w:eastAsia="Times New Roman" w:hAnsi="Times New Roman" w:cs="Times New Roman"/>
          <w:sz w:val="24"/>
          <w:szCs w:val="24"/>
        </w:rPr>
        <w:t>0000-0002-3984-891X</w:t>
      </w:r>
      <w:r w:rsidRPr="0081276C">
        <w:rPr>
          <w:rFonts w:ascii="Times New Roman" w:hAnsi="Times New Roman" w:cs="Times New Roman"/>
          <w:sz w:val="24"/>
          <w:szCs w:val="24"/>
        </w:rPr>
        <w:t>.</w:t>
      </w:r>
    </w:p>
    <w:p w14:paraId="140AE81A"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Running title: Maternal determinants of CLP</w:t>
      </w:r>
    </w:p>
    <w:p w14:paraId="0176F634"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Article type: Systematic review (scoping review; PRISMA-ScR reporting)</w:t>
      </w:r>
    </w:p>
    <w:p w14:paraId="4BCFEAAD"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Source of support/funding: This study received no specific funding.</w:t>
      </w:r>
    </w:p>
    <w:p w14:paraId="026ADB20"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Competing interests: The authors declare no competing interests.</w:t>
      </w:r>
    </w:p>
    <w:p w14:paraId="58650542" w14:textId="61ADACCB"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Main text word count: 1,884; References: 30; Tables: 3; Figures: 1. Review registration: </w:t>
      </w:r>
      <w:r w:rsidR="0081276C" w:rsidRPr="0081276C">
        <w:rPr>
          <w:rFonts w:ascii="Times New Roman" w:hAnsi="Times New Roman" w:cs="Times New Roman"/>
          <w:sz w:val="24"/>
          <w:szCs w:val="24"/>
        </w:rPr>
        <w:t>Not registered</w:t>
      </w:r>
      <w:r w:rsidRPr="0081276C">
        <w:rPr>
          <w:rFonts w:ascii="Times New Roman" w:hAnsi="Times New Roman" w:cs="Times New Roman"/>
          <w:sz w:val="24"/>
          <w:szCs w:val="24"/>
        </w:rPr>
        <w:t>. Previous presentation/preprint: None declared.</w:t>
      </w:r>
    </w:p>
    <w:p w14:paraId="36879C61"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br w:type="page"/>
      </w:r>
    </w:p>
    <w:p w14:paraId="0B871932" w14:textId="77777777" w:rsidR="007D6A3F" w:rsidRPr="0081276C" w:rsidRDefault="00000000">
      <w:pPr>
        <w:jc w:val="center"/>
        <w:rPr>
          <w:rFonts w:ascii="Times New Roman" w:hAnsi="Times New Roman" w:cs="Times New Roman"/>
          <w:sz w:val="24"/>
          <w:szCs w:val="24"/>
        </w:rPr>
      </w:pPr>
      <w:r w:rsidRPr="0081276C">
        <w:rPr>
          <w:rFonts w:ascii="Times New Roman" w:hAnsi="Times New Roman" w:cs="Times New Roman"/>
          <w:b/>
          <w:sz w:val="24"/>
          <w:szCs w:val="24"/>
        </w:rPr>
        <w:lastRenderedPageBreak/>
        <w:t>Maternal nutritional and socioeconomic determinants of cleft lip and palate: a scoping review</w:t>
      </w:r>
    </w:p>
    <w:p w14:paraId="58DE527A"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Abstract</w:t>
      </w:r>
    </w:p>
    <w:p w14:paraId="640EFED1"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 xml:space="preserve">Background: </w:t>
      </w:r>
      <w:r w:rsidRPr="0081276C">
        <w:rPr>
          <w:rFonts w:ascii="Times New Roman" w:hAnsi="Times New Roman" w:cs="Times New Roman"/>
          <w:sz w:val="24"/>
          <w:szCs w:val="24"/>
        </w:rPr>
        <w:t xml:space="preserve">Cleft lip and palate </w:t>
      </w:r>
      <w:proofErr w:type="gramStart"/>
      <w:r w:rsidRPr="0081276C">
        <w:rPr>
          <w:rFonts w:ascii="Times New Roman" w:hAnsi="Times New Roman" w:cs="Times New Roman"/>
          <w:sz w:val="24"/>
          <w:szCs w:val="24"/>
        </w:rPr>
        <w:t>is</w:t>
      </w:r>
      <w:proofErr w:type="gramEnd"/>
      <w:r w:rsidRPr="0081276C">
        <w:rPr>
          <w:rFonts w:ascii="Times New Roman" w:hAnsi="Times New Roman" w:cs="Times New Roman"/>
          <w:sz w:val="24"/>
          <w:szCs w:val="24"/>
        </w:rPr>
        <w:t xml:space="preserve"> a common congenital anomaly with multifactorial determinants. Maternal nutritional status and socioeconomic conditions may influence craniofacial development through micronutrient availability, antenatal care access, and health-related behaviors. </w:t>
      </w:r>
      <w:r w:rsidRPr="0081276C">
        <w:rPr>
          <w:rFonts w:ascii="Times New Roman" w:hAnsi="Times New Roman" w:cs="Times New Roman"/>
          <w:b/>
          <w:sz w:val="24"/>
          <w:szCs w:val="24"/>
        </w:rPr>
        <w:t xml:space="preserve">Methods: </w:t>
      </w:r>
      <w:r w:rsidRPr="0081276C">
        <w:rPr>
          <w:rFonts w:ascii="Times New Roman" w:hAnsi="Times New Roman" w:cs="Times New Roman"/>
          <w:sz w:val="24"/>
          <w:szCs w:val="24"/>
        </w:rPr>
        <w:t xml:space="preserve">This scoping review mapped evidence on maternal nutritional and socioeconomic determinants of cleft lip and palate. Literature was identified from PubMed, ScienceDirect, Cochrane, and Google Scholar. </w:t>
      </w:r>
      <w:r w:rsidRPr="0081276C">
        <w:rPr>
          <w:rFonts w:ascii="Times New Roman" w:hAnsi="Times New Roman" w:cs="Times New Roman"/>
          <w:b/>
          <w:sz w:val="24"/>
          <w:szCs w:val="24"/>
        </w:rPr>
        <w:t xml:space="preserve">Results: </w:t>
      </w:r>
      <w:r w:rsidRPr="0081276C">
        <w:rPr>
          <w:rFonts w:ascii="Times New Roman" w:hAnsi="Times New Roman" w:cs="Times New Roman"/>
          <w:sz w:val="24"/>
          <w:szCs w:val="24"/>
        </w:rPr>
        <w:t xml:space="preserve">Of 3,437 records identified, 15 eligible studies were included. Deficiencies in folic acid, vitamin B12, and vitamin B6 were associated with increased risk, whereas adequate maternal micronutrient intake showed a protective role. Low socioeconomic status was linked to limited nutrition, reduced antenatal care access, lower health literacy, and financial stress. </w:t>
      </w:r>
      <w:r w:rsidRPr="0081276C">
        <w:rPr>
          <w:rFonts w:ascii="Times New Roman" w:hAnsi="Times New Roman" w:cs="Times New Roman"/>
          <w:b/>
          <w:sz w:val="24"/>
          <w:szCs w:val="24"/>
        </w:rPr>
        <w:t xml:space="preserve">Conclusion: </w:t>
      </w:r>
      <w:r w:rsidRPr="0081276C">
        <w:rPr>
          <w:rFonts w:ascii="Times New Roman" w:hAnsi="Times New Roman" w:cs="Times New Roman"/>
          <w:sz w:val="24"/>
          <w:szCs w:val="24"/>
        </w:rPr>
        <w:t xml:space="preserve">Integrated maternal nutrition counselling, micronutrient supplementation, and socioeconomic support may contribute to congenital anomaly prevention. </w:t>
      </w:r>
    </w:p>
    <w:p w14:paraId="2E52725E"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Keywords: Cleft lip and palate; Orofacial cleft; Maternal nutrition; Socioeconomic status; Congenital anomalies; Scoping review.</w:t>
      </w:r>
    </w:p>
    <w:p w14:paraId="2BFA3CD8"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Knowledge Translation</w:t>
      </w:r>
    </w:p>
    <w:p w14:paraId="39FCE2E4"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What is already known in this topic: Existing studies have evaluated maternal nutrition and socioeconomic conditions in relation to cleft lip and palate, but findings vary across settings and study designs. This uncertainty justified a focused mapping of the available evidence.</w:t>
      </w:r>
    </w:p>
    <w:p w14:paraId="3599160D"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What this article adds: This scoping review maps 15 eligible studies and highlights how maternal micronutrient status and socioeconomic disadvantage may affect prevention through antenatal counselling, supplementation, access to care, and social support. Heterogeneity limits causal inference and supports further prospective research.</w:t>
      </w:r>
    </w:p>
    <w:p w14:paraId="4CEFC6AA"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Introduction</w:t>
      </w:r>
    </w:p>
    <w:p w14:paraId="25A54EB6"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Congenital anomalies are structural or functional disorders that occur during intrauterine life and may be identified before birth, at birth, or later in life [1]. Cleft lip and palate (CLP) </w:t>
      </w:r>
      <w:proofErr w:type="gramStart"/>
      <w:r w:rsidRPr="0081276C">
        <w:rPr>
          <w:rFonts w:ascii="Times New Roman" w:hAnsi="Times New Roman" w:cs="Times New Roman"/>
          <w:sz w:val="24"/>
          <w:szCs w:val="24"/>
        </w:rPr>
        <w:t>is</w:t>
      </w:r>
      <w:proofErr w:type="gramEnd"/>
      <w:r w:rsidRPr="0081276C">
        <w:rPr>
          <w:rFonts w:ascii="Times New Roman" w:hAnsi="Times New Roman" w:cs="Times New Roman"/>
          <w:sz w:val="24"/>
          <w:szCs w:val="24"/>
        </w:rPr>
        <w:t xml:space="preserve"> among the </w:t>
      </w:r>
      <w:r w:rsidRPr="0081276C">
        <w:rPr>
          <w:rFonts w:ascii="Times New Roman" w:hAnsi="Times New Roman" w:cs="Times New Roman"/>
          <w:sz w:val="24"/>
          <w:szCs w:val="24"/>
        </w:rPr>
        <w:lastRenderedPageBreak/>
        <w:t>most common craniofacial congenital anomalies and may involve the lip, alveolus, and/or palate, with implications for feeding, speech, hearing, dental development, psychosocial wellbeing, and long-term health care needs [2,3]. The worldwide prevalence of cleft palate, cleft lip, and cleft lip with palate has been estimated at 9.92 per 10,000 births in a systematic review and meta-analysis involving 57 studies and 17,907,569 individuals [4]. In Indonesia, the highest reported prevalence of CLP was described in the Capital Region of Jakarta, reaching 13.9 per 1,000 births compared with the national rate of 2.4 per 1,000 births [5]. Recent global burden evidence also indicates that orofacial clefts remain a relevant public health issue with unequal distribution across regions and socioeconomic settings [6].</w:t>
      </w:r>
    </w:p>
    <w:p w14:paraId="51C9659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The etiology of most nonsyndromic CLP is multifactorial and remains incompletely understood [7]. The preconception period and early pregnancy are critical windows for craniofacial morphogenesis, during which maternal nutrition, micronutrient availability, and one-carbon metabolism may influence embryonic development [8]. Folic acid supplementation around conception is widely recommended for the prevention of folate-sensitive congenital anomalies, and the World Health Organization recommends 400 micrograms of folic acid daily for women from the time they begin trying to conceive until 12 weeks of gestation [9].</w:t>
      </w:r>
    </w:p>
    <w:p w14:paraId="364C65D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Maternal socioeconomic status may also influence CLP risk through several pathways, including food security, maternal education, antenatal care access, micronutrient supplementation, household living conditions, and financial stress [8,10]. Communities with low socioeconomic status often face difficulty meeting basic needs such as nutritious food, healthy housing, sanitation, and access to adequate health services [10]. These conditions may increase vulnerability during pregnancy and disrupt fetal organogenesis, thereby contributing to congenital anomalies such as CLP [11].</w:t>
      </w:r>
    </w:p>
    <w:p w14:paraId="2BECDF13"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Although studies on maternal nutritional and socioeconomic factors related to CLP have been conducted in different countries, the findings remain heterogeneous. Therefore, this scoping review aimed to map evidence on maternal nutritional and socioeconomic determinants of CLP and to identify implications for maternal-child health, antenatal counselling, and congenital anomaly prevention.</w:t>
      </w:r>
    </w:p>
    <w:p w14:paraId="42829F0A" w14:textId="77777777" w:rsidR="00923334" w:rsidRDefault="00923334">
      <w:pPr>
        <w:spacing w:before="200"/>
        <w:rPr>
          <w:rFonts w:ascii="Times New Roman" w:hAnsi="Times New Roman" w:cs="Times New Roman"/>
          <w:b/>
          <w:sz w:val="24"/>
          <w:szCs w:val="24"/>
        </w:rPr>
      </w:pPr>
    </w:p>
    <w:p w14:paraId="3936A52F" w14:textId="3725DC56"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lastRenderedPageBreak/>
        <w:t>Methods</w:t>
      </w:r>
    </w:p>
    <w:p w14:paraId="006BC84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This study used a scoping review design guided by the Preferred Reporting Items for Systematic Reviews and Meta-Analyses extension for Scoping Reviews (PRISMA-ScR) to improve transparency in evidence mapping and reporting [12]. The scoping review approach was selected because the available evidence included different study designs, populations, exposures, and outcomes. The conduct and reporting of scoping reviews were also informed by methodological guidance for scoping review development, evidence charting, and synthesis [13].</w:t>
      </w:r>
    </w:p>
    <w:p w14:paraId="41EF1B3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The literature search was conducted in PubMed, ScienceDirect, Cochrane, and Google Scholar using combinations of terms related to maternal nutrition, nutritional status, socioeconomic status, economic status, cleft lip and palate, and orofacial cleft. Articles published from 2015 to 2025 and written in Indonesian or English were considered. The inclusion criteria were studies addressing maternal nutritional status and/or socioeconomic status in relation to CLP. The exclusion criteria were editorials, abstracts, letters to the editor, advertisements, case reports, comments, and tutorials. The eligibility criteria were organized using the PECO framework.</w:t>
      </w:r>
    </w:p>
    <w:p w14:paraId="0CF3FB81"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All records identified from the databases were screened for relevance to maternal nutritional status and/or socioeconomic status in relation to cleft lip and palate, based on the predefined eligibility criteria. Titles and abstracts were reviewed first, followed by eligibility assessment of potentially relevant articles. Studies that did not meet the inclusion criteria were excluded. The study-selection process is presented in Figure 1.</w:t>
      </w:r>
    </w:p>
    <w:p w14:paraId="07043FBC"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Data from the included studies were charted according to author, publication year, country, study design, main factor, and main finding. The extracted data were organized and narratively synthesized according to maternal nutritional determinants and maternal socioeconomic determinants related to cleft lip and palate.</w:t>
      </w:r>
    </w:p>
    <w:p w14:paraId="490DC7CB" w14:textId="17B187F5"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Formal critical appraisal of the included studies was not conducted because the purpose of this scoping review was to map the available evidence rather than to estimate pooled effects or determine intervention effectiveness. Meta-analysis was not performed because the included studies varied in design, populations, exposure definitions, and reported outcomes.</w:t>
      </w:r>
    </w:p>
    <w:p w14:paraId="0B7CF814" w14:textId="77777777" w:rsidR="0081276C" w:rsidRDefault="0081276C">
      <w:pPr>
        <w:rPr>
          <w:rFonts w:ascii="Times New Roman" w:hAnsi="Times New Roman" w:cs="Times New Roman"/>
          <w:b/>
          <w:sz w:val="24"/>
          <w:szCs w:val="24"/>
        </w:rPr>
      </w:pPr>
    </w:p>
    <w:p w14:paraId="4426DEB2" w14:textId="77777777" w:rsidR="00923334" w:rsidRDefault="00923334">
      <w:pPr>
        <w:rPr>
          <w:rFonts w:ascii="Times New Roman" w:hAnsi="Times New Roman" w:cs="Times New Roman"/>
          <w:b/>
          <w:sz w:val="24"/>
          <w:szCs w:val="24"/>
        </w:rPr>
      </w:pPr>
    </w:p>
    <w:p w14:paraId="30B68EF0" w14:textId="2A0E8E7C"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lastRenderedPageBreak/>
        <w:t>Table 1. Search keywords used in each database</w:t>
      </w:r>
    </w:p>
    <w:tbl>
      <w:tblPr>
        <w:tblStyle w:val="TableGrid"/>
        <w:tblW w:w="0" w:type="auto"/>
        <w:jc w:val="center"/>
        <w:tblLook w:val="04A0" w:firstRow="1" w:lastRow="0" w:firstColumn="1" w:lastColumn="0" w:noHBand="0" w:noVBand="1"/>
      </w:tblPr>
      <w:tblGrid>
        <w:gridCol w:w="4657"/>
        <w:gridCol w:w="4693"/>
      </w:tblGrid>
      <w:tr w:rsidR="007D6A3F" w:rsidRPr="0081276C" w14:paraId="55C65A11" w14:textId="77777777">
        <w:trPr>
          <w:jc w:val="center"/>
        </w:trPr>
        <w:tc>
          <w:tcPr>
            <w:tcW w:w="4968" w:type="dxa"/>
            <w:vAlign w:val="center"/>
          </w:tcPr>
          <w:p w14:paraId="66965F02"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Database</w:t>
            </w:r>
          </w:p>
        </w:tc>
        <w:tc>
          <w:tcPr>
            <w:tcW w:w="4968" w:type="dxa"/>
            <w:vAlign w:val="center"/>
          </w:tcPr>
          <w:p w14:paraId="31C7B70E"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Keyword</w:t>
            </w:r>
          </w:p>
        </w:tc>
      </w:tr>
      <w:tr w:rsidR="007D6A3F" w:rsidRPr="0081276C" w14:paraId="5546837F" w14:textId="77777777">
        <w:trPr>
          <w:jc w:val="center"/>
        </w:trPr>
        <w:tc>
          <w:tcPr>
            <w:tcW w:w="4968" w:type="dxa"/>
            <w:vAlign w:val="center"/>
          </w:tcPr>
          <w:p w14:paraId="357A310B"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PubMed</w:t>
            </w:r>
          </w:p>
        </w:tc>
        <w:tc>
          <w:tcPr>
            <w:tcW w:w="4968" w:type="dxa"/>
            <w:vAlign w:val="center"/>
          </w:tcPr>
          <w:p w14:paraId="2BB837EF"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(((((((((((Maternal nutrition[Text Word]) OR (Maternal nutrition[MeSH Terms])) OR (Nutritional status[Text Word])) OR (Nutritional status[MeSH Terms])) AND (Economic Status[Text Word])) OR (Economic Status[MeSH Terms])) OR (Socioeconomic status[Text Word])) OR (Socioeconomic status[MeSH Terms])) AND (Cleft Lip[Text Word] AND Palate[Text Word])) OR (Cleft Lip and Palate[MeSH Terms])) OR (Orofacial cleft[Text Word])) OR (Orofacial cleft[MeSH Terms])</w:t>
            </w:r>
          </w:p>
        </w:tc>
      </w:tr>
      <w:tr w:rsidR="007D6A3F" w:rsidRPr="0081276C" w14:paraId="552A6B75" w14:textId="77777777">
        <w:trPr>
          <w:jc w:val="center"/>
        </w:trPr>
        <w:tc>
          <w:tcPr>
            <w:tcW w:w="4968" w:type="dxa"/>
            <w:vAlign w:val="center"/>
          </w:tcPr>
          <w:p w14:paraId="0D2F776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Cochrane</w:t>
            </w:r>
          </w:p>
        </w:tc>
        <w:tc>
          <w:tcPr>
            <w:tcW w:w="4968" w:type="dxa"/>
            <w:vAlign w:val="center"/>
          </w:tcPr>
          <w:p w14:paraId="71048335"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“Maternal nutrition” OR “Nutritional Status” AND “Economic Status” OR “Socioeconomic Status” AND “Cleft Lip and Palate” OR “Orofacial cleft”</w:t>
            </w:r>
          </w:p>
        </w:tc>
      </w:tr>
      <w:tr w:rsidR="007D6A3F" w:rsidRPr="0081276C" w14:paraId="32AF0F6A" w14:textId="77777777">
        <w:trPr>
          <w:jc w:val="center"/>
        </w:trPr>
        <w:tc>
          <w:tcPr>
            <w:tcW w:w="4968" w:type="dxa"/>
            <w:vAlign w:val="center"/>
          </w:tcPr>
          <w:p w14:paraId="57695439"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ScienceDirect</w:t>
            </w:r>
          </w:p>
        </w:tc>
        <w:tc>
          <w:tcPr>
            <w:tcW w:w="4968" w:type="dxa"/>
            <w:vAlign w:val="center"/>
          </w:tcPr>
          <w:p w14:paraId="7ED0FE0C"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“Maternal nutrition” OR “Nutritional Status” AND “Economic Status” OR “Socioeconomic Status” AND “Cleft Lip and Palate” OR “Orofacial cleft”</w:t>
            </w:r>
          </w:p>
        </w:tc>
      </w:tr>
      <w:tr w:rsidR="007D6A3F" w:rsidRPr="0081276C" w14:paraId="0A8A59CB" w14:textId="77777777">
        <w:trPr>
          <w:jc w:val="center"/>
        </w:trPr>
        <w:tc>
          <w:tcPr>
            <w:tcW w:w="4968" w:type="dxa"/>
            <w:vAlign w:val="center"/>
          </w:tcPr>
          <w:p w14:paraId="00EF357F"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Google Scholar</w:t>
            </w:r>
          </w:p>
        </w:tc>
        <w:tc>
          <w:tcPr>
            <w:tcW w:w="4968" w:type="dxa"/>
            <w:vAlign w:val="center"/>
          </w:tcPr>
          <w:p w14:paraId="73E3F065"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“Maternal nutrition” OR “Nutritional Status” AND “Economic Status” OR “Socioeconomic Status” AND “Cleft Lip and Palate” OR “Orofacial cleft”</w:t>
            </w:r>
          </w:p>
        </w:tc>
      </w:tr>
    </w:tbl>
    <w:p w14:paraId="78A36C93" w14:textId="77777777" w:rsidR="007D6A3F" w:rsidRPr="0081276C" w:rsidRDefault="00000000">
      <w:pPr>
        <w:spacing w:before="160"/>
        <w:rPr>
          <w:rFonts w:ascii="Times New Roman" w:hAnsi="Times New Roman" w:cs="Times New Roman"/>
          <w:sz w:val="24"/>
          <w:szCs w:val="24"/>
        </w:rPr>
      </w:pPr>
      <w:r w:rsidRPr="0081276C">
        <w:rPr>
          <w:rFonts w:ascii="Times New Roman" w:hAnsi="Times New Roman" w:cs="Times New Roman"/>
          <w:b/>
          <w:sz w:val="24"/>
          <w:szCs w:val="24"/>
        </w:rPr>
        <w:t>Table 2. PECO framework</w:t>
      </w:r>
    </w:p>
    <w:tbl>
      <w:tblPr>
        <w:tblStyle w:val="TableGrid"/>
        <w:tblW w:w="0" w:type="auto"/>
        <w:jc w:val="center"/>
        <w:tblLook w:val="04A0" w:firstRow="1" w:lastRow="0" w:firstColumn="1" w:lastColumn="0" w:noHBand="0" w:noVBand="1"/>
      </w:tblPr>
      <w:tblGrid>
        <w:gridCol w:w="4664"/>
        <w:gridCol w:w="4686"/>
      </w:tblGrid>
      <w:tr w:rsidR="007D6A3F" w:rsidRPr="0081276C" w14:paraId="0ABE1409" w14:textId="77777777">
        <w:trPr>
          <w:jc w:val="center"/>
        </w:trPr>
        <w:tc>
          <w:tcPr>
            <w:tcW w:w="4968" w:type="dxa"/>
            <w:vAlign w:val="center"/>
          </w:tcPr>
          <w:p w14:paraId="30894D92"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PECO component</w:t>
            </w:r>
          </w:p>
        </w:tc>
        <w:tc>
          <w:tcPr>
            <w:tcW w:w="4968" w:type="dxa"/>
            <w:vAlign w:val="center"/>
          </w:tcPr>
          <w:p w14:paraId="1E71B1C8"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Description</w:t>
            </w:r>
          </w:p>
        </w:tc>
      </w:tr>
      <w:tr w:rsidR="007D6A3F" w:rsidRPr="0081276C" w14:paraId="05902210" w14:textId="77777777">
        <w:trPr>
          <w:jc w:val="center"/>
        </w:trPr>
        <w:tc>
          <w:tcPr>
            <w:tcW w:w="4968" w:type="dxa"/>
            <w:vAlign w:val="center"/>
          </w:tcPr>
          <w:p w14:paraId="39135099"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Population</w:t>
            </w:r>
          </w:p>
        </w:tc>
        <w:tc>
          <w:tcPr>
            <w:tcW w:w="4968" w:type="dxa"/>
            <w:vAlign w:val="center"/>
          </w:tcPr>
          <w:p w14:paraId="3507C15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Mothers of children with cleft lip and/or palate</w:t>
            </w:r>
          </w:p>
        </w:tc>
      </w:tr>
      <w:tr w:rsidR="007D6A3F" w:rsidRPr="0081276C" w14:paraId="338F7404" w14:textId="77777777">
        <w:trPr>
          <w:jc w:val="center"/>
        </w:trPr>
        <w:tc>
          <w:tcPr>
            <w:tcW w:w="4968" w:type="dxa"/>
            <w:vAlign w:val="center"/>
          </w:tcPr>
          <w:p w14:paraId="057766EE"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Exposure</w:t>
            </w:r>
          </w:p>
        </w:tc>
        <w:tc>
          <w:tcPr>
            <w:tcW w:w="4968" w:type="dxa"/>
            <w:vAlign w:val="center"/>
          </w:tcPr>
          <w:p w14:paraId="50B464E5"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Maternal nutritional status and socioeconomic status</w:t>
            </w:r>
          </w:p>
        </w:tc>
      </w:tr>
      <w:tr w:rsidR="007D6A3F" w:rsidRPr="0081276C" w14:paraId="21FEE8F4" w14:textId="77777777">
        <w:trPr>
          <w:jc w:val="center"/>
        </w:trPr>
        <w:tc>
          <w:tcPr>
            <w:tcW w:w="4968" w:type="dxa"/>
            <w:vAlign w:val="center"/>
          </w:tcPr>
          <w:p w14:paraId="21629A97"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Comparison</w:t>
            </w:r>
          </w:p>
        </w:tc>
        <w:tc>
          <w:tcPr>
            <w:tcW w:w="4968" w:type="dxa"/>
            <w:vAlign w:val="center"/>
          </w:tcPr>
          <w:p w14:paraId="5ED1643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None or comparison groups as reported in the included studies</w:t>
            </w:r>
          </w:p>
        </w:tc>
      </w:tr>
      <w:tr w:rsidR="007D6A3F" w:rsidRPr="0081276C" w14:paraId="7E4A9951" w14:textId="77777777">
        <w:trPr>
          <w:jc w:val="center"/>
        </w:trPr>
        <w:tc>
          <w:tcPr>
            <w:tcW w:w="4968" w:type="dxa"/>
            <w:vAlign w:val="center"/>
          </w:tcPr>
          <w:p w14:paraId="4B3B90F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Outcome</w:t>
            </w:r>
          </w:p>
        </w:tc>
        <w:tc>
          <w:tcPr>
            <w:tcW w:w="4968" w:type="dxa"/>
            <w:vAlign w:val="center"/>
          </w:tcPr>
          <w:p w14:paraId="4736042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Determinants associated with cleft lip and/or palate</w:t>
            </w:r>
          </w:p>
        </w:tc>
      </w:tr>
    </w:tbl>
    <w:p w14:paraId="0EE8C55F" w14:textId="77777777" w:rsidR="007D6A3F" w:rsidRPr="0081276C" w:rsidRDefault="00000000">
      <w:pPr>
        <w:keepNext/>
        <w:pageBreakBefore/>
        <w:spacing w:before="160" w:after="80"/>
        <w:jc w:val="center"/>
        <w:rPr>
          <w:rFonts w:ascii="Times New Roman" w:hAnsi="Times New Roman" w:cs="Times New Roman"/>
          <w:sz w:val="24"/>
          <w:szCs w:val="24"/>
        </w:rPr>
      </w:pPr>
      <w:r w:rsidRPr="0081276C">
        <w:rPr>
          <w:rFonts w:ascii="Times New Roman" w:hAnsi="Times New Roman" w:cs="Times New Roman"/>
          <w:b/>
          <w:sz w:val="24"/>
          <w:szCs w:val="24"/>
        </w:rPr>
        <w:lastRenderedPageBreak/>
        <w:t>Figure 1. Flow diagram of study selection.</w:t>
      </w:r>
    </w:p>
    <w:p w14:paraId="12E87441" w14:textId="77777777" w:rsidR="007D6A3F" w:rsidRPr="0081276C" w:rsidRDefault="00000000">
      <w:pPr>
        <w:spacing w:after="160"/>
        <w:jc w:val="center"/>
        <w:rPr>
          <w:rFonts w:ascii="Times New Roman" w:hAnsi="Times New Roman" w:cs="Times New Roman"/>
          <w:sz w:val="24"/>
          <w:szCs w:val="24"/>
        </w:rPr>
      </w:pPr>
      <w:r w:rsidRPr="0081276C">
        <w:rPr>
          <w:rFonts w:ascii="Times New Roman" w:hAnsi="Times New Roman" w:cs="Times New Roman"/>
          <w:noProof/>
          <w:sz w:val="24"/>
          <w:szCs w:val="24"/>
        </w:rPr>
        <w:drawing>
          <wp:inline distT="0" distB="0" distL="0" distR="0" wp14:anchorId="02448BFB" wp14:editId="1ABABF7A">
            <wp:extent cx="5669280" cy="5587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ScR_Flow_Diagram_Cropped.png"/>
                    <pic:cNvPicPr/>
                  </pic:nvPicPr>
                  <pic:blipFill>
                    <a:blip r:embed="rId8"/>
                    <a:stretch>
                      <a:fillRect/>
                    </a:stretch>
                  </pic:blipFill>
                  <pic:spPr>
                    <a:xfrm>
                      <a:off x="0" y="0"/>
                      <a:ext cx="5669280" cy="5587117"/>
                    </a:xfrm>
                    <a:prstGeom prst="rect">
                      <a:avLst/>
                    </a:prstGeom>
                  </pic:spPr>
                </pic:pic>
              </a:graphicData>
            </a:graphic>
          </wp:inline>
        </w:drawing>
      </w:r>
    </w:p>
    <w:p w14:paraId="7AC09190" w14:textId="77777777" w:rsidR="007D6A3F" w:rsidRPr="0081276C" w:rsidRDefault="00000000">
      <w:pPr>
        <w:spacing w:after="160" w:line="240" w:lineRule="auto"/>
        <w:jc w:val="center"/>
        <w:rPr>
          <w:rFonts w:ascii="Times New Roman" w:hAnsi="Times New Roman" w:cs="Times New Roman"/>
          <w:sz w:val="24"/>
          <w:szCs w:val="24"/>
        </w:rPr>
      </w:pPr>
      <w:r w:rsidRPr="0081276C">
        <w:rPr>
          <w:rFonts w:ascii="Times New Roman" w:hAnsi="Times New Roman" w:cs="Times New Roman"/>
          <w:i/>
          <w:sz w:val="24"/>
          <w:szCs w:val="24"/>
        </w:rPr>
        <w:t>Note: Flow diagram adapted for the scoping review study-selection process.</w:t>
      </w:r>
    </w:p>
    <w:p w14:paraId="489D4B1B"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Results</w:t>
      </w:r>
    </w:p>
    <w:p w14:paraId="55572625"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Study Selection and Characteristics</w:t>
      </w:r>
    </w:p>
    <w:p w14:paraId="0B5F436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A total of 3,437 records were identified, and 15 articles met the inclusion criteria. The included studies used different designs, including retrospective case-control studies, cross-sectional studies, cohort studies, systematic reviews, meta-analyses, and review articles. The evidence was </w:t>
      </w:r>
      <w:r w:rsidRPr="0081276C">
        <w:rPr>
          <w:rFonts w:ascii="Times New Roman" w:hAnsi="Times New Roman" w:cs="Times New Roman"/>
          <w:sz w:val="24"/>
          <w:szCs w:val="24"/>
        </w:rPr>
        <w:lastRenderedPageBreak/>
        <w:t>grouped into maternal nutritional determinants, socioeconomic determinants, and overlapping pathways linking nutrition, poverty, antenatal care, and maternal health behavior.</w:t>
      </w:r>
    </w:p>
    <w:p w14:paraId="60A9270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Table 3. Characteristics and main findings of included studies</w:t>
      </w:r>
    </w:p>
    <w:tbl>
      <w:tblPr>
        <w:tblStyle w:val="TableGrid"/>
        <w:tblW w:w="0" w:type="auto"/>
        <w:jc w:val="center"/>
        <w:tblLook w:val="04A0" w:firstRow="1" w:lastRow="0" w:firstColumn="1" w:lastColumn="0" w:noHBand="0" w:noVBand="1"/>
      </w:tblPr>
      <w:tblGrid>
        <w:gridCol w:w="1862"/>
        <w:gridCol w:w="1746"/>
        <w:gridCol w:w="1857"/>
        <w:gridCol w:w="1951"/>
        <w:gridCol w:w="1934"/>
      </w:tblGrid>
      <w:tr w:rsidR="007D6A3F" w:rsidRPr="0081276C" w14:paraId="5FBCD4C7" w14:textId="77777777">
        <w:trPr>
          <w:jc w:val="center"/>
        </w:trPr>
        <w:tc>
          <w:tcPr>
            <w:tcW w:w="1987" w:type="dxa"/>
            <w:vAlign w:val="center"/>
          </w:tcPr>
          <w:p w14:paraId="544AE6E6"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Author/year</w:t>
            </w:r>
          </w:p>
        </w:tc>
        <w:tc>
          <w:tcPr>
            <w:tcW w:w="1987" w:type="dxa"/>
            <w:vAlign w:val="center"/>
          </w:tcPr>
          <w:p w14:paraId="5888D79A"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Country</w:t>
            </w:r>
          </w:p>
        </w:tc>
        <w:tc>
          <w:tcPr>
            <w:tcW w:w="1987" w:type="dxa"/>
            <w:vAlign w:val="center"/>
          </w:tcPr>
          <w:p w14:paraId="14C404D1"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Design</w:t>
            </w:r>
          </w:p>
        </w:tc>
        <w:tc>
          <w:tcPr>
            <w:tcW w:w="1987" w:type="dxa"/>
            <w:vAlign w:val="center"/>
          </w:tcPr>
          <w:p w14:paraId="3EF97F8C"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Main factor</w:t>
            </w:r>
          </w:p>
        </w:tc>
        <w:tc>
          <w:tcPr>
            <w:tcW w:w="1987" w:type="dxa"/>
            <w:vAlign w:val="center"/>
          </w:tcPr>
          <w:p w14:paraId="049EEB7D" w14:textId="77777777" w:rsidR="007D6A3F" w:rsidRPr="0081276C" w:rsidRDefault="00000000" w:rsidP="0081276C">
            <w:pPr>
              <w:spacing w:after="0" w:line="240" w:lineRule="auto"/>
              <w:jc w:val="center"/>
              <w:rPr>
                <w:rFonts w:ascii="Times New Roman" w:hAnsi="Times New Roman" w:cs="Times New Roman"/>
                <w:sz w:val="24"/>
                <w:szCs w:val="24"/>
              </w:rPr>
            </w:pPr>
            <w:r w:rsidRPr="0081276C">
              <w:rPr>
                <w:rFonts w:ascii="Times New Roman" w:hAnsi="Times New Roman" w:cs="Times New Roman"/>
                <w:b/>
                <w:sz w:val="24"/>
                <w:szCs w:val="24"/>
              </w:rPr>
              <w:t>Main finding</w:t>
            </w:r>
          </w:p>
        </w:tc>
      </w:tr>
      <w:tr w:rsidR="007D6A3F" w:rsidRPr="0081276C" w14:paraId="02EFA1A1" w14:textId="77777777">
        <w:trPr>
          <w:jc w:val="center"/>
        </w:trPr>
        <w:tc>
          <w:tcPr>
            <w:tcW w:w="1987" w:type="dxa"/>
            <w:vAlign w:val="center"/>
          </w:tcPr>
          <w:p w14:paraId="6A3BC33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Xu et al., 2018</w:t>
            </w:r>
          </w:p>
        </w:tc>
        <w:tc>
          <w:tcPr>
            <w:tcW w:w="1987" w:type="dxa"/>
            <w:vAlign w:val="center"/>
          </w:tcPr>
          <w:p w14:paraId="11BDD90C"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China</w:t>
            </w:r>
          </w:p>
        </w:tc>
        <w:tc>
          <w:tcPr>
            <w:tcW w:w="1987" w:type="dxa"/>
            <w:vAlign w:val="center"/>
          </w:tcPr>
          <w:p w14:paraId="3B3C6BB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17FC1FF9"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Folic acid and environmental factors</w:t>
            </w:r>
          </w:p>
        </w:tc>
        <w:tc>
          <w:tcPr>
            <w:tcW w:w="1987" w:type="dxa"/>
            <w:vAlign w:val="center"/>
          </w:tcPr>
          <w:p w14:paraId="3E634F8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Adequate folic acid intake was more common in controls than in CL/P cases and was associated with lower risk (OR = 0.503; p = 0.005).</w:t>
            </w:r>
          </w:p>
        </w:tc>
      </w:tr>
      <w:tr w:rsidR="007D6A3F" w:rsidRPr="0081276C" w14:paraId="06079C7F" w14:textId="77777777">
        <w:trPr>
          <w:jc w:val="center"/>
        </w:trPr>
        <w:tc>
          <w:tcPr>
            <w:tcW w:w="1987" w:type="dxa"/>
            <w:vAlign w:val="center"/>
          </w:tcPr>
          <w:p w14:paraId="3E1842F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Mogess and Mihretie, 2024</w:t>
            </w:r>
          </w:p>
        </w:tc>
        <w:tc>
          <w:tcPr>
            <w:tcW w:w="1987" w:type="dxa"/>
            <w:vAlign w:val="center"/>
          </w:tcPr>
          <w:p w14:paraId="43CD5D97"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Ethiopia</w:t>
            </w:r>
          </w:p>
        </w:tc>
        <w:tc>
          <w:tcPr>
            <w:tcW w:w="1987" w:type="dxa"/>
            <w:vAlign w:val="center"/>
          </w:tcPr>
          <w:p w14:paraId="388C3742"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Systematic review and meta-analysis</w:t>
            </w:r>
          </w:p>
        </w:tc>
        <w:tc>
          <w:tcPr>
            <w:tcW w:w="1987" w:type="dxa"/>
            <w:vAlign w:val="center"/>
          </w:tcPr>
          <w:p w14:paraId="7630AAC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Congenital anomalies and maternal factors</w:t>
            </w:r>
          </w:p>
        </w:tc>
        <w:tc>
          <w:tcPr>
            <w:tcW w:w="1987" w:type="dxa"/>
            <w:vAlign w:val="center"/>
          </w:tcPr>
          <w:p w14:paraId="441573C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Congenital anomaly prevalence was 2%; orofacial clefts represented 19% of anomalies. Risk factors included inadequate folic acid supplementation and pregnancy-related complications.</w:t>
            </w:r>
          </w:p>
        </w:tc>
      </w:tr>
      <w:tr w:rsidR="007D6A3F" w:rsidRPr="0081276C" w14:paraId="20CD8C1B" w14:textId="77777777">
        <w:trPr>
          <w:jc w:val="center"/>
        </w:trPr>
        <w:tc>
          <w:tcPr>
            <w:tcW w:w="1987" w:type="dxa"/>
            <w:vAlign w:val="center"/>
          </w:tcPr>
          <w:p w14:paraId="6D0B69A2"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Hao et al., 2015</w:t>
            </w:r>
          </w:p>
        </w:tc>
        <w:tc>
          <w:tcPr>
            <w:tcW w:w="1987" w:type="dxa"/>
            <w:vAlign w:val="center"/>
          </w:tcPr>
          <w:p w14:paraId="69E06037"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China</w:t>
            </w:r>
          </w:p>
        </w:tc>
        <w:tc>
          <w:tcPr>
            <w:tcW w:w="1987" w:type="dxa"/>
            <w:vAlign w:val="center"/>
          </w:tcPr>
          <w:p w14:paraId="5FD7FB4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7BCF3F02"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Folic acid, supplementation, and income</w:t>
            </w:r>
          </w:p>
        </w:tc>
        <w:tc>
          <w:tcPr>
            <w:tcW w:w="1987" w:type="dxa"/>
            <w:vAlign w:val="center"/>
          </w:tcPr>
          <w:p w14:paraId="58B131B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 xml:space="preserve">Folic acid intake was protective for CL/P (OR = 0.43; p = 0.025). </w:t>
            </w:r>
            <w:proofErr w:type="gramStart"/>
            <w:r w:rsidRPr="0081276C">
              <w:rPr>
                <w:rFonts w:ascii="Times New Roman" w:hAnsi="Times New Roman" w:cs="Times New Roman"/>
                <w:sz w:val="24"/>
                <w:szCs w:val="24"/>
              </w:rPr>
              <w:t>Low income</w:t>
            </w:r>
            <w:proofErr w:type="gramEnd"/>
            <w:r w:rsidRPr="0081276C">
              <w:rPr>
                <w:rFonts w:ascii="Times New Roman" w:hAnsi="Times New Roman" w:cs="Times New Roman"/>
                <w:sz w:val="24"/>
                <w:szCs w:val="24"/>
              </w:rPr>
              <w:t xml:space="preserve"> increased risk, while higher income showed protective associations (p &lt; 0.001).</w:t>
            </w:r>
          </w:p>
        </w:tc>
      </w:tr>
      <w:tr w:rsidR="007D6A3F" w:rsidRPr="0081276C" w14:paraId="67D0843C" w14:textId="77777777">
        <w:trPr>
          <w:jc w:val="center"/>
        </w:trPr>
        <w:tc>
          <w:tcPr>
            <w:tcW w:w="1987" w:type="dxa"/>
            <w:vAlign w:val="center"/>
          </w:tcPr>
          <w:p w14:paraId="0884B1FE"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Bezerra et al., 2015</w:t>
            </w:r>
          </w:p>
        </w:tc>
        <w:tc>
          <w:tcPr>
            <w:tcW w:w="1987" w:type="dxa"/>
            <w:vAlign w:val="center"/>
          </w:tcPr>
          <w:p w14:paraId="65AD0A0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Brazil</w:t>
            </w:r>
          </w:p>
        </w:tc>
        <w:tc>
          <w:tcPr>
            <w:tcW w:w="1987" w:type="dxa"/>
            <w:vAlign w:val="center"/>
          </w:tcPr>
          <w:p w14:paraId="3A65B31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6A933976"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Folic acid intake</w:t>
            </w:r>
          </w:p>
        </w:tc>
        <w:tc>
          <w:tcPr>
            <w:tcW w:w="1987" w:type="dxa"/>
            <w:vAlign w:val="center"/>
          </w:tcPr>
          <w:p w14:paraId="2D105D1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 xml:space="preserve">Insufficient folic acid intake was associated with higher risk of nonsyndromic </w:t>
            </w:r>
            <w:r w:rsidRPr="0081276C">
              <w:rPr>
                <w:rFonts w:ascii="Times New Roman" w:hAnsi="Times New Roman" w:cs="Times New Roman"/>
                <w:sz w:val="24"/>
                <w:szCs w:val="24"/>
              </w:rPr>
              <w:lastRenderedPageBreak/>
              <w:t>CL/P (OR = 2.18; p = 0.003).</w:t>
            </w:r>
          </w:p>
        </w:tc>
      </w:tr>
      <w:tr w:rsidR="007D6A3F" w:rsidRPr="0081276C" w14:paraId="41781F09" w14:textId="77777777">
        <w:trPr>
          <w:jc w:val="center"/>
        </w:trPr>
        <w:tc>
          <w:tcPr>
            <w:tcW w:w="1987" w:type="dxa"/>
            <w:vAlign w:val="center"/>
          </w:tcPr>
          <w:p w14:paraId="456DF12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lastRenderedPageBreak/>
              <w:t>Munger et al., 2021</w:t>
            </w:r>
          </w:p>
        </w:tc>
        <w:tc>
          <w:tcPr>
            <w:tcW w:w="1987" w:type="dxa"/>
            <w:vAlign w:val="center"/>
          </w:tcPr>
          <w:p w14:paraId="25CA1D19"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India</w:t>
            </w:r>
          </w:p>
        </w:tc>
        <w:tc>
          <w:tcPr>
            <w:tcW w:w="1987" w:type="dxa"/>
            <w:vAlign w:val="center"/>
          </w:tcPr>
          <w:p w14:paraId="55CB0213"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681B835E"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Vitamin B12 and folic acid</w:t>
            </w:r>
          </w:p>
        </w:tc>
        <w:tc>
          <w:tcPr>
            <w:tcW w:w="1987" w:type="dxa"/>
            <w:vAlign w:val="center"/>
          </w:tcPr>
          <w:p w14:paraId="028B9FA5"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Insufficient folic acid and vitamin B12 intake were associated with higher CL/P risk, with odds ratios of 2.87 and 2.48, respectively.</w:t>
            </w:r>
          </w:p>
        </w:tc>
      </w:tr>
      <w:tr w:rsidR="007D6A3F" w:rsidRPr="0081276C" w14:paraId="0B9794F6" w14:textId="77777777">
        <w:trPr>
          <w:jc w:val="center"/>
        </w:trPr>
        <w:tc>
          <w:tcPr>
            <w:tcW w:w="1987" w:type="dxa"/>
            <w:vAlign w:val="center"/>
          </w:tcPr>
          <w:p w14:paraId="384B688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Jahanbin et al., 2018</w:t>
            </w:r>
          </w:p>
        </w:tc>
        <w:tc>
          <w:tcPr>
            <w:tcW w:w="1987" w:type="dxa"/>
            <w:vAlign w:val="center"/>
          </w:tcPr>
          <w:p w14:paraId="3FF6B04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India</w:t>
            </w:r>
          </w:p>
        </w:tc>
        <w:tc>
          <w:tcPr>
            <w:tcW w:w="1987" w:type="dxa"/>
            <w:vAlign w:val="center"/>
          </w:tcPr>
          <w:p w14:paraId="75D48EF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Meta-analysis</w:t>
            </w:r>
          </w:p>
        </w:tc>
        <w:tc>
          <w:tcPr>
            <w:tcW w:w="1987" w:type="dxa"/>
            <w:vAlign w:val="center"/>
          </w:tcPr>
          <w:p w14:paraId="767CB1E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Folic acid supplementation</w:t>
            </w:r>
          </w:p>
        </w:tc>
        <w:tc>
          <w:tcPr>
            <w:tcW w:w="1987" w:type="dxa"/>
            <w:vAlign w:val="center"/>
          </w:tcPr>
          <w:p w14:paraId="28C0E82B"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Preconception folic acid supplementation and multivitamin use were associated with lower risk of CL/P and cleft palate.</w:t>
            </w:r>
          </w:p>
        </w:tc>
      </w:tr>
      <w:tr w:rsidR="007D6A3F" w:rsidRPr="0081276C" w14:paraId="375D51DC" w14:textId="77777777">
        <w:trPr>
          <w:jc w:val="center"/>
        </w:trPr>
        <w:tc>
          <w:tcPr>
            <w:tcW w:w="1987" w:type="dxa"/>
            <w:vAlign w:val="center"/>
          </w:tcPr>
          <w:p w14:paraId="513A64F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Wilson and O’Connor, 2021</w:t>
            </w:r>
          </w:p>
        </w:tc>
        <w:tc>
          <w:tcPr>
            <w:tcW w:w="1987" w:type="dxa"/>
            <w:vAlign w:val="center"/>
          </w:tcPr>
          <w:p w14:paraId="483FB856"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Canada</w:t>
            </w:r>
          </w:p>
        </w:tc>
        <w:tc>
          <w:tcPr>
            <w:tcW w:w="1987" w:type="dxa"/>
            <w:vAlign w:val="center"/>
          </w:tcPr>
          <w:p w14:paraId="4F8F90F6"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Review article</w:t>
            </w:r>
          </w:p>
        </w:tc>
        <w:tc>
          <w:tcPr>
            <w:tcW w:w="1987" w:type="dxa"/>
            <w:vAlign w:val="center"/>
          </w:tcPr>
          <w:p w14:paraId="51B8FF6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Folic acid and multivitamins</w:t>
            </w:r>
          </w:p>
        </w:tc>
        <w:tc>
          <w:tcPr>
            <w:tcW w:w="1987" w:type="dxa"/>
            <w:vAlign w:val="center"/>
          </w:tcPr>
          <w:p w14:paraId="412B5B6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Deficiencies in one-carbon cofactors such as B9, B12, B6, choline, and betaine may disrupt fetal development and increase folate-sensitive birth defect risk.</w:t>
            </w:r>
          </w:p>
        </w:tc>
      </w:tr>
      <w:tr w:rsidR="007D6A3F" w:rsidRPr="0081276C" w14:paraId="782CA9C7" w14:textId="77777777">
        <w:trPr>
          <w:jc w:val="center"/>
        </w:trPr>
        <w:tc>
          <w:tcPr>
            <w:tcW w:w="1987" w:type="dxa"/>
            <w:vAlign w:val="center"/>
          </w:tcPr>
          <w:p w14:paraId="121A328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Rocha et al., 2024</w:t>
            </w:r>
          </w:p>
        </w:tc>
        <w:tc>
          <w:tcPr>
            <w:tcW w:w="1987" w:type="dxa"/>
            <w:vAlign w:val="center"/>
          </w:tcPr>
          <w:p w14:paraId="1212059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Brazil</w:t>
            </w:r>
          </w:p>
        </w:tc>
        <w:tc>
          <w:tcPr>
            <w:tcW w:w="1987" w:type="dxa"/>
            <w:vAlign w:val="center"/>
          </w:tcPr>
          <w:p w14:paraId="586D5EC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76DABC5B"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Vitamin B6, B9, and B12</w:t>
            </w:r>
          </w:p>
        </w:tc>
        <w:tc>
          <w:tcPr>
            <w:tcW w:w="1987" w:type="dxa"/>
            <w:vAlign w:val="center"/>
          </w:tcPr>
          <w:p w14:paraId="4078DFC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Adequate intake of vitamin B6, folic acid, and vitamin B12 was not significantly associated with CL/P risk in the studied Amazonian population.</w:t>
            </w:r>
          </w:p>
        </w:tc>
      </w:tr>
      <w:tr w:rsidR="007D6A3F" w:rsidRPr="0081276C" w14:paraId="2DC6568F" w14:textId="77777777">
        <w:trPr>
          <w:jc w:val="center"/>
        </w:trPr>
        <w:tc>
          <w:tcPr>
            <w:tcW w:w="1987" w:type="dxa"/>
            <w:vAlign w:val="center"/>
          </w:tcPr>
          <w:p w14:paraId="647A401C"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Astriningrum et al., 2017</w:t>
            </w:r>
          </w:p>
        </w:tc>
        <w:tc>
          <w:tcPr>
            <w:tcW w:w="1987" w:type="dxa"/>
            <w:vAlign w:val="center"/>
          </w:tcPr>
          <w:p w14:paraId="40FA6616"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Indonesia</w:t>
            </w:r>
          </w:p>
        </w:tc>
        <w:tc>
          <w:tcPr>
            <w:tcW w:w="1987" w:type="dxa"/>
            <w:vAlign w:val="center"/>
          </w:tcPr>
          <w:p w14:paraId="612B33C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Cross-sectional</w:t>
            </w:r>
          </w:p>
        </w:tc>
        <w:tc>
          <w:tcPr>
            <w:tcW w:w="1987" w:type="dxa"/>
            <w:vAlign w:val="center"/>
          </w:tcPr>
          <w:p w14:paraId="516D642E"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Micronutrient intake in pregnancy</w:t>
            </w:r>
          </w:p>
        </w:tc>
        <w:tc>
          <w:tcPr>
            <w:tcW w:w="1987" w:type="dxa"/>
            <w:vAlign w:val="center"/>
          </w:tcPr>
          <w:p w14:paraId="6CA9163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 xml:space="preserve">Low-income pregnant women had high levels of folic acid deficiency (91.7%) and </w:t>
            </w:r>
            <w:r w:rsidRPr="0081276C">
              <w:rPr>
                <w:rFonts w:ascii="Times New Roman" w:hAnsi="Times New Roman" w:cs="Times New Roman"/>
                <w:sz w:val="24"/>
                <w:szCs w:val="24"/>
              </w:rPr>
              <w:lastRenderedPageBreak/>
              <w:t>vitamin B12 deficiency (9.5%).</w:t>
            </w:r>
          </w:p>
        </w:tc>
      </w:tr>
      <w:tr w:rsidR="007D6A3F" w:rsidRPr="0081276C" w14:paraId="726E921C" w14:textId="77777777">
        <w:trPr>
          <w:jc w:val="center"/>
        </w:trPr>
        <w:tc>
          <w:tcPr>
            <w:tcW w:w="1987" w:type="dxa"/>
            <w:vAlign w:val="center"/>
          </w:tcPr>
          <w:p w14:paraId="2CF37B4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lastRenderedPageBreak/>
              <w:t>Kruppa et al., 2022</w:t>
            </w:r>
          </w:p>
        </w:tc>
        <w:tc>
          <w:tcPr>
            <w:tcW w:w="1987" w:type="dxa"/>
            <w:vAlign w:val="center"/>
          </w:tcPr>
          <w:p w14:paraId="13CDFA2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Lower-middle-income countries</w:t>
            </w:r>
          </w:p>
        </w:tc>
        <w:tc>
          <w:tcPr>
            <w:tcW w:w="1987" w:type="dxa"/>
            <w:vAlign w:val="center"/>
          </w:tcPr>
          <w:p w14:paraId="6002D1C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Systematic review</w:t>
            </w:r>
          </w:p>
        </w:tc>
        <w:tc>
          <w:tcPr>
            <w:tcW w:w="1987" w:type="dxa"/>
            <w:vAlign w:val="center"/>
          </w:tcPr>
          <w:p w14:paraId="6736CC2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CL/P risk factors in LMICs</w:t>
            </w:r>
          </w:p>
        </w:tc>
        <w:tc>
          <w:tcPr>
            <w:tcW w:w="1987" w:type="dxa"/>
            <w:vAlign w:val="center"/>
          </w:tcPr>
          <w:p w14:paraId="3C4306F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Low socioeconomic status, parental age, and family history were major risk factors, while preconception folic acid intake was protective.</w:t>
            </w:r>
          </w:p>
        </w:tc>
      </w:tr>
      <w:tr w:rsidR="007D6A3F" w:rsidRPr="0081276C" w14:paraId="1927E680" w14:textId="77777777">
        <w:trPr>
          <w:jc w:val="center"/>
        </w:trPr>
        <w:tc>
          <w:tcPr>
            <w:tcW w:w="1987" w:type="dxa"/>
            <w:vAlign w:val="center"/>
          </w:tcPr>
          <w:p w14:paraId="16E8235A"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Vu et al., 2022</w:t>
            </w:r>
          </w:p>
        </w:tc>
        <w:tc>
          <w:tcPr>
            <w:tcW w:w="1987" w:type="dxa"/>
            <w:vAlign w:val="center"/>
          </w:tcPr>
          <w:p w14:paraId="62A0EBD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United States</w:t>
            </w:r>
          </w:p>
        </w:tc>
        <w:tc>
          <w:tcPr>
            <w:tcW w:w="1987" w:type="dxa"/>
            <w:vAlign w:val="center"/>
          </w:tcPr>
          <w:p w14:paraId="52838CA3"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cohort</w:t>
            </w:r>
          </w:p>
        </w:tc>
        <w:tc>
          <w:tcPr>
            <w:tcW w:w="1987" w:type="dxa"/>
            <w:vAlign w:val="center"/>
          </w:tcPr>
          <w:p w14:paraId="1BB72FA5"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Poverty and insurance</w:t>
            </w:r>
          </w:p>
        </w:tc>
        <w:tc>
          <w:tcPr>
            <w:tcW w:w="1987" w:type="dxa"/>
            <w:vAlign w:val="center"/>
          </w:tcPr>
          <w:p w14:paraId="5DAB8C0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Medicaid coverage, as a proxy of lower socioeconomic status, was more frequent among mothers of children with CL/P than among controls.</w:t>
            </w:r>
          </w:p>
        </w:tc>
      </w:tr>
      <w:tr w:rsidR="007D6A3F" w:rsidRPr="0081276C" w14:paraId="4412E690" w14:textId="77777777">
        <w:trPr>
          <w:jc w:val="center"/>
        </w:trPr>
        <w:tc>
          <w:tcPr>
            <w:tcW w:w="1987" w:type="dxa"/>
            <w:vAlign w:val="center"/>
          </w:tcPr>
          <w:p w14:paraId="2AC27CF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Charoenvicha et al., 2023</w:t>
            </w:r>
          </w:p>
        </w:tc>
        <w:tc>
          <w:tcPr>
            <w:tcW w:w="1987" w:type="dxa"/>
            <w:vAlign w:val="center"/>
          </w:tcPr>
          <w:p w14:paraId="023FE51F"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Thailand</w:t>
            </w:r>
          </w:p>
        </w:tc>
        <w:tc>
          <w:tcPr>
            <w:tcW w:w="1987" w:type="dxa"/>
            <w:vAlign w:val="center"/>
          </w:tcPr>
          <w:p w14:paraId="6845993F"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case-control</w:t>
            </w:r>
          </w:p>
        </w:tc>
        <w:tc>
          <w:tcPr>
            <w:tcW w:w="1987" w:type="dxa"/>
            <w:vAlign w:val="center"/>
          </w:tcPr>
          <w:p w14:paraId="5114EE9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Income level</w:t>
            </w:r>
          </w:p>
        </w:tc>
        <w:tc>
          <w:tcPr>
            <w:tcW w:w="1987" w:type="dxa"/>
            <w:vAlign w:val="center"/>
          </w:tcPr>
          <w:p w14:paraId="2B10F1A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Lower maternal income was significantly associated with a higher prevalence of nonsyndromic CL/P (p &lt; 0.001).</w:t>
            </w:r>
          </w:p>
        </w:tc>
      </w:tr>
      <w:tr w:rsidR="007D6A3F" w:rsidRPr="0081276C" w14:paraId="32464382" w14:textId="77777777">
        <w:trPr>
          <w:jc w:val="center"/>
        </w:trPr>
        <w:tc>
          <w:tcPr>
            <w:tcW w:w="1987" w:type="dxa"/>
            <w:vAlign w:val="center"/>
          </w:tcPr>
          <w:p w14:paraId="2423EED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Swami and Battepati, 2018</w:t>
            </w:r>
          </w:p>
        </w:tc>
        <w:tc>
          <w:tcPr>
            <w:tcW w:w="1987" w:type="dxa"/>
            <w:vAlign w:val="center"/>
          </w:tcPr>
          <w:p w14:paraId="118D8CD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India</w:t>
            </w:r>
          </w:p>
        </w:tc>
        <w:tc>
          <w:tcPr>
            <w:tcW w:w="1987" w:type="dxa"/>
            <w:vAlign w:val="center"/>
          </w:tcPr>
          <w:p w14:paraId="7E61B1F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Retrospective observational study</w:t>
            </w:r>
          </w:p>
        </w:tc>
        <w:tc>
          <w:tcPr>
            <w:tcW w:w="1987" w:type="dxa"/>
            <w:vAlign w:val="center"/>
          </w:tcPr>
          <w:p w14:paraId="04F4DC46"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Socioeconomic pattern</w:t>
            </w:r>
          </w:p>
        </w:tc>
        <w:tc>
          <w:tcPr>
            <w:tcW w:w="1987" w:type="dxa"/>
            <w:vAlign w:val="center"/>
          </w:tcPr>
          <w:p w14:paraId="40B31C02"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Most CL/P cases occurred among low-middle and middle socioeconomic groups, while occurrence was rare among high socioeconomic groups.</w:t>
            </w:r>
          </w:p>
        </w:tc>
      </w:tr>
      <w:tr w:rsidR="007D6A3F" w:rsidRPr="0081276C" w14:paraId="05D10970" w14:textId="77777777">
        <w:trPr>
          <w:jc w:val="center"/>
        </w:trPr>
        <w:tc>
          <w:tcPr>
            <w:tcW w:w="1987" w:type="dxa"/>
            <w:vAlign w:val="center"/>
          </w:tcPr>
          <w:p w14:paraId="4C989057"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Adewale et al., 2023</w:t>
            </w:r>
          </w:p>
        </w:tc>
        <w:tc>
          <w:tcPr>
            <w:tcW w:w="1987" w:type="dxa"/>
            <w:vAlign w:val="center"/>
          </w:tcPr>
          <w:p w14:paraId="13E649B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Middle East</w:t>
            </w:r>
          </w:p>
        </w:tc>
        <w:tc>
          <w:tcPr>
            <w:tcW w:w="1987" w:type="dxa"/>
            <w:vAlign w:val="center"/>
          </w:tcPr>
          <w:p w14:paraId="04A627AE"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Cross-sectional</w:t>
            </w:r>
          </w:p>
        </w:tc>
        <w:tc>
          <w:tcPr>
            <w:tcW w:w="1987" w:type="dxa"/>
            <w:vAlign w:val="center"/>
          </w:tcPr>
          <w:p w14:paraId="754CF4E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Cleft etiology risk factors</w:t>
            </w:r>
          </w:p>
        </w:tc>
        <w:tc>
          <w:tcPr>
            <w:tcW w:w="1987" w:type="dxa"/>
            <w:vAlign w:val="center"/>
          </w:tcPr>
          <w:p w14:paraId="245C590D"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 xml:space="preserve">Most mothers of children with CL/P were from low- to middle-income groups, indicating </w:t>
            </w:r>
            <w:r w:rsidRPr="0081276C">
              <w:rPr>
                <w:rFonts w:ascii="Times New Roman" w:hAnsi="Times New Roman" w:cs="Times New Roman"/>
                <w:sz w:val="24"/>
                <w:szCs w:val="24"/>
              </w:rPr>
              <w:lastRenderedPageBreak/>
              <w:t>increased vulnerability.</w:t>
            </w:r>
          </w:p>
        </w:tc>
      </w:tr>
      <w:tr w:rsidR="007D6A3F" w:rsidRPr="0081276C" w14:paraId="64C7715A" w14:textId="77777777">
        <w:trPr>
          <w:jc w:val="center"/>
        </w:trPr>
        <w:tc>
          <w:tcPr>
            <w:tcW w:w="1987" w:type="dxa"/>
            <w:vAlign w:val="center"/>
          </w:tcPr>
          <w:p w14:paraId="3F63CCA1"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lastRenderedPageBreak/>
              <w:t>Phyu et al., 2020</w:t>
            </w:r>
          </w:p>
        </w:tc>
        <w:tc>
          <w:tcPr>
            <w:tcW w:w="1987" w:type="dxa"/>
            <w:vAlign w:val="center"/>
          </w:tcPr>
          <w:p w14:paraId="72AE0624"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Myanmar</w:t>
            </w:r>
          </w:p>
        </w:tc>
        <w:tc>
          <w:tcPr>
            <w:tcW w:w="1987" w:type="dxa"/>
            <w:vAlign w:val="center"/>
          </w:tcPr>
          <w:p w14:paraId="192E822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Cross-sectional</w:t>
            </w:r>
          </w:p>
        </w:tc>
        <w:tc>
          <w:tcPr>
            <w:tcW w:w="1987" w:type="dxa"/>
            <w:vAlign w:val="center"/>
          </w:tcPr>
          <w:p w14:paraId="2842C098"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Stress and socioeconomic status</w:t>
            </w:r>
          </w:p>
        </w:tc>
        <w:tc>
          <w:tcPr>
            <w:tcW w:w="1987" w:type="dxa"/>
            <w:vAlign w:val="center"/>
          </w:tcPr>
          <w:p w14:paraId="23E35F30" w14:textId="77777777" w:rsidR="007D6A3F" w:rsidRPr="0081276C" w:rsidRDefault="00000000">
            <w:pPr>
              <w:spacing w:after="0" w:line="240" w:lineRule="auto"/>
              <w:rPr>
                <w:rFonts w:ascii="Times New Roman" w:hAnsi="Times New Roman" w:cs="Times New Roman"/>
                <w:sz w:val="24"/>
                <w:szCs w:val="24"/>
              </w:rPr>
            </w:pPr>
            <w:r w:rsidRPr="0081276C">
              <w:rPr>
                <w:rFonts w:ascii="Times New Roman" w:hAnsi="Times New Roman" w:cs="Times New Roman"/>
                <w:sz w:val="24"/>
                <w:szCs w:val="24"/>
              </w:rPr>
              <w:t>Orofacial cleft cases were concentrated among lower-middle-income families, with fewer cases in higher-income groups.</w:t>
            </w:r>
          </w:p>
        </w:tc>
      </w:tr>
    </w:tbl>
    <w:p w14:paraId="52547D62"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Maternal Nutritional Status and CLP</w:t>
      </w:r>
    </w:p>
    <w:p w14:paraId="0E5B03D4"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Nonsyndromic CLP is a common developmental defect involving the lip and/or palate. A study of environmental factors for nonsyndromic CLP showed that 177 of 236 mothers (75%) with CL/P children consumed adequate folic acid compared with 179 of 209 controls (85.6%), and adequate intake reduced risk by approximately 50% [14]. A systematic review and meta-analysis in Ethiopia reported that congenital anomalies were more common in mothers who did not consume folic acid [15]. In Heilongjiang, China, low folic acid consumption was less common among controls than cases, and folic acid intake showed a protective effect for CL/P [16]. A Brazilian study also reported that low folate intake was associated with a 2.18-fold increased risk of CL/P (p = 0.003) [17].</w:t>
      </w:r>
    </w:p>
    <w:p w14:paraId="54AE8CB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A retrospective case-control study in Tamil Nadu showed that low cobalamin (vitamin B12) intake was more frequent in mothers of children with CLP than in controls. Cobalamin appeared to play an important role in the one-carbon cycle and DNA methylation, with low B12 accompanied by increased methylmalonic acid as a marker of metabolic disruption [8]. A meta-analysis showed that folic acid supplementation reduced the risk of CL/P and cleft palate, while multivitamin use provided additional protection, possibly through synergistic B-vitamin effects [18,19].</w:t>
      </w:r>
    </w:p>
    <w:p w14:paraId="47594B3B"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Nutrients act as methyl donors both generally and at the molecular level. Folic acid (B9) is central to one-carbon metabolism, which is important for nucleotide synthesis, amino acid metabolism, and DNA methylation during embryonic development [17]. Tetrahydrofolate derivatives interact with pyridoxine (B6), cobalamin (B12), methionine synthase, and S-adenosylmethionine pathways to maintain methylation patterns [17,20]. Deficiencies in folate, </w:t>
      </w:r>
      <w:r w:rsidRPr="0081276C">
        <w:rPr>
          <w:rFonts w:ascii="Times New Roman" w:hAnsi="Times New Roman" w:cs="Times New Roman"/>
          <w:sz w:val="24"/>
          <w:szCs w:val="24"/>
        </w:rPr>
        <w:lastRenderedPageBreak/>
        <w:t>B6, and B12 may increase homocysteine levels and alter methylation during embryogenesis, contributing to congenital malformations including nonsyndromic CL/P [20].</w:t>
      </w:r>
    </w:p>
    <w:p w14:paraId="47A7EED9"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There is also counterevidence. A study in an Amazonian population found that adequate intake of folic acid, vitamin B12, and vitamin B6 was not significantly associated with orofacial cleft risk, with odds ratios close to 1 and p-values greater than 0.05 [21]. This discrepancy may reflect differences in local diets, high-fat and low-vegetable dietary patterns, complex nutrient interactions, recall bias from food frequency questionnaires, and differences in control recruitment.</w:t>
      </w:r>
    </w:p>
    <w:p w14:paraId="1082E190"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Maternal Socioeconomic Status and CLP</w:t>
      </w:r>
    </w:p>
    <w:p w14:paraId="081405EA"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Socioeconomic status is commonly reflected by education, income, and occupation. Low socioeconomic status among mothers has been associated with increased risk of giving birth to children with CL/P [22,23]. Lower-middle-income settings may face structural barriers such as poverty, limited infrastructure, inadequate health services, and low maternal education, all of which may influence congenital anomaly risk [23].</w:t>
      </w:r>
    </w:p>
    <w:p w14:paraId="0333A91E"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Evidence from multiple settings suggests an inverse relationship between socioeconomic position and CL/P risk. In a multicenter study, 214 of 254 mothers of children with CL/P (84.3%) were from low socioeconomic groups, while only 12 (4.7%) were from high socioeconomic groups [24]. Research from India showed that most CL/P cases occurred in lower-middle and middle socioeconomic categories [25]. In China, low income was more frequent among case mothers than control mothers, while high income was more frequent among controls, suggesting a protective effect of higher socioeconomic status [16]. A 10-year study in Northern Thailand similarly found that lower maternal income was significantly associated with nonsyndromic CL/P [26].</w:t>
      </w:r>
    </w:p>
    <w:p w14:paraId="6FEBA5D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Evidence from Myanmar showed that many cases occurred in low-middle-income families, and affected mothers were often less educated and employed as farmers or unskilled workers [22]. Health insurance coverage may also reflect access to antenatal care, preventive counselling, and supplementation [27]. In the United States, government insurance was more frequent among mothers of children with CL/P than among controls, whereas private insurance was more </w:t>
      </w:r>
      <w:r w:rsidRPr="0081276C">
        <w:rPr>
          <w:rFonts w:ascii="Times New Roman" w:hAnsi="Times New Roman" w:cs="Times New Roman"/>
          <w:sz w:val="24"/>
          <w:szCs w:val="24"/>
        </w:rPr>
        <w:lastRenderedPageBreak/>
        <w:t>frequent among controls [28]. These findings suggest that socioeconomic status may operate through material resources, access to care, and maternal health behavior.</w:t>
      </w:r>
    </w:p>
    <w:p w14:paraId="3E45D697"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Low socioeconomic status also affects maternal education, awareness of fetal environmental risk factors, nutritional guidance, and ability to purchase nutritious foods [14,24,29]. Indonesian data showed that folic acid and vitamin B12 deficiencies were more frequent among pregnant women from low-income households [29]. Psychological stress may also be relevant, because financial stress during pregnancy may influence maternal physiology and fetal development [22,24].</w:t>
      </w:r>
    </w:p>
    <w:p w14:paraId="18463327"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Discussion</w:t>
      </w:r>
    </w:p>
    <w:p w14:paraId="58251FE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This scoping review mapped evidence on maternal nutritional and socioeconomic determinants of CLP. The included studies suggest that maternal deficiencies in folic acid, vitamin B12, and vitamin B6 may increase vulnerability to CLP, while adequate micronutrient intake and supplementation may have protective effects. Low socioeconomic status may further increase risk through limited access to nutritious food, antenatal care, health education, supplementation, and reduced capacity to manage pregnancy-related health needs.</w:t>
      </w:r>
    </w:p>
    <w:p w14:paraId="2345DEBA"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The public health relevance of these findings is important. WHO guidance emphasizes periconceptional folic acid supplementation for women planning pregnancy and iron-folic acid supplementation as part of antenatal care to support maternal and fetal health [9,30]. Although most evidence on folic acid supplementation is strongest for neural tube defects, the reviewed literature indicates that folate-sensitive pathways and one-carbon metabolism may also be relevant to craniofacial development. Therefore, maternal nutrition counselling, early pregnancy screening, and supplementation programs should be considered as part of broader congenital anomaly prevention strategies.</w:t>
      </w:r>
    </w:p>
    <w:p w14:paraId="4A7E3812"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Socioeconomic determinants should not be interpreted only as income differences. Education, occupation, health insurance, food security, access to antenatal services, and maternal health literacy may interact with nutritional status. This interaction explains why low socioeconomic status can increase risk both materially and psychosocially. Prevention strategies should therefore combine nutritional interventions with improved access to maternal health services and targeted support for low-income mothers.</w:t>
      </w:r>
    </w:p>
    <w:p w14:paraId="6739F4B6"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lastRenderedPageBreak/>
        <w:t>This review has several limitations. Most included studies were observational, and several used retrospective designs, which may be affected by recall bias and residual confounding. Definitions of socioeconomic status differed across studies, making direct comparison difficult. The review did not conduct meta-analysis because its purpose was to map evidence rather than calculate pooled effect estimates. In addition, the search strategy included Google Scholar, which may yield heterogeneous literature. Nevertheless, this review provides a structured overview of evidence linking maternal nutrition, socioeconomic disadvantage, and CLP risk.</w:t>
      </w:r>
    </w:p>
    <w:p w14:paraId="356DD2B8"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Conclusion</w:t>
      </w:r>
    </w:p>
    <w:p w14:paraId="5139A633"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Maternal deficiencies in folic acid, vitamin B12, and vitamin B6, together with low socioeconomic status, were identified as important determinants associated with cleft lip and palate. The findings highlight the need for integrated maternal nutrition counselling, micronutrient supplementation, antenatal care access, and socioeconomic support as part of congenital anomaly prevention strategies. Future research should strengthen prospective evidence on the interaction between maternal nutrition, socioeconomic disadvantage, and craniofacial development.</w:t>
      </w:r>
    </w:p>
    <w:p w14:paraId="2BA9C5B3"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Ethics approval and consent to participate</w:t>
      </w:r>
    </w:p>
    <w:p w14:paraId="2B122F5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Not applicable. This scoping review used previously published literature and did not involve human participants, identifiable personal data, or primary data collection.</w:t>
      </w:r>
    </w:p>
    <w:p w14:paraId="73AE986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Consent for publication</w:t>
      </w:r>
    </w:p>
    <w:p w14:paraId="0C19C76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Not applicable.</w:t>
      </w:r>
    </w:p>
    <w:p w14:paraId="540319AC"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Trial or review registration</w:t>
      </w:r>
    </w:p>
    <w:p w14:paraId="15FCCD3A" w14:textId="4816FFC3"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 xml:space="preserve">Review registration status: </w:t>
      </w:r>
      <w:r w:rsidR="00D92B33" w:rsidRPr="00D92B33">
        <w:rPr>
          <w:rFonts w:ascii="Times New Roman" w:hAnsi="Times New Roman" w:cs="Times New Roman"/>
          <w:sz w:val="24"/>
          <w:szCs w:val="24"/>
        </w:rPr>
        <w:t>Not registered</w:t>
      </w:r>
      <w:r w:rsidR="00D92B33">
        <w:rPr>
          <w:rFonts w:ascii="Times New Roman" w:hAnsi="Times New Roman" w:cs="Times New Roman"/>
          <w:sz w:val="24"/>
          <w:szCs w:val="24"/>
        </w:rPr>
        <w:t>.</w:t>
      </w:r>
    </w:p>
    <w:p w14:paraId="1E59F992"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Data Availability</w:t>
      </w:r>
    </w:p>
    <w:p w14:paraId="7CC82529"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All data used in this scoping review were derived from published literature and are presented in the manuscript and its tables.</w:t>
      </w:r>
    </w:p>
    <w:p w14:paraId="25468EE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Code or software availability</w:t>
      </w:r>
    </w:p>
    <w:p w14:paraId="1EE51B3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Not applicable.</w:t>
      </w:r>
    </w:p>
    <w:p w14:paraId="565305DE"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lastRenderedPageBreak/>
        <w:t>Authors' contributions (CRediT)</w:t>
      </w:r>
    </w:p>
    <w:p w14:paraId="4A150883" w14:textId="0CA8DB2D" w:rsidR="007D6A3F" w:rsidRPr="0081276C" w:rsidRDefault="00D92B33">
      <w:pPr>
        <w:rPr>
          <w:rFonts w:ascii="Times New Roman" w:hAnsi="Times New Roman" w:cs="Times New Roman"/>
          <w:sz w:val="24"/>
          <w:szCs w:val="24"/>
        </w:rPr>
      </w:pPr>
      <w:r w:rsidRPr="00D92B33">
        <w:rPr>
          <w:rFonts w:ascii="Times New Roman" w:hAnsi="Times New Roman" w:cs="Times New Roman"/>
          <w:sz w:val="24"/>
          <w:szCs w:val="24"/>
        </w:rPr>
        <w:t>Ruby Riana Asparini: Conceptualization, Methodology, Supervision, Writing – review &amp; editing.</w:t>
      </w:r>
      <w:r w:rsidRPr="00D92B33">
        <w:rPr>
          <w:rFonts w:ascii="Times New Roman" w:hAnsi="Times New Roman" w:cs="Times New Roman"/>
          <w:sz w:val="24"/>
          <w:szCs w:val="24"/>
        </w:rPr>
        <w:br/>
        <w:t>Aida Musyarrofah: Methodology, Validation, Writing – review &amp; editing.</w:t>
      </w:r>
      <w:r w:rsidRPr="00D92B33">
        <w:rPr>
          <w:rFonts w:ascii="Times New Roman" w:hAnsi="Times New Roman" w:cs="Times New Roman"/>
          <w:sz w:val="24"/>
          <w:szCs w:val="24"/>
        </w:rPr>
        <w:br/>
        <w:t xml:space="preserve">Haura </w:t>
      </w:r>
      <w:proofErr w:type="spellStart"/>
      <w:r w:rsidRPr="00D92B33">
        <w:rPr>
          <w:rFonts w:ascii="Times New Roman" w:hAnsi="Times New Roman" w:cs="Times New Roman"/>
          <w:sz w:val="24"/>
          <w:szCs w:val="24"/>
        </w:rPr>
        <w:t>Tsabitah</w:t>
      </w:r>
      <w:proofErr w:type="spellEnd"/>
      <w:r w:rsidRPr="00D92B33">
        <w:rPr>
          <w:rFonts w:ascii="Times New Roman" w:hAnsi="Times New Roman" w:cs="Times New Roman"/>
          <w:sz w:val="24"/>
          <w:szCs w:val="24"/>
        </w:rPr>
        <w:t xml:space="preserve"> Kuswoyo: Literature search, Data curation, Formal analysis, Writing – original draft.</w:t>
      </w:r>
      <w:r w:rsidRPr="00D92B33">
        <w:rPr>
          <w:rFonts w:ascii="Times New Roman" w:hAnsi="Times New Roman" w:cs="Times New Roman"/>
          <w:sz w:val="24"/>
          <w:szCs w:val="24"/>
        </w:rPr>
        <w:br/>
        <w:t>All authors approved the final manuscript and accept responsibility for the integrity of the work</w:t>
      </w:r>
      <w:r w:rsidRPr="0081276C">
        <w:rPr>
          <w:rFonts w:ascii="Times New Roman" w:hAnsi="Times New Roman" w:cs="Times New Roman"/>
          <w:sz w:val="24"/>
          <w:szCs w:val="24"/>
        </w:rPr>
        <w:t>.</w:t>
      </w:r>
    </w:p>
    <w:p w14:paraId="23F474E4"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Funding</w:t>
      </w:r>
    </w:p>
    <w:p w14:paraId="7435067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This study received no specific funding.</w:t>
      </w:r>
    </w:p>
    <w:p w14:paraId="314734C4"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Role of the funding source</w:t>
      </w:r>
    </w:p>
    <w:p w14:paraId="13C01C25"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 funder had any role in the design, conduct, interpretation, preparation, or decision to submit this manuscript.</w:t>
      </w:r>
    </w:p>
    <w:p w14:paraId="4C048238"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Competing interests</w:t>
      </w:r>
    </w:p>
    <w:p w14:paraId="640482D2"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The authors declare no competing interests.</w:t>
      </w:r>
    </w:p>
    <w:p w14:paraId="1C1BA262"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Acknowledgments</w:t>
      </w:r>
    </w:p>
    <w:p w14:paraId="6B31593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None.</w:t>
      </w:r>
    </w:p>
    <w:p w14:paraId="5F39C94F"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b/>
          <w:sz w:val="24"/>
          <w:szCs w:val="24"/>
        </w:rPr>
        <w:t>Declaration of generative AI and AI-assisted technologies</w:t>
      </w:r>
    </w:p>
    <w:p w14:paraId="46ECCC9E" w14:textId="77777777" w:rsidR="007D6A3F" w:rsidRPr="0081276C" w:rsidRDefault="00000000">
      <w:pPr>
        <w:rPr>
          <w:rFonts w:ascii="Times New Roman" w:hAnsi="Times New Roman" w:cs="Times New Roman"/>
          <w:sz w:val="24"/>
          <w:szCs w:val="24"/>
        </w:rPr>
      </w:pPr>
      <w:r w:rsidRPr="0081276C">
        <w:rPr>
          <w:rFonts w:ascii="Times New Roman" w:hAnsi="Times New Roman" w:cs="Times New Roman"/>
          <w:sz w:val="24"/>
          <w:szCs w:val="24"/>
        </w:rPr>
        <w:t>ChatGPT (OpenAI) was used solely to assist with language and readability during manuscript preparation. No AI-assisted tool was used to generate, screen, extract, analyse, or interpret the review evidence. The authors reviewed and verified the final manuscript and remain responsible for its accuracy, originality, and citations.</w:t>
      </w:r>
    </w:p>
    <w:p w14:paraId="057298FA" w14:textId="77777777" w:rsidR="007D6A3F" w:rsidRPr="0081276C" w:rsidRDefault="00000000">
      <w:pPr>
        <w:spacing w:before="200"/>
        <w:rPr>
          <w:rFonts w:ascii="Times New Roman" w:hAnsi="Times New Roman" w:cs="Times New Roman"/>
          <w:sz w:val="24"/>
          <w:szCs w:val="24"/>
        </w:rPr>
      </w:pPr>
      <w:r w:rsidRPr="0081276C">
        <w:rPr>
          <w:rFonts w:ascii="Times New Roman" w:hAnsi="Times New Roman" w:cs="Times New Roman"/>
          <w:b/>
          <w:sz w:val="24"/>
          <w:szCs w:val="24"/>
        </w:rPr>
        <w:t>References</w:t>
      </w:r>
    </w:p>
    <w:p w14:paraId="3D2645B7"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Matthew F, </w:t>
      </w:r>
      <w:proofErr w:type="spellStart"/>
      <w:r w:rsidRPr="00D92B33">
        <w:rPr>
          <w:rFonts w:ascii="Times New Roman" w:hAnsi="Times New Roman" w:cs="Times New Roman"/>
          <w:sz w:val="24"/>
          <w:szCs w:val="24"/>
        </w:rPr>
        <w:t>Wilar</w:t>
      </w:r>
      <w:proofErr w:type="spellEnd"/>
      <w:r w:rsidRPr="00D92B33">
        <w:rPr>
          <w:rFonts w:ascii="Times New Roman" w:hAnsi="Times New Roman" w:cs="Times New Roman"/>
          <w:sz w:val="24"/>
          <w:szCs w:val="24"/>
        </w:rPr>
        <w:t xml:space="preserve"> R, </w:t>
      </w:r>
      <w:proofErr w:type="spellStart"/>
      <w:r w:rsidRPr="00D92B33">
        <w:rPr>
          <w:rFonts w:ascii="Times New Roman" w:hAnsi="Times New Roman" w:cs="Times New Roman"/>
          <w:sz w:val="24"/>
          <w:szCs w:val="24"/>
        </w:rPr>
        <w:t>Umboh</w:t>
      </w:r>
      <w:proofErr w:type="spellEnd"/>
      <w:r w:rsidRPr="00D92B33">
        <w:rPr>
          <w:rFonts w:ascii="Times New Roman" w:hAnsi="Times New Roman" w:cs="Times New Roman"/>
          <w:sz w:val="24"/>
          <w:szCs w:val="24"/>
        </w:rPr>
        <w:t xml:space="preserve"> A. Faktor risiko yang berhubungan dengan kejadian kelainan bawaan pada neonatus. e-CliniC. 2021;9(1). doi:10.35790/ecl.9.1.2021.32306.</w:t>
      </w:r>
    </w:p>
    <w:p w14:paraId="6DC89A3B"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Farhan TM, Al-Jumaili AA, Hashim A, et al. Craniofacial anomaly association with the internal malformations in the pediatric age group in Al-Fallujah City-Iraq. Biomed Res Int. </w:t>
      </w:r>
      <w:proofErr w:type="gramStart"/>
      <w:r w:rsidRPr="00D92B33">
        <w:rPr>
          <w:rFonts w:ascii="Times New Roman" w:hAnsi="Times New Roman" w:cs="Times New Roman"/>
          <w:sz w:val="24"/>
          <w:szCs w:val="24"/>
        </w:rPr>
        <w:t>2020;2020:4725141</w:t>
      </w:r>
      <w:proofErr w:type="gramEnd"/>
      <w:r w:rsidRPr="00D92B33">
        <w:rPr>
          <w:rFonts w:ascii="Times New Roman" w:hAnsi="Times New Roman" w:cs="Times New Roman"/>
          <w:sz w:val="24"/>
          <w:szCs w:val="24"/>
        </w:rPr>
        <w:t>. doi:10.1155/2020/4725141.</w:t>
      </w:r>
    </w:p>
    <w:p w14:paraId="11C5F83C"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lastRenderedPageBreak/>
        <w:t>Mossey PA, Little J, Munger RG, Dixon MJ, Shaw WC. Cleft lip and palate. Lancet. 2009;374(9703):1773-1785. doi:10.1016/S0140-6736(09)60695-4.</w:t>
      </w:r>
    </w:p>
    <w:p w14:paraId="1A7F1051"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Salari N, Darvishi N, Heydari M, </w:t>
      </w:r>
      <w:proofErr w:type="spellStart"/>
      <w:r w:rsidRPr="00D92B33">
        <w:rPr>
          <w:rFonts w:ascii="Times New Roman" w:hAnsi="Times New Roman" w:cs="Times New Roman"/>
          <w:sz w:val="24"/>
          <w:szCs w:val="24"/>
        </w:rPr>
        <w:t>Bokaee</w:t>
      </w:r>
      <w:proofErr w:type="spellEnd"/>
      <w:r w:rsidRPr="00D92B33">
        <w:rPr>
          <w:rFonts w:ascii="Times New Roman" w:hAnsi="Times New Roman" w:cs="Times New Roman"/>
          <w:sz w:val="24"/>
          <w:szCs w:val="24"/>
        </w:rPr>
        <w:t xml:space="preserve"> S, Darvishi F, Mohammadi M. Global prevalence of cleft palate, cleft lip and cleft palate and lip: A comprehensive systematic review and meta-analysis. J Stomatol Oral Maxillofac Surg. 2022;123(2):110-120.</w:t>
      </w:r>
    </w:p>
    <w:p w14:paraId="2951BE78"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Elfiah</w:t>
      </w:r>
      <w:proofErr w:type="spellEnd"/>
      <w:r w:rsidRPr="00D92B33">
        <w:rPr>
          <w:rFonts w:ascii="Times New Roman" w:hAnsi="Times New Roman" w:cs="Times New Roman"/>
          <w:sz w:val="24"/>
          <w:szCs w:val="24"/>
        </w:rPr>
        <w:t xml:space="preserve"> U, Kurniawan A, Wahyudi S. Analisis kejadian sumbing bibir dan langit: studi deskriptif berdasarkan tinjauan geografis. J Rekonstruksi Estetik. 2021;6(1):34. doi:10.20473/</w:t>
      </w:r>
      <w:proofErr w:type="gramStart"/>
      <w:r w:rsidRPr="00D92B33">
        <w:rPr>
          <w:rFonts w:ascii="Times New Roman" w:hAnsi="Times New Roman" w:cs="Times New Roman"/>
          <w:sz w:val="24"/>
          <w:szCs w:val="24"/>
        </w:rPr>
        <w:t>jre.v</w:t>
      </w:r>
      <w:proofErr w:type="gramEnd"/>
      <w:r w:rsidRPr="00D92B33">
        <w:rPr>
          <w:rFonts w:ascii="Times New Roman" w:hAnsi="Times New Roman" w:cs="Times New Roman"/>
          <w:sz w:val="24"/>
          <w:szCs w:val="24"/>
        </w:rPr>
        <w:t>6i1.28230.</w:t>
      </w:r>
    </w:p>
    <w:p w14:paraId="1AB16C37"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Wang D, Wu Y, Wang Y, et al. Global, regional and national burden of orofacial clefts from 1990 to 2019: An analysis of the Global Burden of Disease Study 2019. Ann Med. 2023;55(1):2215540. doi:10.1080/07853890.2023.2215540.</w:t>
      </w:r>
    </w:p>
    <w:p w14:paraId="62C28E23"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Kulesa-</w:t>
      </w:r>
      <w:proofErr w:type="spellStart"/>
      <w:r w:rsidRPr="00D92B33">
        <w:rPr>
          <w:rFonts w:ascii="Times New Roman" w:hAnsi="Times New Roman" w:cs="Times New Roman"/>
          <w:sz w:val="24"/>
          <w:szCs w:val="24"/>
        </w:rPr>
        <w:t>Mrowiecka</w:t>
      </w:r>
      <w:proofErr w:type="spellEnd"/>
      <w:r w:rsidRPr="00D92B33">
        <w:rPr>
          <w:rFonts w:ascii="Times New Roman" w:hAnsi="Times New Roman" w:cs="Times New Roman"/>
          <w:sz w:val="24"/>
          <w:szCs w:val="24"/>
        </w:rPr>
        <w:t xml:space="preserve"> M, Wegrzyn P, Kedzierska M, et al. Characteristics of factors influencing the occurrence of cleft lip and/or palate: A case analysis and literature review. Children. 2024;11(4):399. doi:10.3390/children11040399.</w:t>
      </w:r>
    </w:p>
    <w:p w14:paraId="0F16A57E"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Munger RG, Tamura T, Johnston KE, et al. Maternal vitamin B12 status and risk of cleft lip and cleft palate birth defects in Tamil Nadu State, India. Cleft Palate Craniofac J. 2021;58(5):567-576. doi:10.1177/1055665621998394.</w:t>
      </w:r>
    </w:p>
    <w:p w14:paraId="7A12955D" w14:textId="2CB57FAA"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World Health Organization. Periconceptional folic acid supplementation to prevent neural tube defects. Geneva: World Health Organization; 2023. Available from: </w:t>
      </w:r>
      <w:hyperlink r:id="rId9" w:history="1">
        <w:r w:rsidR="00D92B33" w:rsidRPr="00475FA1">
          <w:rPr>
            <w:rStyle w:val="Hyperlink"/>
            <w:rFonts w:ascii="Times New Roman" w:hAnsi="Times New Roman" w:cs="Times New Roman"/>
            <w:sz w:val="24"/>
            <w:szCs w:val="24"/>
          </w:rPr>
          <w:t>https://www.who.int/tools/elena/interventions/folate-periconceptional</w:t>
        </w:r>
      </w:hyperlink>
      <w:r w:rsidRPr="00D92B33">
        <w:rPr>
          <w:rFonts w:ascii="Times New Roman" w:hAnsi="Times New Roman" w:cs="Times New Roman"/>
          <w:sz w:val="24"/>
          <w:szCs w:val="24"/>
        </w:rPr>
        <w:t>.</w:t>
      </w:r>
    </w:p>
    <w:p w14:paraId="38EDA384"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Siddiqui F, Salam RA, Lassi ZS, Das JK. The intertwined relationship between malnutrition and poverty. Front Public Health. </w:t>
      </w:r>
      <w:proofErr w:type="gramStart"/>
      <w:r w:rsidRPr="00D92B33">
        <w:rPr>
          <w:rFonts w:ascii="Times New Roman" w:hAnsi="Times New Roman" w:cs="Times New Roman"/>
          <w:sz w:val="24"/>
          <w:szCs w:val="24"/>
        </w:rPr>
        <w:t>2020;8:453</w:t>
      </w:r>
      <w:proofErr w:type="gramEnd"/>
      <w:r w:rsidRPr="00D92B33">
        <w:rPr>
          <w:rFonts w:ascii="Times New Roman" w:hAnsi="Times New Roman" w:cs="Times New Roman"/>
          <w:sz w:val="24"/>
          <w:szCs w:val="24"/>
        </w:rPr>
        <w:t>. doi:10.3389/fpubh.2020.00453.</w:t>
      </w:r>
    </w:p>
    <w:p w14:paraId="1371C0D9"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Purwitasari</w:t>
      </w:r>
      <w:proofErr w:type="spellEnd"/>
      <w:r w:rsidRPr="00D92B33">
        <w:rPr>
          <w:rFonts w:ascii="Times New Roman" w:hAnsi="Times New Roman" w:cs="Times New Roman"/>
          <w:sz w:val="24"/>
          <w:szCs w:val="24"/>
        </w:rPr>
        <w:t xml:space="preserve"> KTI, Sanjaya IGPH, Hamid ARRH. Gambaran faktor risiko penyebab terjadinya celah bibir dan celah langitan di Denpasar tahun 2019. Intisari Sains Medis. 2020;11(2):697-701. doi:10.15562/</w:t>
      </w:r>
      <w:proofErr w:type="gramStart"/>
      <w:r w:rsidRPr="00D92B33">
        <w:rPr>
          <w:rFonts w:ascii="Times New Roman" w:hAnsi="Times New Roman" w:cs="Times New Roman"/>
          <w:sz w:val="24"/>
          <w:szCs w:val="24"/>
        </w:rPr>
        <w:t>ism.v</w:t>
      </w:r>
      <w:proofErr w:type="gramEnd"/>
      <w:r w:rsidRPr="00D92B33">
        <w:rPr>
          <w:rFonts w:ascii="Times New Roman" w:hAnsi="Times New Roman" w:cs="Times New Roman"/>
          <w:sz w:val="24"/>
          <w:szCs w:val="24"/>
        </w:rPr>
        <w:t>11i2.656.</w:t>
      </w:r>
    </w:p>
    <w:p w14:paraId="390FBBB5"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Tricco</w:t>
      </w:r>
      <w:proofErr w:type="spellEnd"/>
      <w:r w:rsidRPr="00D92B33">
        <w:rPr>
          <w:rFonts w:ascii="Times New Roman" w:hAnsi="Times New Roman" w:cs="Times New Roman"/>
          <w:sz w:val="24"/>
          <w:szCs w:val="24"/>
        </w:rPr>
        <w:t xml:space="preserve"> AC, Lillie E, Zarin W, et al. PRISMA Extension for Scoping Reviews (PRISMA-ScR): Checklist and explanation. Ann Intern Med. 2018;169(7):467-473. doi:10.7326/M18-0850.</w:t>
      </w:r>
    </w:p>
    <w:p w14:paraId="7280C8A8"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Peters MDJ, Marnie C, </w:t>
      </w:r>
      <w:proofErr w:type="spellStart"/>
      <w:r w:rsidRPr="00D92B33">
        <w:rPr>
          <w:rFonts w:ascii="Times New Roman" w:hAnsi="Times New Roman" w:cs="Times New Roman"/>
          <w:sz w:val="24"/>
          <w:szCs w:val="24"/>
        </w:rPr>
        <w:t>Tricco</w:t>
      </w:r>
      <w:proofErr w:type="spellEnd"/>
      <w:r w:rsidRPr="00D92B33">
        <w:rPr>
          <w:rFonts w:ascii="Times New Roman" w:hAnsi="Times New Roman" w:cs="Times New Roman"/>
          <w:sz w:val="24"/>
          <w:szCs w:val="24"/>
        </w:rPr>
        <w:t xml:space="preserve"> AC, et al. Updated methodological guidance for the conduct of scoping reviews. JBI Evid Synth. 2020;18(10):2119-2126. doi:10.11124/JBIES-20-00167.</w:t>
      </w:r>
    </w:p>
    <w:p w14:paraId="703AF192"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lastRenderedPageBreak/>
        <w:t>Xu DP, Qu WD, Sun C, et al. A study on environmental factors for nonsyndromic cleft lip and/or palate. J Craniofac Surg. 2018;29(2):364-367. doi:10.1097/SCS.0000000000004214.</w:t>
      </w:r>
    </w:p>
    <w:p w14:paraId="05F95D4E"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Mogess</w:t>
      </w:r>
      <w:proofErr w:type="spellEnd"/>
      <w:r w:rsidRPr="00D92B33">
        <w:rPr>
          <w:rFonts w:ascii="Times New Roman" w:hAnsi="Times New Roman" w:cs="Times New Roman"/>
          <w:sz w:val="24"/>
          <w:szCs w:val="24"/>
        </w:rPr>
        <w:t xml:space="preserve"> WN, </w:t>
      </w:r>
      <w:proofErr w:type="spellStart"/>
      <w:r w:rsidRPr="00D92B33">
        <w:rPr>
          <w:rFonts w:ascii="Times New Roman" w:hAnsi="Times New Roman" w:cs="Times New Roman"/>
          <w:sz w:val="24"/>
          <w:szCs w:val="24"/>
        </w:rPr>
        <w:t>Mihretie</w:t>
      </w:r>
      <w:proofErr w:type="spellEnd"/>
      <w:r w:rsidRPr="00D92B33">
        <w:rPr>
          <w:rFonts w:ascii="Times New Roman" w:hAnsi="Times New Roman" w:cs="Times New Roman"/>
          <w:sz w:val="24"/>
          <w:szCs w:val="24"/>
        </w:rPr>
        <w:t xml:space="preserve"> TB. Prevalence and associated factors of congenital anomalies in Ethiopia: A systematic review and meta-analysis. PLoS One. 2024;19(4</w:t>
      </w:r>
      <w:proofErr w:type="gramStart"/>
      <w:r w:rsidRPr="00D92B33">
        <w:rPr>
          <w:rFonts w:ascii="Times New Roman" w:hAnsi="Times New Roman" w:cs="Times New Roman"/>
          <w:sz w:val="24"/>
          <w:szCs w:val="24"/>
        </w:rPr>
        <w:t>):e</w:t>
      </w:r>
      <w:proofErr w:type="gramEnd"/>
      <w:r w:rsidRPr="00D92B33">
        <w:rPr>
          <w:rFonts w:ascii="Times New Roman" w:hAnsi="Times New Roman" w:cs="Times New Roman"/>
          <w:sz w:val="24"/>
          <w:szCs w:val="24"/>
        </w:rPr>
        <w:t xml:space="preserve">0302393. </w:t>
      </w:r>
      <w:proofErr w:type="gramStart"/>
      <w:r w:rsidRPr="00D92B33">
        <w:rPr>
          <w:rFonts w:ascii="Times New Roman" w:hAnsi="Times New Roman" w:cs="Times New Roman"/>
          <w:sz w:val="24"/>
          <w:szCs w:val="24"/>
        </w:rPr>
        <w:t>doi:10.1371/journal.pone</w:t>
      </w:r>
      <w:proofErr w:type="gramEnd"/>
      <w:r w:rsidRPr="00D92B33">
        <w:rPr>
          <w:rFonts w:ascii="Times New Roman" w:hAnsi="Times New Roman" w:cs="Times New Roman"/>
          <w:sz w:val="24"/>
          <w:szCs w:val="24"/>
        </w:rPr>
        <w:t>.0302393.</w:t>
      </w:r>
    </w:p>
    <w:p w14:paraId="0A885BF0"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Hao Y, Tian S, Jiao X, et al. Association of parental environmental exposures and supplementation intake with risk of nonsyndromic orofacial clefts: A case-control study in Heilongjiang Province, China. Nutrients. 2015;7(9):7172-7184. doi:10.3390/nu7095328.</w:t>
      </w:r>
    </w:p>
    <w:p w14:paraId="52DCA8B1"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Bezerra JF, Oliveira GH, Soares CD, et al. Genetic and non-genetic factors that increase the risk of non-syndromic cleft lip and/or palate development. Oral Dis. 2015;21(3):393-399. doi:10.1111/odi.12292.</w:t>
      </w:r>
    </w:p>
    <w:p w14:paraId="156C4291"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Jahanbin</w:t>
      </w:r>
      <w:proofErr w:type="spellEnd"/>
      <w:r w:rsidRPr="00D92B33">
        <w:rPr>
          <w:rFonts w:ascii="Times New Roman" w:hAnsi="Times New Roman" w:cs="Times New Roman"/>
          <w:sz w:val="24"/>
          <w:szCs w:val="24"/>
        </w:rPr>
        <w:t xml:space="preserve"> A, </w:t>
      </w:r>
      <w:proofErr w:type="spellStart"/>
      <w:r w:rsidRPr="00D92B33">
        <w:rPr>
          <w:rFonts w:ascii="Times New Roman" w:hAnsi="Times New Roman" w:cs="Times New Roman"/>
          <w:sz w:val="24"/>
          <w:szCs w:val="24"/>
        </w:rPr>
        <w:t>Shadkam</w:t>
      </w:r>
      <w:proofErr w:type="spellEnd"/>
      <w:r w:rsidRPr="00D92B33">
        <w:rPr>
          <w:rFonts w:ascii="Times New Roman" w:hAnsi="Times New Roman" w:cs="Times New Roman"/>
          <w:sz w:val="24"/>
          <w:szCs w:val="24"/>
        </w:rPr>
        <w:t xml:space="preserve"> E, Miri HH, Shirazi AS, Abtahi M. Maternal folic acid supplementation and the risk of oral clefts in offspring. J Craniofac Surg. 2018;29(6</w:t>
      </w:r>
      <w:proofErr w:type="gramStart"/>
      <w:r w:rsidRPr="00D92B33">
        <w:rPr>
          <w:rFonts w:ascii="Times New Roman" w:hAnsi="Times New Roman" w:cs="Times New Roman"/>
          <w:sz w:val="24"/>
          <w:szCs w:val="24"/>
        </w:rPr>
        <w:t>):e</w:t>
      </w:r>
      <w:proofErr w:type="gramEnd"/>
      <w:r w:rsidRPr="00D92B33">
        <w:rPr>
          <w:rFonts w:ascii="Times New Roman" w:hAnsi="Times New Roman" w:cs="Times New Roman"/>
          <w:sz w:val="24"/>
          <w:szCs w:val="24"/>
        </w:rPr>
        <w:t>534-e541. doi:10.1097/SCS.0000000000004488.</w:t>
      </w:r>
    </w:p>
    <w:p w14:paraId="56F657EA"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Wilson RD, O'Connor DL. Maternal folic acid and multivitamin supplementation: International clinical evidence with considerations for the prevention of folate-sensitive birth defects. Prev Med Rep. </w:t>
      </w:r>
      <w:proofErr w:type="gramStart"/>
      <w:r w:rsidRPr="00D92B33">
        <w:rPr>
          <w:rFonts w:ascii="Times New Roman" w:hAnsi="Times New Roman" w:cs="Times New Roman"/>
          <w:sz w:val="24"/>
          <w:szCs w:val="24"/>
        </w:rPr>
        <w:t>2021;24:101617</w:t>
      </w:r>
      <w:proofErr w:type="gramEnd"/>
      <w:r w:rsidRPr="00D92B33">
        <w:rPr>
          <w:rFonts w:ascii="Times New Roman" w:hAnsi="Times New Roman" w:cs="Times New Roman"/>
          <w:sz w:val="24"/>
          <w:szCs w:val="24"/>
        </w:rPr>
        <w:t xml:space="preserve">. </w:t>
      </w:r>
      <w:proofErr w:type="gramStart"/>
      <w:r w:rsidRPr="00D92B33">
        <w:rPr>
          <w:rFonts w:ascii="Times New Roman" w:hAnsi="Times New Roman" w:cs="Times New Roman"/>
          <w:sz w:val="24"/>
          <w:szCs w:val="24"/>
        </w:rPr>
        <w:t>doi:10.1016/j.pmedr</w:t>
      </w:r>
      <w:proofErr w:type="gramEnd"/>
      <w:r w:rsidRPr="00D92B33">
        <w:rPr>
          <w:rFonts w:ascii="Times New Roman" w:hAnsi="Times New Roman" w:cs="Times New Roman"/>
          <w:sz w:val="24"/>
          <w:szCs w:val="24"/>
        </w:rPr>
        <w:t>.2021.101617.</w:t>
      </w:r>
    </w:p>
    <w:p w14:paraId="23B3BEE8" w14:textId="77777777" w:rsidR="00D92B33" w:rsidRDefault="00000000" w:rsidP="00D92B33">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Skovierova</w:t>
      </w:r>
      <w:proofErr w:type="spellEnd"/>
      <w:r w:rsidRPr="00D92B33">
        <w:rPr>
          <w:rFonts w:ascii="Times New Roman" w:hAnsi="Times New Roman" w:cs="Times New Roman"/>
          <w:sz w:val="24"/>
          <w:szCs w:val="24"/>
        </w:rPr>
        <w:t xml:space="preserve"> H, </w:t>
      </w:r>
      <w:proofErr w:type="spellStart"/>
      <w:r w:rsidRPr="00D92B33">
        <w:rPr>
          <w:rFonts w:ascii="Times New Roman" w:hAnsi="Times New Roman" w:cs="Times New Roman"/>
          <w:sz w:val="24"/>
          <w:szCs w:val="24"/>
        </w:rPr>
        <w:t>Vidomanova</w:t>
      </w:r>
      <w:proofErr w:type="spellEnd"/>
      <w:r w:rsidRPr="00D92B33">
        <w:rPr>
          <w:rFonts w:ascii="Times New Roman" w:hAnsi="Times New Roman" w:cs="Times New Roman"/>
          <w:sz w:val="24"/>
          <w:szCs w:val="24"/>
        </w:rPr>
        <w:t xml:space="preserve"> E, Mahmood S, et al. The molecular and cellular effect of homocysteine metabolism imbalance on human health. Int J Mol Sci. 2016;17(10):1733. doi:10.3390/ijms17101733.</w:t>
      </w:r>
    </w:p>
    <w:p w14:paraId="37FDA317"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Rocha CSM, Reis SR, Faria JG, et al. Predisposing risk factors for cleft lip and palate in an Amazonian population by focusing on nutritional factors: A case-control study. J Plast Reconstr Aesthet Surg. </w:t>
      </w:r>
      <w:proofErr w:type="gramStart"/>
      <w:r w:rsidRPr="00D92B33">
        <w:rPr>
          <w:rFonts w:ascii="Times New Roman" w:hAnsi="Times New Roman" w:cs="Times New Roman"/>
          <w:sz w:val="24"/>
          <w:szCs w:val="24"/>
        </w:rPr>
        <w:t>2024;94:169</w:t>
      </w:r>
      <w:proofErr w:type="gramEnd"/>
      <w:r w:rsidRPr="00D92B33">
        <w:rPr>
          <w:rFonts w:ascii="Times New Roman" w:hAnsi="Times New Roman" w:cs="Times New Roman"/>
          <w:sz w:val="24"/>
          <w:szCs w:val="24"/>
        </w:rPr>
        <w:t xml:space="preserve">-177. </w:t>
      </w:r>
      <w:proofErr w:type="gramStart"/>
      <w:r w:rsidRPr="00D92B33">
        <w:rPr>
          <w:rFonts w:ascii="Times New Roman" w:hAnsi="Times New Roman" w:cs="Times New Roman"/>
          <w:sz w:val="24"/>
          <w:szCs w:val="24"/>
        </w:rPr>
        <w:t>doi:10.1016/j.bjps</w:t>
      </w:r>
      <w:proofErr w:type="gramEnd"/>
      <w:r w:rsidRPr="00D92B33">
        <w:rPr>
          <w:rFonts w:ascii="Times New Roman" w:hAnsi="Times New Roman" w:cs="Times New Roman"/>
          <w:sz w:val="24"/>
          <w:szCs w:val="24"/>
        </w:rPr>
        <w:t>.2024.05.015.</w:t>
      </w:r>
    </w:p>
    <w:p w14:paraId="475595CC"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Phyu MN, Mon MM, Lin HH, et al. Maternal stressful events and socioeconomic status among orofacial cleft families: A hospital-based study. J Cleft Lip Palate Craniofac Anomal. 2020;7(1):24. </w:t>
      </w:r>
      <w:proofErr w:type="gramStart"/>
      <w:r w:rsidRPr="00D92B33">
        <w:rPr>
          <w:rFonts w:ascii="Times New Roman" w:hAnsi="Times New Roman" w:cs="Times New Roman"/>
          <w:sz w:val="24"/>
          <w:szCs w:val="24"/>
        </w:rPr>
        <w:t>doi:10.4103/jclpca.jclpca</w:t>
      </w:r>
      <w:proofErr w:type="gramEnd"/>
      <w:r w:rsidRPr="00D92B33">
        <w:rPr>
          <w:rFonts w:ascii="Times New Roman" w:hAnsi="Times New Roman" w:cs="Times New Roman"/>
          <w:sz w:val="24"/>
          <w:szCs w:val="24"/>
        </w:rPr>
        <w:t>_19_19.</w:t>
      </w:r>
    </w:p>
    <w:p w14:paraId="68CDFAA5"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Kruppa K, Williams J, Kantar RS, et al. Cleft lip and/or palate and associated risks in lower-middle-income countries: A systematic review. Cleft Palate Craniofac J. 2022;59(5):568-576. doi:10.1177/10556656211018952.</w:t>
      </w:r>
    </w:p>
    <w:p w14:paraId="4A5F3187"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lastRenderedPageBreak/>
        <w:t xml:space="preserve">Adewale AO, Alshammari RF, </w:t>
      </w:r>
      <w:proofErr w:type="spellStart"/>
      <w:r w:rsidRPr="00D92B33">
        <w:rPr>
          <w:rFonts w:ascii="Times New Roman" w:hAnsi="Times New Roman" w:cs="Times New Roman"/>
          <w:sz w:val="24"/>
          <w:szCs w:val="24"/>
        </w:rPr>
        <w:t>Alajlan</w:t>
      </w:r>
      <w:proofErr w:type="spellEnd"/>
      <w:r w:rsidRPr="00D92B33">
        <w:rPr>
          <w:rFonts w:ascii="Times New Roman" w:hAnsi="Times New Roman" w:cs="Times New Roman"/>
          <w:sz w:val="24"/>
          <w:szCs w:val="24"/>
        </w:rPr>
        <w:t xml:space="preserve"> SA, et al. Risk factors associated with cleft etiology: A multicenter experience. Saudi J Oral Dent Res. 2023;8(8):233-239. doi:10.36348/</w:t>
      </w:r>
      <w:proofErr w:type="gramStart"/>
      <w:r w:rsidRPr="00D92B33">
        <w:rPr>
          <w:rFonts w:ascii="Times New Roman" w:hAnsi="Times New Roman" w:cs="Times New Roman"/>
          <w:sz w:val="24"/>
          <w:szCs w:val="24"/>
        </w:rPr>
        <w:t>sjodr.2023.v</w:t>
      </w:r>
      <w:proofErr w:type="gramEnd"/>
      <w:r w:rsidRPr="00D92B33">
        <w:rPr>
          <w:rFonts w:ascii="Times New Roman" w:hAnsi="Times New Roman" w:cs="Times New Roman"/>
          <w:sz w:val="24"/>
          <w:szCs w:val="24"/>
        </w:rPr>
        <w:t>08i08.002.</w:t>
      </w:r>
    </w:p>
    <w:p w14:paraId="762401AE" w14:textId="77777777" w:rsidR="00D92B33" w:rsidRDefault="00000000" w:rsidP="00D92B33">
      <w:pPr>
        <w:pStyle w:val="ListParagraph"/>
        <w:numPr>
          <w:ilvl w:val="0"/>
          <w:numId w:val="10"/>
        </w:numPr>
        <w:ind w:left="567" w:hanging="567"/>
        <w:rPr>
          <w:rFonts w:ascii="Times New Roman" w:hAnsi="Times New Roman" w:cs="Times New Roman"/>
          <w:sz w:val="24"/>
          <w:szCs w:val="24"/>
        </w:rPr>
      </w:pPr>
      <w:r w:rsidRPr="00D92B33">
        <w:rPr>
          <w:rFonts w:ascii="Times New Roman" w:hAnsi="Times New Roman" w:cs="Times New Roman"/>
          <w:sz w:val="24"/>
          <w:szCs w:val="24"/>
        </w:rPr>
        <w:t xml:space="preserve">Swami RS, </w:t>
      </w:r>
      <w:proofErr w:type="spellStart"/>
      <w:r w:rsidRPr="00D92B33">
        <w:rPr>
          <w:rFonts w:ascii="Times New Roman" w:hAnsi="Times New Roman" w:cs="Times New Roman"/>
          <w:sz w:val="24"/>
          <w:szCs w:val="24"/>
        </w:rPr>
        <w:t>Battepati</w:t>
      </w:r>
      <w:proofErr w:type="spellEnd"/>
      <w:r w:rsidRPr="00D92B33">
        <w:rPr>
          <w:rFonts w:ascii="Times New Roman" w:hAnsi="Times New Roman" w:cs="Times New Roman"/>
          <w:sz w:val="24"/>
          <w:szCs w:val="24"/>
        </w:rPr>
        <w:t xml:space="preserve"> PM. Assessment of prevalence pattern of orofacial clefting and etiological risk factors in children with cleft lip and/or palate. Ann Int Med Dent Res. 2018;4(3):DE28-DE31. </w:t>
      </w:r>
      <w:proofErr w:type="gramStart"/>
      <w:r w:rsidRPr="00D92B33">
        <w:rPr>
          <w:rFonts w:ascii="Times New Roman" w:hAnsi="Times New Roman" w:cs="Times New Roman"/>
          <w:sz w:val="24"/>
          <w:szCs w:val="24"/>
        </w:rPr>
        <w:t>doi:10.21276/aimdr.2018.4.3.DE6</w:t>
      </w:r>
      <w:proofErr w:type="gramEnd"/>
      <w:r w:rsidRPr="00D92B33">
        <w:rPr>
          <w:rFonts w:ascii="Times New Roman" w:hAnsi="Times New Roman" w:cs="Times New Roman"/>
          <w:sz w:val="24"/>
          <w:szCs w:val="24"/>
        </w:rPr>
        <w:t>.</w:t>
      </w:r>
    </w:p>
    <w:p w14:paraId="136776CA" w14:textId="77777777" w:rsidR="00234366" w:rsidRDefault="00000000" w:rsidP="00234366">
      <w:pPr>
        <w:pStyle w:val="ListParagraph"/>
        <w:numPr>
          <w:ilvl w:val="0"/>
          <w:numId w:val="10"/>
        </w:numPr>
        <w:ind w:left="567" w:hanging="567"/>
        <w:rPr>
          <w:rFonts w:ascii="Times New Roman" w:hAnsi="Times New Roman" w:cs="Times New Roman"/>
          <w:sz w:val="24"/>
          <w:szCs w:val="24"/>
        </w:rPr>
      </w:pPr>
      <w:proofErr w:type="spellStart"/>
      <w:r w:rsidRPr="00D92B33">
        <w:rPr>
          <w:rFonts w:ascii="Times New Roman" w:hAnsi="Times New Roman" w:cs="Times New Roman"/>
          <w:sz w:val="24"/>
          <w:szCs w:val="24"/>
        </w:rPr>
        <w:t>Charoenvicha</w:t>
      </w:r>
      <w:proofErr w:type="spellEnd"/>
      <w:r w:rsidRPr="00D92B33">
        <w:rPr>
          <w:rFonts w:ascii="Times New Roman" w:hAnsi="Times New Roman" w:cs="Times New Roman"/>
          <w:sz w:val="24"/>
          <w:szCs w:val="24"/>
        </w:rPr>
        <w:t xml:space="preserve"> C, </w:t>
      </w:r>
      <w:proofErr w:type="spellStart"/>
      <w:r w:rsidRPr="00D92B33">
        <w:rPr>
          <w:rFonts w:ascii="Times New Roman" w:hAnsi="Times New Roman" w:cs="Times New Roman"/>
          <w:sz w:val="24"/>
          <w:szCs w:val="24"/>
        </w:rPr>
        <w:t>Pradubwong</w:t>
      </w:r>
      <w:proofErr w:type="spellEnd"/>
      <w:r w:rsidRPr="00D92B33">
        <w:rPr>
          <w:rFonts w:ascii="Times New Roman" w:hAnsi="Times New Roman" w:cs="Times New Roman"/>
          <w:sz w:val="24"/>
          <w:szCs w:val="24"/>
        </w:rPr>
        <w:t xml:space="preserve"> S, </w:t>
      </w:r>
      <w:proofErr w:type="spellStart"/>
      <w:r w:rsidRPr="00D92B33">
        <w:rPr>
          <w:rFonts w:ascii="Times New Roman" w:hAnsi="Times New Roman" w:cs="Times New Roman"/>
          <w:sz w:val="24"/>
          <w:szCs w:val="24"/>
        </w:rPr>
        <w:t>Rittirod</w:t>
      </w:r>
      <w:proofErr w:type="spellEnd"/>
      <w:r w:rsidRPr="00D92B33">
        <w:rPr>
          <w:rFonts w:ascii="Times New Roman" w:hAnsi="Times New Roman" w:cs="Times New Roman"/>
          <w:sz w:val="24"/>
          <w:szCs w:val="24"/>
        </w:rPr>
        <w:t xml:space="preserve"> T, et al. Predisposing factors of non-syndromic cleft lip and cleft palate in the Northern Thai population: A 10-year retrospective case-control study. Congenit Anom. 2023;63(5):147-153. doi:10.1111/cga.12529.</w:t>
      </w:r>
    </w:p>
    <w:p w14:paraId="74A0B9E7" w14:textId="77777777" w:rsidR="00234366" w:rsidRDefault="00000000" w:rsidP="00234366">
      <w:pPr>
        <w:pStyle w:val="ListParagraph"/>
        <w:numPr>
          <w:ilvl w:val="0"/>
          <w:numId w:val="10"/>
        </w:numPr>
        <w:ind w:left="567" w:hanging="567"/>
        <w:rPr>
          <w:rFonts w:ascii="Times New Roman" w:hAnsi="Times New Roman" w:cs="Times New Roman"/>
          <w:sz w:val="24"/>
          <w:szCs w:val="24"/>
        </w:rPr>
      </w:pPr>
      <w:r w:rsidRPr="00234366">
        <w:rPr>
          <w:rFonts w:ascii="Times New Roman" w:hAnsi="Times New Roman" w:cs="Times New Roman"/>
          <w:sz w:val="24"/>
          <w:szCs w:val="24"/>
        </w:rPr>
        <w:t>Melinda T, Purnomo A, Sutopo Y. Pengaruh sosial ekonomi terhadap kepemilikan asuransi kesehatan masyarakat Desa Kebumen Kecamatan Banyubiru Kabupaten Semarang. J Pendidikan Sosial. 2019.</w:t>
      </w:r>
    </w:p>
    <w:p w14:paraId="5A45DEA4" w14:textId="77777777" w:rsidR="00234366" w:rsidRDefault="00000000" w:rsidP="00234366">
      <w:pPr>
        <w:pStyle w:val="ListParagraph"/>
        <w:numPr>
          <w:ilvl w:val="0"/>
          <w:numId w:val="10"/>
        </w:numPr>
        <w:ind w:left="567" w:hanging="567"/>
        <w:rPr>
          <w:rFonts w:ascii="Times New Roman" w:hAnsi="Times New Roman" w:cs="Times New Roman"/>
          <w:sz w:val="24"/>
          <w:szCs w:val="24"/>
        </w:rPr>
      </w:pPr>
      <w:r w:rsidRPr="00234366">
        <w:rPr>
          <w:rFonts w:ascii="Times New Roman" w:hAnsi="Times New Roman" w:cs="Times New Roman"/>
          <w:sz w:val="24"/>
          <w:szCs w:val="24"/>
        </w:rPr>
        <w:t>Vu GH, Broder HL, Shaye DA, et al. Poverty and risk of cleft lip and palate: An analysis of United States birth data. Plast Reconstr Surg. 2022;149(1):169-182. doi:10.1097/PRS.0000000000008636.</w:t>
      </w:r>
    </w:p>
    <w:p w14:paraId="6ACB7F7C" w14:textId="77777777" w:rsidR="00234366" w:rsidRDefault="00000000" w:rsidP="00234366">
      <w:pPr>
        <w:pStyle w:val="ListParagraph"/>
        <w:numPr>
          <w:ilvl w:val="0"/>
          <w:numId w:val="10"/>
        </w:numPr>
        <w:ind w:left="567" w:hanging="567"/>
        <w:rPr>
          <w:rFonts w:ascii="Times New Roman" w:hAnsi="Times New Roman" w:cs="Times New Roman"/>
          <w:sz w:val="24"/>
          <w:szCs w:val="24"/>
        </w:rPr>
      </w:pPr>
      <w:proofErr w:type="spellStart"/>
      <w:r w:rsidRPr="00234366">
        <w:rPr>
          <w:rFonts w:ascii="Times New Roman" w:hAnsi="Times New Roman" w:cs="Times New Roman"/>
          <w:sz w:val="24"/>
          <w:szCs w:val="24"/>
        </w:rPr>
        <w:t>Astriningrum</w:t>
      </w:r>
      <w:proofErr w:type="spellEnd"/>
      <w:r w:rsidRPr="00234366">
        <w:rPr>
          <w:rFonts w:ascii="Times New Roman" w:hAnsi="Times New Roman" w:cs="Times New Roman"/>
          <w:sz w:val="24"/>
          <w:szCs w:val="24"/>
        </w:rPr>
        <w:t xml:space="preserve"> EP, </w:t>
      </w:r>
      <w:proofErr w:type="spellStart"/>
      <w:r w:rsidRPr="00234366">
        <w:rPr>
          <w:rFonts w:ascii="Times New Roman" w:hAnsi="Times New Roman" w:cs="Times New Roman"/>
          <w:sz w:val="24"/>
          <w:szCs w:val="24"/>
        </w:rPr>
        <w:t>Hardinsyah</w:t>
      </w:r>
      <w:proofErr w:type="spellEnd"/>
      <w:r w:rsidRPr="00234366">
        <w:rPr>
          <w:rFonts w:ascii="Times New Roman" w:hAnsi="Times New Roman" w:cs="Times New Roman"/>
          <w:sz w:val="24"/>
          <w:szCs w:val="24"/>
        </w:rPr>
        <w:t xml:space="preserve"> H, Nurdin NM. Asupan asam folat, vitamin B12, dan vitamin C pada ibu hamil di Indonesia berdasarkan Studi Diet Total. J Gizi Pangan. 2017;12(1):31-40. doi:10.25182/jgp.2017.12.1.31-40.</w:t>
      </w:r>
    </w:p>
    <w:p w14:paraId="1450FE9D" w14:textId="0935AA1B" w:rsidR="007D6A3F" w:rsidRPr="00234366" w:rsidRDefault="00000000" w:rsidP="00234366">
      <w:pPr>
        <w:pStyle w:val="ListParagraph"/>
        <w:numPr>
          <w:ilvl w:val="0"/>
          <w:numId w:val="10"/>
        </w:numPr>
        <w:ind w:left="567" w:hanging="567"/>
        <w:rPr>
          <w:rFonts w:ascii="Times New Roman" w:hAnsi="Times New Roman" w:cs="Times New Roman"/>
          <w:sz w:val="24"/>
          <w:szCs w:val="24"/>
        </w:rPr>
      </w:pPr>
      <w:r w:rsidRPr="00234366">
        <w:rPr>
          <w:rFonts w:ascii="Times New Roman" w:hAnsi="Times New Roman" w:cs="Times New Roman"/>
          <w:sz w:val="24"/>
          <w:szCs w:val="24"/>
        </w:rPr>
        <w:t>World Health Organization. Daily iron and folic acid supplementation during pregnancy. Geneva: World Health Organization; 2024. Available from: https://www.who.int/tools/elena/interventions/daily-iron-pregnancy.</w:t>
      </w:r>
    </w:p>
    <w:sectPr w:rsidR="007D6A3F" w:rsidRPr="00234366" w:rsidSect="00034616">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4F95" w14:textId="77777777" w:rsidR="008724EB" w:rsidRDefault="008724EB">
      <w:pPr>
        <w:spacing w:after="0" w:line="240" w:lineRule="auto"/>
      </w:pPr>
      <w:r>
        <w:separator/>
      </w:r>
    </w:p>
  </w:endnote>
  <w:endnote w:type="continuationSeparator" w:id="0">
    <w:p w14:paraId="2806E3B2" w14:textId="77777777" w:rsidR="008724EB" w:rsidRDefault="00872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1CEA" w14:textId="77777777" w:rsidR="007D6A3F" w:rsidRDefault="00000000">
    <w:pPr>
      <w:pStyle w:val="Footer"/>
      <w:jc w:val="right"/>
    </w:pPr>
    <w:r>
      <w:rPr>
        <w:sz w:val="20"/>
      </w:rPr>
      <w:fldChar w:fldCharType="begin"/>
    </w:r>
    <w:r>
      <w:rPr>
        <w:sz w:val="20"/>
      </w:rPr>
      <w:instrText xml:space="preserve"> PAGE </w:instrText>
    </w:r>
    <w:r>
      <w:rPr>
        <w:sz w:val="20"/>
      </w:rPr>
      <w:fldChar w:fldCharType="separate"/>
    </w:r>
    <w:r w:rsidR="0081276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AA4D" w14:textId="77777777" w:rsidR="008724EB" w:rsidRDefault="008724EB">
      <w:pPr>
        <w:spacing w:after="0" w:line="240" w:lineRule="auto"/>
      </w:pPr>
      <w:r>
        <w:separator/>
      </w:r>
    </w:p>
  </w:footnote>
  <w:footnote w:type="continuationSeparator" w:id="0">
    <w:p w14:paraId="7758E8BB" w14:textId="77777777" w:rsidR="008724EB" w:rsidRDefault="00872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151A58"/>
    <w:multiLevelType w:val="hybridMultilevel"/>
    <w:tmpl w:val="C5283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99155941">
    <w:abstractNumId w:val="8"/>
  </w:num>
  <w:num w:numId="2" w16cid:durableId="672103059">
    <w:abstractNumId w:val="6"/>
  </w:num>
  <w:num w:numId="3" w16cid:durableId="791216534">
    <w:abstractNumId w:val="5"/>
  </w:num>
  <w:num w:numId="4" w16cid:durableId="648436157">
    <w:abstractNumId w:val="4"/>
  </w:num>
  <w:num w:numId="5" w16cid:durableId="533150209">
    <w:abstractNumId w:val="7"/>
  </w:num>
  <w:num w:numId="6" w16cid:durableId="654259197">
    <w:abstractNumId w:val="3"/>
  </w:num>
  <w:num w:numId="7" w16cid:durableId="293950951">
    <w:abstractNumId w:val="2"/>
  </w:num>
  <w:num w:numId="8" w16cid:durableId="2072726821">
    <w:abstractNumId w:val="1"/>
  </w:num>
  <w:num w:numId="9" w16cid:durableId="1399599178">
    <w:abstractNumId w:val="0"/>
  </w:num>
  <w:num w:numId="10" w16cid:durableId="882521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3A"/>
    <w:rsid w:val="00234366"/>
    <w:rsid w:val="0029639D"/>
    <w:rsid w:val="00326F90"/>
    <w:rsid w:val="007D6A3F"/>
    <w:rsid w:val="0081276C"/>
    <w:rsid w:val="008724EB"/>
    <w:rsid w:val="00923334"/>
    <w:rsid w:val="00962964"/>
    <w:rsid w:val="00A30EC4"/>
    <w:rsid w:val="00A6725B"/>
    <w:rsid w:val="00AA1D8D"/>
    <w:rsid w:val="00B47730"/>
    <w:rsid w:val="00CB0664"/>
    <w:rsid w:val="00D71D18"/>
    <w:rsid w:val="00D92B33"/>
    <w:rsid w:val="00F002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AD97C"/>
  <w14:defaultImageDpi w14:val="300"/>
  <w15:docId w15:val="{5C26C681-7AD3-48B7-85F5-769A0118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81276C"/>
  </w:style>
  <w:style w:type="character" w:styleId="Hyperlink">
    <w:name w:val="Hyperlink"/>
    <w:basedOn w:val="DefaultParagraphFont"/>
    <w:uiPriority w:val="99"/>
    <w:unhideWhenUsed/>
    <w:rsid w:val="00D92B33"/>
    <w:rPr>
      <w:color w:val="0000FF" w:themeColor="hyperlink"/>
      <w:u w:val="single"/>
    </w:rPr>
  </w:style>
  <w:style w:type="character" w:styleId="UnresolvedMention">
    <w:name w:val="Unresolved Mention"/>
    <w:basedOn w:val="DefaultParagraphFont"/>
    <w:uiPriority w:val="99"/>
    <w:semiHidden/>
    <w:unhideWhenUsed/>
    <w:rsid w:val="00D92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ho.int/tools/elena/interventions/folate-periconcep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4317</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Maternal nutritional and socioeconomic determinants of cleft lip and palate: a scoping review</vt:lpstr>
    </vt:vector>
  </TitlesOfParts>
  <Manager/>
  <Company/>
  <LinksUpToDate>false</LinksUpToDate>
  <CharactersWithSpaces>28873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nutritional and socioeconomic determinants of cleft lip and palate: a scoping review</dc:title>
  <dc:subject>MJIRI initial submission manuscript - pre-PRISMA finalization</dc:subject>
  <dc:creator>Ruby Riana Asparini;Aida Musyarrofah;Haura Tsabitah Kuswoyo</dc:creator>
  <cp:keywords/>
  <dc:description>generated by python-docx</dc:description>
  <cp:lastModifiedBy>PT ANOA MANDIRI SEJAHTERA</cp:lastModifiedBy>
  <cp:revision>3</cp:revision>
  <dcterms:created xsi:type="dcterms:W3CDTF">2026-06-28T23:52:00Z</dcterms:created>
  <dcterms:modified xsi:type="dcterms:W3CDTF">2026-06-29T01:05:00Z</dcterms:modified>
  <cp:category/>
</cp:coreProperties>
</file>