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keepNext w:val="0"/>
        <w:keepLines w:val="0"/>
        <w:spacing w:before="0" w:after="240" w:line="240" w:lineRule="auto"/>
        <w:jc w:val="left"/>
      </w:pPr>
      <w:r>
        <w:rPr>
          <w:rFonts w:ascii="Times New Roman" w:hAnsi="Times New Roman" w:eastAsia="Times New Roman"/>
          <w:b w:val="0"/>
          <w:i/>
          <w:sz w:val="20"/>
        </w:rPr>
        <w:t>(Restorative Dentistry and Endodontics: Research Article)</w:t>
      </w:r>
    </w:p>
    <w:p>
      <w:pPr>
        <w:keepNext/>
        <w:keepLines w:val="0"/>
        <w:spacing w:before="0" w:after="240" w:line="480" w:lineRule="auto"/>
        <w:jc w:val="left"/>
      </w:pPr>
      <w:r>
        <w:rPr>
          <w:rFonts w:ascii="Times New Roman" w:hAnsi="Times New Roman" w:eastAsia="Times New Roman"/>
          <w:b/>
          <w:i w:val="0"/>
          <w:sz w:val="20"/>
        </w:rPr>
        <w:t>Immunomodulatory effects of carbonate hydroxyapatite and ellagic acid-modified calcium hydroxide in a rat pulp perforation model</w:t>
      </w:r>
    </w:p>
    <w:p>
      <w:pPr>
        <w:keepNext/>
        <w:keepLines w:val="0"/>
        <w:spacing w:before="0" w:after="0" w:line="480" w:lineRule="auto"/>
        <w:jc w:val="left"/>
      </w:pPr>
      <w:r>
        <w:rPr>
          <w:rFonts w:ascii="Times New Roman" w:hAnsi="Times New Roman" w:eastAsia="Times New Roman"/>
          <w:sz w:val="20"/>
        </w:rPr>
        <w:t>Catur Septommy</w:t>
      </w:r>
      <w:r>
        <w:rPr>
          <w:rFonts w:ascii="Times New Roman" w:hAnsi="Times New Roman" w:eastAsia="Times New Roman"/>
          <w:sz w:val="20"/>
          <w:vertAlign w:val="superscript"/>
        </w:rPr>
        <w:t>1,2</w:t>
      </w:r>
      <w:r>
        <w:rPr>
          <w:rFonts w:ascii="Times New Roman" w:hAnsi="Times New Roman" w:eastAsia="Times New Roman"/>
          <w:sz w:val="20"/>
        </w:rPr>
        <w:t xml:space="preserve">, </w:t>
      </w:r>
      <w:r>
        <w:rPr>
          <w:rFonts w:ascii="Times New Roman" w:hAnsi="Times New Roman" w:eastAsia="Times New Roman"/>
          <w:sz w:val="20"/>
        </w:rPr>
        <w:t>Intan Nirwana</w:t>
      </w:r>
      <w:r>
        <w:rPr>
          <w:rFonts w:ascii="Times New Roman" w:hAnsi="Times New Roman" w:eastAsia="Times New Roman"/>
          <w:sz w:val="20"/>
          <w:vertAlign w:val="superscript"/>
        </w:rPr>
        <w:t>3</w:t>
      </w:r>
      <w:r>
        <w:rPr>
          <w:rFonts w:ascii="Times New Roman" w:hAnsi="Times New Roman" w:eastAsia="Times New Roman"/>
          <w:sz w:val="20"/>
        </w:rPr>
        <w:t xml:space="preserve">, </w:t>
      </w:r>
      <w:r>
        <w:rPr>
          <w:rFonts w:ascii="Times New Roman" w:hAnsi="Times New Roman" w:eastAsia="Times New Roman"/>
          <w:sz w:val="20"/>
        </w:rPr>
        <w:t>Ira Widjiastuti</w:t>
      </w:r>
      <w:r>
        <w:rPr>
          <w:rFonts w:ascii="Times New Roman" w:hAnsi="Times New Roman" w:eastAsia="Times New Roman"/>
          <w:sz w:val="20"/>
          <w:vertAlign w:val="superscript"/>
        </w:rPr>
        <w:t>4</w:t>
      </w:r>
      <w:r>
        <w:rPr>
          <w:rFonts w:ascii="Times New Roman" w:hAnsi="Times New Roman" w:eastAsia="Times New Roman"/>
          <w:sz w:val="20"/>
        </w:rPr>
        <w:t xml:space="preserve"> </w:t>
      </w:r>
      <w:r>
        <w:rPr>
          <w:rFonts w:ascii="Times New Roman" w:hAnsi="Times New Roman" w:eastAsia="Times New Roman"/>
          <w:sz w:val="20"/>
          <w:highlight w:val="yellow"/>
        </w:rPr>
        <w:t>[*Corresponding author to be confirmed]</w:t>
      </w:r>
    </w:p>
    <w:p>
      <w:pPr>
        <w:keepNext/>
        <w:keepLines w:val="0"/>
        <w:spacing w:before="0" w:after="0" w:line="480" w:lineRule="auto"/>
        <w:jc w:val="left"/>
      </w:pPr>
      <w:r>
        <w:rPr>
          <w:rFonts w:ascii="Times New Roman" w:hAnsi="Times New Roman" w:eastAsia="Times New Roman"/>
          <w:sz w:val="20"/>
          <w:vertAlign w:val="superscript"/>
        </w:rPr>
        <w:t>1</w:t>
      </w:r>
      <w:r>
        <w:rPr>
          <w:rFonts w:ascii="Times New Roman" w:hAnsi="Times New Roman" w:eastAsia="Times New Roman"/>
          <w:sz w:val="20"/>
        </w:rPr>
        <w:t>Doctoral Study Program, Faculty of Dental Medicine, Universitas Airlangga, Surabaya, Indonesia</w:t>
      </w:r>
    </w:p>
    <w:p>
      <w:pPr>
        <w:keepNext/>
        <w:keepLines w:val="0"/>
        <w:spacing w:before="0" w:after="0" w:line="480" w:lineRule="auto"/>
        <w:jc w:val="left"/>
      </w:pPr>
      <w:r>
        <w:rPr>
          <w:rFonts w:ascii="Times New Roman" w:hAnsi="Times New Roman" w:eastAsia="Times New Roman"/>
          <w:sz w:val="20"/>
          <w:vertAlign w:val="superscript"/>
        </w:rPr>
        <w:t>2</w:t>
      </w:r>
      <w:r>
        <w:rPr>
          <w:rFonts w:ascii="Times New Roman" w:hAnsi="Times New Roman" w:eastAsia="Times New Roman"/>
          <w:sz w:val="20"/>
        </w:rPr>
        <w:t>Department of Biomaterial, Faculty of Dental Medicine, Institut Ilmu Kesehatan Bhakti Wiyata, Kediri, Indonesia</w:t>
      </w:r>
    </w:p>
    <w:p>
      <w:pPr>
        <w:keepNext/>
        <w:keepLines w:val="0"/>
        <w:spacing w:before="0" w:after="0" w:line="480" w:lineRule="auto"/>
        <w:jc w:val="left"/>
      </w:pPr>
      <w:r>
        <w:rPr>
          <w:rFonts w:ascii="Times New Roman" w:hAnsi="Times New Roman" w:eastAsia="Times New Roman"/>
          <w:sz w:val="20"/>
          <w:vertAlign w:val="superscript"/>
        </w:rPr>
        <w:t>3</w:t>
      </w:r>
      <w:r>
        <w:rPr>
          <w:rFonts w:ascii="Times New Roman" w:hAnsi="Times New Roman" w:eastAsia="Times New Roman"/>
          <w:sz w:val="20"/>
        </w:rPr>
        <w:t>Dental Materials Division, Department of Basic Dental Science and Public Health, Faculty of Dental Medicine, Universitas Airlangga, Surabaya, Indonesia</w:t>
      </w:r>
    </w:p>
    <w:p>
      <w:pPr>
        <w:keepNext/>
        <w:keepLines w:val="0"/>
        <w:spacing w:before="0" w:after="0" w:line="480" w:lineRule="auto"/>
        <w:jc w:val="left"/>
      </w:pPr>
      <w:r>
        <w:rPr>
          <w:rFonts w:ascii="Times New Roman" w:hAnsi="Times New Roman" w:eastAsia="Times New Roman"/>
          <w:sz w:val="20"/>
          <w:vertAlign w:val="superscript"/>
        </w:rPr>
        <w:t>4</w:t>
      </w:r>
      <w:r>
        <w:rPr>
          <w:rFonts w:ascii="Times New Roman" w:hAnsi="Times New Roman" w:eastAsia="Times New Roman"/>
          <w:sz w:val="20"/>
        </w:rPr>
        <w:t>Department of Conservative Dentistry, Faculty of Dental Medicine, Universitas Airlangga, Surabaya, Indonesia</w:t>
      </w:r>
    </w:p>
    <w:p>
      <w:pPr>
        <w:keepNext/>
        <w:keepLines w:val="0"/>
        <w:spacing w:before="0" w:after="0" w:line="480" w:lineRule="auto"/>
        <w:jc w:val="left"/>
      </w:pPr>
      <w:r>
        <w:rPr>
          <w:rFonts w:ascii="Times New Roman" w:hAnsi="Times New Roman" w:eastAsia="Times New Roman"/>
          <w:b w:val="0"/>
          <w:i w:val="0"/>
          <w:sz w:val="20"/>
        </w:rPr>
        <w:t>Septommy C, Nirwana I, Widjiastuti I.</w:t>
      </w:r>
    </w:p>
    <w:p>
      <w:pPr>
        <w:keepNext/>
        <w:keepLines w:val="0"/>
        <w:spacing w:before="0" w:after="0" w:line="480" w:lineRule="auto"/>
        <w:jc w:val="left"/>
      </w:pPr>
      <w:r>
        <w:rPr>
          <w:rFonts w:ascii="Times New Roman" w:hAnsi="Times New Roman" w:eastAsia="Times New Roman"/>
          <w:b w:val="0"/>
          <w:i w:val="0"/>
          <w:sz w:val="20"/>
        </w:rPr>
        <w:t>Running title: Immunomodulation in rat pulp</w:t>
      </w:r>
    </w:p>
    <w:p>
      <w:pPr>
        <w:keepNext/>
        <w:keepLines w:val="0"/>
        <w:spacing w:before="0" w:after="0" w:line="480" w:lineRule="auto"/>
        <w:jc w:val="left"/>
      </w:pPr>
      <w:r>
        <w:rPr>
          <w:rFonts w:ascii="Times New Roman" w:hAnsi="Times New Roman" w:eastAsia="Times New Roman"/>
          <w:b/>
          <w:sz w:val="20"/>
        </w:rPr>
        <w:t xml:space="preserve">*Correspondence: </w:t>
      </w:r>
      <w:r>
        <w:rPr>
          <w:rFonts w:ascii="Times New Roman" w:hAnsi="Times New Roman" w:eastAsia="Times New Roman"/>
          <w:sz w:val="20"/>
          <w:highlight w:val="yellow"/>
        </w:rPr>
        <w:t>[Corresponding author’s full name and academic degree]</w:t>
      </w:r>
    </w:p>
    <w:p>
      <w:pPr>
        <w:keepNext/>
        <w:keepLines w:val="0"/>
        <w:spacing w:before="0" w:after="0" w:line="480" w:lineRule="auto"/>
        <w:jc w:val="left"/>
      </w:pPr>
      <w:r>
        <w:rPr>
          <w:rFonts w:ascii="Times New Roman" w:hAnsi="Times New Roman" w:eastAsia="Times New Roman"/>
          <w:sz w:val="20"/>
          <w:highlight w:val="yellow"/>
        </w:rPr>
        <w:t>[Affiliation role, full postal address, city/postcode, country]</w:t>
      </w:r>
    </w:p>
    <w:p>
      <w:pPr>
        <w:keepNext/>
        <w:keepLines w:val="0"/>
        <w:spacing w:before="0" w:after="0" w:line="480" w:lineRule="auto"/>
        <w:jc w:val="left"/>
      </w:pPr>
      <w:r>
        <w:rPr>
          <w:rFonts w:ascii="Times New Roman" w:hAnsi="Times New Roman" w:eastAsia="Times New Roman"/>
          <w:sz w:val="20"/>
        </w:rPr>
        <w:t xml:space="preserve">E-mail: </w:t>
      </w:r>
      <w:r>
        <w:rPr>
          <w:rFonts w:ascii="Times New Roman" w:hAnsi="Times New Roman" w:eastAsia="Times New Roman"/>
          <w:sz w:val="20"/>
          <w:highlight w:val="yellow"/>
        </w:rPr>
        <w:t>[email]</w:t>
      </w:r>
      <w:r>
        <w:rPr>
          <w:rFonts w:ascii="Times New Roman" w:hAnsi="Times New Roman" w:eastAsia="Times New Roman"/>
          <w:sz w:val="20"/>
        </w:rPr>
        <w:t>, Tel: +</w:t>
      </w:r>
      <w:r>
        <w:rPr>
          <w:rFonts w:ascii="Times New Roman" w:hAnsi="Times New Roman" w:eastAsia="Times New Roman"/>
          <w:sz w:val="20"/>
          <w:highlight w:val="yellow"/>
        </w:rPr>
        <w:t>[telephone]</w:t>
      </w:r>
      <w:r>
        <w:rPr>
          <w:rFonts w:ascii="Times New Roman" w:hAnsi="Times New Roman" w:eastAsia="Times New Roman"/>
          <w:sz w:val="20"/>
        </w:rPr>
        <w:t xml:space="preserve">, Fax: </w:t>
      </w:r>
      <w:r>
        <w:rPr>
          <w:rFonts w:ascii="Times New Roman" w:hAnsi="Times New Roman" w:eastAsia="Times New Roman"/>
          <w:sz w:val="20"/>
          <w:highlight w:val="yellow"/>
        </w:rPr>
        <w:t>[fax, if applicable]</w:t>
      </w:r>
    </w:p>
    <w:p>
      <w:pPr>
        <w:keepNext/>
        <w:keepLines w:val="0"/>
        <w:spacing w:before="0" w:after="0" w:line="480" w:lineRule="auto"/>
        <w:jc w:val="left"/>
      </w:pPr>
      <w:r>
        <w:rPr>
          <w:rFonts w:ascii="Times New Roman" w:hAnsi="Times New Roman" w:eastAsia="Times New Roman"/>
          <w:b/>
          <w:i w:val="0"/>
          <w:sz w:val="20"/>
        </w:rPr>
        <w:t>ORCID</w:t>
      </w:r>
    </w:p>
    <w:p>
      <w:pPr>
        <w:keepNext/>
        <w:keepLines w:val="0"/>
        <w:spacing w:before="0" w:after="0" w:line="480" w:lineRule="auto"/>
        <w:jc w:val="left"/>
      </w:pPr>
      <w:r>
        <w:rPr>
          <w:rFonts w:ascii="Times New Roman" w:hAnsi="Times New Roman" w:eastAsia="Times New Roman"/>
          <w:sz w:val="20"/>
        </w:rPr>
        <w:t xml:space="preserve">Catur Septommy: </w:t>
      </w:r>
      <w:r>
        <w:rPr>
          <w:rFonts w:ascii="Times New Roman" w:hAnsi="Times New Roman" w:eastAsia="Times New Roman"/>
          <w:sz w:val="20"/>
          <w:highlight w:val="yellow"/>
        </w:rPr>
        <w:t>[https://orcid.org/0000-0000-0000-0000]</w:t>
      </w:r>
    </w:p>
    <w:p>
      <w:pPr>
        <w:keepNext/>
        <w:keepLines w:val="0"/>
        <w:spacing w:before="0" w:after="0" w:line="480" w:lineRule="auto"/>
        <w:jc w:val="left"/>
      </w:pPr>
      <w:r>
        <w:rPr>
          <w:rFonts w:ascii="Times New Roman" w:hAnsi="Times New Roman" w:eastAsia="Times New Roman"/>
          <w:sz w:val="20"/>
        </w:rPr>
        <w:t xml:space="preserve">Intan Nirwana: </w:t>
      </w:r>
      <w:r>
        <w:rPr>
          <w:rFonts w:ascii="Times New Roman" w:hAnsi="Times New Roman" w:eastAsia="Times New Roman"/>
          <w:sz w:val="20"/>
          <w:highlight w:val="yellow"/>
        </w:rPr>
        <w:t>[https://orcid.org/0000-0000-0000-0000]</w:t>
      </w:r>
    </w:p>
    <w:p>
      <w:pPr>
        <w:keepNext/>
        <w:keepLines w:val="0"/>
        <w:spacing w:before="0" w:after="0" w:line="480" w:lineRule="auto"/>
        <w:jc w:val="left"/>
      </w:pPr>
      <w:r>
        <w:rPr>
          <w:rFonts w:ascii="Times New Roman" w:hAnsi="Times New Roman" w:eastAsia="Times New Roman"/>
          <w:sz w:val="20"/>
        </w:rPr>
        <w:t xml:space="preserve">Ira Widjiastuti: </w:t>
      </w:r>
      <w:r>
        <w:rPr>
          <w:rFonts w:ascii="Times New Roman" w:hAnsi="Times New Roman" w:eastAsia="Times New Roman"/>
          <w:sz w:val="20"/>
          <w:highlight w:val="yellow"/>
        </w:rPr>
        <w:t>[https://orcid.org/0000-0000-0000-0000]</w:t>
      </w:r>
    </w:p>
    <w:p>
      <w:pPr>
        <w:keepNext/>
        <w:keepLines w:val="0"/>
        <w:spacing w:before="0" w:after="0" w:line="480" w:lineRule="auto"/>
        <w:jc w:val="left"/>
      </w:pPr>
      <w:r>
        <w:rPr>
          <w:rFonts w:ascii="Times New Roman" w:hAnsi="Times New Roman" w:eastAsia="Times New Roman"/>
          <w:b/>
          <w:sz w:val="20"/>
        </w:rPr>
        <w:t xml:space="preserve">Funding: </w:t>
      </w:r>
      <w:r>
        <w:rPr>
          <w:rFonts w:ascii="Times New Roman" w:hAnsi="Times New Roman" w:eastAsia="Times New Roman"/>
          <w:sz w:val="20"/>
          <w:highlight w:val="yellow"/>
        </w:rPr>
        <w:t>[To be confirmed by the authors; state all sources of support or “None.”]</w:t>
      </w:r>
    </w:p>
    <w:p>
      <w:pPr>
        <w:keepNext/>
        <w:keepLines w:val="0"/>
        <w:spacing w:before="0" w:after="0" w:line="480" w:lineRule="auto"/>
        <w:jc w:val="left"/>
      </w:pPr>
      <w:r>
        <w:rPr>
          <w:rFonts w:ascii="Times New Roman" w:hAnsi="Times New Roman" w:eastAsia="Times New Roman"/>
          <w:b/>
          <w:sz w:val="20"/>
        </w:rPr>
        <w:t xml:space="preserve">Data availability statement: </w:t>
      </w:r>
      <w:r>
        <w:rPr>
          <w:rFonts w:ascii="Times New Roman" w:hAnsi="Times New Roman" w:eastAsia="Times New Roman"/>
          <w:sz w:val="20"/>
          <w:highlight w:val="yellow"/>
        </w:rPr>
        <w:t>[To be confirmed by the authors. Suggested statement: “The data supporting the findings of this study are available from the corresponding author upon reasonable request.”]</w:t>
      </w:r>
    </w:p>
    <w:p>
      <w:pPr>
        <w:keepNext/>
        <w:keepLines w:val="0"/>
        <w:pageBreakBefore/>
        <w:spacing w:before="120" w:after="0" w:line="480" w:lineRule="auto"/>
        <w:jc w:val="left"/>
      </w:pPr>
      <w:r>
        <w:rPr>
          <w:rFonts w:ascii="Times New Roman" w:hAnsi="Times New Roman" w:eastAsia="Times New Roman"/>
          <w:b/>
          <w:i w:val="0"/>
          <w:sz w:val="20"/>
        </w:rPr>
        <w:t>ABSTRACT</w:t>
      </w:r>
    </w:p>
    <w:p>
      <w:pPr>
        <w:keepNext w:val="0"/>
        <w:keepLines w:val="0"/>
        <w:spacing w:before="0" w:after="0" w:line="480" w:lineRule="auto"/>
        <w:jc w:val="left"/>
      </w:pPr>
      <w:r>
        <w:rPr>
          <w:rFonts w:ascii="Times New Roman" w:hAnsi="Times New Roman" w:eastAsia="Times New Roman"/>
          <w:b/>
          <w:sz w:val="20"/>
        </w:rPr>
        <w:t xml:space="preserve">Objective(s): </w:t>
      </w:r>
      <w:r>
        <w:rPr>
          <w:rFonts w:ascii="Times New Roman" w:hAnsi="Times New Roman" w:eastAsia="Times New Roman"/>
          <w:sz w:val="20"/>
        </w:rPr>
        <w:t>To evaluate the immunomodulatory response to calcium hydroxide (CH) modified with carbonate hydroxyapatite (CHA) and ellagic acid (EA) in a rat pulp perforation model.</w:t>
      </w:r>
    </w:p>
    <w:p>
      <w:pPr>
        <w:keepNext w:val="0"/>
        <w:keepLines w:val="0"/>
        <w:spacing w:before="0" w:after="0" w:line="480" w:lineRule="auto"/>
        <w:jc w:val="left"/>
      </w:pPr>
      <w:r>
        <w:rPr>
          <w:rFonts w:ascii="Times New Roman" w:hAnsi="Times New Roman" w:eastAsia="Times New Roman"/>
          <w:b/>
          <w:sz w:val="20"/>
        </w:rPr>
        <w:t xml:space="preserve">Materials and Methods: </w:t>
      </w:r>
      <w:r>
        <w:rPr>
          <w:rFonts w:ascii="Times New Roman" w:hAnsi="Times New Roman" w:eastAsia="Times New Roman"/>
          <w:sz w:val="20"/>
        </w:rPr>
        <w:t>Sixty male Wistar rats were allocated to negative control (NC), CH, CH-CHA, and CH-CHA-EA groups (n = 5 per group at each time point) and euthanized on days 3, 7, or 14. Macrophage counts were assessed in hematoxylin and eosin-stained sections, and TNF-α and IL-10 expression were assessed immunohistochemically. Data were analyzed using one-way analysis of variance and Tukey’s post hoc test (p &lt; 0.05).</w:t>
      </w:r>
    </w:p>
    <w:p>
      <w:pPr>
        <w:keepNext w:val="0"/>
        <w:keepLines w:val="0"/>
        <w:spacing w:before="0" w:after="0" w:line="480" w:lineRule="auto"/>
        <w:jc w:val="left"/>
      </w:pPr>
      <w:r>
        <w:rPr>
          <w:rFonts w:ascii="Times New Roman" w:hAnsi="Times New Roman" w:eastAsia="Times New Roman"/>
          <w:b/>
          <w:sz w:val="20"/>
        </w:rPr>
        <w:t xml:space="preserve">Results: </w:t>
      </w:r>
      <w:r>
        <w:rPr>
          <w:rFonts w:ascii="Times New Roman" w:hAnsi="Times New Roman" w:eastAsia="Times New Roman"/>
          <w:sz w:val="20"/>
        </w:rPr>
        <w:t>On day 14, CH-CHA-EA showed the highest macrophage count (11.0 ± 1.58) compared with NC (3.6 ± 1.10; p &lt; 0.05), the lowest TNF-α expression (2.2 ± 0.84 vs. 12.0 ± 1.87; p &lt; 0.05), and the highest IL-10 expression (11.2 ± 1.92 vs. 6.2 ± 1.92; p &lt; 0.05).</w:t>
      </w:r>
    </w:p>
    <w:p>
      <w:pPr>
        <w:keepNext w:val="0"/>
        <w:keepLines w:val="0"/>
        <w:spacing w:before="0" w:after="0" w:line="480" w:lineRule="auto"/>
        <w:jc w:val="left"/>
      </w:pPr>
      <w:r>
        <w:rPr>
          <w:rFonts w:ascii="Times New Roman" w:hAnsi="Times New Roman" w:eastAsia="Times New Roman"/>
          <w:b/>
          <w:sz w:val="20"/>
        </w:rPr>
        <w:t xml:space="preserve">Conclusion(s): </w:t>
      </w:r>
      <w:r>
        <w:rPr>
          <w:rFonts w:ascii="Times New Roman" w:hAnsi="Times New Roman" w:eastAsia="Times New Roman"/>
          <w:sz w:val="20"/>
        </w:rPr>
        <w:t>The CH-CHA-EA formulation was associated with higher macrophage counts, increased IL-10 expression, and reduced TNF-α expression. These findings support an immunomodulatory effect in this rat pulp perforation model; direct evidence of pulp repair or regeneration requires further study.</w:t>
      </w:r>
    </w:p>
    <w:p>
      <w:pPr>
        <w:keepNext w:val="0"/>
        <w:keepLines w:val="0"/>
        <w:spacing w:before="0" w:after="0" w:line="480" w:lineRule="auto"/>
        <w:jc w:val="left"/>
      </w:pPr>
      <w:r>
        <w:rPr>
          <w:rFonts w:ascii="Times New Roman" w:hAnsi="Times New Roman" w:eastAsia="Times New Roman"/>
          <w:b/>
          <w:sz w:val="20"/>
        </w:rPr>
        <w:t xml:space="preserve">Keywords: </w:t>
      </w:r>
      <w:r>
        <w:rPr>
          <w:rFonts w:ascii="Times New Roman" w:hAnsi="Times New Roman" w:eastAsia="Times New Roman"/>
          <w:i/>
          <w:sz w:val="20"/>
        </w:rPr>
        <w:t>Calcium hydroxide; Dental pulp; Ellagic acid; Hydroxyapatites; Inflammation; Rats, Wistar</w:t>
      </w:r>
    </w:p>
    <w:p>
      <w:pPr>
        <w:keepNext/>
        <w:keepLines w:val="0"/>
        <w:spacing w:before="0" w:after="0" w:line="480" w:lineRule="auto"/>
        <w:jc w:val="left"/>
      </w:pPr>
      <w:r>
        <w:rPr>
          <w:rFonts w:ascii="Times New Roman" w:hAnsi="Times New Roman" w:eastAsia="Times New Roman"/>
          <w:b/>
          <w:i w:val="0"/>
          <w:sz w:val="20"/>
        </w:rPr>
        <w:t>INTRODUCTION</w:t>
      </w:r>
    </w:p>
    <w:p>
      <w:pPr>
        <w:keepNext w:val="0"/>
        <w:keepLines/>
        <w:spacing w:before="0" w:after="0" w:line="480" w:lineRule="auto"/>
        <w:jc w:val="left"/>
      </w:pPr>
      <w:r>
        <w:rPr>
          <w:rFonts w:ascii="Times New Roman" w:hAnsi="Times New Roman" w:eastAsia="Times New Roman"/>
          <w:b w:val="0"/>
          <w:i w:val="0"/>
          <w:sz w:val="20"/>
        </w:rPr>
        <w:t>Preserving pulp vitality is a central aim of vital pulp therapy (VPT). Following injury, the dental pulp initiates a biological response that includes inflammation, immune regulation, and tissue remodeling. A controlled inflammatory response is considered important for maintaining tissue homeostasis and supporting dentin-pulp healing; therefore, bioactive pulp-capping materials that can regulate the local inflammatory environment are of increasing interest in regenerative endodontics [1].</w:t>
      </w:r>
    </w:p>
    <w:p>
      <w:pPr>
        <w:keepNext w:val="0"/>
        <w:keepLines/>
        <w:spacing w:before="0" w:after="0" w:line="480" w:lineRule="auto"/>
        <w:jc w:val="left"/>
      </w:pPr>
      <w:r>
        <w:rPr>
          <w:rFonts w:ascii="Times New Roman" w:hAnsi="Times New Roman" w:eastAsia="Times New Roman"/>
          <w:b w:val="0"/>
          <w:i w:val="0"/>
          <w:sz w:val="20"/>
        </w:rPr>
        <w:t>Pulp exposure caused by deep caries, trauma, or dental procedures triggers an inflammatory response that contributes to host defense. However, excessive or persistent inflammation can disrupt tissue homeostasis, impair repair processes, and increase the risk of pulpal necrosis and loss of vitality. Accordingly, effective VPT should both protect the exposed pulp and regulate the local inflammatory response [2].</w:t>
      </w:r>
    </w:p>
    <w:p>
      <w:pPr>
        <w:keepNext w:val="0"/>
        <w:keepLines/>
        <w:spacing w:before="0" w:after="0" w:line="480" w:lineRule="auto"/>
        <w:jc w:val="left"/>
      </w:pPr>
      <w:r>
        <w:rPr>
          <w:rFonts w:ascii="Times New Roman" w:hAnsi="Times New Roman" w:eastAsia="Times New Roman"/>
          <w:b w:val="0"/>
          <w:i w:val="0"/>
          <w:sz w:val="20"/>
        </w:rPr>
        <w:t>Macrophages participate in inflammatory and reparative responses after pulp injury. Depending on local signals, they can be associated with the production of pro-inflammatory mediators, including tumor necrosis factor alpha (TNF-α), or anti-inflammatory/pro-resolution mediators, including interleukin 10 (IL-10). Macrophage polarization provides a useful biological framework for pulp healing, although phenotype-specific markers are required to establish M1 or M2 polarization directly [3].</w:t>
      </w:r>
    </w:p>
    <w:p>
      <w:pPr>
        <w:keepNext w:val="0"/>
        <w:keepLines/>
        <w:spacing w:before="0" w:after="0" w:line="480" w:lineRule="auto"/>
        <w:jc w:val="left"/>
      </w:pPr>
      <w:r>
        <w:rPr>
          <w:rFonts w:ascii="Times New Roman" w:hAnsi="Times New Roman" w:eastAsia="Times New Roman"/>
          <w:b w:val="0"/>
          <w:i w:val="0"/>
          <w:sz w:val="20"/>
        </w:rPr>
        <w:t>Calcium hydroxide has long been used as a reference material in VPT because of its antibacterial activity, alkaline pH, and ability to induce mineralized tissue formation. It releases hydroxyl and calcium ions, thereby creating conditions that inhibit bacterial growth and support hard-tissue deposition after pulp injury. Nevertheless, calcium hydroxide has limitations, including high solubility, low mechanical strength, susceptibility to microleakage, and irregular histological characteristics of the resulting hard-tissue bridge relative to newer bioactive materials [4,5].</w:t>
      </w:r>
    </w:p>
    <w:p>
      <w:pPr>
        <w:keepNext w:val="0"/>
        <w:keepLines/>
        <w:spacing w:before="0" w:after="0" w:line="480" w:lineRule="auto"/>
        <w:jc w:val="left"/>
      </w:pPr>
      <w:r>
        <w:rPr>
          <w:rFonts w:ascii="Times New Roman" w:hAnsi="Times New Roman" w:eastAsia="Times New Roman"/>
          <w:b w:val="0"/>
          <w:i w:val="0"/>
          <w:sz w:val="20"/>
        </w:rPr>
        <w:t>These limitations have prompted the development of adjunctive bioactive materials that may support mineralization while modifying the inflammatory microenvironment. Carbonate hydroxyapatite (CHA) resembles the mineral phase of natural hard tissues. Carbonate substitution increases its similarity to biological apatite and may improve resorbability and osteoconductive properties. CHA has been reported to support cell attachment, proliferation, differentiation, and mineralized tissue formation, making it a potential component of materials for endodontic regeneration [6,7].</w:t>
      </w:r>
    </w:p>
    <w:p>
      <w:pPr>
        <w:keepNext w:val="0"/>
        <w:keepLines/>
        <w:spacing w:before="0" w:after="0" w:line="480" w:lineRule="auto"/>
        <w:jc w:val="left"/>
      </w:pPr>
      <w:r>
        <w:rPr>
          <w:rFonts w:ascii="Times New Roman" w:hAnsi="Times New Roman" w:eastAsia="Times New Roman"/>
          <w:b w:val="0"/>
          <w:i w:val="0"/>
          <w:sz w:val="20"/>
        </w:rPr>
        <w:t>Ellagic acid (EA) is a polyphenolic compound with reported antioxidant and anti-inflammatory activities. EA may influence cytokine-related signaling pathways, including nuclear factor-kappa B (NF-κB), thereby reducing pro-inflammatory mediator production. Previous investigations of EA-containing pulp-capping materials have reported reduced inflammatory-cell infiltration and TNF-α expression, suggesting a possible immunomodulatory role in local tissue responses [8,9].</w:t>
      </w:r>
    </w:p>
    <w:p>
      <w:pPr>
        <w:keepNext w:val="0"/>
        <w:keepLines/>
        <w:spacing w:before="0" w:after="0" w:line="480" w:lineRule="auto"/>
        <w:jc w:val="left"/>
      </w:pPr>
      <w:r>
        <w:rPr>
          <w:rFonts w:ascii="Times New Roman" w:hAnsi="Times New Roman" w:eastAsia="Times New Roman"/>
          <w:b w:val="0"/>
          <w:i w:val="0"/>
          <w:sz w:val="20"/>
        </w:rPr>
        <w:t>Although calcium hydroxide, CHA, and EA have each been investigated in contexts relevant to tissue repair, the immunomodulatory response to their combined use after pulp perforation remains insufficiently characterized [6,8,10]. In particular, the influence of a calcium hydroxide-CHA-EA formulation on H&amp;E-based macrophage counts and on TNF-α and IL-10 expression has not been clearly established.</w:t>
      </w:r>
    </w:p>
    <w:p>
      <w:pPr>
        <w:keepNext w:val="0"/>
        <w:keepLines/>
        <w:spacing w:before="0" w:after="0" w:line="480" w:lineRule="auto"/>
        <w:jc w:val="left"/>
      </w:pPr>
      <w:r>
        <w:rPr>
          <w:rFonts w:ascii="Times New Roman" w:hAnsi="Times New Roman" w:eastAsia="Times New Roman"/>
          <w:b w:val="0"/>
          <w:i w:val="0"/>
          <w:sz w:val="20"/>
        </w:rPr>
        <w:t>This study evaluated a carbonate hydroxyapatite- and ellagic acid-modified calcium hydroxide formulation in a rat pulp perforation model. The study specifically compared H&amp;E-based macrophage counts and TNF-α and IL-10 expression among treatment groups at 3, 7, and 14 days after perforation.</w:t>
      </w:r>
    </w:p>
    <w:p>
      <w:pPr>
        <w:keepNext/>
        <w:keepLines w:val="0"/>
        <w:spacing w:before="0" w:after="0" w:line="480" w:lineRule="auto"/>
        <w:jc w:val="left"/>
      </w:pPr>
      <w:r>
        <w:rPr>
          <w:rFonts w:ascii="Times New Roman" w:hAnsi="Times New Roman" w:eastAsia="Times New Roman"/>
          <w:b/>
          <w:i w:val="0"/>
          <w:sz w:val="20"/>
        </w:rPr>
        <w:t>MATERIALS AND METHODS</w:t>
      </w:r>
    </w:p>
    <w:p>
      <w:pPr>
        <w:keepNext/>
        <w:keepLines w:val="0"/>
        <w:spacing w:before="0" w:after="0" w:line="480" w:lineRule="auto"/>
        <w:jc w:val="left"/>
      </w:pPr>
      <w:r>
        <w:rPr>
          <w:rFonts w:ascii="Times New Roman" w:hAnsi="Times New Roman" w:eastAsia="Times New Roman"/>
          <w:b/>
          <w:i w:val="0"/>
          <w:sz w:val="20"/>
        </w:rPr>
        <w:t>Study design</w:t>
      </w:r>
    </w:p>
    <w:p>
      <w:pPr>
        <w:keepNext w:val="0"/>
        <w:keepLines/>
        <w:spacing w:before="0" w:after="0" w:line="480" w:lineRule="auto"/>
        <w:jc w:val="left"/>
      </w:pPr>
      <w:r>
        <w:rPr>
          <w:rFonts w:ascii="Times New Roman" w:hAnsi="Times New Roman" w:eastAsia="Times New Roman"/>
          <w:b w:val="0"/>
          <w:i w:val="0"/>
          <w:sz w:val="20"/>
        </w:rPr>
        <w:t>This laboratory study used a post-test-only control-group design to evaluate the immunomodulatory response to carbonate hydroxyapatite- and ellagic acid-modified calcium hydroxide after pulp perforation. Sixty healthy male Wistar rats (Rattus norvegicus) were randomly assigned to 4 groups: negative control (NC), calcium hydroxide (CH), calcium hydroxide with carbonate hydroxyapatite (CH-CHA), and calcium hydroxide with carbonate hydroxyapatite and ellagic acid (CH-CHA-EA). Each group comprised 5 animals at each observation time point (3, 7, and 14 days), resulting in a total of 60 animals. H&amp;E-based macrophage counts and TNF-α and IL-10 expression were assessed at the designated post-treatment time points.</w:t>
      </w:r>
    </w:p>
    <w:p>
      <w:pPr>
        <w:keepNext/>
        <w:keepLines w:val="0"/>
        <w:spacing w:before="0" w:after="0" w:line="480" w:lineRule="auto"/>
        <w:jc w:val="left"/>
      </w:pPr>
      <w:r>
        <w:rPr>
          <w:rFonts w:ascii="Times New Roman" w:hAnsi="Times New Roman" w:eastAsia="Times New Roman"/>
          <w:b/>
          <w:i w:val="0"/>
          <w:sz w:val="20"/>
        </w:rPr>
        <w:t>Experimental animals</w:t>
      </w:r>
    </w:p>
    <w:p>
      <w:pPr>
        <w:keepNext w:val="0"/>
        <w:keepLines/>
        <w:spacing w:before="0" w:after="0" w:line="480" w:lineRule="auto"/>
        <w:jc w:val="left"/>
      </w:pPr>
      <w:r>
        <w:rPr>
          <w:rFonts w:ascii="Times New Roman" w:hAnsi="Times New Roman" w:eastAsia="Times New Roman"/>
          <w:b w:val="0"/>
          <w:i w:val="0"/>
          <w:sz w:val="20"/>
        </w:rPr>
        <w:t>Healthy male Wistar rats (Rattus norvegicus), aged 20-28 weeks and weighing 270-320 g, were included. Animals were housed under standard laboratory conditions with free access to food and water and were acclimatized before the experiment. Health status was confirmed before inclusion.</w:t>
      </w:r>
    </w:p>
    <w:p>
      <w:pPr>
        <w:keepNext/>
        <w:keepLines w:val="0"/>
        <w:spacing w:before="0" w:after="0" w:line="480" w:lineRule="auto"/>
        <w:jc w:val="left"/>
      </w:pPr>
      <w:r>
        <w:rPr>
          <w:rFonts w:ascii="Times New Roman" w:hAnsi="Times New Roman" w:eastAsia="Times New Roman"/>
          <w:b/>
          <w:i w:val="0"/>
          <w:sz w:val="20"/>
        </w:rPr>
        <w:t>Ethics statement</w:t>
      </w:r>
    </w:p>
    <w:p>
      <w:pPr>
        <w:keepNext w:val="0"/>
        <w:keepLines/>
        <w:spacing w:before="0" w:after="0" w:line="480" w:lineRule="auto"/>
        <w:jc w:val="left"/>
      </w:pPr>
      <w:r>
        <w:rPr>
          <w:rFonts w:ascii="Times New Roman" w:hAnsi="Times New Roman" w:eastAsia="Times New Roman"/>
          <w:b w:val="0"/>
          <w:i w:val="0"/>
          <w:sz w:val="20"/>
        </w:rPr>
        <w:t>The procedures used and the care of animals were approved by the Health Research Ethical Clearance Commission, Faculty of Dental Medicine, Universitas Airlangga, Indonesia (Ethical Clearance No. 0109/HRECC.FODM/I/2026). All animal procedures followed institutional care and use guidelines.</w:t>
      </w:r>
    </w:p>
    <w:p>
      <w:pPr>
        <w:keepNext/>
        <w:keepLines w:val="0"/>
        <w:spacing w:before="0" w:after="0" w:line="480" w:lineRule="auto"/>
        <w:jc w:val="left"/>
      </w:pPr>
      <w:r>
        <w:rPr>
          <w:rFonts w:ascii="Times New Roman" w:hAnsi="Times New Roman" w:eastAsia="Times New Roman"/>
          <w:b/>
          <w:i w:val="0"/>
          <w:sz w:val="20"/>
        </w:rPr>
        <w:t>Preparation of pulp-capping materials</w:t>
      </w:r>
    </w:p>
    <w:p>
      <w:pPr>
        <w:keepNext w:val="0"/>
        <w:keepLines/>
        <w:spacing w:before="0" w:after="0" w:line="480" w:lineRule="auto"/>
        <w:jc w:val="left"/>
      </w:pPr>
      <w:r>
        <w:rPr>
          <w:rFonts w:ascii="Times New Roman" w:hAnsi="Times New Roman" w:eastAsia="Times New Roman"/>
          <w:b w:val="0"/>
          <w:i w:val="0"/>
          <w:sz w:val="20"/>
        </w:rPr>
        <w:t>Calcium hydroxide [Ca(OH)₂] powder (Merck, Germany) served as the base pulp-capping material. Carbonate hydroxyapatite (CHA) powder was prepared as previously described using Indonesian limestone-derived hydroxyapatite and dry mechano-milling techniques [11]. For CH-CHA, Ca(OH)₂ and CHA powders were mixed at a 1:1 (w/w) ratio. Ellagic acid (EA; 90% purity, Xi’an Biof Bio-Technology Co., Ltd., China) was prepared as a 12.5% solution by dissolving EA powder in 90% distilled water and 10% polyethylene glycol 400 (PEG 400) to a final volume of 100 mL. For CH-CHA-EA, the Ca(OH)₂-CHA mixture was combined with the EA solution at a 1:1 powder-to-liquid ratio before application.</w:t>
      </w:r>
    </w:p>
    <w:p>
      <w:pPr>
        <w:keepNext/>
        <w:keepLines w:val="0"/>
        <w:spacing w:before="0" w:after="0" w:line="480" w:lineRule="auto"/>
        <w:jc w:val="left"/>
      </w:pPr>
      <w:r>
        <w:rPr>
          <w:rFonts w:ascii="Times New Roman" w:hAnsi="Times New Roman" w:eastAsia="Times New Roman"/>
          <w:b/>
          <w:i w:val="0"/>
          <w:sz w:val="20"/>
        </w:rPr>
        <w:t>Pulp perforation procedure and material application</w:t>
      </w:r>
    </w:p>
    <w:p>
      <w:pPr>
        <w:keepNext w:val="0"/>
        <w:keepLines/>
        <w:spacing w:before="0" w:after="0" w:line="480" w:lineRule="auto"/>
        <w:jc w:val="left"/>
      </w:pPr>
      <w:r>
        <w:rPr>
          <w:rFonts w:ascii="Times New Roman" w:hAnsi="Times New Roman" w:eastAsia="Times New Roman"/>
          <w:b w:val="0"/>
          <w:i w:val="0"/>
          <w:sz w:val="20"/>
        </w:rPr>
        <w:t>Animals were anesthetized by intramuscular injection of 10% ketamine hydrochloride and 2% xylazine at 0.1 mL per 100 g body weight. A cavity was prepared on the occlusal surface of the maxillary first molar with a low-speed handpiece and a 0.8-mm round bur. Pulp perforation was performed by gently probing the cavity floor with a dental explorer until bleeding and loss of resistance confirmed pulp exposure. Hemostasis was achieved with sterile paper points, and the exposed pulp was treated according to the assigned group. The cavity was sealed with conventional glass ionomer cement (GC Fuji, GC Corporation, Tokyo, Japan) to reduce bacterial contamination and maintain material retention during the observation period.</w:t>
      </w:r>
    </w:p>
    <w:p>
      <w:pPr>
        <w:keepNext/>
        <w:keepLines w:val="0"/>
        <w:spacing w:before="0" w:after="0" w:line="480" w:lineRule="auto"/>
        <w:jc w:val="left"/>
      </w:pPr>
      <w:r>
        <w:rPr>
          <w:rFonts w:ascii="Times New Roman" w:hAnsi="Times New Roman" w:eastAsia="Times New Roman"/>
          <w:b/>
          <w:i w:val="0"/>
          <w:sz w:val="20"/>
        </w:rPr>
        <w:t>Histological and immunohistochemical assessment</w:t>
      </w:r>
    </w:p>
    <w:p>
      <w:pPr>
        <w:keepNext w:val="0"/>
        <w:keepLines/>
        <w:spacing w:before="0" w:after="0" w:line="480" w:lineRule="auto"/>
        <w:jc w:val="left"/>
      </w:pPr>
      <w:r>
        <w:rPr>
          <w:rFonts w:ascii="Times New Roman" w:hAnsi="Times New Roman" w:eastAsia="Times New Roman"/>
          <w:b w:val="0"/>
          <w:i w:val="0"/>
          <w:sz w:val="20"/>
        </w:rPr>
        <w:t>At 3, 7, and 14 days after treatment, animals were euthanized with an overdose of ketamine and xylazine at three times the anesthetic dose. The left maxillary jaw containing the first molar was harvested and immersed in 10% neutral buffered formalin for 18-24 hours at room temperature until the pH reached approximately 7.0. Specimens were decalcified in 10% EDTA at room temperature for 21-30 days, with daily solution changes until adequate tissue softening was achieved. After routine tissue processing and paraffin embedding, serial sections were prepared for histological and immunohistochemical analysis. H&amp;E staining (HistoCore SPECTRA H&amp;E Stains, Leica Biosystems) was used for morphological assessment of cells counted as macrophages. Immunohistochemical staining followed the manufacturers’ instructions using anti-TNF-α antibody (Santa Cruz Biotechnology, Cat. No. sc-52746) and anti-IL-10 antibody (Santa Cruz Biotechnology, Cat. No. sc-8438).</w:t>
      </w:r>
    </w:p>
    <w:p>
      <w:pPr>
        <w:keepNext/>
        <w:keepLines w:val="0"/>
        <w:spacing w:before="0" w:after="0" w:line="480" w:lineRule="auto"/>
        <w:jc w:val="left"/>
      </w:pPr>
      <w:r>
        <w:rPr>
          <w:rFonts w:ascii="Times New Roman" w:hAnsi="Times New Roman" w:eastAsia="Times New Roman"/>
          <w:b/>
          <w:i w:val="0"/>
          <w:sz w:val="20"/>
        </w:rPr>
        <w:t>Quantification of H&amp;E-based macrophage counts, TNF-α, and IL-10 expression</w:t>
      </w:r>
    </w:p>
    <w:p>
      <w:pPr>
        <w:keepNext w:val="0"/>
        <w:keepLines/>
        <w:spacing w:before="0" w:after="0" w:line="480" w:lineRule="auto"/>
        <w:jc w:val="left"/>
      </w:pPr>
      <w:r>
        <w:rPr>
          <w:rFonts w:ascii="Times New Roman" w:hAnsi="Times New Roman" w:eastAsia="Times New Roman"/>
          <w:b w:val="0"/>
          <w:i w:val="0"/>
          <w:sz w:val="20"/>
        </w:rPr>
        <w:t>Microscopic evaluation was conducted at ×1,000 magnification. Approximately 20 fields were examined per specimen to reduce observational bias. H&amp;E-based macrophage counts and TNF-α- and IL-10-positive staining were assessed by light microscopy. All histological and immunohistochemical evaluations were performed in a blinded manner, with the observer unaware of the treatment groups.</w:t>
      </w:r>
    </w:p>
    <w:p>
      <w:pPr>
        <w:keepNext/>
        <w:keepLines w:val="0"/>
        <w:spacing w:before="0" w:after="0" w:line="480" w:lineRule="auto"/>
        <w:jc w:val="left"/>
      </w:pPr>
      <w:r>
        <w:rPr>
          <w:rFonts w:ascii="Times New Roman" w:hAnsi="Times New Roman" w:eastAsia="Times New Roman"/>
          <w:b/>
          <w:i w:val="0"/>
          <w:sz w:val="20"/>
        </w:rPr>
        <w:t>Statistical analysis</w:t>
      </w:r>
    </w:p>
    <w:p>
      <w:pPr>
        <w:keepNext w:val="0"/>
        <w:keepLines/>
        <w:spacing w:before="0" w:after="0" w:line="480" w:lineRule="auto"/>
        <w:jc w:val="left"/>
      </w:pPr>
      <w:r>
        <w:rPr>
          <w:rFonts w:ascii="Times New Roman" w:hAnsi="Times New Roman" w:eastAsia="Times New Roman"/>
          <w:b w:val="0"/>
          <w:i w:val="0"/>
          <w:sz w:val="20"/>
        </w:rPr>
        <w:t>Statistical analyses were conducted using IBM SPSS Statistics version 25.0 (IBM Corp., Armonk, NY, USA). Normality and homogeneity of variance were evaluated using the Kolmogorov-Smirnov and Levene tests, respectively. Differences among groups were analyzed separately at each observation time point using one-way analysis of variance followed by Tukey’s honestly significant difference post hoc test. Statistical significance was set at p &lt; 0.05.</w:t>
      </w:r>
    </w:p>
    <w:p>
      <w:pPr>
        <w:keepNext/>
        <w:keepLines w:val="0"/>
        <w:spacing w:before="0" w:after="0" w:line="480" w:lineRule="auto"/>
        <w:jc w:val="left"/>
      </w:pPr>
      <w:r>
        <w:rPr>
          <w:rFonts w:ascii="Times New Roman" w:hAnsi="Times New Roman" w:eastAsia="Times New Roman"/>
          <w:b/>
          <w:i w:val="0"/>
          <w:sz w:val="20"/>
        </w:rPr>
        <w:t>RESULTS</w:t>
      </w:r>
    </w:p>
    <w:p>
      <w:pPr>
        <w:keepNext/>
        <w:keepLines w:val="0"/>
        <w:spacing w:before="0" w:after="0" w:line="480" w:lineRule="auto"/>
        <w:jc w:val="left"/>
      </w:pPr>
      <w:r>
        <w:rPr>
          <w:rFonts w:ascii="Times New Roman" w:hAnsi="Times New Roman" w:eastAsia="Times New Roman"/>
          <w:b/>
          <w:i w:val="0"/>
          <w:sz w:val="20"/>
        </w:rPr>
        <w:t>H&amp;E-based macrophage counts</w:t>
      </w:r>
    </w:p>
    <w:p>
      <w:pPr>
        <w:keepNext w:val="0"/>
        <w:keepLines/>
        <w:spacing w:before="0" w:after="0" w:line="480" w:lineRule="auto"/>
        <w:jc w:val="left"/>
      </w:pPr>
      <w:r>
        <w:rPr>
          <w:rFonts w:ascii="Times New Roman" w:hAnsi="Times New Roman" w:eastAsia="Times New Roman"/>
          <w:b w:val="0"/>
          <w:i w:val="0"/>
          <w:sz w:val="20"/>
        </w:rPr>
        <w:t>Overall group differences in H&amp;E-based macrophage counts were detected on day 3, day 7, and day 14 (all p &lt; 0.0001; Table 1). On day 3, the mean counts were 2.2 ± 0.84 in NC, 4.8 ± 1.30 in CH, 6.6 ± 1.30 in CH-CHA, and 7.8 ± 0.84 in CH-CHA-EA.</w:t>
      </w:r>
    </w:p>
    <w:p>
      <w:pPr>
        <w:keepNext w:val="0"/>
        <w:keepLines/>
        <w:spacing w:before="0" w:after="0" w:line="480" w:lineRule="auto"/>
        <w:jc w:val="left"/>
      </w:pPr>
      <w:r>
        <w:rPr>
          <w:rFonts w:ascii="Times New Roman" w:hAnsi="Times New Roman" w:eastAsia="Times New Roman"/>
          <w:b w:val="0"/>
          <w:i w:val="0"/>
          <w:sz w:val="20"/>
        </w:rPr>
        <w:t>On day 7, the mean counts were 2.8 ± 0.84 in NC, 7.0 ± 1.58 in CH, 8.0 ± 1.58 in CH-CHA, and 9.4 ± 1.52 in CH-CHA-EA. Tukey’s post hoc analysis showed that each treatment group had a significantly higher count than NC, whereas no significant differences were detected among CH, CH-CHA, and CH-CHA-EA.</w:t>
      </w:r>
    </w:p>
    <w:p>
      <w:pPr>
        <w:keepNext w:val="0"/>
        <w:keepLines/>
        <w:spacing w:before="0" w:after="0" w:line="480" w:lineRule="auto"/>
        <w:jc w:val="left"/>
      </w:pPr>
      <w:r>
        <w:rPr>
          <w:rFonts w:ascii="Times New Roman" w:hAnsi="Times New Roman" w:eastAsia="Times New Roman"/>
          <w:b w:val="0"/>
          <w:i w:val="0"/>
          <w:sz w:val="20"/>
        </w:rPr>
        <w:t>On day 14, mean counts were 3.6 ± 1.10 in NC, 7.6 ± 1.10 in CH, 9.2 in CH-CHA, and 11.0 ± 1.58 in CH-CHA-EA. CH-CHA-EA had a significantly higher count than NC and CH but did not differ significantly from CH-CHA.</w:t>
      </w:r>
    </w:p>
    <w:p>
      <w:pPr>
        <w:keepNext w:val="0"/>
        <w:keepLines/>
        <w:spacing w:before="0" w:after="0" w:line="480" w:lineRule="auto"/>
        <w:jc w:val="left"/>
      </w:pPr>
      <w:r>
        <w:rPr>
          <w:rFonts w:ascii="Times New Roman" w:hAnsi="Times New Roman" w:eastAsia="Times New Roman"/>
          <w:b w:val="0"/>
          <w:i w:val="0"/>
          <w:sz w:val="20"/>
        </w:rPr>
        <w:t>Representative H&amp;E-stained sections are shown in Figure 1.</w:t>
      </w:r>
    </w:p>
    <w:p>
      <w:pPr>
        <w:keepNext/>
        <w:keepLines w:val="0"/>
        <w:spacing w:before="0" w:after="0" w:line="480" w:lineRule="auto"/>
        <w:jc w:val="left"/>
      </w:pPr>
      <w:r>
        <w:rPr>
          <w:rFonts w:ascii="Times New Roman" w:hAnsi="Times New Roman" w:eastAsia="Times New Roman"/>
          <w:b/>
          <w:i w:val="0"/>
          <w:sz w:val="20"/>
        </w:rPr>
        <w:t>TNF-α expression</w:t>
      </w:r>
    </w:p>
    <w:p>
      <w:pPr>
        <w:keepNext w:val="0"/>
        <w:keepLines/>
        <w:spacing w:before="0" w:after="0" w:line="480" w:lineRule="auto"/>
        <w:jc w:val="left"/>
      </w:pPr>
      <w:r>
        <w:rPr>
          <w:rFonts w:ascii="Times New Roman" w:hAnsi="Times New Roman" w:eastAsia="Times New Roman"/>
          <w:b w:val="0"/>
          <w:i w:val="0"/>
          <w:sz w:val="20"/>
        </w:rPr>
        <w:t>TNF-α expression did not differ significantly among groups on day 3 (p = 0.2434; Table 2). Mean values ranged from 4.0 ± 1.58 in CH-CHA-EA to 5.8 ± 0.84 in CH.</w:t>
      </w:r>
    </w:p>
    <w:p>
      <w:pPr>
        <w:keepNext w:val="0"/>
        <w:keepLines/>
        <w:spacing w:before="0" w:after="0" w:line="480" w:lineRule="auto"/>
        <w:jc w:val="left"/>
      </w:pPr>
      <w:r>
        <w:rPr>
          <w:rFonts w:ascii="Times New Roman" w:hAnsi="Times New Roman" w:eastAsia="Times New Roman"/>
          <w:b w:val="0"/>
          <w:i w:val="0"/>
          <w:sz w:val="20"/>
        </w:rPr>
        <w:t>On day 7, overall group differences were significant (p &lt; 0.0001). CH-CHA-EA had the lowest TNF-α expression (2.0 ± 1.00), whereas NC, CH, and CH-CHA had mean values of 7.2 ± 1.48, 7.8 ± 1.30, and 6.6 ± 1.14, respectively. Post hoc analysis showed significantly lower TNF-α expression in CH-CHA-EA than in all other groups.</w:t>
      </w:r>
    </w:p>
    <w:p>
      <w:pPr>
        <w:keepNext w:val="0"/>
        <w:keepLines/>
        <w:spacing w:before="0" w:after="0" w:line="480" w:lineRule="auto"/>
        <w:jc w:val="left"/>
      </w:pPr>
      <w:r>
        <w:rPr>
          <w:rFonts w:ascii="Times New Roman" w:hAnsi="Times New Roman" w:eastAsia="Times New Roman"/>
          <w:b w:val="0"/>
          <w:i w:val="0"/>
          <w:sz w:val="20"/>
        </w:rPr>
        <w:t>On day 14, overall group differences remained significant (p &lt; 0.0001). TNF-α expression was 12.0 ± 1.87 in NC, 4.6 ± 1.14 in CH, 4.8 ± 1.30 in CH-CHA, and 2.2 ± 0.84 in CH-CHA-EA. All treatment groups had significantly lower TNF-α expression than NC, and CH-CHA-EA also had significantly lower expression than CH-CHA.</w:t>
      </w:r>
    </w:p>
    <w:p>
      <w:pPr>
        <w:keepNext w:val="0"/>
        <w:keepLines/>
        <w:spacing w:before="0" w:after="0" w:line="480" w:lineRule="auto"/>
        <w:jc w:val="left"/>
      </w:pPr>
      <w:r>
        <w:rPr>
          <w:rFonts w:ascii="Times New Roman" w:hAnsi="Times New Roman" w:eastAsia="Times New Roman"/>
          <w:b w:val="0"/>
          <w:i w:val="0"/>
          <w:sz w:val="20"/>
        </w:rPr>
        <w:t>Representative TNF-α immunohistochemical staining is shown in Figure 2.</w:t>
      </w:r>
    </w:p>
    <w:p>
      <w:pPr>
        <w:keepNext/>
        <w:keepLines w:val="0"/>
        <w:spacing w:before="0" w:after="0" w:line="480" w:lineRule="auto"/>
        <w:jc w:val="left"/>
      </w:pPr>
      <w:r>
        <w:rPr>
          <w:rFonts w:ascii="Times New Roman" w:hAnsi="Times New Roman" w:eastAsia="Times New Roman"/>
          <w:b/>
          <w:i w:val="0"/>
          <w:sz w:val="20"/>
        </w:rPr>
        <w:t>IL-10 expression</w:t>
      </w:r>
    </w:p>
    <w:p>
      <w:pPr>
        <w:keepNext w:val="0"/>
        <w:keepLines/>
        <w:spacing w:before="0" w:after="0" w:line="480" w:lineRule="auto"/>
        <w:jc w:val="left"/>
      </w:pPr>
      <w:r>
        <w:rPr>
          <w:rFonts w:ascii="Times New Roman" w:hAnsi="Times New Roman" w:eastAsia="Times New Roman"/>
          <w:b w:val="0"/>
          <w:i w:val="0"/>
          <w:sz w:val="20"/>
        </w:rPr>
        <w:t>IL-10 expression differed significantly among groups on day 3 (p &lt; 0.0001; Table 3). The mean values were 3.2 ± 0.84 in NC, 5.2 ± 1.30 in CH, 6.2 ± 1.30 in CH-CHA, and 8.4 ± 1.14 in CH-CHA-EA, with CH-CHA-EA showing the highest expression.</w:t>
      </w:r>
    </w:p>
    <w:p>
      <w:pPr>
        <w:keepNext w:val="0"/>
        <w:keepLines/>
        <w:spacing w:before="0" w:after="0" w:line="480" w:lineRule="auto"/>
        <w:jc w:val="left"/>
      </w:pPr>
      <w:r>
        <w:rPr>
          <w:rFonts w:ascii="Times New Roman" w:hAnsi="Times New Roman" w:eastAsia="Times New Roman"/>
          <w:b w:val="0"/>
          <w:i w:val="0"/>
          <w:sz w:val="20"/>
        </w:rPr>
        <w:t>On day 7, group differences remained significant (p = 0.0004). The mean IL-10 expression values were 4.4 ± 1.14 in NC, 7.4 ± 1.82 in CH, 7.8 ± 1.30 in CH-CHA, and 9.6 ± 1.52 in CH-CHA-EA. CH-CHA-EA was significantly higher than NC, CH, and CH-CHA.</w:t>
      </w:r>
    </w:p>
    <w:p>
      <w:pPr>
        <w:keepNext w:val="0"/>
        <w:keepLines/>
        <w:spacing w:before="0" w:after="0" w:line="480" w:lineRule="auto"/>
        <w:jc w:val="left"/>
      </w:pPr>
      <w:r>
        <w:rPr>
          <w:rFonts w:ascii="Times New Roman" w:hAnsi="Times New Roman" w:eastAsia="Times New Roman"/>
          <w:b w:val="0"/>
          <w:i w:val="0"/>
          <w:sz w:val="20"/>
        </w:rPr>
        <w:t>On day 14, IL-10 expression was 6.2 ± 1.92 in NC, 7.8 ± 1.48 in CH, 9.2 ± 1.30 in CH-CHA, and 11.2 ± 1.92 in CH-CHA-EA (p = 0.0018). Post hoc analysis showed significantly higher IL-10 expression in CH-CHA-EA than in NC and CH.</w:t>
      </w:r>
    </w:p>
    <w:p>
      <w:pPr>
        <w:keepNext w:val="0"/>
        <w:keepLines/>
        <w:spacing w:before="0" w:after="0" w:line="480" w:lineRule="auto"/>
        <w:jc w:val="left"/>
      </w:pPr>
      <w:r>
        <w:rPr>
          <w:rFonts w:ascii="Times New Roman" w:hAnsi="Times New Roman" w:eastAsia="Times New Roman"/>
          <w:b w:val="0"/>
          <w:i w:val="0"/>
          <w:sz w:val="20"/>
        </w:rPr>
        <w:t>Representative IL-10 immunohistochemical staining is shown in Figure 3.</w:t>
      </w:r>
    </w:p>
    <w:p>
      <w:pPr>
        <w:keepNext/>
        <w:keepLines w:val="0"/>
        <w:spacing w:before="0" w:after="0" w:line="480" w:lineRule="auto"/>
        <w:jc w:val="left"/>
      </w:pPr>
      <w:r>
        <w:rPr>
          <w:rFonts w:ascii="Times New Roman" w:hAnsi="Times New Roman" w:eastAsia="Times New Roman"/>
          <w:b/>
          <w:i w:val="0"/>
          <w:sz w:val="20"/>
        </w:rPr>
        <w:t>DISCUSSION</w:t>
      </w:r>
    </w:p>
    <w:p>
      <w:pPr>
        <w:keepNext w:val="0"/>
        <w:keepLines/>
        <w:spacing w:before="0" w:after="0" w:line="480" w:lineRule="auto"/>
        <w:jc w:val="left"/>
      </w:pPr>
      <w:r>
        <w:rPr>
          <w:rFonts w:ascii="Times New Roman" w:hAnsi="Times New Roman" w:eastAsia="Times New Roman"/>
          <w:b w:val="0"/>
          <w:i w:val="0"/>
          <w:sz w:val="20"/>
        </w:rPr>
        <w:t>This study compared inflammatory-response markers after pulp perforation in rats treated with different pulp-capping formulations. At the later observation points, the CH-CHA-EA group showed the highest H&amp;E-based macrophage counts and IL-10 expression and the lowest TNF-α expression. In contrast, the negative control group showed higher TNF-α expression and lower IL-10 expression on day 14. Taken together, these findings are consistent with a formulation-associated immunomodulatory response. They do not, however, directly demonstrate pulp repair or regeneration.</w:t>
      </w:r>
    </w:p>
    <w:p>
      <w:pPr>
        <w:keepNext w:val="0"/>
        <w:keepLines/>
        <w:spacing w:before="0" w:after="0" w:line="480" w:lineRule="auto"/>
        <w:jc w:val="left"/>
      </w:pPr>
      <w:r>
        <w:rPr>
          <w:rFonts w:ascii="Times New Roman" w:hAnsi="Times New Roman" w:eastAsia="Times New Roman"/>
          <w:b w:val="0"/>
          <w:i w:val="0"/>
          <w:sz w:val="20"/>
        </w:rPr>
        <w:t>Macrophages coordinate inflammatory and reparative processes by releasing cytokines, growth factors, and other signaling molecules that influence cell recruitment, matrix remodeling, and tissue homeostasis. The higher H&amp;E-based macrophage counts in the treatment groups may therefore reflect a sustained cellular response to the local biomaterial environment. However, H&amp;E morphology is not a macrophage-specific method and cannot establish cellular lineage or macrophage phenotype. The present findings should consequently be interpreted as changes in cells counted as macrophages rather than direct evidence of M1/M2 polarization or macrophage fate [10].</w:t>
      </w:r>
    </w:p>
    <w:p>
      <w:pPr>
        <w:keepNext w:val="0"/>
        <w:keepLines/>
        <w:spacing w:before="0" w:after="0" w:line="480" w:lineRule="auto"/>
        <w:jc w:val="left"/>
      </w:pPr>
      <w:r>
        <w:rPr>
          <w:rFonts w:ascii="Times New Roman" w:hAnsi="Times New Roman" w:eastAsia="Times New Roman"/>
          <w:b w:val="0"/>
          <w:i w:val="0"/>
          <w:sz w:val="20"/>
        </w:rPr>
        <w:t>CHA is a bioactive calcium phosphate material that resembles biological apatite and may release calcium and phosphate ions. These properties can support mineral-associated tissue responses and may complement other components of a pulp-capping formulation [12,13]. The present study did not measure mineralization, dentin bridge formation, or odontoblast-related markers; therefore, its results cannot determine whether the cytokine profile was accompanied by a mineralized repair response.</w:t>
      </w:r>
    </w:p>
    <w:p>
      <w:pPr>
        <w:keepNext w:val="0"/>
        <w:keepLines/>
        <w:spacing w:before="0" w:after="0" w:line="480" w:lineRule="auto"/>
        <w:jc w:val="left"/>
      </w:pPr>
      <w:r>
        <w:rPr>
          <w:rFonts w:ascii="Times New Roman" w:hAnsi="Times New Roman" w:eastAsia="Times New Roman"/>
          <w:b w:val="0"/>
          <w:i w:val="0"/>
          <w:sz w:val="20"/>
        </w:rPr>
        <w:t>The combination of lower TNF-α expression and higher IL-10 expression in CH-CHA-EA is compatible with a more pro-resolution local inflammatory environment. Nevertheless, TNF-α and IL-10 can be produced by several cell types, and the measured cytokine profile alone cannot identify the cellular source of either mediator or demonstrate a transition between macrophage phenotypes. Any interpretation of macrophage polarization must therefore remain tentative [3].</w:t>
      </w:r>
    </w:p>
    <w:p>
      <w:pPr>
        <w:keepNext w:val="0"/>
        <w:keepLines/>
        <w:spacing w:before="0" w:after="0" w:line="480" w:lineRule="auto"/>
        <w:jc w:val="left"/>
      </w:pPr>
      <w:r>
        <w:rPr>
          <w:rFonts w:ascii="Times New Roman" w:hAnsi="Times New Roman" w:eastAsia="Times New Roman"/>
          <w:b w:val="0"/>
          <w:i w:val="0"/>
          <w:sz w:val="20"/>
        </w:rPr>
        <w:t>Persistently higher TNF-α expression in NC, particularly on day 14, is consistent with an unresolved inflammatory response after pulp perforation. TNF-α can promote the recruitment and activation of inflammatory cells and amplify local inflammatory signaling [14]. Experimental models of pulpal exposure have also shown that untreated injury can be accompanied by inflammatory-cell infiltration, tissue disorganization, necrosis, and increased inflammatory signaling [15,16].</w:t>
      </w:r>
    </w:p>
    <w:p>
      <w:pPr>
        <w:keepNext w:val="0"/>
        <w:keepLines/>
        <w:spacing w:before="0" w:after="0" w:line="480" w:lineRule="auto"/>
        <w:jc w:val="left"/>
      </w:pPr>
      <w:r>
        <w:rPr>
          <w:rFonts w:ascii="Times New Roman" w:hAnsi="Times New Roman" w:eastAsia="Times New Roman"/>
          <w:b w:val="0"/>
          <w:i w:val="0"/>
          <w:sz w:val="20"/>
        </w:rPr>
        <w:t>In the present study, CH-CHA-EA had lower TNF-α expression than the other groups on day 7 and lower expression than NC and CH-CHA on day 14. This pattern is compatible with attenuation of the local pro-inflammatory response. Because the formulation combines calcium hydroxide, CHA, EA, and an EA vehicle, the contribution of an individual component cannot be determined definitively from this design.</w:t>
      </w:r>
    </w:p>
    <w:p>
      <w:pPr>
        <w:keepNext w:val="0"/>
        <w:keepLines/>
        <w:spacing w:before="0" w:after="0" w:line="480" w:lineRule="auto"/>
        <w:jc w:val="left"/>
      </w:pPr>
      <w:r>
        <w:rPr>
          <w:rFonts w:ascii="Times New Roman" w:hAnsi="Times New Roman" w:eastAsia="Times New Roman"/>
          <w:b w:val="0"/>
          <w:i w:val="0"/>
          <w:sz w:val="20"/>
        </w:rPr>
        <w:t>EA has been reported to have anti-inflammatory properties and to modulate pathways involved in the production of pro-inflammatory mediators, including NF-κB-related signaling. Studies of EA-containing dental materials and experimental pulp-capping formulations have similarly suggested a reduction in inflammatory responses [7,17]. In the current study, the reduction in TNF-α coincided with elevated IL-10 expression in the CH-CHA-EA group. This association supports an immunomodulatory interpretation of the combined formulation but does not establish a causal mechanism or a component-specific effect.</w:t>
      </w:r>
    </w:p>
    <w:p>
      <w:pPr>
        <w:keepNext w:val="0"/>
        <w:keepLines/>
        <w:spacing w:before="0" w:after="0" w:line="480" w:lineRule="auto"/>
        <w:jc w:val="left"/>
      </w:pPr>
      <w:r>
        <w:rPr>
          <w:rFonts w:ascii="Times New Roman" w:hAnsi="Times New Roman" w:eastAsia="Times New Roman"/>
          <w:b w:val="0"/>
          <w:i w:val="0"/>
          <w:sz w:val="20"/>
        </w:rPr>
        <w:t>IL-10 limits excessive immune activation and can contribute to inflammation resolution. The consistently higher IL-10 expression in CH-CHA-EA at each observation time point indicates a sustained anti-inflammatory cytokine signal in this group. The inverse pattern of IL-10 and TNF-α on days 7 and 14 is consistent with coordinated regulation of inflammatory mediators, although the present study was not designed to demonstrate a direct causal relationship between them.</w:t>
      </w:r>
    </w:p>
    <w:p>
      <w:pPr>
        <w:keepNext w:val="0"/>
        <w:keepLines/>
        <w:spacing w:before="0" w:after="0" w:line="480" w:lineRule="auto"/>
        <w:jc w:val="left"/>
      </w:pPr>
      <w:r>
        <w:rPr>
          <w:rFonts w:ascii="Times New Roman" w:hAnsi="Times New Roman" w:eastAsia="Times New Roman"/>
          <w:b w:val="0"/>
          <w:i w:val="0"/>
          <w:sz w:val="20"/>
        </w:rPr>
        <w:t>Timely resolution of inflammation is important because persistent inflammatory activity may lead to ongoing tissue injury rather than a transition toward a reparative microenvironment. Controlled inflammatory responses can influence cell recruitment, angiogenesis, extracellular matrix remodeling, and tissue repair [10,18]. Within this context, the CH-CHA-EA formulation may be a useful candidate for further investigation as a pulp-capping material that modifies local inflammatory signals.</w:t>
      </w:r>
    </w:p>
    <w:p>
      <w:pPr>
        <w:keepNext w:val="0"/>
        <w:keepLines/>
        <w:spacing w:before="0" w:after="0" w:line="480" w:lineRule="auto"/>
        <w:jc w:val="left"/>
      </w:pPr>
      <w:r>
        <w:rPr>
          <w:rFonts w:ascii="Times New Roman" w:hAnsi="Times New Roman" w:eastAsia="Times New Roman"/>
          <w:b w:val="0"/>
          <w:i w:val="0"/>
          <w:sz w:val="20"/>
        </w:rPr>
        <w:t>The results may have relevance to VPT and direct pulp capping, in which an ideal material should protect the pulp and support a local environment compatible with healing. The combined formulation was associated with higher H&amp;E-based macrophage counts, higher IL-10 expression, and lower TNF-α expression. Further experiments incorporating macrophage-specific markers, vehicle controls, and direct histological endpoints of pulp repair are required before clinical or regenerative claims can be made [19].</w:t>
      </w:r>
    </w:p>
    <w:p>
      <w:pPr>
        <w:keepNext/>
        <w:keepLines w:val="0"/>
        <w:spacing w:before="0" w:after="0" w:line="480" w:lineRule="auto"/>
        <w:jc w:val="left"/>
      </w:pPr>
      <w:r>
        <w:rPr>
          <w:rFonts w:ascii="Times New Roman" w:hAnsi="Times New Roman" w:eastAsia="Times New Roman"/>
          <w:b/>
          <w:i w:val="0"/>
          <w:sz w:val="20"/>
        </w:rPr>
        <w:t>Study limitations</w:t>
      </w:r>
    </w:p>
    <w:p>
      <w:pPr>
        <w:keepNext w:val="0"/>
        <w:keepLines/>
        <w:spacing w:before="0" w:after="0" w:line="480" w:lineRule="auto"/>
        <w:jc w:val="left"/>
      </w:pPr>
      <w:r>
        <w:rPr>
          <w:rFonts w:ascii="Times New Roman" w:hAnsi="Times New Roman" w:eastAsia="Times New Roman"/>
          <w:b w:val="0"/>
          <w:i w:val="0"/>
          <w:sz w:val="20"/>
        </w:rPr>
        <w:t>This study has several limitations. First, macrophages were assessed using H&amp;E morphology rather than a macrophage-specific marker; therefore, cellular identity and M1/M2 polarization were not directly evaluated. Second, the lack of a vehicle control does not allow the effect of EA to be separated completely from its solvent. Third, no direct outcomes of pulp repair or regeneration, such as dentin bridge formation, mineralized tissue deposition, pulp vitality, or odontoblast-related markers, were measured. Fourth, one-way analyses were performed separately at each observation time point; a formal group-by-time interaction was not tested. Finally, the sample size was 5 animals per group at each time point. These limitations should be considered when interpreting the findings.</w:t>
      </w:r>
    </w:p>
    <w:p>
      <w:pPr>
        <w:keepNext/>
        <w:keepLines w:val="0"/>
        <w:spacing w:before="0" w:after="0" w:line="480" w:lineRule="auto"/>
        <w:jc w:val="left"/>
      </w:pPr>
      <w:r>
        <w:rPr>
          <w:rFonts w:ascii="Times New Roman" w:hAnsi="Times New Roman" w:eastAsia="Times New Roman"/>
          <w:b/>
          <w:i w:val="0"/>
          <w:sz w:val="20"/>
        </w:rPr>
        <w:t>CONCLUSIONS</w:t>
      </w:r>
    </w:p>
    <w:p>
      <w:pPr>
        <w:keepNext w:val="0"/>
        <w:keepLines/>
        <w:spacing w:before="0" w:after="0" w:line="480" w:lineRule="auto"/>
        <w:jc w:val="left"/>
      </w:pPr>
      <w:r>
        <w:rPr>
          <w:rFonts w:ascii="Times New Roman" w:hAnsi="Times New Roman" w:eastAsia="Times New Roman"/>
          <w:b w:val="0"/>
          <w:i w:val="0"/>
          <w:sz w:val="20"/>
        </w:rPr>
        <w:t>In this rat pulp perforation model, the CH-CHA-EA formulation was associated with higher H&amp;E-based macrophage counts, increased IL-10 expression, and reduced TNF-α expression, particularly at the later observation points. These findings support an immunomodulatory effect of the combined formulation. Studies incorporating marker-specific immune-cell assessment, vehicle controls, and direct histological measures of pulp repair are needed to determine its regenerative potential.</w:t>
      </w:r>
    </w:p>
    <w:p>
      <w:pPr>
        <w:keepNext/>
        <w:keepLines w:val="0"/>
        <w:spacing w:before="0" w:after="0" w:line="480" w:lineRule="auto"/>
        <w:jc w:val="left"/>
      </w:pPr>
      <w:r>
        <w:rPr>
          <w:rFonts w:ascii="Times New Roman" w:hAnsi="Times New Roman" w:eastAsia="Times New Roman"/>
          <w:b/>
          <w:i w:val="0"/>
          <w:sz w:val="20"/>
        </w:rPr>
        <w:t>AUTHOR CONTRIBUTIONS</w:t>
      </w:r>
    </w:p>
    <w:p>
      <w:pPr>
        <w:keepNext w:val="0"/>
        <w:keepLines/>
        <w:spacing w:before="0" w:after="0" w:line="480" w:lineRule="auto"/>
        <w:jc w:val="left"/>
      </w:pPr>
      <w:r>
        <w:rPr>
          <w:rFonts w:ascii="Times New Roman" w:hAnsi="Times New Roman" w:eastAsia="Times New Roman"/>
          <w:sz w:val="20"/>
          <w:highlight w:val="yellow"/>
        </w:rPr>
        <w:t>[To be completed and confirmed by all authors using the CRediT taxonomy. Specify at least one core contribution and one writing contribution for each author.]</w:t>
      </w:r>
    </w:p>
    <w:p>
      <w:pPr>
        <w:keepNext/>
        <w:keepLines w:val="0"/>
        <w:spacing w:before="0" w:after="0" w:line="480" w:lineRule="auto"/>
        <w:jc w:val="left"/>
      </w:pPr>
      <w:r>
        <w:rPr>
          <w:rFonts w:ascii="Times New Roman" w:hAnsi="Times New Roman" w:eastAsia="Times New Roman"/>
          <w:b/>
          <w:i w:val="0"/>
          <w:sz w:val="20"/>
        </w:rPr>
        <w:t>CONFLICT OF INTEREST</w:t>
      </w:r>
    </w:p>
    <w:p>
      <w:pPr>
        <w:keepNext w:val="0"/>
        <w:keepLines/>
        <w:spacing w:before="0" w:after="0" w:line="480" w:lineRule="auto"/>
        <w:jc w:val="left"/>
      </w:pPr>
      <w:r>
        <w:rPr>
          <w:rFonts w:ascii="Times New Roman" w:hAnsi="Times New Roman" w:eastAsia="Times New Roman"/>
          <w:sz w:val="20"/>
          <w:highlight w:val="yellow"/>
        </w:rPr>
        <w:t>[To be confirmed by all authors. If none: “No potential conflict of interest relevant to this article was reported.”]</w:t>
      </w:r>
    </w:p>
    <w:p>
      <w:pPr>
        <w:keepNext/>
        <w:keepLines w:val="0"/>
        <w:spacing w:before="0" w:after="0" w:line="480" w:lineRule="auto"/>
        <w:jc w:val="left"/>
      </w:pPr>
      <w:r>
        <w:rPr>
          <w:rFonts w:ascii="Times New Roman" w:hAnsi="Times New Roman" w:eastAsia="Times New Roman"/>
          <w:b/>
          <w:i w:val="0"/>
          <w:sz w:val="20"/>
        </w:rPr>
        <w:t>ACKNOWLEDGEMENTS</w:t>
      </w:r>
    </w:p>
    <w:p>
      <w:pPr>
        <w:keepNext w:val="0"/>
        <w:keepLines/>
        <w:spacing w:before="0" w:after="0" w:line="480" w:lineRule="auto"/>
        <w:jc w:val="left"/>
      </w:pPr>
      <w:r>
        <w:rPr>
          <w:rFonts w:ascii="Times New Roman" w:hAnsi="Times New Roman" w:eastAsia="Times New Roman"/>
          <w:sz w:val="20"/>
          <w:highlight w:val="yellow"/>
        </w:rPr>
        <w:t>[To be completed by the authors; write “Not applicable” if there are no acknowledgements.]</w:t>
      </w:r>
    </w:p>
    <w:p>
      <w:pPr>
        <w:keepNext/>
        <w:keepLines w:val="0"/>
        <w:spacing w:before="0" w:after="0" w:line="480" w:lineRule="auto"/>
        <w:jc w:val="left"/>
      </w:pPr>
      <w:r>
        <w:rPr>
          <w:rFonts w:ascii="Times New Roman" w:hAnsi="Times New Roman" w:eastAsia="Times New Roman"/>
          <w:b/>
          <w:i w:val="0"/>
          <w:sz w:val="20"/>
        </w:rPr>
        <w:t>REFERENCES</w:t>
      </w:r>
    </w:p>
    <w:p>
      <w:pPr>
        <w:keepNext w:val="0"/>
        <w:keepLines/>
        <w:spacing w:before="0" w:after="0" w:line="480" w:lineRule="auto"/>
        <w:ind w:left="363" w:hanging="363"/>
        <w:jc w:val="left"/>
      </w:pPr>
      <w:r>
        <w:rPr>
          <w:rFonts w:ascii="Times New Roman" w:hAnsi="Times New Roman" w:eastAsia="Times New Roman"/>
          <w:sz w:val="20"/>
        </w:rPr>
        <w:t>1. Qiao L, Zheng X, Xie C, Wang Y, Ye L, Zhao J, et al. Bioactive materials in vital pulp therapy: promoting dental pulp repair through inflammation modulation. Biomolecules 2025;15:258.</w:t>
      </w:r>
    </w:p>
    <w:p>
      <w:pPr>
        <w:keepNext w:val="0"/>
        <w:keepLines/>
        <w:spacing w:before="0" w:after="0" w:line="480" w:lineRule="auto"/>
        <w:ind w:left="363" w:hanging="363"/>
        <w:jc w:val="left"/>
      </w:pPr>
      <w:r>
        <w:rPr>
          <w:rFonts w:ascii="Times New Roman" w:hAnsi="Times New Roman" w:eastAsia="Times New Roman"/>
          <w:sz w:val="20"/>
        </w:rPr>
        <w:t>2. Pohl S, Akamp T, Smeda M, Uderhardt S, Besold D, Krastl G, et al. Understanding dental pulp inflammation: from signaling to structure. Front Immunol 2024;15:1474466.</w:t>
      </w:r>
    </w:p>
    <w:p>
      <w:pPr>
        <w:keepNext w:val="0"/>
        <w:keepLines/>
        <w:spacing w:before="0" w:after="0" w:line="480" w:lineRule="auto"/>
        <w:ind w:left="363" w:hanging="363"/>
        <w:jc w:val="left"/>
      </w:pPr>
      <w:r>
        <w:rPr>
          <w:rFonts w:ascii="Times New Roman" w:hAnsi="Times New Roman" w:eastAsia="Times New Roman"/>
          <w:sz w:val="20"/>
        </w:rPr>
        <w:t>3. Kadowaki M, Yoshida S, Itoyama T, Tomokiyo A, Hamano S, Hasegawa D, et al. Involvement of M1/M2 macrophage polarization in reparative dentin formation. Life (Basel) 2022;12:1812.</w:t>
      </w:r>
    </w:p>
    <w:p>
      <w:pPr>
        <w:keepNext w:val="0"/>
        <w:keepLines/>
        <w:spacing w:before="0" w:after="0" w:line="480" w:lineRule="auto"/>
        <w:ind w:left="363" w:hanging="363"/>
        <w:jc w:val="left"/>
      </w:pPr>
      <w:r>
        <w:rPr>
          <w:rFonts w:ascii="Times New Roman" w:hAnsi="Times New Roman" w:eastAsia="Times New Roman"/>
          <w:sz w:val="20"/>
        </w:rPr>
        <w:t>4. Anselmi C, Mendes Soares IP, Dal-Fabbro R, Chang S, de Carvalho ABG, Oliveira PHC, et al. Multifunctional bilayer scaffold for dental pulp protection and sustained calcium hydroxide release for mineralized tissue regeneration. Biomaterials 2026;326:123700.</w:t>
      </w:r>
    </w:p>
    <w:p>
      <w:pPr>
        <w:keepNext w:val="0"/>
        <w:keepLines/>
        <w:spacing w:before="0" w:after="0" w:line="480" w:lineRule="auto"/>
        <w:ind w:left="363" w:hanging="363"/>
        <w:jc w:val="left"/>
      </w:pPr>
      <w:r>
        <w:rPr>
          <w:rFonts w:ascii="Times New Roman" w:hAnsi="Times New Roman" w:eastAsia="Times New Roman"/>
          <w:sz w:val="20"/>
        </w:rPr>
        <w:t>5. Silva EJNL, Pinto KP, Riche FNSJ, Carestiato MGH, Martins JNR, Duncan HF, et al. A meta-analysis of calcium silicate-based cements and calcium hydroxide as promoters of hard tissue bridge formation. Int Endod J 2025;58:685-714.</w:t>
      </w:r>
    </w:p>
    <w:p>
      <w:pPr>
        <w:keepNext w:val="0"/>
        <w:keepLines/>
        <w:spacing w:before="0" w:after="0" w:line="480" w:lineRule="auto"/>
        <w:ind w:left="363" w:hanging="363"/>
        <w:jc w:val="left"/>
      </w:pPr>
      <w:r>
        <w:rPr>
          <w:rFonts w:ascii="Times New Roman" w:hAnsi="Times New Roman" w:eastAsia="Times New Roman"/>
          <w:sz w:val="20"/>
        </w:rPr>
        <w:t>6. Widyasari R, Cahyanto A, Widyaputra S, Rachman A. Fabrication and characterization of carbonate apatite-bovine gelatin scaffolds for endodontic regeneration: a lyophilization-based approach. Eur J Dent 2025;19:1106-1114.</w:t>
      </w:r>
    </w:p>
    <w:p>
      <w:pPr>
        <w:keepNext w:val="0"/>
        <w:keepLines/>
        <w:spacing w:before="0" w:after="0" w:line="480" w:lineRule="auto"/>
        <w:ind w:left="363" w:hanging="363"/>
        <w:jc w:val="left"/>
      </w:pPr>
      <w:r>
        <w:rPr>
          <w:rFonts w:ascii="Times New Roman" w:hAnsi="Times New Roman" w:eastAsia="Times New Roman"/>
          <w:sz w:val="20"/>
        </w:rPr>
        <w:t>7. Sari AF, Nirwana I, Yuliati A, Meizarini A, Rahayu RP, Palupi R, et al. Anti-inflammatory effects of calcium hydroxide combined with ellagic acid as pulp capping material: in vivo study. Eur J Dent 2024;19:624-629.</w:t>
      </w:r>
    </w:p>
    <w:p>
      <w:pPr>
        <w:keepNext w:val="0"/>
        <w:keepLines/>
        <w:spacing w:before="0" w:after="0" w:line="480" w:lineRule="auto"/>
        <w:ind w:left="363" w:hanging="363"/>
        <w:jc w:val="left"/>
      </w:pPr>
      <w:r>
        <w:rPr>
          <w:rFonts w:ascii="Times New Roman" w:hAnsi="Times New Roman" w:eastAsia="Times New Roman"/>
          <w:sz w:val="20"/>
        </w:rPr>
        <w:t>8. Öngöz Dede F, Bozkurt Doğan Ş, Balli U, Durmuşlar MC, Avci B, Gülle K, et al. The effect of ellagic acid on the repair process of periodontal defects related to experimental periodontitis in rats. J Appl Oral Sci 2021;29:e20210160.</w:t>
      </w:r>
    </w:p>
    <w:p>
      <w:pPr>
        <w:keepNext w:val="0"/>
        <w:keepLines/>
        <w:spacing w:before="0" w:after="0" w:line="480" w:lineRule="auto"/>
        <w:ind w:left="363" w:hanging="363"/>
        <w:jc w:val="left"/>
      </w:pPr>
      <w:r>
        <w:rPr>
          <w:rFonts w:ascii="Times New Roman" w:hAnsi="Times New Roman" w:eastAsia="Times New Roman"/>
          <w:sz w:val="20"/>
        </w:rPr>
        <w:t>9. Di Foggia M, Prati C, Gandolfi MG, Taddei P. An in vitro study on dentin demineralization and remineralization: collagen rearrangements and influence on the enucleated phase. J Inorg Biochem 2019;193:84-93.</w:t>
      </w:r>
    </w:p>
    <w:p>
      <w:pPr>
        <w:keepNext w:val="0"/>
        <w:keepLines/>
        <w:spacing w:before="0" w:after="0" w:line="480" w:lineRule="auto"/>
        <w:ind w:left="363" w:hanging="363"/>
        <w:jc w:val="left"/>
      </w:pPr>
      <w:r>
        <w:rPr>
          <w:rFonts w:ascii="Times New Roman" w:hAnsi="Times New Roman" w:eastAsia="Times New Roman"/>
          <w:sz w:val="20"/>
        </w:rPr>
        <w:t>10. Li J, Jiang X, Li H, Gelinsky M, Gu Z. Tailoring materials for modulation of macrophage fate. Adv Mater 2021;33:e2004172.</w:t>
      </w:r>
    </w:p>
    <w:p>
      <w:pPr>
        <w:keepNext w:val="0"/>
        <w:keepLines/>
        <w:spacing w:before="0" w:after="0" w:line="480" w:lineRule="auto"/>
        <w:ind w:left="363" w:hanging="363"/>
        <w:jc w:val="left"/>
      </w:pPr>
      <w:r>
        <w:rPr>
          <w:rFonts w:ascii="Times New Roman" w:hAnsi="Times New Roman" w:eastAsia="Times New Roman"/>
          <w:sz w:val="20"/>
        </w:rPr>
        <w:t>11. Damayanti H, Noordiningsih K, Wahyudi K, Hernawan, Maryani E, Yuliati A, et al. Synthesis of carbonate hydroxyapatite contained magnesium cations by dry mechano-milling. Mater Lett 2023;338:133999.</w:t>
      </w:r>
    </w:p>
    <w:p>
      <w:pPr>
        <w:keepNext w:val="0"/>
        <w:keepLines/>
        <w:spacing w:before="0" w:after="0" w:line="480" w:lineRule="auto"/>
        <w:ind w:left="363" w:hanging="363"/>
        <w:jc w:val="left"/>
      </w:pPr>
      <w:r>
        <w:rPr>
          <w:rFonts w:ascii="Times New Roman" w:hAnsi="Times New Roman" w:eastAsia="Times New Roman"/>
          <w:sz w:val="20"/>
        </w:rPr>
        <w:t>12. Ishikawa K. Bone substitute fabrication based on dissolution-precipitation reactions. Materials (Basel) 2010;3:1138-1155.</w:t>
      </w:r>
    </w:p>
    <w:p>
      <w:pPr>
        <w:keepNext w:val="0"/>
        <w:keepLines/>
        <w:spacing w:before="0" w:after="0" w:line="480" w:lineRule="auto"/>
        <w:ind w:left="363" w:hanging="363"/>
        <w:jc w:val="left"/>
      </w:pPr>
      <w:r>
        <w:rPr>
          <w:rFonts w:ascii="Times New Roman" w:hAnsi="Times New Roman" w:eastAsia="Times New Roman"/>
          <w:sz w:val="20"/>
        </w:rPr>
        <w:t>13. Zakaria MN, Cahyanto A, El-Ghannam A. Calcium release and physical properties of modified carbonate apatite cement as pulp capping agent in dental application. Biomater Res 2018;22:35.</w:t>
      </w:r>
    </w:p>
    <w:p>
      <w:pPr>
        <w:keepNext w:val="0"/>
        <w:keepLines/>
        <w:spacing w:before="0" w:after="0" w:line="480" w:lineRule="auto"/>
        <w:ind w:left="363" w:hanging="363"/>
        <w:jc w:val="left"/>
      </w:pPr>
      <w:r>
        <w:rPr>
          <w:rFonts w:ascii="Times New Roman" w:hAnsi="Times New Roman" w:eastAsia="Times New Roman"/>
          <w:sz w:val="20"/>
        </w:rPr>
        <w:t>14. Wong RSY, Tan T, Pang ASR, Srinivasan DK. The role of cytokines in wound healing: from mechanistic insights to therapeutic applications. Explor Immunol 2025;5:1003183.</w:t>
      </w:r>
    </w:p>
    <w:p>
      <w:pPr>
        <w:keepNext w:val="0"/>
        <w:keepLines/>
        <w:spacing w:before="0" w:after="0" w:line="480" w:lineRule="auto"/>
        <w:ind w:left="363" w:hanging="363"/>
        <w:jc w:val="left"/>
      </w:pPr>
      <w:r>
        <w:rPr>
          <w:rFonts w:ascii="Times New Roman" w:hAnsi="Times New Roman" w:eastAsia="Times New Roman"/>
          <w:sz w:val="20"/>
        </w:rPr>
        <w:t>15. Hasan A, Roome T, Wahid M, Ansari SA, Khan JA, Jilani SNA, et al. Expression of Toll-like receptor 2, Dectin-1, and osteopontin in murine model of pulpitis. Clin Oral Investig 2023;27:1177-1192.</w:t>
      </w:r>
    </w:p>
    <w:p>
      <w:pPr>
        <w:keepNext w:val="0"/>
        <w:keepLines/>
        <w:spacing w:before="0" w:after="0" w:line="480" w:lineRule="auto"/>
        <w:ind w:left="363" w:hanging="363"/>
        <w:jc w:val="left"/>
      </w:pPr>
      <w:r>
        <w:rPr>
          <w:rFonts w:ascii="Times New Roman" w:hAnsi="Times New Roman" w:eastAsia="Times New Roman"/>
          <w:sz w:val="20"/>
        </w:rPr>
        <w:t>16. He Y, Gan Y, Lu J, Feng Q, Wang H, Guan H, et al. Pulpal tissue inflammatory reactions after experimental pulpal exposure in mice. J Endod 2017;43:90-95.</w:t>
      </w:r>
    </w:p>
    <w:p>
      <w:pPr>
        <w:keepNext w:val="0"/>
        <w:keepLines/>
        <w:spacing w:before="0" w:after="0" w:line="480" w:lineRule="auto"/>
        <w:ind w:left="363" w:hanging="363"/>
        <w:jc w:val="left"/>
      </w:pPr>
      <w:r>
        <w:rPr>
          <w:rFonts w:ascii="Times New Roman" w:hAnsi="Times New Roman" w:eastAsia="Times New Roman"/>
          <w:sz w:val="20"/>
        </w:rPr>
        <w:t>17. Nabil Sulyiman S, El-Rashidy AA, El Moshy S, Abbas MMS, Waly G. Nano eggshell-based slurry as a direct pulp-capping material: in vitro characterization and histopathological assessment in an experimental animal model. Int Endod J 2023;56:1129-1146.</w:t>
      </w:r>
    </w:p>
    <w:p>
      <w:pPr>
        <w:keepNext w:val="0"/>
        <w:keepLines/>
        <w:spacing w:before="0" w:after="0" w:line="480" w:lineRule="auto"/>
        <w:ind w:left="363" w:hanging="363"/>
        <w:jc w:val="left"/>
      </w:pPr>
      <w:r>
        <w:rPr>
          <w:rFonts w:ascii="Times New Roman" w:hAnsi="Times New Roman" w:eastAsia="Times New Roman"/>
          <w:sz w:val="20"/>
        </w:rPr>
        <w:t>18. Duncan HF, Cooper PR, Smith AJ. Dissecting dentine-pulp injury and wound healing responses: consequences for regenerative endodontics. Int Endod J 2019;52:261-266.</w:t>
      </w:r>
    </w:p>
    <w:p>
      <w:pPr>
        <w:keepNext w:val="0"/>
        <w:keepLines/>
        <w:spacing w:before="0" w:after="0" w:line="480" w:lineRule="auto"/>
        <w:ind w:left="363" w:hanging="363"/>
        <w:jc w:val="left"/>
      </w:pPr>
      <w:r>
        <w:rPr>
          <w:rFonts w:ascii="Times New Roman" w:hAnsi="Times New Roman" w:eastAsia="Times New Roman"/>
          <w:sz w:val="20"/>
        </w:rPr>
        <w:t>19. Zaky SH, Shehabeldin M, Ray H, Sfeir C, Zaky SH, Shehabeldin M, et al. The role of inflammation modulation in dental pulp regeneration. Eur Cell Mater 2021;41:184-193.</w:t>
      </w:r>
    </w:p>
    <w:p>
      <w:r>
        <w:rPr>
          <w:rFonts w:ascii="Times New Roman" w:hAnsi="Times New Roman" w:eastAsia="Times New Roman"/>
          <w:sz w:val="20"/>
        </w:rPr>
        <w:br w:type="page"/>
      </w:r>
    </w:p>
    <w:p>
      <w:pPr>
        <w:keepNext/>
        <w:keepLines w:val="0"/>
        <w:spacing w:before="0" w:after="0" w:line="480" w:lineRule="auto"/>
        <w:jc w:val="left"/>
      </w:pPr>
      <w:r>
        <w:rPr>
          <w:rFonts w:ascii="Times New Roman" w:hAnsi="Times New Roman" w:eastAsia="Times New Roman"/>
          <w:b/>
          <w:i w:val="0"/>
          <w:sz w:val="20"/>
        </w:rPr>
        <w:t>FIGURE LEGENDS</w:t>
      </w:r>
    </w:p>
    <w:p>
      <w:pPr>
        <w:keepNext w:val="0"/>
        <w:keepLines/>
        <w:spacing w:before="0" w:after="0" w:line="480" w:lineRule="auto"/>
        <w:jc w:val="left"/>
      </w:pPr>
      <w:r>
        <w:rPr>
          <w:rFonts w:ascii="Times New Roman" w:hAnsi="Times New Roman" w:eastAsia="Times New Roman"/>
          <w:b w:val="0"/>
          <w:i w:val="0"/>
          <w:sz w:val="20"/>
        </w:rPr>
        <w:t>Figure 1. Representative hematoxylin and eosin (H&amp;E)-stained sections of perforated pulp tissue from the NC, CH, CH-CHA, and CH-CHA-EA groups. Arrows indicate cells included in the H&amp;E-based macrophage count. Original magnification, ×1,000.</w:t>
      </w:r>
    </w:p>
    <w:p>
      <w:pPr>
        <w:keepNext w:val="0"/>
        <w:keepLines/>
        <w:spacing w:before="0" w:after="0" w:line="480" w:lineRule="auto"/>
        <w:jc w:val="left"/>
      </w:pPr>
      <w:r>
        <w:rPr>
          <w:rFonts w:ascii="Times New Roman" w:hAnsi="Times New Roman" w:eastAsia="Times New Roman"/>
          <w:b w:val="0"/>
          <w:i w:val="0"/>
          <w:sz w:val="20"/>
        </w:rPr>
        <w:t>Figure 2. Representative immunohistochemical staining showing TNF-α-positive cells in perforated pulp tissue after treatment with different pulp-capping materials. Brown staining indicates TNF-α immunoreactivity. Arrows indicate positively stained cells. Original magnification, ×1,000.</w:t>
      </w:r>
    </w:p>
    <w:p>
      <w:pPr>
        <w:keepNext w:val="0"/>
        <w:keepLines/>
        <w:spacing w:before="0" w:after="0" w:line="480" w:lineRule="auto"/>
        <w:jc w:val="left"/>
      </w:pPr>
      <w:r>
        <w:rPr>
          <w:rFonts w:ascii="Times New Roman" w:hAnsi="Times New Roman" w:eastAsia="Times New Roman"/>
          <w:b w:val="0"/>
          <w:i w:val="0"/>
          <w:sz w:val="20"/>
        </w:rPr>
        <w:t>Figure 3. Representative immunohistochemical staining showing IL-10-positive cells in perforated pulp tissue after treatment with different pulp-capping materials. Brown staining indicates IL-10 immunoreactivity. Arrows indicate positively stained cells. Original magnification, ×1,000.</w:t>
      </w:r>
    </w:p>
    <w:p>
      <w:r>
        <w:rPr>
          <w:rFonts w:ascii="Times New Roman" w:hAnsi="Times New Roman" w:eastAsia="Times New Roman"/>
          <w:sz w:val="20"/>
        </w:rPr>
        <w:br w:type="page"/>
      </w:r>
    </w:p>
    <w:p>
      <w:pPr>
        <w:keepNext/>
        <w:keepLines w:val="0"/>
        <w:spacing w:before="0" w:after="0" w:line="480" w:lineRule="auto"/>
        <w:jc w:val="left"/>
      </w:pPr>
      <w:r>
        <w:rPr>
          <w:rFonts w:ascii="Times New Roman" w:hAnsi="Times New Roman" w:eastAsia="Times New Roman"/>
          <w:b w:val="0"/>
          <w:i w:val="0"/>
          <w:sz w:val="20"/>
        </w:rPr>
        <w:t>Table 1. H&amp;E-based macrophage counts in pulp tissue after application of different pulp-capping materials.</w:t>
      </w:r>
    </w:p>
    <w:tbl>
      <w:tblPr>
        <w:tblW w:type="auto" w:w="0"/>
        <w:jc w:val="center"/>
        <w:tblLayout w:type="fixed"/>
        <w:tblLook w:firstColumn="1" w:firstRow="1" w:lastColumn="0" w:lastRow="0" w:noHBand="0" w:noVBand="1" w:val="04A0"/>
        <w:tblBorders>
          <w:top w:val="single" w:sz="8" w:color="000000" w:space="0"/>
          <w:left w:val="nil" w:space="0"/>
          <w:bottom w:val="single" w:sz="8" w:color="000000" w:space="0"/>
          <w:right w:val="nil" w:space="0"/>
          <w:insideH w:val="nil" w:space="0"/>
          <w:insideV w:val="nil" w:space="0"/>
        </w:tblBorders>
      </w:tblPr>
      <w:tblGrid>
        <w:gridCol w:w="2268"/>
        <w:gridCol w:w="2268"/>
        <w:gridCol w:w="2268"/>
        <w:gridCol w:w="2268"/>
      </w:tblGrid>
      <w:tr>
        <w:trPr>
          <w:tblHeader w:val="true"/>
        </w:trPr>
        <w:tc>
          <w:tcPr>
            <w:tcW w:type="dxa" w:w="2232"/>
            <w:tcMar>
              <w:top w:w="0" w:type="dxa"/>
              <w:start w:w="40" w:type="dxa"/>
              <w:bottom w:w="0" w:type="dxa"/>
              <w:end w:w="40" w:type="dxa"/>
            </w:tcMar>
            <w:vAlign w:val="center"/>
            <w:tcBorders>
              <w:bottom w:val="single" w:sz="8" w:space="0" w:color="000000"/>
            </w:tcBorders>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sz w:val="20"/>
              </w:rPr>
              <w:t>Group</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3</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7</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14</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NC</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2.2 ± 0.84</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2.80 ± 0.84</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3.60 ± 1.10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4.8 ± 1.3</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7.00 ± 1.6</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7.60 ± 1.10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CH-CHA</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6.6 ± 1.3</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8.00 ± 1.6</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9.20 ± 1.80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CH-CHA-EA</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7.8 ± 0.84</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9.40 ± 1.5</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11.00 ± 1.60</w:t>
            </w:r>
          </w:p>
        </w:tc>
      </w:tr>
    </w:tbl>
    <w:p>
      <w:pPr>
        <w:keepNext w:val="0"/>
        <w:keepLines/>
        <w:spacing w:before="0" w:after="0" w:line="480" w:lineRule="auto"/>
        <w:jc w:val="left"/>
      </w:pPr>
      <w:r>
        <w:rPr>
          <w:rFonts w:ascii="Times New Roman" w:hAnsi="Times New Roman" w:eastAsia="Times New Roman"/>
          <w:b w:val="0"/>
          <w:i w:val="0"/>
          <w:sz w:val="20"/>
        </w:rPr>
        <w:t>Values are mean ± SD (n = 5 animals per group at each time point). Overall one-way analysis of variance across groups: day 3, p &lt; 0.0001; day 7, p &lt; 0.0001; day 14, p &lt; 0.0001. CH, calcium hydroxide; CHA, carbonate hydroxyapatite; EA, ellagic acid; H&amp;E, hematoxylin and eosin; NC, negative control.</w:t>
      </w:r>
    </w:p>
    <w:p>
      <w:r>
        <w:rPr>
          <w:rFonts w:ascii="Times New Roman" w:hAnsi="Times New Roman" w:eastAsia="Times New Roman"/>
          <w:sz w:val="20"/>
        </w:rPr>
        <w:br w:type="page"/>
      </w:r>
    </w:p>
    <w:p>
      <w:pPr>
        <w:keepNext/>
        <w:keepLines w:val="0"/>
        <w:spacing w:before="0" w:after="0" w:line="480" w:lineRule="auto"/>
        <w:jc w:val="left"/>
      </w:pPr>
      <w:r>
        <w:rPr>
          <w:rFonts w:ascii="Times New Roman" w:hAnsi="Times New Roman" w:eastAsia="Times New Roman"/>
          <w:b w:val="0"/>
          <w:i w:val="0"/>
          <w:sz w:val="20"/>
        </w:rPr>
        <w:t>Table 2. TNF-α expression in pulp tissue after application of different pulp-capping materials.</w:t>
      </w:r>
    </w:p>
    <w:tbl>
      <w:tblPr>
        <w:tblW w:type="auto" w:w="0"/>
        <w:jc w:val="center"/>
        <w:tblLayout w:type="fixed"/>
        <w:tblLook w:firstColumn="1" w:firstRow="1" w:lastColumn="0" w:lastRow="0" w:noHBand="0" w:noVBand="1" w:val="04A0"/>
        <w:tblBorders>
          <w:top w:val="single" w:sz="8" w:color="000000" w:space="0"/>
          <w:left w:val="nil" w:space="0"/>
          <w:bottom w:val="single" w:sz="8" w:color="000000" w:space="0"/>
          <w:right w:val="nil" w:space="0"/>
          <w:insideH w:val="nil" w:space="0"/>
          <w:insideV w:val="nil" w:space="0"/>
        </w:tblBorders>
      </w:tblPr>
      <w:tblGrid>
        <w:gridCol w:w="2268"/>
        <w:gridCol w:w="2268"/>
        <w:gridCol w:w="2268"/>
        <w:gridCol w:w="2268"/>
      </w:tblGrid>
      <w:tr>
        <w:trPr>
          <w:tblHeader w:val="true"/>
        </w:trPr>
        <w:tc>
          <w:tcPr>
            <w:tcW w:type="dxa" w:w="2232"/>
            <w:tcMar>
              <w:top w:w="0" w:type="dxa"/>
              <w:start w:w="40" w:type="dxa"/>
              <w:bottom w:w="0" w:type="dxa"/>
              <w:end w:w="40" w:type="dxa"/>
            </w:tcMar>
            <w:vAlign w:val="center"/>
            <w:tcBorders>
              <w:bottom w:val="single" w:sz="8" w:space="0" w:color="000000"/>
            </w:tcBorders>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sz w:val="20"/>
              </w:rPr>
              <w:t>Group</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3</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7</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14</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NC</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5.6 ± 2.1</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7.20 ± 1.50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12 ± 1.90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5.8 ± 0.84</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7.80 ± 1.30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4.6 ± 1.10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CH-CHA</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5.0 ± 1.0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6.60 ± 1.10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4.8 ± 1.30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CH-CHA-EA</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4.0 ± 1.6</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2.00 ± 1.00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2.20 ± 0.84</w:t>
            </w:r>
          </w:p>
        </w:tc>
      </w:tr>
    </w:tbl>
    <w:p>
      <w:pPr>
        <w:keepNext w:val="0"/>
        <w:keepLines/>
        <w:spacing w:before="0" w:after="0" w:line="480" w:lineRule="auto"/>
        <w:jc w:val="left"/>
      </w:pPr>
      <w:r>
        <w:rPr>
          <w:rFonts w:ascii="Times New Roman" w:hAnsi="Times New Roman" w:eastAsia="Times New Roman"/>
          <w:b w:val="0"/>
          <w:i w:val="0"/>
          <w:sz w:val="20"/>
        </w:rPr>
        <w:t>Values are mean ± SD (n = 5 animals per group at each time point). Overall one-way analysis of variance across groups: day 3, p = 0.2434; day 7, p &lt; 0.0001; day 14, p &lt; 0.0001. CH, calcium hydroxide; CHA, carbonate hydroxyapatite; EA, ellagic acid; NC, negative control; TNF-α, tumor necrosis factor alpha.</w:t>
      </w:r>
    </w:p>
    <w:p>
      <w:r>
        <w:rPr>
          <w:rFonts w:ascii="Times New Roman" w:hAnsi="Times New Roman" w:eastAsia="Times New Roman"/>
          <w:sz w:val="20"/>
        </w:rPr>
        <w:br w:type="page"/>
      </w:r>
    </w:p>
    <w:p>
      <w:pPr>
        <w:keepNext/>
        <w:keepLines w:val="0"/>
        <w:spacing w:before="0" w:after="0" w:line="480" w:lineRule="auto"/>
        <w:jc w:val="left"/>
      </w:pPr>
      <w:r>
        <w:rPr>
          <w:rFonts w:ascii="Times New Roman" w:hAnsi="Times New Roman" w:eastAsia="Times New Roman"/>
          <w:b w:val="0"/>
          <w:i w:val="0"/>
          <w:sz w:val="20"/>
        </w:rPr>
        <w:t>Table 3. IL-10 expression in pulp tissue after application of different pulp-capping materials.</w:t>
      </w:r>
    </w:p>
    <w:tbl>
      <w:tblPr>
        <w:tblW w:type="auto" w:w="0"/>
        <w:jc w:val="center"/>
        <w:tblLayout w:type="fixed"/>
        <w:tblLook w:firstColumn="1" w:firstRow="1" w:lastColumn="0" w:lastRow="0" w:noHBand="0" w:noVBand="1" w:val="04A0"/>
        <w:tblBorders>
          <w:top w:val="single" w:sz="8" w:color="000000" w:space="0"/>
          <w:left w:val="nil" w:space="0"/>
          <w:bottom w:val="single" w:sz="8" w:color="000000" w:space="0"/>
          <w:right w:val="nil" w:space="0"/>
          <w:insideH w:val="nil" w:space="0"/>
          <w:insideV w:val="nil" w:space="0"/>
        </w:tblBorders>
      </w:tblPr>
      <w:tblGrid>
        <w:gridCol w:w="2268"/>
        <w:gridCol w:w="2268"/>
        <w:gridCol w:w="2268"/>
        <w:gridCol w:w="2268"/>
      </w:tblGrid>
      <w:tr>
        <w:trPr>
          <w:tblHeader w:val="true"/>
        </w:trPr>
        <w:tc>
          <w:tcPr>
            <w:tcW w:type="dxa" w:w="2232"/>
            <w:tcMar>
              <w:top w:w="0" w:type="dxa"/>
              <w:start w:w="40" w:type="dxa"/>
              <w:bottom w:w="0" w:type="dxa"/>
              <w:end w:w="40" w:type="dxa"/>
            </w:tcMar>
            <w:vAlign w:val="center"/>
            <w:tcBorders>
              <w:bottom w:val="single" w:sz="8" w:space="0" w:color="000000"/>
            </w:tcBorders>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sz w:val="20"/>
              </w:rPr>
              <w:t>Group</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3</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7</w:t>
            </w:r>
          </w:p>
        </w:tc>
        <w:tc>
          <w:tcPr>
            <w:tcW w:type="dxa" w:w="1958"/>
            <w:tcMar>
              <w:top w:w="0" w:type="dxa"/>
              <w:start w:w="40" w:type="dxa"/>
              <w:bottom w:w="0" w:type="dxa"/>
              <w:end w:w="40" w:type="dxa"/>
            </w:tcMar>
            <w:vAlign w:val="center"/>
            <w:tcBorders>
              <w:bottom w:val="single" w:sz="8" w:space="0" w:color="000000"/>
            </w:tcBorders>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sz w:val="20"/>
              </w:rPr>
              <w:t>Day 14</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NC</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3.20 ± 0.84</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4.40 ± 1.10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6.20 ± 1.90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5.20 ± 1.30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7.40 ± 1.80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7.80 ± 1.50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CH-CHA</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6.20 ± 1.30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7.80 ± 1.30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9.20 ± 1.30</w:t>
            </w:r>
          </w:p>
        </w:tc>
      </w:tr>
      <w:tr>
        <w:tc>
          <w:tcPr>
            <w:tcW w:type="dxa" w:w="2232"/>
            <w:tcMar>
              <w:top w:w="0" w:type="dxa"/>
              <w:start w:w="40" w:type="dxa"/>
              <w:bottom w:w="0" w:type="dxa"/>
              <w:end w:w="40" w:type="dxa"/>
            </w:tcMar>
            <w:vAlign w:val="center"/>
          </w:tcPr>
          <w:p>
            <w:pPr>
              <w:keepNext w:val="0"/>
              <w:keepLines/>
              <w:spacing w:before="0" w:after="0" w:line="240" w:lineRule="auto"/>
              <w:jc w:val="left"/>
            </w:pPr>
            <w:r>
              <w:rPr>
                <w:rFonts w:ascii="Times New Roman" w:hAnsi="Times New Roman" w:eastAsia="Times New Roman"/>
                <w:sz w:val="20"/>
              </w:rPr>
            </w:r>
            <w:r>
              <w:rPr>
                <w:rFonts w:ascii="Times New Roman" w:hAnsi="Times New Roman" w:eastAsia="Times New Roman"/>
                <w:b w:val="0"/>
                <w:sz w:val="20"/>
              </w:rPr>
              <w:t>CH-CHA-EA</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8.40 ± 1.10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9.60 ± 1.50</w:t>
            </w:r>
          </w:p>
        </w:tc>
        <w:tc>
          <w:tcPr>
            <w:tcW w:type="dxa" w:w="1958"/>
            <w:tcMar>
              <w:top w:w="0" w:type="dxa"/>
              <w:start w:w="40" w:type="dxa"/>
              <w:bottom w:w="0" w:type="dxa"/>
              <w:end w:w="40" w:type="dxa"/>
            </w:tcMar>
            <w:vAlign w:val="center"/>
          </w:tcPr>
          <w:p>
            <w:pPr>
              <w:keepNext w:val="0"/>
              <w:keepLines/>
              <w:spacing w:before="0" w:after="0" w:line="240" w:lineRule="auto"/>
              <w:jc w:val="center"/>
            </w:pPr>
            <w:r>
              <w:rPr>
                <w:rFonts w:ascii="Times New Roman" w:hAnsi="Times New Roman" w:eastAsia="Times New Roman"/>
                <w:sz w:val="20"/>
              </w:rPr>
            </w:r>
            <w:r>
              <w:rPr>
                <w:rFonts w:ascii="Times New Roman" w:hAnsi="Times New Roman" w:eastAsia="Times New Roman"/>
                <w:b w:val="0"/>
                <w:sz w:val="20"/>
              </w:rPr>
              <w:t>11.20 ± 1.90</w:t>
            </w:r>
          </w:p>
        </w:tc>
      </w:tr>
    </w:tbl>
    <w:p>
      <w:pPr>
        <w:keepNext w:val="0"/>
        <w:keepLines/>
        <w:spacing w:before="0" w:after="0" w:line="480" w:lineRule="auto"/>
        <w:jc w:val="left"/>
      </w:pPr>
      <w:r>
        <w:rPr>
          <w:rFonts w:ascii="Times New Roman" w:hAnsi="Times New Roman" w:eastAsia="Times New Roman"/>
          <w:b w:val="0"/>
          <w:i w:val="0"/>
          <w:sz w:val="20"/>
        </w:rPr>
        <w:t>Values are mean ± SD (n = 5 animals per group at each time point). Overall one-way analysis of variance across groups: day 3, p &lt; 0.0001; day 7, p = 0.0004; day 14, p = 0.0018. CH, calcium hydroxide; CHA, carbonate hydroxyapatite; EA, ellagic acid; IL-10, interleukin 10; NC, negative control.</w:t>
      </w:r>
    </w:p>
    <w:sectPr w:rsidR="00BB5AEE" w:rsidSect="007A16BA">
      <w:footerReference w:type="default" r:id="rId14"/>
      <w:headerReference w:type="default" r:id="rId17"/>
      <w:pgSz w:w="11906" w:h="16838" w:code="9"/>
      <w:pgMar w:top="1701" w:right="1417" w:bottom="1701" w:left="1417" w:header="850" w:footer="850"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9689B7" w14:textId="77777777" w:rsidR="00FA1953" w:rsidRDefault="00FA1953">
      <w:r>
        <w:separator/>
      </w:r>
    </w:p>
  </w:endnote>
  <w:endnote w:type="continuationSeparator" w:id="0">
    <w:p w14:paraId="4AFCE26C" w14:textId="77777777" w:rsidR="00FA1953" w:rsidRDefault="00FA1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GaramondPro-Regular">
    <w:altName w:val="궁서"/>
    <w:panose1 w:val="00000000000000000000"/>
    <w:charset w:val="81"/>
    <w:family w:val="roman"/>
    <w:notTrueType/>
    <w:pitch w:val="default"/>
    <w:sig w:usb0="00000001" w:usb1="09060000"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MinionPro-Regular">
    <w:altName w:val="Arial Unicode MS"/>
    <w:panose1 w:val="00000000000000000000"/>
    <w:charset w:val="81"/>
    <w:family w:val="auto"/>
    <w:notTrueType/>
    <w:pitch w:val="default"/>
    <w:sig w:usb0="00000001" w:usb1="09060000"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2F86B" w14:textId="77777777" w:rsidR="00EB3CDD" w:rsidRDefault="00292006">
    <w:pPr>
      <w:wordWrap/>
      <w:adjustRightInd w:val="0"/>
      <w:jc w:val="center"/>
      <w:rPr>
        <w:rFonts w:ascii="바탕체" w:eastAsia="바탕체"/>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26C21A" w14:textId="77777777" w:rsidR="00FA1953" w:rsidRDefault="00FA1953">
      <w:r>
        <w:separator/>
      </w:r>
    </w:p>
  </w:footnote>
  <w:footnote w:type="continuationSeparator" w:id="0">
    <w:p w14:paraId="48B99C7E" w14:textId="77777777" w:rsidR="00FA1953" w:rsidRDefault="00FA195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724956"/>
    <w:multiLevelType w:val="hybridMultilevel"/>
    <w:tmpl w:val="2FF88246"/>
    <w:lvl w:ilvl="0" w:tplc="FBB8625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006"/>
    <w:rsid w:val="001F1731"/>
    <w:rsid w:val="00292006"/>
    <w:rsid w:val="004D2AEE"/>
    <w:rsid w:val="005A33D5"/>
    <w:rsid w:val="006032AF"/>
    <w:rsid w:val="00FA1953"/>
  </w:rsids>
  <m:mathPr>
    <m:mathFont m:val="Cambria Math"/>
    <m:brkBin m:val="before"/>
    <m:brkBinSub m:val="--"/>
    <m:smallFrac m:val="0"/>
    <m:dispDef/>
    <m:lMargin m:val="0"/>
    <m:rMargin m:val="0"/>
    <m:defJc m:val="centerGroup"/>
    <m:wrapIndent m:val="1440"/>
    <m:intLim m:val="subSup"/>
    <m:naryLim m:val="undOvr"/>
  </m:mathPr>
  <w:themeFontLang w:val="en-GB"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592EE"/>
  <w15:chartTrackingRefBased/>
  <w15:docId w15:val="{8E771222-18D3-4D3B-BDBB-E325311C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ko-KR"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2006"/>
    <w:pPr>
      <w:widowControl w:val="0"/>
      <w:wordWrap w:val="0"/>
      <w:autoSpaceDE w:val="0"/>
      <w:autoSpaceDN w:val="0"/>
      <w:spacing w:after="0" w:line="480" w:lineRule="auto" w:before="0"/>
      <w:jc w:val="both"/>
    </w:pPr>
    <w:rPr>
      <w:rFonts w:ascii="Times New Roman" w:eastAsia="바탕" w:hAnsi="Times New Roman" w:cs="Times New Roman"/>
      <w:kern w:val="2"/>
      <w:sz w:val="20"/>
      <w:szCs w:val="24"/>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rsid w:val="00292006"/>
    <w:pPr>
      <w:jc w:val="left"/>
    </w:pPr>
    <w:rPr>
      <w:rFonts w:ascii="맑은 고딕" w:eastAsia="맑은 고딕" w:hAnsi="맑은 고딕"/>
      <w:kern w:val="0"/>
      <w:sz w:val="18"/>
      <w:szCs w:val="18"/>
      <w:lang w:val="x-none" w:eastAsia="x-none"/>
    </w:rPr>
  </w:style>
  <w:style w:type="character" w:customStyle="1" w:styleId="Char">
    <w:name w:val="메모 텍스트 Char"/>
    <w:basedOn w:val="a0"/>
    <w:link w:val="a3"/>
    <w:uiPriority w:val="99"/>
    <w:rsid w:val="00292006"/>
    <w:rPr>
      <w:rFonts w:ascii="맑은 고딕" w:eastAsia="맑은 고딕" w:hAnsi="맑은 고딕" w:cs="Times New Roman"/>
      <w:sz w:val="18"/>
      <w:szCs w:val="18"/>
      <w:lang w:val="x-none" w:eastAsia="x-none" w:bidi="ar-SA"/>
    </w:rPr>
  </w:style>
  <w:style w:type="paragraph" w:customStyle="1" w:styleId="a4">
    <w:name w:val="바탕글"/>
    <w:rsid w:val="002920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jc w:val="both"/>
    </w:pPr>
    <w:rPr>
      <w:rFonts w:ascii="바탕체" w:eastAsia="바탕체" w:hAnsi="Times New Roman" w:cs="Times New Roman"/>
      <w:color w:val="000000"/>
      <w:sz w:val="20"/>
      <w:szCs w:val="20"/>
      <w:lang w:val="en-US" w:bidi="ar-SA"/>
    </w:rPr>
  </w:style>
  <w:style w:type="paragraph" w:customStyle="1" w:styleId="9">
    <w:name w:val="머리말(중고딕9)"/>
    <w:rsid w:val="002920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jc w:val="both"/>
    </w:pPr>
    <w:rPr>
      <w:rFonts w:ascii="바탕체" w:eastAsia="바탕체" w:hAnsi="Times New Roman" w:cs="Times New Roman"/>
      <w:color w:val="000000"/>
      <w:sz w:val="18"/>
      <w:szCs w:val="18"/>
      <w:lang w:val="en-US" w:bidi="ar-SA"/>
    </w:rPr>
  </w:style>
  <w:style w:type="character" w:styleId="a5">
    <w:name w:val="annotation reference"/>
    <w:uiPriority w:val="99"/>
    <w:unhideWhenUsed/>
    <w:rsid w:val="00292006"/>
    <w:rPr>
      <w:sz w:val="18"/>
      <w:szCs w:val="18"/>
    </w:rPr>
  </w:style>
  <w:style w:type="character" w:styleId="a6">
    <w:name w:val="Hyperlink"/>
    <w:uiPriority w:val="99"/>
    <w:unhideWhenUsed/>
    <w:rsid w:val="00292006"/>
    <w:rPr>
      <w:color w:val="0000FF"/>
      <w:u w:val="single"/>
    </w:rPr>
  </w:style>
  <w:style w:type="paragraph" w:styleId="a7">
    <w:name w:val="Balloon Text"/>
    <w:basedOn w:val="a"/>
    <w:link w:val="Char0"/>
    <w:uiPriority w:val="99"/>
    <w:semiHidden/>
    <w:unhideWhenUsed/>
    <w:rsid w:val="00292006"/>
    <w:rPr>
      <w:rFonts w:ascii="맑은 고딕" w:eastAsia="맑은 고딕"/>
      <w:sz w:val="18"/>
      <w:szCs w:val="18"/>
    </w:rPr>
  </w:style>
  <w:style w:type="character" w:customStyle="1" w:styleId="Char0">
    <w:name w:val="풍선 도움말 텍스트 Char"/>
    <w:basedOn w:val="a0"/>
    <w:link w:val="a7"/>
    <w:uiPriority w:val="99"/>
    <w:semiHidden/>
    <w:rsid w:val="00292006"/>
    <w:rPr>
      <w:rFonts w:ascii="맑은 고딕" w:eastAsia="맑은 고딕" w:hAnsi="Times New Roman" w:cs="Times New Roman"/>
      <w:kern w:val="2"/>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www.nlm.nih.gov/citingmedicin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ancer.org/docroot/CRI/CRI_0.asp.%20(update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nlm.nih.gov/mesh/MBrowser.html" TargetMode="External"/><Relationship Id="rId4" Type="http://schemas.openxmlformats.org/officeDocument/2006/relationships/webSettings" Target="webSettings.xml"/><Relationship Id="rId9" Type="http://schemas.openxmlformats.org/officeDocument/2006/relationships/hyperlink" Target="http://orcid.org/0000-0001-9641-5507" TargetMode="External"/><Relationship Id="rId14"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Immunomodulatory effects of carbonate hydroxyapatite and ellagic acid-modified calcium hydroxide in a rat pulp perforation model</dc:title>
  <dc:subject>Research Article</dc:subject>
  <dc:creator>Catur Septommy; Intan Nirwana; Ira Widjiastuti</dc:creator>
  <cp:keywords/>
  <dc:description>Formatted using Restorative Dentistry and Endodontics research article template</dc:description>
  <cp:lastModifiedBy>MIN</cp:lastModifiedBy>
  <cp:revision>4</cp:revision>
  <dcterms:created xsi:type="dcterms:W3CDTF">2022-05-12T13:01:00Z</dcterms:created>
  <dcterms:modified xsi:type="dcterms:W3CDTF">2022-05-12T13:10:00Z</dcterms:modified>
</cp:coreProperties>
</file>