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81FBE" w14:textId="61308397" w:rsidR="00B02CF7" w:rsidRDefault="007A50A0" w:rsidP="00C87C83">
      <w:pPr>
        <w:spacing w:line="276" w:lineRule="auto"/>
      </w:pPr>
      <w:r w:rsidRPr="007A50A0">
        <w:t>Comparative Characterization of Extracellular Vesicle–Enriched Preparations from Blood, Urine, and Honey</w:t>
      </w:r>
    </w:p>
    <w:p w14:paraId="7C83E18A" w14:textId="1E043F3E" w:rsidR="007A50A0" w:rsidRDefault="007A50A0" w:rsidP="00C87C83">
      <w:pPr>
        <w:spacing w:line="276" w:lineRule="auto"/>
      </w:pPr>
      <w:r w:rsidRPr="007A50A0">
        <w:t xml:space="preserve">Glenn Marchelinno Souissa¹, Bryan Christopher Wiraputra¹, Deby Deby², Purnamawati², Eden Steven³, </w:t>
      </w:r>
      <w:proofErr w:type="spellStart"/>
      <w:r w:rsidRPr="007A50A0">
        <w:t>Yudhi</w:t>
      </w:r>
      <w:proofErr w:type="spellEnd"/>
      <w:r w:rsidRPr="007A50A0">
        <w:t xml:space="preserve"> Nugraha⁴, Ahmad Novi Muslimin⁵, Agus </w:t>
      </w:r>
      <w:proofErr w:type="spellStart"/>
      <w:r w:rsidRPr="007A50A0">
        <w:t>Limanto</w:t>
      </w:r>
      <w:proofErr w:type="spellEnd"/>
      <w:proofErr w:type="gramStart"/>
      <w:r w:rsidRPr="007A50A0">
        <w:t>⁶,*</w:t>
      </w:r>
      <w:proofErr w:type="gramEnd"/>
    </w:p>
    <w:p w14:paraId="0D340D88" w14:textId="77777777" w:rsidR="007A50A0" w:rsidRPr="007A50A0" w:rsidRDefault="007A50A0" w:rsidP="00C87C83">
      <w:pPr>
        <w:spacing w:line="276" w:lineRule="auto"/>
      </w:pPr>
      <w:r w:rsidRPr="007A50A0">
        <w:t>¹</w:t>
      </w:r>
      <w:r w:rsidRPr="007A50A0">
        <w:rPr>
          <w:i/>
          <w:iCs/>
        </w:rPr>
        <w:t xml:space="preserve">School of Medicine, Faculty of Medicine and Health Sciences, </w:t>
      </w:r>
      <w:proofErr w:type="spellStart"/>
      <w:r w:rsidRPr="007A50A0">
        <w:rPr>
          <w:i/>
          <w:iCs/>
        </w:rPr>
        <w:t>Krida</w:t>
      </w:r>
      <w:proofErr w:type="spellEnd"/>
      <w:r w:rsidRPr="007A50A0">
        <w:rPr>
          <w:i/>
          <w:iCs/>
        </w:rPr>
        <w:t xml:space="preserve"> </w:t>
      </w:r>
      <w:proofErr w:type="spellStart"/>
      <w:r w:rsidRPr="007A50A0">
        <w:rPr>
          <w:i/>
          <w:iCs/>
        </w:rPr>
        <w:t>Wacana</w:t>
      </w:r>
      <w:proofErr w:type="spellEnd"/>
      <w:r w:rsidRPr="007A50A0">
        <w:rPr>
          <w:i/>
          <w:iCs/>
        </w:rPr>
        <w:t xml:space="preserve"> Christian University, West Jakarta, 11510, Indonesia</w:t>
      </w:r>
    </w:p>
    <w:p w14:paraId="20F7CA4A" w14:textId="77777777" w:rsidR="007A50A0" w:rsidRPr="007A50A0" w:rsidRDefault="007A50A0" w:rsidP="00C87C83">
      <w:pPr>
        <w:spacing w:line="276" w:lineRule="auto"/>
      </w:pPr>
      <w:r w:rsidRPr="007A50A0">
        <w:t>²</w:t>
      </w:r>
      <w:r w:rsidRPr="007A50A0">
        <w:rPr>
          <w:i/>
          <w:iCs/>
        </w:rPr>
        <w:t xml:space="preserve">Department of Histopathology and Anatomy, Faculty of Medicine and Health Sciences, </w:t>
      </w:r>
      <w:proofErr w:type="spellStart"/>
      <w:r w:rsidRPr="007A50A0">
        <w:rPr>
          <w:i/>
          <w:iCs/>
        </w:rPr>
        <w:t>Krida</w:t>
      </w:r>
      <w:proofErr w:type="spellEnd"/>
      <w:r w:rsidRPr="007A50A0">
        <w:rPr>
          <w:i/>
          <w:iCs/>
        </w:rPr>
        <w:t xml:space="preserve"> </w:t>
      </w:r>
      <w:proofErr w:type="spellStart"/>
      <w:r w:rsidRPr="007A50A0">
        <w:rPr>
          <w:i/>
          <w:iCs/>
        </w:rPr>
        <w:t>Wacana</w:t>
      </w:r>
      <w:proofErr w:type="spellEnd"/>
      <w:r w:rsidRPr="007A50A0">
        <w:rPr>
          <w:i/>
          <w:iCs/>
        </w:rPr>
        <w:t xml:space="preserve"> Christian University, West Jakarta, 11510, Indonesia</w:t>
      </w:r>
    </w:p>
    <w:p w14:paraId="5D182EFB" w14:textId="77777777" w:rsidR="007A50A0" w:rsidRPr="007A50A0" w:rsidRDefault="007A50A0" w:rsidP="00C87C83">
      <w:pPr>
        <w:spacing w:line="276" w:lineRule="auto"/>
      </w:pPr>
      <w:r w:rsidRPr="007A50A0">
        <w:t>³</w:t>
      </w:r>
      <w:r w:rsidRPr="007A50A0">
        <w:rPr>
          <w:i/>
          <w:iCs/>
        </w:rPr>
        <w:t xml:space="preserve">Emmerich Research </w:t>
      </w:r>
      <w:proofErr w:type="spellStart"/>
      <w:r w:rsidRPr="007A50A0">
        <w:rPr>
          <w:i/>
          <w:iCs/>
        </w:rPr>
        <w:t>Center</w:t>
      </w:r>
      <w:proofErr w:type="spellEnd"/>
      <w:r w:rsidRPr="007A50A0">
        <w:rPr>
          <w:i/>
          <w:iCs/>
        </w:rPr>
        <w:t>, North Jakarta, 14450, Indonesia</w:t>
      </w:r>
    </w:p>
    <w:p w14:paraId="03CF3292" w14:textId="77777777" w:rsidR="007A50A0" w:rsidRPr="007A50A0" w:rsidRDefault="007A50A0" w:rsidP="00C87C83">
      <w:pPr>
        <w:spacing w:line="276" w:lineRule="auto"/>
      </w:pPr>
      <w:r w:rsidRPr="007A50A0">
        <w:t>⁴</w:t>
      </w:r>
      <w:r w:rsidRPr="007A50A0">
        <w:rPr>
          <w:i/>
          <w:iCs/>
        </w:rPr>
        <w:t xml:space="preserve">Eijkman Research </w:t>
      </w:r>
      <w:proofErr w:type="spellStart"/>
      <w:r w:rsidRPr="007A50A0">
        <w:rPr>
          <w:i/>
          <w:iCs/>
        </w:rPr>
        <w:t>Center</w:t>
      </w:r>
      <w:proofErr w:type="spellEnd"/>
      <w:r w:rsidRPr="007A50A0">
        <w:rPr>
          <w:i/>
          <w:iCs/>
        </w:rPr>
        <w:t xml:space="preserve"> for Molecular Biology, National Research and Innovation Agency (BRIN), Cibinong, Bogor, 16911, Indonesia</w:t>
      </w:r>
    </w:p>
    <w:p w14:paraId="3ED3C748" w14:textId="72327E70" w:rsidR="007A50A0" w:rsidRPr="007A50A0" w:rsidRDefault="007A50A0" w:rsidP="00C87C83">
      <w:pPr>
        <w:spacing w:line="276" w:lineRule="auto"/>
      </w:pPr>
      <w:r w:rsidRPr="007A50A0">
        <w:t>⁵</w:t>
      </w:r>
      <w:r w:rsidRPr="007A50A0">
        <w:rPr>
          <w:i/>
          <w:iCs/>
        </w:rPr>
        <w:t>Physics and Advanced Imaging Laboratory, National Research and Innovation Agency (BRIN), Cibinong, Bogor, 16911,</w:t>
      </w:r>
      <w:r>
        <w:rPr>
          <w:i/>
          <w:iCs/>
        </w:rPr>
        <w:t xml:space="preserve"> </w:t>
      </w:r>
      <w:r w:rsidRPr="007A50A0">
        <w:rPr>
          <w:i/>
          <w:iCs/>
        </w:rPr>
        <w:t>Indonesia</w:t>
      </w:r>
    </w:p>
    <w:p w14:paraId="5D90F07E" w14:textId="67B1FE3A" w:rsidR="007A50A0" w:rsidRDefault="007A50A0" w:rsidP="00C87C83">
      <w:pPr>
        <w:spacing w:line="276" w:lineRule="auto"/>
        <w:rPr>
          <w:i/>
          <w:iCs/>
        </w:rPr>
      </w:pPr>
      <w:r w:rsidRPr="007A50A0">
        <w:rPr>
          <w:i/>
          <w:iCs/>
        </w:rPr>
        <w:t>⁶</w:t>
      </w:r>
      <w:r>
        <w:rPr>
          <w:i/>
          <w:iCs/>
        </w:rPr>
        <w:t>Department of Biochemistry and Biomolecular</w:t>
      </w:r>
      <w:r w:rsidRPr="007A50A0">
        <w:rPr>
          <w:i/>
          <w:iCs/>
        </w:rPr>
        <w:t xml:space="preserve">, Faculty of Medicine and Health Sciences, </w:t>
      </w:r>
      <w:proofErr w:type="spellStart"/>
      <w:r w:rsidRPr="007A50A0">
        <w:rPr>
          <w:i/>
          <w:iCs/>
        </w:rPr>
        <w:t>Krida</w:t>
      </w:r>
      <w:proofErr w:type="spellEnd"/>
      <w:r w:rsidRPr="007A50A0">
        <w:rPr>
          <w:i/>
          <w:iCs/>
        </w:rPr>
        <w:t xml:space="preserve"> </w:t>
      </w:r>
      <w:proofErr w:type="spellStart"/>
      <w:r w:rsidRPr="007A50A0">
        <w:rPr>
          <w:i/>
          <w:iCs/>
        </w:rPr>
        <w:t>Wacana</w:t>
      </w:r>
      <w:proofErr w:type="spellEnd"/>
      <w:r w:rsidRPr="007A50A0">
        <w:rPr>
          <w:i/>
          <w:iCs/>
        </w:rPr>
        <w:t xml:space="preserve"> Christian University, West Jakarta, 11510, Indonesia</w:t>
      </w:r>
    </w:p>
    <w:p w14:paraId="7A664512" w14:textId="490E7BE0" w:rsidR="007A50A0" w:rsidRDefault="007A50A0" w:rsidP="00C87C83">
      <w:pPr>
        <w:spacing w:line="276" w:lineRule="auto"/>
      </w:pPr>
      <w:r w:rsidRPr="007A50A0">
        <w:t xml:space="preserve">*Corresponding author: </w:t>
      </w:r>
      <w:hyperlink r:id="rId4" w:history="1">
        <w:r w:rsidRPr="007A50A0">
          <w:rPr>
            <w:rStyle w:val="Hyperlink"/>
          </w:rPr>
          <w:t>agus.limanto@ukrida.ac.id</w:t>
        </w:r>
      </w:hyperlink>
    </w:p>
    <w:p w14:paraId="6A903417" w14:textId="0C5EA37F" w:rsidR="007A50A0" w:rsidRPr="00861F3D" w:rsidRDefault="007A50A0" w:rsidP="00C87C83">
      <w:pPr>
        <w:spacing w:line="276" w:lineRule="auto"/>
        <w:rPr>
          <w:rFonts w:ascii="Times New Roman" w:hAnsi="Times New Roman" w:cs="Times New Roman"/>
          <w:b/>
          <w:bCs/>
          <w:sz w:val="24"/>
          <w:szCs w:val="24"/>
        </w:rPr>
      </w:pPr>
      <w:r w:rsidRPr="00861F3D">
        <w:rPr>
          <w:rFonts w:ascii="Times New Roman" w:hAnsi="Times New Roman" w:cs="Times New Roman"/>
          <w:b/>
          <w:bCs/>
          <w:sz w:val="24"/>
          <w:szCs w:val="24"/>
        </w:rPr>
        <w:t>ABSTRACT</w:t>
      </w:r>
    </w:p>
    <w:p w14:paraId="5929BE48" w14:textId="4021B317" w:rsidR="00F62043" w:rsidRDefault="00F62043" w:rsidP="00F62043">
      <w:pPr>
        <w:jc w:val="both"/>
        <w:rPr>
          <w:rFonts w:ascii="Times New Roman" w:hAnsi="Times New Roman" w:cs="Times New Roman"/>
          <w:sz w:val="24"/>
          <w:szCs w:val="24"/>
        </w:rPr>
      </w:pPr>
      <w:r w:rsidRPr="00F62043">
        <w:rPr>
          <w:rFonts w:ascii="Times New Roman" w:hAnsi="Times New Roman" w:cs="Times New Roman"/>
          <w:sz w:val="24"/>
          <w:szCs w:val="24"/>
        </w:rPr>
        <w:t xml:space="preserve">Extracellular </w:t>
      </w:r>
      <w:proofErr w:type="spellStart"/>
      <w:r w:rsidRPr="00F62043">
        <w:rPr>
          <w:rFonts w:ascii="Times New Roman" w:hAnsi="Times New Roman" w:cs="Times New Roman"/>
          <w:sz w:val="24"/>
          <w:szCs w:val="24"/>
        </w:rPr>
        <w:t>vesicles</w:t>
      </w:r>
      <w:proofErr w:type="spellEnd"/>
      <w:r w:rsidRPr="00F62043">
        <w:rPr>
          <w:rFonts w:ascii="Times New Roman" w:hAnsi="Times New Roman" w:cs="Times New Roman"/>
          <w:sz w:val="24"/>
          <w:szCs w:val="24"/>
        </w:rPr>
        <w:t xml:space="preserve"> (EVs) have emerged as promising nanoscale delivery systems for targeted therapy, regenerative medicine, and biomarker applications because of their biocompatibility, cargo-carrying capacity, and ability to mediate intercellular communication. Natural EV sources such as mammalian biofluids and honey provide unique physicochemical and biomolecular characteristics that may support future therapeutic and diagnostic applications. This study aimed to compare EV-enriched preparations isolated from urine and honey with those from blood by evaluating their physicochemical profiles, protein content, surface-marker expression, and ultrastructural characteristics. EV-enriched preparations were obtained from blood (5 donors; 90 mL total), urine (3 donors; 150 mL total), and honey (3 samples; 150 mL total) using differential centrifugation, 0.22 µm filtration, and ultracentrifugation at 100,000 × g. Final resuspension volumes were 20 mL (blood; 22.2% buffer-volume recovery), 15 mL (urine; 10.0%), and 14 mL (honey; 9.3%); these reflect operational handling and do not represent particle yield. Dynamic light scattering demonstrated heterogeneous EV-sized particle distributions in all three preparations. Zeta potential analysis under high-conductivity conditions (~15 mS/cm) showed near-neutral apparent values for blood (+0.4 to −2.0 mV) and urine (~+0.1 mV), and slightly negative values for honey (−3.0 to −1.6 mV); these should be interpreted as buffer-limited rather than EV-intrinsic. Bradford assay indicated higher protein concentration in blood-derived EVs (664.4 </w:t>
      </w:r>
      <w:proofErr w:type="spellStart"/>
      <w:r w:rsidRPr="00F62043">
        <w:rPr>
          <w:rFonts w:ascii="Times New Roman" w:hAnsi="Times New Roman" w:cs="Times New Roman"/>
          <w:sz w:val="24"/>
          <w:szCs w:val="24"/>
        </w:rPr>
        <w:t>μg</w:t>
      </w:r>
      <w:proofErr w:type="spellEnd"/>
      <w:r w:rsidRPr="00F62043">
        <w:rPr>
          <w:rFonts w:ascii="Times New Roman" w:hAnsi="Times New Roman" w:cs="Times New Roman"/>
          <w:sz w:val="24"/>
          <w:szCs w:val="24"/>
        </w:rPr>
        <w:t xml:space="preserve">/mL) than in urine- (187.7 </w:t>
      </w:r>
      <w:proofErr w:type="spellStart"/>
      <w:r w:rsidRPr="00F62043">
        <w:rPr>
          <w:rFonts w:ascii="Times New Roman" w:hAnsi="Times New Roman" w:cs="Times New Roman"/>
          <w:sz w:val="24"/>
          <w:szCs w:val="24"/>
        </w:rPr>
        <w:t>μg</w:t>
      </w:r>
      <w:proofErr w:type="spellEnd"/>
      <w:r w:rsidRPr="00F62043">
        <w:rPr>
          <w:rFonts w:ascii="Times New Roman" w:hAnsi="Times New Roman" w:cs="Times New Roman"/>
          <w:sz w:val="24"/>
          <w:szCs w:val="24"/>
        </w:rPr>
        <w:t xml:space="preserve">/mL) or honey-derived EVs (181.6 </w:t>
      </w:r>
      <w:proofErr w:type="spellStart"/>
      <w:r w:rsidRPr="00F62043">
        <w:rPr>
          <w:rFonts w:ascii="Times New Roman" w:hAnsi="Times New Roman" w:cs="Times New Roman"/>
          <w:sz w:val="24"/>
          <w:szCs w:val="24"/>
        </w:rPr>
        <w:t>μg</w:t>
      </w:r>
      <w:proofErr w:type="spellEnd"/>
      <w:r w:rsidRPr="00F62043">
        <w:rPr>
          <w:rFonts w:ascii="Times New Roman" w:hAnsi="Times New Roman" w:cs="Times New Roman"/>
          <w:sz w:val="24"/>
          <w:szCs w:val="24"/>
        </w:rPr>
        <w:t>/mL). Bead-based flow-cytometric analysis targeting CD9/CD81 demonstrated higher CD81 positivity in urine-derived EVs (20.0%) compared with blood- (17.7%) and honey-derived EVs (0.3%). Cryo-electron microscopy confirmed membrane-enclosed vesicular structures in all samples. Together, these findings support source-specific optimization and further functional evaluation of urine- and honey-</w:t>
      </w:r>
      <w:r w:rsidRPr="00F62043">
        <w:rPr>
          <w:rFonts w:ascii="Times New Roman" w:hAnsi="Times New Roman" w:cs="Times New Roman"/>
          <w:sz w:val="24"/>
          <w:szCs w:val="24"/>
        </w:rPr>
        <w:lastRenderedPageBreak/>
        <w:t>derived EVs for delivery-oriented biomedical applications, with absolute particle quantification and additional EV/non-EV markers required in line with MISEV2024.</w:t>
      </w:r>
    </w:p>
    <w:p w14:paraId="21B9AFCC" w14:textId="77777777" w:rsidR="00F62043" w:rsidRPr="00861F3D" w:rsidRDefault="00F62043" w:rsidP="00F62043">
      <w:pPr>
        <w:jc w:val="both"/>
        <w:rPr>
          <w:rFonts w:ascii="Times New Roman" w:hAnsi="Times New Roman" w:cs="Times New Roman"/>
          <w:sz w:val="24"/>
          <w:szCs w:val="24"/>
        </w:rPr>
      </w:pPr>
    </w:p>
    <w:p w14:paraId="50B214D0" w14:textId="6EFB06BF" w:rsidR="00861F3D" w:rsidRPr="00861F3D" w:rsidRDefault="00861F3D" w:rsidP="00C87C83">
      <w:pPr>
        <w:spacing w:line="276" w:lineRule="auto"/>
        <w:jc w:val="both"/>
        <w:rPr>
          <w:rFonts w:ascii="Times New Roman" w:hAnsi="Times New Roman" w:cs="Times New Roman"/>
          <w:sz w:val="24"/>
          <w:szCs w:val="24"/>
        </w:rPr>
      </w:pPr>
      <w:r w:rsidRPr="00861F3D">
        <w:rPr>
          <w:rFonts w:ascii="Times New Roman" w:hAnsi="Times New Roman" w:cs="Times New Roman"/>
          <w:b/>
          <w:bCs/>
          <w:sz w:val="24"/>
          <w:szCs w:val="24"/>
        </w:rPr>
        <w:t>KEYWORDS:</w:t>
      </w:r>
      <w:r>
        <w:rPr>
          <w:rFonts w:ascii="Times New Roman" w:hAnsi="Times New Roman" w:cs="Times New Roman"/>
          <w:b/>
          <w:bCs/>
          <w:sz w:val="24"/>
          <w:szCs w:val="24"/>
        </w:rPr>
        <w:t xml:space="preserve"> </w:t>
      </w:r>
      <w:r w:rsidRPr="00861F3D">
        <w:rPr>
          <w:rFonts w:ascii="Times New Roman" w:hAnsi="Times New Roman" w:cs="Times New Roman"/>
          <w:sz w:val="24"/>
          <w:szCs w:val="24"/>
        </w:rPr>
        <w:t>blood-derived EVs; cryo-electron microscopy; extracellular vesicles; honey-derived EVs; small extracellular vesicles; ultracentrifugation; urine-derived EVs; vesicle-like nanoparticles</w:t>
      </w:r>
    </w:p>
    <w:p w14:paraId="76A961CD" w14:textId="716DB534" w:rsidR="007A50A0" w:rsidRPr="00861F3D" w:rsidRDefault="007A50A0" w:rsidP="00C87C83">
      <w:pPr>
        <w:spacing w:line="276" w:lineRule="auto"/>
        <w:jc w:val="both"/>
        <w:rPr>
          <w:rFonts w:ascii="Times New Roman" w:hAnsi="Times New Roman" w:cs="Times New Roman"/>
          <w:b/>
          <w:bCs/>
          <w:sz w:val="24"/>
          <w:szCs w:val="24"/>
        </w:rPr>
      </w:pPr>
      <w:r w:rsidRPr="00861F3D">
        <w:rPr>
          <w:rFonts w:ascii="Times New Roman" w:hAnsi="Times New Roman" w:cs="Times New Roman"/>
          <w:b/>
          <w:bCs/>
          <w:sz w:val="24"/>
          <w:szCs w:val="24"/>
        </w:rPr>
        <w:t>INTRODUCTION</w:t>
      </w:r>
    </w:p>
    <w:p w14:paraId="1C7E0666" w14:textId="71E9442D" w:rsidR="007A50A0" w:rsidRDefault="00861F3D" w:rsidP="00C87C83">
      <w:pPr>
        <w:spacing w:line="276" w:lineRule="auto"/>
        <w:jc w:val="both"/>
        <w:rPr>
          <w:rFonts w:ascii="Times New Roman" w:hAnsi="Times New Roman" w:cs="Times New Roman"/>
          <w:sz w:val="24"/>
          <w:szCs w:val="24"/>
        </w:rPr>
      </w:pPr>
      <w:r w:rsidRPr="00861F3D">
        <w:rPr>
          <w:rFonts w:ascii="Times New Roman" w:hAnsi="Times New Roman" w:cs="Times New Roman"/>
          <w:sz w:val="24"/>
          <w:szCs w:val="24"/>
        </w:rPr>
        <w:t xml:space="preserve">Conventional medicines often suffer from low bioavailability, systemic toxicity, and off-target adverse effects. An effective delivery system should target specific cells or tissues, ensure safety, and minimize systemic exposure. However, many current platforms continue to face challenges, such as potential toxicity, immune reactions, and high production costs. In response to these limitations, extracellular </w:t>
      </w:r>
      <w:proofErr w:type="spellStart"/>
      <w:r w:rsidRPr="00861F3D">
        <w:rPr>
          <w:rFonts w:ascii="Times New Roman" w:hAnsi="Times New Roman" w:cs="Times New Roman"/>
          <w:sz w:val="24"/>
          <w:szCs w:val="24"/>
        </w:rPr>
        <w:t>vesicles</w:t>
      </w:r>
      <w:proofErr w:type="spellEnd"/>
      <w:r w:rsidRPr="00861F3D">
        <w:rPr>
          <w:rFonts w:ascii="Times New Roman" w:hAnsi="Times New Roman" w:cs="Times New Roman"/>
          <w:sz w:val="24"/>
          <w:szCs w:val="24"/>
        </w:rPr>
        <w:t xml:space="preserve"> (EVs) have emerged as a promising alternative. EVs are nanoscale particles secreted by cells that transport bioactive molecules, including proteins, DNA, and RNA, to facilitate intercellular communication [1]. They are conventionally grouped into small EVs (e.g., exosomes), large EVs (e.g., </w:t>
      </w:r>
      <w:proofErr w:type="spellStart"/>
      <w:r w:rsidRPr="00861F3D">
        <w:rPr>
          <w:rFonts w:ascii="Times New Roman" w:hAnsi="Times New Roman" w:cs="Times New Roman"/>
          <w:sz w:val="24"/>
          <w:szCs w:val="24"/>
        </w:rPr>
        <w:t>microvesicles</w:t>
      </w:r>
      <w:proofErr w:type="spellEnd"/>
      <w:r w:rsidRPr="00861F3D">
        <w:rPr>
          <w:rFonts w:ascii="Times New Roman" w:hAnsi="Times New Roman" w:cs="Times New Roman"/>
          <w:sz w:val="24"/>
          <w:szCs w:val="24"/>
        </w:rPr>
        <w:t>), and apoptotic bodies, distinguished by biogenesis and size; however, recent guidance recommends operational terminology unless biogenesis is directly demonstrated [1,15]. EVs offer several advantages for drug delivery, such as high biocompatibility, low immunogenicity, the ability to cross biological barriers, and modifiable surfaces for targeted delivery [2,3]. Previous research has successfully isolated EVs from blood components; however, these methods require invasive procedures that may pose risks or discomfort to patients [4].</w:t>
      </w:r>
    </w:p>
    <w:p w14:paraId="6426F656" w14:textId="05C0BC2B" w:rsidR="00861F3D" w:rsidRDefault="00861F3D" w:rsidP="00C87C83">
      <w:pPr>
        <w:spacing w:line="276" w:lineRule="auto"/>
        <w:jc w:val="both"/>
        <w:rPr>
          <w:rFonts w:ascii="Times New Roman" w:hAnsi="Times New Roman" w:cs="Times New Roman"/>
          <w:sz w:val="24"/>
          <w:szCs w:val="24"/>
        </w:rPr>
      </w:pPr>
      <w:r w:rsidRPr="00861F3D">
        <w:rPr>
          <w:rFonts w:ascii="Times New Roman" w:hAnsi="Times New Roman" w:cs="Times New Roman"/>
          <w:sz w:val="24"/>
          <w:szCs w:val="24"/>
        </w:rPr>
        <w:t xml:space="preserve">Given the need for safer, less invasive EV sources, natural materials such as honey and human urine have been explored as accessible matrices for EV-enriched preparations. Chen et al. (2021) reported vesicle-like nanoparticles in honey (H-VLNs) containing bioactive microRNAs and described anti-inflammatory effects in animal models via inhibition of the NLRP3 inflammasome pathway [5]. In addition, </w:t>
      </w:r>
      <w:proofErr w:type="spellStart"/>
      <w:r w:rsidRPr="00861F3D">
        <w:rPr>
          <w:rFonts w:ascii="Times New Roman" w:hAnsi="Times New Roman" w:cs="Times New Roman"/>
          <w:sz w:val="24"/>
          <w:szCs w:val="24"/>
        </w:rPr>
        <w:t>Pisitkun</w:t>
      </w:r>
      <w:proofErr w:type="spellEnd"/>
      <w:r w:rsidRPr="00861F3D">
        <w:rPr>
          <w:rFonts w:ascii="Times New Roman" w:hAnsi="Times New Roman" w:cs="Times New Roman"/>
          <w:sz w:val="24"/>
          <w:szCs w:val="24"/>
        </w:rPr>
        <w:t xml:space="preserve"> et al. (2004) identified EV-associated proteins in human urine, supporting urine as a non-invasive matrix for</w:t>
      </w:r>
      <w:r>
        <w:rPr>
          <w:rFonts w:ascii="Times New Roman" w:hAnsi="Times New Roman" w:cs="Times New Roman"/>
          <w:sz w:val="24"/>
          <w:szCs w:val="24"/>
        </w:rPr>
        <w:t xml:space="preserve"> </w:t>
      </w:r>
      <w:r w:rsidRPr="00861F3D">
        <w:rPr>
          <w:rFonts w:ascii="Times New Roman" w:hAnsi="Times New Roman" w:cs="Times New Roman"/>
          <w:i/>
          <w:iCs/>
          <w:sz w:val="24"/>
          <w:szCs w:val="24"/>
        </w:rPr>
        <w:t>urinary EV (</w:t>
      </w:r>
      <w:proofErr w:type="spellStart"/>
      <w:r w:rsidRPr="00861F3D">
        <w:rPr>
          <w:rFonts w:ascii="Times New Roman" w:hAnsi="Times New Roman" w:cs="Times New Roman"/>
          <w:i/>
          <w:iCs/>
          <w:sz w:val="24"/>
          <w:szCs w:val="24"/>
        </w:rPr>
        <w:t>uEV</w:t>
      </w:r>
      <w:proofErr w:type="spellEnd"/>
      <w:r w:rsidRPr="00861F3D">
        <w:rPr>
          <w:rFonts w:ascii="Times New Roman" w:hAnsi="Times New Roman" w:cs="Times New Roman"/>
          <w:i/>
          <w:iCs/>
          <w:sz w:val="24"/>
          <w:szCs w:val="24"/>
        </w:rPr>
        <w:t>) research and biomarker discovery</w:t>
      </w:r>
      <w:r w:rsidRPr="00861F3D">
        <w:rPr>
          <w:rFonts w:ascii="Times New Roman" w:hAnsi="Times New Roman" w:cs="Times New Roman"/>
          <w:sz w:val="24"/>
          <w:szCs w:val="24"/>
        </w:rPr>
        <w:t xml:space="preserve"> [6]. More recent work further supports urinary extracellular vesicles as a promising resource for disease diagnostics in nephrology and systemic conditions [7]. However, existing studies lack systematic, side-by-side comparisons of EV-enriched preparations across these sources using harmonized physicochemical and biomolecular readouts.</w:t>
      </w:r>
      <w:r>
        <w:rPr>
          <w:rFonts w:ascii="Times New Roman" w:hAnsi="Times New Roman" w:cs="Times New Roman"/>
          <w:sz w:val="24"/>
          <w:szCs w:val="24"/>
        </w:rPr>
        <w:t xml:space="preserve"> </w:t>
      </w:r>
      <w:r w:rsidRPr="00861F3D">
        <w:rPr>
          <w:rFonts w:ascii="Times New Roman" w:hAnsi="Times New Roman" w:cs="Times New Roman"/>
          <w:sz w:val="24"/>
          <w:szCs w:val="24"/>
        </w:rPr>
        <w:t>This study aims to generate a matrix-aware comparative profile of EV-enriched preparations obtained from blood (reference biofluid), urine, and honey using a single uniform isolation workflow followed by orthogonal characterization: intensity-weighted particle size distribution, apparent surface charge (zeta potential), total protein content, CD81 surface-marker detection by bead-based flow cytometry, and cryo-electron microscopy morphology. Consistent with MISEV2024 guidance, we apply operational terminology ("EV-enriched preparations"), include unstained negative controls, and frame our findings as descriptive baselines intended to inform source-specific optimization and the design of subsequent quantitative and functional evaluations.</w:t>
      </w:r>
    </w:p>
    <w:p w14:paraId="25081E38" w14:textId="77777777" w:rsidR="00C87C83" w:rsidRDefault="00C87C83" w:rsidP="00C87C83">
      <w:pPr>
        <w:spacing w:line="276" w:lineRule="auto"/>
        <w:jc w:val="both"/>
        <w:rPr>
          <w:rFonts w:ascii="Times New Roman" w:hAnsi="Times New Roman" w:cs="Times New Roman"/>
          <w:sz w:val="24"/>
          <w:szCs w:val="24"/>
        </w:rPr>
      </w:pPr>
    </w:p>
    <w:p w14:paraId="516DF854" w14:textId="295C2249" w:rsidR="00AE11F5" w:rsidRPr="00C87C83" w:rsidRDefault="00AE11F5" w:rsidP="00C87C83">
      <w:pPr>
        <w:spacing w:line="276" w:lineRule="auto"/>
        <w:jc w:val="both"/>
        <w:rPr>
          <w:rFonts w:ascii="Times New Roman" w:hAnsi="Times New Roman" w:cs="Times New Roman"/>
          <w:b/>
          <w:bCs/>
          <w:sz w:val="24"/>
          <w:szCs w:val="24"/>
        </w:rPr>
      </w:pPr>
      <w:r w:rsidRPr="00C87C83">
        <w:rPr>
          <w:rFonts w:ascii="Times New Roman" w:hAnsi="Times New Roman" w:cs="Times New Roman"/>
          <w:b/>
          <w:bCs/>
          <w:sz w:val="24"/>
          <w:szCs w:val="24"/>
        </w:rPr>
        <w:lastRenderedPageBreak/>
        <w:t>MATERIALS AND METHODS</w:t>
      </w:r>
    </w:p>
    <w:p w14:paraId="2467771D"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2.1 Reagent and solutions</w:t>
      </w:r>
    </w:p>
    <w:p w14:paraId="30515759"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All chemicals were purchased from Sigma-Aldrich (Dorset, UK), unless otherwise stated.</w:t>
      </w:r>
    </w:p>
    <w:p w14:paraId="3A4ACB3D"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2.2 Sample collections and preparations</w:t>
      </w:r>
    </w:p>
    <w:p w14:paraId="6263B9DA" w14:textId="0271EA2B"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This study used honey and urine from healthy donors as sources of EV, and blood from healthy donors as a positive control. All procedures were conducted in accordance with the Declaration of Helsinki and local ethical regulations and were approved by the Research Ethics Committee, Faculty of Medicine and Health Sciences, Universitas Kristen </w:t>
      </w:r>
      <w:proofErr w:type="spellStart"/>
      <w:r w:rsidRPr="00C87C83">
        <w:rPr>
          <w:rFonts w:ascii="Times New Roman" w:hAnsi="Times New Roman" w:cs="Times New Roman"/>
          <w:sz w:val="24"/>
          <w:szCs w:val="24"/>
        </w:rPr>
        <w:t>Krida</w:t>
      </w:r>
      <w:proofErr w:type="spellEnd"/>
      <w:r w:rsidRPr="00C87C83">
        <w:rPr>
          <w:rFonts w:ascii="Times New Roman" w:hAnsi="Times New Roman" w:cs="Times New Roman"/>
          <w:sz w:val="24"/>
          <w:szCs w:val="24"/>
        </w:rPr>
        <w:t xml:space="preserve"> Wacana (1939/SLKE/IM/UKKW/FKIK/KEPK/III/2025), and written informed consent was obtained from all donors prior to sample collection.</w:t>
      </w:r>
    </w:p>
    <w:p w14:paraId="195DB23A"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2.2.1 Blood samples (positive control)</w:t>
      </w:r>
    </w:p>
    <w:p w14:paraId="3A8B1FEE" w14:textId="08DCDD56"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Blood was collected from healthy adult donors (n = 5) who met the inclusion and exclusion criteria, including the absence of acute or chronic disease, no active infection, and no use of medications that could significantly affect homeostasis or plasma/serum profiles. After obtaining written informed consent, venous blood was collected by trained healthcare personnel using standard venipuncture techniques.</w:t>
      </w:r>
    </w:p>
    <w:p w14:paraId="24E34331" w14:textId="64333912"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Approximately 10–20 mL of blood was collected in K₂-EDTA vacutainer tubes, as specified by the study design and previous protocols [4]. Immediately after collection, tubes were gently inverted several times to ensure thorough mixing with the anticoagulant. Whole blood was processed within 2 h of collection by centrifugation at 2,000 × g for 15 min at room temperature to obtain platelet-poor plasma, which was used as input for the EV-isolation workflow described in Section 2.3.1 [4].</w:t>
      </w:r>
    </w:p>
    <w:p w14:paraId="2230B482"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2.2.2 Urine samples from healthy donors</w:t>
      </w:r>
    </w:p>
    <w:p w14:paraId="4189AB47" w14:textId="71E9FEEE"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Urine samples were collected from healthy individuals (n = 3) who met the inclusion and exclusion criteria, including no history of kidney or urinary tract disease, no active urinary tract infection, no pregnancy, and no use of nephrotoxic medications. Collection procedures followed the current recommendations for handling urinary EVs (</w:t>
      </w:r>
      <w:proofErr w:type="spellStart"/>
      <w:r w:rsidRPr="00C87C83">
        <w:rPr>
          <w:rFonts w:ascii="Times New Roman" w:hAnsi="Times New Roman" w:cs="Times New Roman"/>
          <w:sz w:val="24"/>
          <w:szCs w:val="24"/>
        </w:rPr>
        <w:t>uEVs</w:t>
      </w:r>
      <w:proofErr w:type="spellEnd"/>
      <w:r w:rsidRPr="00C87C83">
        <w:rPr>
          <w:rFonts w:ascii="Times New Roman" w:hAnsi="Times New Roman" w:cs="Times New Roman"/>
          <w:sz w:val="24"/>
          <w:szCs w:val="24"/>
        </w:rPr>
        <w:t xml:space="preserve">) [6-8]. Each donor provided a first-morning midstream urine sample with a target volume of 50–100 </w:t>
      </w:r>
      <w:proofErr w:type="spellStart"/>
      <w:r w:rsidRPr="00C87C83">
        <w:rPr>
          <w:rFonts w:ascii="Times New Roman" w:hAnsi="Times New Roman" w:cs="Times New Roman"/>
          <w:sz w:val="24"/>
          <w:szCs w:val="24"/>
        </w:rPr>
        <w:t>mL.</w:t>
      </w:r>
      <w:proofErr w:type="spellEnd"/>
    </w:p>
    <w:p w14:paraId="597CAAA4"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Before collection, donor health status was confirmed through a brief medical history, including previous and current illnesses, current medications, and other factors that could affect urine composition. Donors received verbal and written instructions on pre-collection precautions, such as avoiding strenuous exercise, and overnight fasting, to minimize pre-analytical variability [6-8].</w:t>
      </w:r>
    </w:p>
    <w:p w14:paraId="1EAB4C58"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Urine was collected under aseptic conditions. Donors washed their hands, cleaned the external genital area according to standard procedures, discarded the initial urine stream, and collected midstream urine in a sterile polypropylene container preloaded with 4.2 mL of a commercial protease inhibitor cocktail, as instructed by the manufacturer. Immediately after collection, each sample underwent quality assessment, including visual inspection (colour and turbidity), </w:t>
      </w:r>
      <w:r w:rsidRPr="00C87C83">
        <w:rPr>
          <w:rFonts w:ascii="Times New Roman" w:hAnsi="Times New Roman" w:cs="Times New Roman"/>
          <w:sz w:val="24"/>
          <w:szCs w:val="24"/>
        </w:rPr>
        <w:lastRenderedPageBreak/>
        <w:t>pH measurement, and determination of specific gravity using a urine dipstick or a refractometer, to ensure suitability for further processing [6,7].</w:t>
      </w:r>
    </w:p>
    <w:p w14:paraId="6F745972"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2.2.3 Honey samples</w:t>
      </w:r>
    </w:p>
    <w:p w14:paraId="5D985509"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A honey sample was obtained from </w:t>
      </w:r>
      <w:proofErr w:type="spellStart"/>
      <w:r w:rsidRPr="00C87C83">
        <w:rPr>
          <w:rFonts w:ascii="Times New Roman" w:hAnsi="Times New Roman" w:cs="Times New Roman"/>
          <w:sz w:val="24"/>
          <w:szCs w:val="24"/>
        </w:rPr>
        <w:t>Beezee</w:t>
      </w:r>
      <w:proofErr w:type="spellEnd"/>
      <w:r w:rsidRPr="00C87C83">
        <w:rPr>
          <w:rFonts w:ascii="Times New Roman" w:hAnsi="Times New Roman" w:cs="Times New Roman"/>
          <w:sz w:val="24"/>
          <w:szCs w:val="24"/>
        </w:rPr>
        <w:t xml:space="preserve"> Honey Indonesia, produced by the giant honey bee (Apis dorsata) in the Central Java conservation forest, and is classified as wild forest honey. Three independent harvest batches were used in this study (n = 3). This open-nesting species constructs exposed combs at high elevations and is harvested sustainably, thereby preserving brood areas for colony health. Harvests are conducted post-peak flowering to ensure optimal maturity, with primary forage sources including mahogany (Swietenia), </w:t>
      </w:r>
      <w:proofErr w:type="spellStart"/>
      <w:r w:rsidRPr="00C87C83">
        <w:rPr>
          <w:rFonts w:ascii="Times New Roman" w:hAnsi="Times New Roman" w:cs="Times New Roman"/>
          <w:sz w:val="24"/>
          <w:szCs w:val="24"/>
        </w:rPr>
        <w:t>sengon</w:t>
      </w:r>
      <w:proofErr w:type="spellEnd"/>
      <w:r w:rsidRPr="00C87C83">
        <w:rPr>
          <w:rFonts w:ascii="Times New Roman" w:hAnsi="Times New Roman" w:cs="Times New Roman"/>
          <w:sz w:val="24"/>
          <w:szCs w:val="24"/>
        </w:rPr>
        <w:t xml:space="preserve"> (</w:t>
      </w:r>
      <w:proofErr w:type="spellStart"/>
      <w:r w:rsidRPr="00C87C83">
        <w:rPr>
          <w:rFonts w:ascii="Times New Roman" w:hAnsi="Times New Roman" w:cs="Times New Roman"/>
          <w:sz w:val="24"/>
          <w:szCs w:val="24"/>
        </w:rPr>
        <w:t>Paraserianthes</w:t>
      </w:r>
      <w:proofErr w:type="spellEnd"/>
      <w:r w:rsidRPr="00C87C83">
        <w:rPr>
          <w:rFonts w:ascii="Times New Roman" w:hAnsi="Times New Roman" w:cs="Times New Roman"/>
          <w:sz w:val="24"/>
          <w:szCs w:val="24"/>
        </w:rPr>
        <w:t xml:space="preserve"> </w:t>
      </w:r>
      <w:proofErr w:type="spellStart"/>
      <w:r w:rsidRPr="00C87C83">
        <w:rPr>
          <w:rFonts w:ascii="Times New Roman" w:hAnsi="Times New Roman" w:cs="Times New Roman"/>
          <w:sz w:val="24"/>
          <w:szCs w:val="24"/>
        </w:rPr>
        <w:t>falcataria</w:t>
      </w:r>
      <w:proofErr w:type="spellEnd"/>
      <w:r w:rsidRPr="00C87C83">
        <w:rPr>
          <w:rFonts w:ascii="Times New Roman" w:hAnsi="Times New Roman" w:cs="Times New Roman"/>
          <w:sz w:val="24"/>
          <w:szCs w:val="24"/>
        </w:rPr>
        <w:t xml:space="preserve">), </w:t>
      </w:r>
      <w:proofErr w:type="spellStart"/>
      <w:r w:rsidRPr="00C87C83">
        <w:rPr>
          <w:rFonts w:ascii="Times New Roman" w:hAnsi="Times New Roman" w:cs="Times New Roman"/>
          <w:sz w:val="24"/>
          <w:szCs w:val="24"/>
        </w:rPr>
        <w:t>calliandra</w:t>
      </w:r>
      <w:proofErr w:type="spellEnd"/>
      <w:r w:rsidRPr="00C87C83">
        <w:rPr>
          <w:rFonts w:ascii="Times New Roman" w:hAnsi="Times New Roman" w:cs="Times New Roman"/>
          <w:sz w:val="24"/>
          <w:szCs w:val="24"/>
        </w:rPr>
        <w:t xml:space="preserve"> (Calliandra spp.), </w:t>
      </w:r>
      <w:proofErr w:type="spellStart"/>
      <w:r w:rsidRPr="00C87C83">
        <w:rPr>
          <w:rFonts w:ascii="Times New Roman" w:hAnsi="Times New Roman" w:cs="Times New Roman"/>
          <w:sz w:val="24"/>
          <w:szCs w:val="24"/>
        </w:rPr>
        <w:t>kamboja</w:t>
      </w:r>
      <w:proofErr w:type="spellEnd"/>
      <w:r w:rsidRPr="00C87C83">
        <w:rPr>
          <w:rFonts w:ascii="Times New Roman" w:hAnsi="Times New Roman" w:cs="Times New Roman"/>
          <w:sz w:val="24"/>
          <w:szCs w:val="24"/>
        </w:rPr>
        <w:t xml:space="preserve"> (Plumeria spp.), </w:t>
      </w:r>
      <w:proofErr w:type="spellStart"/>
      <w:r w:rsidRPr="00C87C83">
        <w:rPr>
          <w:rFonts w:ascii="Times New Roman" w:hAnsi="Times New Roman" w:cs="Times New Roman"/>
          <w:sz w:val="24"/>
          <w:szCs w:val="24"/>
        </w:rPr>
        <w:t>bungur</w:t>
      </w:r>
      <w:proofErr w:type="spellEnd"/>
      <w:r w:rsidRPr="00C87C83">
        <w:rPr>
          <w:rFonts w:ascii="Times New Roman" w:hAnsi="Times New Roman" w:cs="Times New Roman"/>
          <w:sz w:val="24"/>
          <w:szCs w:val="24"/>
        </w:rPr>
        <w:t xml:space="preserve"> (Lagerstroemia speciosa), and </w:t>
      </w:r>
      <w:proofErr w:type="spellStart"/>
      <w:r w:rsidRPr="00C87C83">
        <w:rPr>
          <w:rFonts w:ascii="Times New Roman" w:hAnsi="Times New Roman" w:cs="Times New Roman"/>
          <w:sz w:val="24"/>
          <w:szCs w:val="24"/>
        </w:rPr>
        <w:t>kiara</w:t>
      </w:r>
      <w:proofErr w:type="spellEnd"/>
      <w:r w:rsidRPr="00C87C83">
        <w:rPr>
          <w:rFonts w:ascii="Times New Roman" w:hAnsi="Times New Roman" w:cs="Times New Roman"/>
          <w:sz w:val="24"/>
          <w:szCs w:val="24"/>
        </w:rPr>
        <w:t xml:space="preserve"> trees. The honey was delivered to Emmerich Research </w:t>
      </w:r>
      <w:proofErr w:type="spellStart"/>
      <w:r w:rsidRPr="00C87C83">
        <w:rPr>
          <w:rFonts w:ascii="Times New Roman" w:hAnsi="Times New Roman" w:cs="Times New Roman"/>
          <w:sz w:val="24"/>
          <w:szCs w:val="24"/>
        </w:rPr>
        <w:t>Center</w:t>
      </w:r>
      <w:proofErr w:type="spellEnd"/>
      <w:r w:rsidRPr="00C87C83">
        <w:rPr>
          <w:rFonts w:ascii="Times New Roman" w:hAnsi="Times New Roman" w:cs="Times New Roman"/>
          <w:sz w:val="24"/>
          <w:szCs w:val="24"/>
        </w:rPr>
        <w:t xml:space="preserve"> as fresh, unprocessed forest honey, transported under cooled and light-protected conditions, and stored at 4 °C prior to EV isolation [5,9].</w:t>
      </w:r>
    </w:p>
    <w:p w14:paraId="3E4B3F06"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2.3 EV isolation from honey, urine, and blood</w:t>
      </w:r>
    </w:p>
    <w:p w14:paraId="67BDB021"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EVs were isolated from blood, urine, and honey using a sequential (differential) centrifugation, 0.22 µm membrane filtration, and ultracentrifugation at 100,000 × g. Minor protocol adaptations were applied for each biological matrix [4-10]. All low- and medium-speed centrifugation steps were performed using a Velocity 18R Pro refrigerated centrifuge, whereas all ultracentrifugation steps at 100,000 × g were carried out on an Optima XPN-100 ultracentrifuge (Beckman Coulter, USA) equipped with an SW-41 Ti swinging-bucket rotor (k-factor 124; thin-wall polypropylene tubes; acceleration set to maximum, deceleration with brake off below 1,000 rpm). All g-forces are reported as relative centrifugal force (RCF).</w:t>
      </w:r>
    </w:p>
    <w:p w14:paraId="09BEF8B7" w14:textId="3A0D0430"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2.3.1 EV isolation from blood</w:t>
      </w:r>
    </w:p>
    <w:p w14:paraId="64326AD6" w14:textId="09976D9A"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Platelet-poor plasma was obtained as described in Section 2.2.1. It was first clarified by low-speed centrifugation and filtration. Platelet-poor plasma was centrifuged at 2,500–3,000 × g for 10 min at 4 °C to remove residual platelets and cellular debris. The supernatant was then diluted with sterile phosphate-buffered saline (PBS, pH 7.4) to reduce viscosity. It was then passed through a 0.22 µm low-protein-binding </w:t>
      </w:r>
      <w:proofErr w:type="spellStart"/>
      <w:r w:rsidRPr="00C87C83">
        <w:rPr>
          <w:rFonts w:ascii="Times New Roman" w:hAnsi="Times New Roman" w:cs="Times New Roman"/>
          <w:sz w:val="24"/>
          <w:szCs w:val="24"/>
        </w:rPr>
        <w:t>polyethersulfone</w:t>
      </w:r>
      <w:proofErr w:type="spellEnd"/>
      <w:r w:rsidRPr="00C87C83">
        <w:rPr>
          <w:rFonts w:ascii="Times New Roman" w:hAnsi="Times New Roman" w:cs="Times New Roman"/>
          <w:sz w:val="24"/>
          <w:szCs w:val="24"/>
        </w:rPr>
        <w:t xml:space="preserve"> (PES) membrane filter to eliminate large particles and aggregates.</w:t>
      </w:r>
    </w:p>
    <w:p w14:paraId="26D727C5" w14:textId="3DC86FCD"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The filtered plasma was transferred into ultracentrifuge tubes and centrifuged at 100,000 × g for 90 min at 4 °C to pellet EVs. Following ultracentrifugation, the supernatant was carefully decanted, and the EV pellet was gently rinsed with PBS to reduce co-isolated protein contaminants. The final EV-containing pellet was resuspended in PBS or DPBS to approximately 5 mL, aliquoted into cryovials (1 mL per vial), and stored at −20 °C for short-term use or at −80 °C for long-term storage until characterization.</w:t>
      </w:r>
    </w:p>
    <w:p w14:paraId="6E4ADD0E"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2.3.2 EV isolation from urine</w:t>
      </w:r>
    </w:p>
    <w:p w14:paraId="490F5DA4" w14:textId="0CAFFD51"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First-morning urine samples from healthy donors (Section 2.2.2) were processed using modified urinary EV protocols. After quality assessment, 50 mL of urine was sequentially </w:t>
      </w:r>
      <w:r w:rsidRPr="00C87C83">
        <w:rPr>
          <w:rFonts w:ascii="Times New Roman" w:hAnsi="Times New Roman" w:cs="Times New Roman"/>
          <w:sz w:val="24"/>
          <w:szCs w:val="24"/>
        </w:rPr>
        <w:lastRenderedPageBreak/>
        <w:t xml:space="preserve">centrifuged at 400 × g for 10 min, then 2,000 × g for 15 min at 20 °C to remove cells and coarse debris. Subsequently, the supernatant was carefully collected and transferred to a fresh tube. </w:t>
      </w:r>
    </w:p>
    <w:p w14:paraId="49ADB590" w14:textId="4B1E2FE9"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The resulting supernatant was then centrifuged at 10,000 × g for 30 min at 20 °C to deplete remaining cell debris, larger vesicles, and dense particles. Following this clarification step, the supernatant was passed through a 0.22 µm sterile PES membrane filter to further improve purity. The filtered urine was then subjected to ultracentrifugation at 100,000 × g for 90 min at 4 °C to pellet </w:t>
      </w:r>
      <w:proofErr w:type="spellStart"/>
      <w:r w:rsidRPr="00C87C83">
        <w:rPr>
          <w:rFonts w:ascii="Times New Roman" w:hAnsi="Times New Roman" w:cs="Times New Roman"/>
          <w:sz w:val="24"/>
          <w:szCs w:val="24"/>
        </w:rPr>
        <w:t>uEVs</w:t>
      </w:r>
      <w:proofErr w:type="spellEnd"/>
      <w:r w:rsidRPr="00C87C83">
        <w:rPr>
          <w:rFonts w:ascii="Times New Roman" w:hAnsi="Times New Roman" w:cs="Times New Roman"/>
          <w:sz w:val="24"/>
          <w:szCs w:val="24"/>
        </w:rPr>
        <w:t xml:space="preserve">. After ultracentrifugation, the supernatant was discarded, and the EV pellet was gently resuspended in DPBS to a final volume of approximately 5 </w:t>
      </w:r>
      <w:proofErr w:type="spellStart"/>
      <w:r w:rsidRPr="00C87C83">
        <w:rPr>
          <w:rFonts w:ascii="Times New Roman" w:hAnsi="Times New Roman" w:cs="Times New Roman"/>
          <w:sz w:val="24"/>
          <w:szCs w:val="24"/>
        </w:rPr>
        <w:t>mL.</w:t>
      </w:r>
      <w:proofErr w:type="spellEnd"/>
      <w:r w:rsidRPr="00C87C83">
        <w:rPr>
          <w:rFonts w:ascii="Times New Roman" w:hAnsi="Times New Roman" w:cs="Times New Roman"/>
          <w:sz w:val="24"/>
          <w:szCs w:val="24"/>
        </w:rPr>
        <w:t xml:space="preserve"> The resuspended EVs were aliquoted (1 mL per cryovial) and stored in cryo-boxes at −20 °C for short-term storage or −80 °C for long-term analyses.</w:t>
      </w:r>
    </w:p>
    <w:p w14:paraId="0BD9D9DE" w14:textId="4324AD91"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2.3.3 EV isolation from honey</w:t>
      </w:r>
    </w:p>
    <w:p w14:paraId="23DE1872" w14:textId="4288EB9B"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Raw honey samples (Section 2.2.3) were processed using modified methods to produce vesicle-like nanoparticles from honey and bee products, with equipment adapted as needed. Honey was diluted 1:20 (v/v) in particle-free PBS (pf-PBS, pH 7.4) with a protease inhibitor cocktail to preserve vesicle-associated proteins. The resulting solution was mixed gently until homogeneous, then subjected to sequential low-speed centrifugation at 400 × g for 10 min, then 2,000 × g for 15 min at 20 °C. After each step, the supernatant was transferred to a new tube. This process removed wax particles, crystals, cellular debris, and other large contaminants.</w:t>
      </w:r>
    </w:p>
    <w:p w14:paraId="1F3CF671" w14:textId="1D16F6EE"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The clarified supernatant was subsequently centrifuged at 10,000 × g for 30 min at 20 °C to further reduce bacterial load and fine particulate contaminants that could interfere with downstream EV isolation. Subsequently, the supernatant was filtered through a 0.22 µm </w:t>
      </w:r>
      <w:r w:rsidRPr="00C87C83">
        <w:rPr>
          <w:rFonts w:ascii="Times New Roman" w:hAnsi="Times New Roman" w:cs="Times New Roman"/>
          <w:i/>
          <w:iCs/>
          <w:sz w:val="24"/>
          <w:szCs w:val="24"/>
        </w:rPr>
        <w:t>PES</w:t>
      </w:r>
      <w:r w:rsidRPr="00C87C83">
        <w:rPr>
          <w:rFonts w:ascii="Times New Roman" w:hAnsi="Times New Roman" w:cs="Times New Roman"/>
          <w:sz w:val="24"/>
          <w:szCs w:val="24"/>
        </w:rPr>
        <w:t xml:space="preserve"> membrane filter to standardize the upper size cutoff for vesicles.</w:t>
      </w:r>
    </w:p>
    <w:p w14:paraId="2EB52580" w14:textId="0E5FA79C"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The final pre-cleared honey supernatant was then ultracentrifuged at 100,000 × g for 90 min at 4 °C to pellet an EV-enriched fraction (vesicle-like nanoparticles). After ultracentrifugation, the supernatant was removed, and the EV-containing pellet was gently resuspended in PBS to an appropriate working volume (e.g., 2–5 mL). The suspension was aliquoted into sterile cryovials and stored at −20 °C for short-term use or −80 °C for long-term storage until further physicochemical and biomolecular characterization.</w:t>
      </w:r>
    </w:p>
    <w:p w14:paraId="46DE9071"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i/>
          <w:iCs/>
          <w:sz w:val="24"/>
          <w:szCs w:val="24"/>
        </w:rPr>
        <w:t>2.4</w:t>
      </w:r>
      <w:r w:rsidRPr="00C87C83">
        <w:rPr>
          <w:rFonts w:ascii="Times New Roman" w:hAnsi="Times New Roman" w:cs="Times New Roman"/>
          <w:sz w:val="24"/>
          <w:szCs w:val="24"/>
        </w:rPr>
        <w:t xml:space="preserve"> EV characterization</w:t>
      </w:r>
    </w:p>
    <w:p w14:paraId="635818D0"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i/>
          <w:iCs/>
          <w:sz w:val="24"/>
          <w:szCs w:val="24"/>
        </w:rPr>
        <w:t>2.4.1</w:t>
      </w:r>
      <w:r w:rsidRPr="00C87C83">
        <w:rPr>
          <w:rFonts w:ascii="Times New Roman" w:hAnsi="Times New Roman" w:cs="Times New Roman"/>
          <w:sz w:val="24"/>
          <w:szCs w:val="24"/>
        </w:rPr>
        <w:t xml:space="preserve"> Particle size distribution and zeta potential</w:t>
      </w:r>
    </w:p>
    <w:p w14:paraId="45BCD4A1"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The hydrodynamic diameter and size distribution of EVs were measured by dynamic and electrophoretic light scattering using the HORIBA </w:t>
      </w:r>
      <w:proofErr w:type="spellStart"/>
      <w:r w:rsidRPr="00C87C83">
        <w:rPr>
          <w:rFonts w:ascii="Times New Roman" w:hAnsi="Times New Roman" w:cs="Times New Roman"/>
          <w:sz w:val="24"/>
          <w:szCs w:val="24"/>
        </w:rPr>
        <w:t>nanoPartica</w:t>
      </w:r>
      <w:proofErr w:type="spellEnd"/>
      <w:r w:rsidRPr="00C87C83">
        <w:rPr>
          <w:rFonts w:ascii="Times New Roman" w:hAnsi="Times New Roman" w:cs="Times New Roman"/>
          <w:sz w:val="24"/>
          <w:szCs w:val="24"/>
        </w:rPr>
        <w:t xml:space="preserve"> SZ-100V2 Series [11]. Before measurement, EV suspensions were thawed and diluted in 0.22 µm–filtered PBS (pH 7.4) to obtain the recommended scattering intensity (derived count rate maintained within the instrument-recommended range). Measurements were conducted at 25 °C following a brief equilibration period.</w:t>
      </w:r>
    </w:p>
    <w:p w14:paraId="783601FF"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For each sample (blood-, urine-, and honey-derived EVs), at least three technical replicates were recorded, each with multiple runs. The instrument software calculated the intensity-</w:t>
      </w:r>
      <w:r w:rsidRPr="00C87C83">
        <w:rPr>
          <w:rFonts w:ascii="Times New Roman" w:hAnsi="Times New Roman" w:cs="Times New Roman"/>
          <w:sz w:val="24"/>
          <w:szCs w:val="24"/>
        </w:rPr>
        <w:lastRenderedPageBreak/>
        <w:t>weighted size distribution, the Z-average hydrodynamic diameter, and the polydispersity index (PDI) as an indicator of sample heterogeneity [11]. Cumulant-fit quality was assessed via the residual reported by the instrument software, and Z-average values are reported only for runs meeting the manufacturer's recommended fit-quality criterion.</w:t>
      </w:r>
    </w:p>
    <w:p w14:paraId="4AF787DA" w14:textId="5914C2FD"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Zeta potential was measured on the same instrument using electrophoretic light scattering. EV samples were diluted in a high-conductivity buffer and loaded into disposable capillary cells. Electrophoretic mobility was recorded at 25 °C and converted to zeta potential values using the </w:t>
      </w:r>
      <w:proofErr w:type="spellStart"/>
      <w:r w:rsidRPr="00C87C83">
        <w:rPr>
          <w:rFonts w:ascii="Times New Roman" w:hAnsi="Times New Roman" w:cs="Times New Roman"/>
          <w:sz w:val="24"/>
          <w:szCs w:val="24"/>
        </w:rPr>
        <w:t>Smoluchowski</w:t>
      </w:r>
      <w:proofErr w:type="spellEnd"/>
      <w:r w:rsidRPr="00C87C83">
        <w:rPr>
          <w:rFonts w:ascii="Times New Roman" w:hAnsi="Times New Roman" w:cs="Times New Roman"/>
          <w:sz w:val="24"/>
          <w:szCs w:val="24"/>
        </w:rPr>
        <w:t xml:space="preserve"> approximation. For each sample, at least three independent measurements were obtained, and data were expressed as mean ± standard deviation. Because measurements were performed in PBS (conductivity ~15 mS/cm), electrical double-layer compression is expected, and absolute ζ-potential values cannot be interpreted as intrinsic surface charge. Results are reported as apparent ζ-potential to support qualitative comparison across matrices only.</w:t>
      </w:r>
    </w:p>
    <w:p w14:paraId="1523858C"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2.4.2 Total protein quantification</w:t>
      </w:r>
    </w:p>
    <w:p w14:paraId="0EC70D0D"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Total protein content of EV samples was quantified using the Bradford assay, following the manufacturer's instructions and the principles described by Rekowski et al. [12]. Bovine serum albumin (BSA) stock was serially diluted in distilled water to create a standard curve covering the expected protein range (10–160 µg/mL, 5 points, technical triplicate).</w:t>
      </w:r>
    </w:p>
    <w:p w14:paraId="054C6040"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EV suspensions aliquots were diluted in distilled water, then 5–20 µL of each sample or BSA standard was pipetted into a 96-well microplate. Bradford reagent was added to each well to a final volume of 200 µL, and the plate was incubated at room temperature for 10 min to allow colour development. Absorbance was measured at 595 nm using a Bio-Rad </w:t>
      </w:r>
      <w:proofErr w:type="spellStart"/>
      <w:r w:rsidRPr="00C87C83">
        <w:rPr>
          <w:rFonts w:ascii="Times New Roman" w:hAnsi="Times New Roman" w:cs="Times New Roman"/>
          <w:sz w:val="24"/>
          <w:szCs w:val="24"/>
        </w:rPr>
        <w:t>iMark</w:t>
      </w:r>
      <w:proofErr w:type="spellEnd"/>
      <w:r w:rsidRPr="00C87C83">
        <w:rPr>
          <w:rFonts w:ascii="Times New Roman" w:hAnsi="Times New Roman" w:cs="Times New Roman"/>
          <w:sz w:val="24"/>
          <w:szCs w:val="24"/>
        </w:rPr>
        <w:t>™ microplate spectrophotometer.</w:t>
      </w:r>
    </w:p>
    <w:p w14:paraId="5E153763"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A standard curve (absorbance vs. BSA concentration) was generated by linear regression, and the total protein concentration of EV samples was interpolated from the curve only when absorbance values fell within the linear range [12]. All measurements were performed in triplicate. Protein content was reported as µg protein per mL of EV suspension.</w:t>
      </w:r>
    </w:p>
    <w:p w14:paraId="6EFABD62"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2.4.3 EV-associated surface markers</w:t>
      </w:r>
    </w:p>
    <w:p w14:paraId="6CC17987" w14:textId="269092C8" w:rsidR="00D32C67" w:rsidRPr="00E7425E" w:rsidRDefault="00E7425E" w:rsidP="00C87C83">
      <w:pPr>
        <w:spacing w:line="276" w:lineRule="auto"/>
        <w:jc w:val="both"/>
        <w:rPr>
          <w:rFonts w:ascii="Times New Roman" w:hAnsi="Times New Roman" w:cs="Times New Roman"/>
          <w:sz w:val="24"/>
          <w:szCs w:val="24"/>
        </w:rPr>
      </w:pPr>
      <w:r w:rsidRPr="00E7425E">
        <w:rPr>
          <w:rFonts w:ascii="Times New Roman" w:hAnsi="Times New Roman" w:cs="Times New Roman"/>
          <w:sz w:val="24"/>
          <w:szCs w:val="24"/>
        </w:rPr>
        <w:t xml:space="preserve">EV identity was evaluated by bead-based flow cytometry targeting the </w:t>
      </w:r>
      <w:proofErr w:type="spellStart"/>
      <w:r w:rsidRPr="00E7425E">
        <w:rPr>
          <w:rFonts w:ascii="Times New Roman" w:hAnsi="Times New Roman" w:cs="Times New Roman"/>
          <w:sz w:val="24"/>
          <w:szCs w:val="24"/>
        </w:rPr>
        <w:t>tetraspanins</w:t>
      </w:r>
      <w:proofErr w:type="spellEnd"/>
      <w:r w:rsidRPr="00E7425E">
        <w:rPr>
          <w:rFonts w:ascii="Times New Roman" w:hAnsi="Times New Roman" w:cs="Times New Roman"/>
          <w:sz w:val="24"/>
          <w:szCs w:val="24"/>
        </w:rPr>
        <w:t xml:space="preserve"> CD9 and CD81 using the Exosome Isolation and Analysis Kit - Flow Cytometry, Plasma (Abcam, Cambridge, UK, Cat# ab267479). Bead-based approaches previously applied to blood-derived EV preparations were adapted [4,10]. For vesicle binding, EV suspensions were incubated overnight at room temperature with polystyrene micro-particle capture beads (mean diameter 6.5 ± 0.2 µm) pre-coupled with anti-CD9 antibodies, according to the manufacturer's protocol. Non-specific sites were blocked using the supplied BSA-containing assay buffer, followed by incubation of the bead–EV complexes with a PE-conjugated anti-CD81 primary detection antibody (Clone M38) for 60 minutes at 2–8°C. Unstained (UNS) bead–EV tubes were included as negative controls to define background and set the CD81-positive threshold at the bead gate. Isotype-matched control and detergent-lysis control tubes were not included in this study and are acknowledged as a limitation [15].</w:t>
      </w:r>
    </w:p>
    <w:p w14:paraId="52A753A6" w14:textId="7BCD0554" w:rsidR="00AE11F5" w:rsidRPr="00DA699B" w:rsidRDefault="00DA699B" w:rsidP="00C87C83">
      <w:pPr>
        <w:spacing w:line="276" w:lineRule="auto"/>
        <w:jc w:val="both"/>
        <w:rPr>
          <w:rFonts w:ascii="Times New Roman" w:hAnsi="Times New Roman" w:cs="Times New Roman"/>
          <w:sz w:val="24"/>
          <w:szCs w:val="24"/>
        </w:rPr>
      </w:pPr>
      <w:r w:rsidRPr="00DA699B">
        <w:rPr>
          <w:rFonts w:ascii="Times New Roman" w:hAnsi="Times New Roman" w:cs="Times New Roman"/>
          <w:sz w:val="24"/>
          <w:szCs w:val="24"/>
        </w:rPr>
        <w:lastRenderedPageBreak/>
        <w:t xml:space="preserve">After the staining and washing steps, the microspheres were collected via centrifugation at 2,500 × g for 5 minutes, resuspended in 350 µL of 1X Assay Buffer, and </w:t>
      </w:r>
      <w:proofErr w:type="spellStart"/>
      <w:r w:rsidRPr="00DA699B">
        <w:rPr>
          <w:rFonts w:ascii="Times New Roman" w:hAnsi="Times New Roman" w:cs="Times New Roman"/>
          <w:sz w:val="24"/>
          <w:szCs w:val="24"/>
        </w:rPr>
        <w:t>analyzed</w:t>
      </w:r>
      <w:proofErr w:type="spellEnd"/>
      <w:r w:rsidRPr="00DA699B">
        <w:rPr>
          <w:rFonts w:ascii="Times New Roman" w:hAnsi="Times New Roman" w:cs="Times New Roman"/>
          <w:sz w:val="24"/>
          <w:szCs w:val="24"/>
        </w:rPr>
        <w:t xml:space="preserve"> on a BD </w:t>
      </w:r>
      <w:proofErr w:type="spellStart"/>
      <w:r w:rsidRPr="00DA699B">
        <w:rPr>
          <w:rFonts w:ascii="Times New Roman" w:hAnsi="Times New Roman" w:cs="Times New Roman"/>
          <w:sz w:val="24"/>
          <w:szCs w:val="24"/>
        </w:rPr>
        <w:t>FACSCanto</w:t>
      </w:r>
      <w:proofErr w:type="spellEnd"/>
      <w:r w:rsidRPr="00DA699B">
        <w:rPr>
          <w:rFonts w:ascii="Times New Roman" w:hAnsi="Times New Roman" w:cs="Times New Roman"/>
          <w:sz w:val="24"/>
          <w:szCs w:val="24"/>
        </w:rPr>
        <w:t xml:space="preserve">™ II flow cytometer (BD Biosciences, USA) using </w:t>
      </w:r>
      <w:proofErr w:type="spellStart"/>
      <w:r w:rsidRPr="00DA699B">
        <w:rPr>
          <w:rFonts w:ascii="Times New Roman" w:hAnsi="Times New Roman" w:cs="Times New Roman"/>
          <w:sz w:val="24"/>
          <w:szCs w:val="24"/>
        </w:rPr>
        <w:t>FACSDiva</w:t>
      </w:r>
      <w:proofErr w:type="spellEnd"/>
      <w:r w:rsidRPr="00DA699B">
        <w:rPr>
          <w:rFonts w:ascii="Times New Roman" w:hAnsi="Times New Roman" w:cs="Times New Roman"/>
          <w:sz w:val="24"/>
          <w:szCs w:val="24"/>
        </w:rPr>
        <w:t xml:space="preserve"> software (version 6.1.3). A consistent sequential gating strategy was applied across tubes: (</w:t>
      </w:r>
      <w:proofErr w:type="spellStart"/>
      <w:r w:rsidRPr="00DA699B">
        <w:rPr>
          <w:rFonts w:ascii="Times New Roman" w:hAnsi="Times New Roman" w:cs="Times New Roman"/>
          <w:sz w:val="24"/>
          <w:szCs w:val="24"/>
        </w:rPr>
        <w:t>i</w:t>
      </w:r>
      <w:proofErr w:type="spellEnd"/>
      <w:r w:rsidRPr="00DA699B">
        <w:rPr>
          <w:rFonts w:ascii="Times New Roman" w:hAnsi="Times New Roman" w:cs="Times New Roman"/>
          <w:sz w:val="24"/>
          <w:szCs w:val="24"/>
        </w:rPr>
        <w:t xml:space="preserve">) exclusion of debris using forward/side scatter, (ii) singlet selection to reduce doublets/aggregates, and (iii) identification of bead events prior to CD81 assessment. CD81 positivity was quantified as the percentage of CD81-positive events within the bead gate (primary definition based on the CD81 </w:t>
      </w:r>
      <w:proofErr w:type="spellStart"/>
      <w:r w:rsidRPr="00DA699B">
        <w:rPr>
          <w:rFonts w:ascii="Times New Roman" w:hAnsi="Times New Roman" w:cs="Times New Roman"/>
          <w:sz w:val="24"/>
          <w:szCs w:val="24"/>
        </w:rPr>
        <w:t>dotplot</w:t>
      </w:r>
      <w:proofErr w:type="spellEnd"/>
      <w:r w:rsidRPr="00DA699B">
        <w:rPr>
          <w:rFonts w:ascii="Times New Roman" w:hAnsi="Times New Roman" w:cs="Times New Roman"/>
          <w:sz w:val="24"/>
          <w:szCs w:val="24"/>
        </w:rPr>
        <w:t xml:space="preserve"> gate), with histogram-based CD81 reporting retained where available from the </w:t>
      </w:r>
      <w:proofErr w:type="spellStart"/>
      <w:r w:rsidRPr="00DA699B">
        <w:rPr>
          <w:rFonts w:ascii="Times New Roman" w:hAnsi="Times New Roman" w:cs="Times New Roman"/>
          <w:sz w:val="24"/>
          <w:szCs w:val="24"/>
        </w:rPr>
        <w:t>FACSDiva</w:t>
      </w:r>
      <w:proofErr w:type="spellEnd"/>
      <w:r w:rsidRPr="00DA699B">
        <w:rPr>
          <w:rFonts w:ascii="Times New Roman" w:hAnsi="Times New Roman" w:cs="Times New Roman"/>
          <w:sz w:val="24"/>
          <w:szCs w:val="24"/>
        </w:rPr>
        <w:t xml:space="preserve"> export for transparency.</w:t>
      </w:r>
    </w:p>
    <w:p w14:paraId="726A67BC"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2.4.4 EV morphological analysis</w:t>
      </w:r>
    </w:p>
    <w:p w14:paraId="771A9DDD" w14:textId="77777777"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EV morphology was </w:t>
      </w:r>
      <w:proofErr w:type="spellStart"/>
      <w:r w:rsidRPr="00C87C83">
        <w:rPr>
          <w:rFonts w:ascii="Times New Roman" w:hAnsi="Times New Roman" w:cs="Times New Roman"/>
          <w:sz w:val="24"/>
          <w:szCs w:val="24"/>
        </w:rPr>
        <w:t>analyzed</w:t>
      </w:r>
      <w:proofErr w:type="spellEnd"/>
      <w:r w:rsidRPr="00C87C83">
        <w:rPr>
          <w:rFonts w:ascii="Times New Roman" w:hAnsi="Times New Roman" w:cs="Times New Roman"/>
          <w:sz w:val="24"/>
          <w:szCs w:val="24"/>
        </w:rPr>
        <w:t xml:space="preserve"> by cryo-electron microscopy (cryo-EM) according to established protocols for extracellular vesicles and membrane proteins [13,14]. Vesicles were visualized using a 100 kV Tundra Cryo-TEM (</w:t>
      </w:r>
      <w:proofErr w:type="spellStart"/>
      <w:r w:rsidRPr="00C87C83">
        <w:rPr>
          <w:rFonts w:ascii="Times New Roman" w:hAnsi="Times New Roman" w:cs="Times New Roman"/>
          <w:sz w:val="24"/>
          <w:szCs w:val="24"/>
        </w:rPr>
        <w:t>Thermo</w:t>
      </w:r>
      <w:proofErr w:type="spellEnd"/>
      <w:r w:rsidRPr="00C87C83">
        <w:rPr>
          <w:rFonts w:ascii="Times New Roman" w:hAnsi="Times New Roman" w:cs="Times New Roman"/>
          <w:sz w:val="24"/>
          <w:szCs w:val="24"/>
        </w:rPr>
        <w:t xml:space="preserve"> Fisher Scientific). Samples were mounted on 200-mesh copper grids with Lacey Formvar/Carbon support film, glow-discharged with a </w:t>
      </w:r>
      <w:proofErr w:type="spellStart"/>
      <w:r w:rsidRPr="00C87C83">
        <w:rPr>
          <w:rFonts w:ascii="Times New Roman" w:hAnsi="Times New Roman" w:cs="Times New Roman"/>
          <w:sz w:val="24"/>
          <w:szCs w:val="24"/>
        </w:rPr>
        <w:t>GloQube</w:t>
      </w:r>
      <w:proofErr w:type="spellEnd"/>
      <w:r w:rsidRPr="00C87C83">
        <w:rPr>
          <w:rFonts w:ascii="Times New Roman" w:hAnsi="Times New Roman" w:cs="Times New Roman"/>
          <w:sz w:val="24"/>
          <w:szCs w:val="24"/>
        </w:rPr>
        <w:t>® Plus system (Quorum Technologies) at 10⁻¹ mbar and 20 mA for 45 seconds. Four microliters of the EV sample were then applied to the grid and incubated for about 30 seconds.</w:t>
      </w:r>
    </w:p>
    <w:p w14:paraId="7016B7A4" w14:textId="7A7B500C" w:rsidR="00AE11F5" w:rsidRPr="00C87C83" w:rsidRDefault="00AE11F5"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The grid was blotted with a </w:t>
      </w:r>
      <w:proofErr w:type="spellStart"/>
      <w:r w:rsidRPr="00C87C83">
        <w:rPr>
          <w:rFonts w:ascii="Times New Roman" w:hAnsi="Times New Roman" w:cs="Times New Roman"/>
          <w:sz w:val="24"/>
          <w:szCs w:val="24"/>
        </w:rPr>
        <w:t>Vitrobot</w:t>
      </w:r>
      <w:proofErr w:type="spellEnd"/>
      <w:r w:rsidRPr="00C87C83">
        <w:rPr>
          <w:rFonts w:ascii="Times New Roman" w:hAnsi="Times New Roman" w:cs="Times New Roman"/>
          <w:sz w:val="24"/>
          <w:szCs w:val="24"/>
        </w:rPr>
        <w:t>™ Mark IV (</w:t>
      </w:r>
      <w:proofErr w:type="spellStart"/>
      <w:r w:rsidRPr="00C87C83">
        <w:rPr>
          <w:rFonts w:ascii="Times New Roman" w:hAnsi="Times New Roman" w:cs="Times New Roman"/>
          <w:sz w:val="24"/>
          <w:szCs w:val="24"/>
        </w:rPr>
        <w:t>Thermo</w:t>
      </w:r>
      <w:proofErr w:type="spellEnd"/>
      <w:r w:rsidRPr="00C87C83">
        <w:rPr>
          <w:rFonts w:ascii="Times New Roman" w:hAnsi="Times New Roman" w:cs="Times New Roman"/>
          <w:sz w:val="24"/>
          <w:szCs w:val="24"/>
        </w:rPr>
        <w:t xml:space="preserve"> Fisher Scientific) at approximately 4 °C and 100% relative humidity. Blotting was performed for 6 seconds at force level 3 in double-sided mode, using </w:t>
      </w:r>
      <w:proofErr w:type="spellStart"/>
      <w:r w:rsidRPr="00C87C83">
        <w:rPr>
          <w:rFonts w:ascii="Times New Roman" w:hAnsi="Times New Roman" w:cs="Times New Roman"/>
          <w:sz w:val="24"/>
          <w:szCs w:val="24"/>
        </w:rPr>
        <w:t>Vitrobot</w:t>
      </w:r>
      <w:proofErr w:type="spellEnd"/>
      <w:r w:rsidRPr="00C87C83">
        <w:rPr>
          <w:rFonts w:ascii="Times New Roman" w:hAnsi="Times New Roman" w:cs="Times New Roman"/>
          <w:sz w:val="24"/>
          <w:szCs w:val="24"/>
        </w:rPr>
        <w:t xml:space="preserve">™ filter paper (Electron Microscopy Sciences). After blotting, the grid was plunged into liquid ethane for rapid vitrification. The vitrified grid was clipped into an </w:t>
      </w:r>
      <w:proofErr w:type="spellStart"/>
      <w:r w:rsidRPr="00C87C83">
        <w:rPr>
          <w:rFonts w:ascii="Times New Roman" w:hAnsi="Times New Roman" w:cs="Times New Roman"/>
          <w:sz w:val="24"/>
          <w:szCs w:val="24"/>
        </w:rPr>
        <w:t>autogrid</w:t>
      </w:r>
      <w:proofErr w:type="spellEnd"/>
      <w:r w:rsidRPr="00C87C83">
        <w:rPr>
          <w:rFonts w:ascii="Times New Roman" w:hAnsi="Times New Roman" w:cs="Times New Roman"/>
          <w:sz w:val="24"/>
          <w:szCs w:val="24"/>
        </w:rPr>
        <w:t xml:space="preserve"> ring with a C-clip. Grids were imaged at 180,000× magnification with an electron dose of 18.52 electrons/Å². Representative micrographs were used to assess vesicle morphology and size. When appropriate, vesicle diameters were measured using </w:t>
      </w:r>
      <w:r w:rsidR="00C87C83" w:rsidRPr="00C87C83">
        <w:rPr>
          <w:rFonts w:ascii="Times New Roman" w:hAnsi="Times New Roman" w:cs="Times New Roman"/>
          <w:sz w:val="24"/>
          <w:szCs w:val="24"/>
        </w:rPr>
        <w:t xml:space="preserve">image-analysis software and </w:t>
      </w:r>
      <w:r w:rsidRPr="00C87C83">
        <w:rPr>
          <w:rFonts w:ascii="Times New Roman" w:hAnsi="Times New Roman" w:cs="Times New Roman"/>
          <w:sz w:val="24"/>
          <w:szCs w:val="24"/>
        </w:rPr>
        <w:t>qualitatively compared with DLS-derived size distributions [13,14].</w:t>
      </w:r>
    </w:p>
    <w:p w14:paraId="12FBDBEC" w14:textId="77777777" w:rsidR="00C87C83" w:rsidRPr="00C87C83" w:rsidRDefault="00C87C83"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RESULTS AND DISCUSSION</w:t>
      </w:r>
    </w:p>
    <w:p w14:paraId="6330A83A" w14:textId="77777777" w:rsidR="00C87C83" w:rsidRPr="00C87C83" w:rsidRDefault="00C87C83"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EV-enriched preparations were generated from blood, urine, and honey using sequential (differential) centrifugation, 0.22 µm filtration, and ultracentrifugation at 100,000 × g, followed by multi-modal characterization combining physicochemical, biochemical, surface-marker, and ultrastructural readouts. This multimodal approach enabled direct comparison across matrices while supporting interpretation using orthogonal measurements, consistent with current guidance for EV studies [1-3,15].</w:t>
      </w:r>
    </w:p>
    <w:p w14:paraId="0408D061" w14:textId="12010885" w:rsidR="00C87C83" w:rsidRPr="00C87C83" w:rsidRDefault="00C87C83"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Workflow recovery (buffer-volume basis)</w:t>
      </w:r>
    </w:p>
    <w:p w14:paraId="3FC1FD0A" w14:textId="104F2F51" w:rsidR="00C87C83" w:rsidRPr="00C87C83" w:rsidRDefault="00C87C83"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Blood from five healthy donors (total 90 mL) served as the positive control source, while urine (three donors; total 150 mL) and honey (three samples; total 150 mL) represented non-invasive and non-mammalian matrices, respectively. Following the enrichment workflow, final cumulative EV suspension volumes were 20 mL (blood), 15 mL (urine), and 14 mL (honey), corresponding to buffer-volume recoveries of 22.2%, 10.0%, and 9.3%, and concentration factors of 4.5× (blood), 10.0× (urine), and 10.7× (honey). These outcomes indicate that EV-enriched suspensions were successfully obtained from all three sources and were suitable for </w:t>
      </w:r>
      <w:r w:rsidRPr="00C87C83">
        <w:rPr>
          <w:rFonts w:ascii="Times New Roman" w:hAnsi="Times New Roman" w:cs="Times New Roman"/>
          <w:sz w:val="24"/>
          <w:szCs w:val="24"/>
        </w:rPr>
        <w:lastRenderedPageBreak/>
        <w:t>downstream characterization. Buffer-volume recovery reflects operational handling and does not represent particle yield; absolute particle quantification (e.g., by single-particle methods such as nanoparticle tracking analysis [NTA] or single-particle interferometric reflectance imaging) was not performed and is identified as a limitation [15].</w:t>
      </w:r>
    </w:p>
    <w:p w14:paraId="74596BBF" w14:textId="03858A0D" w:rsidR="00C87C83" w:rsidRPr="00C87C83" w:rsidRDefault="00C87C83" w:rsidP="00C87C83">
      <w:pPr>
        <w:spacing w:after="0"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Table 1. </w:t>
      </w:r>
      <w:r w:rsidRPr="00C87C83">
        <w:rPr>
          <w:rFonts w:ascii="Times New Roman" w:hAnsi="Times New Roman" w:cs="Times New Roman"/>
          <w:i/>
          <w:iCs/>
          <w:sz w:val="24"/>
          <w:szCs w:val="24"/>
        </w:rPr>
        <w:t>Buffer-volume recoveries</w:t>
      </w:r>
      <w:r w:rsidRPr="00C87C83">
        <w:rPr>
          <w:rFonts w:ascii="Times New Roman" w:hAnsi="Times New Roman" w:cs="Times New Roman"/>
          <w:sz w:val="24"/>
          <w:szCs w:val="24"/>
        </w:rPr>
        <w:t xml:space="preserve"> of blood-, urine-, and honey-derived EVs.</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631"/>
        <w:gridCol w:w="1771"/>
        <w:gridCol w:w="1159"/>
        <w:gridCol w:w="1892"/>
        <w:gridCol w:w="1562"/>
        <w:gridCol w:w="2011"/>
      </w:tblGrid>
      <w:tr w:rsidR="00C87C83" w:rsidRPr="00C87C83" w14:paraId="678EB2EF" w14:textId="77777777" w:rsidTr="00532E73">
        <w:trPr>
          <w:tblHeader/>
          <w:tblCellSpacing w:w="15" w:type="dxa"/>
        </w:trPr>
        <w:tc>
          <w:tcPr>
            <w:tcW w:w="0" w:type="auto"/>
            <w:tcBorders>
              <w:top w:val="single" w:sz="4" w:space="0" w:color="auto"/>
              <w:bottom w:val="single" w:sz="4" w:space="0" w:color="auto"/>
            </w:tcBorders>
            <w:vAlign w:val="center"/>
            <w:hideMark/>
          </w:tcPr>
          <w:p w14:paraId="0C77BBAE"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Source</w:t>
            </w:r>
          </w:p>
        </w:tc>
        <w:tc>
          <w:tcPr>
            <w:tcW w:w="0" w:type="auto"/>
            <w:tcBorders>
              <w:top w:val="single" w:sz="4" w:space="0" w:color="auto"/>
              <w:bottom w:val="single" w:sz="4" w:space="0" w:color="auto"/>
            </w:tcBorders>
            <w:vAlign w:val="center"/>
            <w:hideMark/>
          </w:tcPr>
          <w:p w14:paraId="6867AF17"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Number of donors/samples</w:t>
            </w:r>
          </w:p>
        </w:tc>
        <w:tc>
          <w:tcPr>
            <w:tcW w:w="0" w:type="auto"/>
            <w:tcBorders>
              <w:top w:val="single" w:sz="4" w:space="0" w:color="auto"/>
              <w:bottom w:val="single" w:sz="4" w:space="0" w:color="auto"/>
            </w:tcBorders>
            <w:vAlign w:val="center"/>
            <w:hideMark/>
          </w:tcPr>
          <w:p w14:paraId="6CB4FDFD"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Initial volume (mL)</w:t>
            </w:r>
          </w:p>
        </w:tc>
        <w:tc>
          <w:tcPr>
            <w:tcW w:w="0" w:type="auto"/>
            <w:tcBorders>
              <w:top w:val="single" w:sz="4" w:space="0" w:color="auto"/>
              <w:bottom w:val="single" w:sz="4" w:space="0" w:color="auto"/>
            </w:tcBorders>
            <w:vAlign w:val="center"/>
            <w:hideMark/>
          </w:tcPr>
          <w:p w14:paraId="7680BDAE"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Final EV suspension volume (mL)</w:t>
            </w:r>
          </w:p>
        </w:tc>
        <w:tc>
          <w:tcPr>
            <w:tcW w:w="0" w:type="auto"/>
            <w:tcBorders>
              <w:top w:val="single" w:sz="4" w:space="0" w:color="auto"/>
              <w:bottom w:val="single" w:sz="4" w:space="0" w:color="auto"/>
            </w:tcBorders>
            <w:vAlign w:val="center"/>
            <w:hideMark/>
          </w:tcPr>
          <w:p w14:paraId="43F9B645" w14:textId="4E25BAA3"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Buffer-volume recovery (%)</w:t>
            </w:r>
          </w:p>
        </w:tc>
        <w:tc>
          <w:tcPr>
            <w:tcW w:w="0" w:type="auto"/>
            <w:tcBorders>
              <w:top w:val="single" w:sz="4" w:space="0" w:color="auto"/>
              <w:bottom w:val="single" w:sz="4" w:space="0" w:color="auto"/>
            </w:tcBorders>
            <w:vAlign w:val="center"/>
            <w:hideMark/>
          </w:tcPr>
          <w:p w14:paraId="5DD24ADC"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Concentration factor (initial/final)</w:t>
            </w:r>
          </w:p>
        </w:tc>
      </w:tr>
      <w:tr w:rsidR="00C87C83" w:rsidRPr="00C87C83" w14:paraId="4864238B" w14:textId="77777777" w:rsidTr="00532E73">
        <w:trPr>
          <w:tblCellSpacing w:w="15" w:type="dxa"/>
        </w:trPr>
        <w:tc>
          <w:tcPr>
            <w:tcW w:w="0" w:type="auto"/>
            <w:vAlign w:val="center"/>
            <w:hideMark/>
          </w:tcPr>
          <w:p w14:paraId="687372EF"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Blood</w:t>
            </w:r>
          </w:p>
        </w:tc>
        <w:tc>
          <w:tcPr>
            <w:tcW w:w="0" w:type="auto"/>
            <w:vAlign w:val="center"/>
            <w:hideMark/>
          </w:tcPr>
          <w:p w14:paraId="300D1B2F"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5</w:t>
            </w:r>
          </w:p>
        </w:tc>
        <w:tc>
          <w:tcPr>
            <w:tcW w:w="0" w:type="auto"/>
            <w:vAlign w:val="center"/>
            <w:hideMark/>
          </w:tcPr>
          <w:p w14:paraId="01D8A42F"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90</w:t>
            </w:r>
          </w:p>
        </w:tc>
        <w:tc>
          <w:tcPr>
            <w:tcW w:w="0" w:type="auto"/>
            <w:vAlign w:val="center"/>
            <w:hideMark/>
          </w:tcPr>
          <w:p w14:paraId="6F1F44D6"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20</w:t>
            </w:r>
          </w:p>
        </w:tc>
        <w:tc>
          <w:tcPr>
            <w:tcW w:w="0" w:type="auto"/>
            <w:vAlign w:val="center"/>
            <w:hideMark/>
          </w:tcPr>
          <w:p w14:paraId="1DA0B491"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22.2</w:t>
            </w:r>
          </w:p>
        </w:tc>
        <w:tc>
          <w:tcPr>
            <w:tcW w:w="0" w:type="auto"/>
            <w:vAlign w:val="center"/>
            <w:hideMark/>
          </w:tcPr>
          <w:p w14:paraId="393BDB98"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4.5×</w:t>
            </w:r>
          </w:p>
        </w:tc>
      </w:tr>
      <w:tr w:rsidR="00C87C83" w:rsidRPr="00C87C83" w14:paraId="2C42F17B" w14:textId="77777777" w:rsidTr="00532E73">
        <w:trPr>
          <w:tblCellSpacing w:w="15" w:type="dxa"/>
        </w:trPr>
        <w:tc>
          <w:tcPr>
            <w:tcW w:w="0" w:type="auto"/>
            <w:vAlign w:val="center"/>
            <w:hideMark/>
          </w:tcPr>
          <w:p w14:paraId="44B476B8"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Urine</w:t>
            </w:r>
          </w:p>
        </w:tc>
        <w:tc>
          <w:tcPr>
            <w:tcW w:w="0" w:type="auto"/>
            <w:vAlign w:val="center"/>
            <w:hideMark/>
          </w:tcPr>
          <w:p w14:paraId="5A3B47E9"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3</w:t>
            </w:r>
          </w:p>
        </w:tc>
        <w:tc>
          <w:tcPr>
            <w:tcW w:w="0" w:type="auto"/>
            <w:vAlign w:val="center"/>
            <w:hideMark/>
          </w:tcPr>
          <w:p w14:paraId="2F429208"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150</w:t>
            </w:r>
          </w:p>
        </w:tc>
        <w:tc>
          <w:tcPr>
            <w:tcW w:w="0" w:type="auto"/>
            <w:vAlign w:val="center"/>
            <w:hideMark/>
          </w:tcPr>
          <w:p w14:paraId="27E91553"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15</w:t>
            </w:r>
          </w:p>
        </w:tc>
        <w:tc>
          <w:tcPr>
            <w:tcW w:w="0" w:type="auto"/>
            <w:vAlign w:val="center"/>
            <w:hideMark/>
          </w:tcPr>
          <w:p w14:paraId="33E3D184"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10.0</w:t>
            </w:r>
          </w:p>
        </w:tc>
        <w:tc>
          <w:tcPr>
            <w:tcW w:w="0" w:type="auto"/>
            <w:vAlign w:val="center"/>
            <w:hideMark/>
          </w:tcPr>
          <w:p w14:paraId="45E98FEB"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10.0×</w:t>
            </w:r>
          </w:p>
        </w:tc>
      </w:tr>
      <w:tr w:rsidR="00C87C83" w:rsidRPr="00C87C83" w14:paraId="1D6D5123" w14:textId="77777777" w:rsidTr="00532E73">
        <w:trPr>
          <w:tblCellSpacing w:w="15" w:type="dxa"/>
        </w:trPr>
        <w:tc>
          <w:tcPr>
            <w:tcW w:w="0" w:type="auto"/>
            <w:vAlign w:val="center"/>
            <w:hideMark/>
          </w:tcPr>
          <w:p w14:paraId="1F36BD9F"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Honey</w:t>
            </w:r>
          </w:p>
        </w:tc>
        <w:tc>
          <w:tcPr>
            <w:tcW w:w="0" w:type="auto"/>
            <w:vAlign w:val="center"/>
            <w:hideMark/>
          </w:tcPr>
          <w:p w14:paraId="1215509C"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3</w:t>
            </w:r>
          </w:p>
        </w:tc>
        <w:tc>
          <w:tcPr>
            <w:tcW w:w="0" w:type="auto"/>
            <w:vAlign w:val="center"/>
            <w:hideMark/>
          </w:tcPr>
          <w:p w14:paraId="56C22DF6"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150</w:t>
            </w:r>
          </w:p>
        </w:tc>
        <w:tc>
          <w:tcPr>
            <w:tcW w:w="0" w:type="auto"/>
            <w:vAlign w:val="center"/>
            <w:hideMark/>
          </w:tcPr>
          <w:p w14:paraId="726A2688"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14</w:t>
            </w:r>
          </w:p>
        </w:tc>
        <w:tc>
          <w:tcPr>
            <w:tcW w:w="0" w:type="auto"/>
            <w:vAlign w:val="center"/>
            <w:hideMark/>
          </w:tcPr>
          <w:p w14:paraId="6D552C62"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9.3</w:t>
            </w:r>
          </w:p>
        </w:tc>
        <w:tc>
          <w:tcPr>
            <w:tcW w:w="0" w:type="auto"/>
            <w:vAlign w:val="center"/>
            <w:hideMark/>
          </w:tcPr>
          <w:p w14:paraId="7794AAE7" w14:textId="77777777" w:rsidR="00C87C83" w:rsidRPr="00C87C83" w:rsidRDefault="00C87C83" w:rsidP="00C87C83">
            <w:pPr>
              <w:pStyle w:val="NormalWeb"/>
              <w:spacing w:before="0" w:beforeAutospacing="0" w:after="0" w:afterAutospacing="0" w:line="276" w:lineRule="auto"/>
              <w:jc w:val="center"/>
              <w:rPr>
                <w:sz w:val="20"/>
                <w:szCs w:val="20"/>
              </w:rPr>
            </w:pPr>
            <w:r w:rsidRPr="00C87C83">
              <w:rPr>
                <w:sz w:val="20"/>
                <w:szCs w:val="20"/>
              </w:rPr>
              <w:t>10.7×</w:t>
            </w:r>
          </w:p>
        </w:tc>
      </w:tr>
    </w:tbl>
    <w:p w14:paraId="0835D9F6" w14:textId="52A7F0AD" w:rsidR="00AE11F5" w:rsidRPr="00C87C83" w:rsidRDefault="00C87C83" w:rsidP="00C87C83">
      <w:pPr>
        <w:spacing w:before="240"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The observed differences in buffer-volume recovery likely reflect matrix-dependent constraints and differences in EV-associated material abundance. Blood-derived preparations produced the highest recovery (22.2%), while urine and honey yielded lower but comparable recoveries (~10% and ~9%). Differences between blood and urine are consistent with the generally higher EV-associated material and protein background in plasma/serum compared with urine, which is more dilute and prone to greater pre-analytical variability [2,7,15]. For urine, the use of first-morning midstream sampling and immediate quality assessment (visual inspection, pH, and specific gravity) supports reproducibility and aligns with commonly recommended approaches for </w:t>
      </w:r>
      <w:proofErr w:type="spellStart"/>
      <w:r w:rsidRPr="00C87C83">
        <w:rPr>
          <w:rFonts w:ascii="Times New Roman" w:hAnsi="Times New Roman" w:cs="Times New Roman"/>
          <w:sz w:val="24"/>
          <w:szCs w:val="24"/>
        </w:rPr>
        <w:t>uEV</w:t>
      </w:r>
      <w:proofErr w:type="spellEnd"/>
      <w:r w:rsidRPr="00C87C83">
        <w:rPr>
          <w:rFonts w:ascii="Times New Roman" w:hAnsi="Times New Roman" w:cs="Times New Roman"/>
          <w:sz w:val="24"/>
          <w:szCs w:val="24"/>
        </w:rPr>
        <w:t xml:space="preserve"> handling [7,8,15]. Honey is a particularly challenging matrix due to viscosity and complex particulate content; thus, the dilution step (1:20 in particle-free PBS with protease inhibitors), repeated low-speed clarification, and 10,000 × g depletion prior to filtration likely contributed to achieving workable EV-enriched suspensions while also limiting recovery, consistent with prior reports of vesicle-like nanoparticles from honey and other bee products [5,9,15]. Importantly, despite these recovery differences, the workflow produced EV-enriched preparations across all matrices, supporting feasibility of honey as an alternative source when appropriate processing steps are applied [5,9].</w:t>
      </w:r>
    </w:p>
    <w:p w14:paraId="773F9448" w14:textId="77777777" w:rsidR="00C87C83" w:rsidRPr="00C87C83" w:rsidRDefault="00C87C83"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EV Characterization</w:t>
      </w:r>
    </w:p>
    <w:p w14:paraId="5D287ED9" w14:textId="77777777" w:rsidR="00C87C83" w:rsidRPr="00C87C83" w:rsidRDefault="00C87C83"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Particle size distribution and zeta potential (DLS/Electrophoretic light scattering)</w:t>
      </w:r>
    </w:p>
    <w:p w14:paraId="75972BDC" w14:textId="77777777" w:rsidR="00C87C83" w:rsidRPr="00C87C83" w:rsidRDefault="00C87C83" w:rsidP="00C87C83">
      <w:pPr>
        <w:spacing w:line="276" w:lineRule="auto"/>
        <w:jc w:val="both"/>
        <w:rPr>
          <w:rFonts w:ascii="Times New Roman" w:hAnsi="Times New Roman" w:cs="Times New Roman"/>
          <w:sz w:val="24"/>
          <w:szCs w:val="24"/>
        </w:rPr>
      </w:pPr>
      <w:r w:rsidRPr="00C87C83">
        <w:rPr>
          <w:rFonts w:ascii="Times New Roman" w:hAnsi="Times New Roman" w:cs="Times New Roman"/>
          <w:sz w:val="24"/>
          <w:szCs w:val="24"/>
        </w:rPr>
        <w:t xml:space="preserve">Dynamic light scattering (HORIBA SZ-100; intensity-weighted output) indicated distinct matrix-dependent particle profiles. Blood-derived preparations showed Z-average values of 47.3–60.1 nm across three runs, suggesting a consistent nanoscale fraction with limited run-to-run variability. In contrast, urine-derived preparations demonstrated greater variability and heterogeneity: one run produced a Z-average around 111.9 nm, whereas subsequent runs shifted toward larger intensity-weighted populations (162.3–324.9 nm), consistent with polydispersity and/or contributions from larger particles that can disproportionately influence DLS intensity distributions. Honey-derived preparations exhibited the greatest heterogeneity (211.3–614.1 nm), with one run showing a minor small EV–size range peak (~58.3 nm; ~22% area), while later runs were dominated by larger intensity-weighted signals. Collectively, these results support the presence of nanoscale particle fractions across matrices while highlighting stronger heterogeneity in urine and honey preparations under an intensity-weighted measurement framework. Because DLS provides an intensity-weighted distribution biased toward larger </w:t>
      </w:r>
      <w:r w:rsidRPr="00C87C83">
        <w:rPr>
          <w:rFonts w:ascii="Times New Roman" w:hAnsi="Times New Roman" w:cs="Times New Roman"/>
          <w:sz w:val="24"/>
          <w:szCs w:val="24"/>
        </w:rPr>
        <w:lastRenderedPageBreak/>
        <w:t xml:space="preserve">particles (scattering intensity </w:t>
      </w:r>
      <w:r w:rsidRPr="00C87C83">
        <w:rPr>
          <w:rFonts w:ascii="Cambria Math" w:hAnsi="Cambria Math" w:cs="Cambria Math"/>
          <w:sz w:val="24"/>
          <w:szCs w:val="24"/>
        </w:rPr>
        <w:t>∝</w:t>
      </w:r>
      <w:r w:rsidRPr="00C87C83">
        <w:rPr>
          <w:rFonts w:ascii="Times New Roman" w:hAnsi="Times New Roman" w:cs="Times New Roman"/>
          <w:sz w:val="24"/>
          <w:szCs w:val="24"/>
        </w:rPr>
        <w:t xml:space="preserve"> d⁶), small EVs co-existing with sub-micron aggregates in urine and honey preparations are likely under-represented in the Z-average values; number-weighted single-particle approaches (e.g., NTA) are recommended for follow-up studies to resolve true particle-size distributions [15].</w:t>
      </w:r>
    </w:p>
    <w:p w14:paraId="6CC812FC" w14:textId="77777777" w:rsidR="00C87C83" w:rsidRPr="00C87C83" w:rsidRDefault="00C87C83" w:rsidP="00C87C83">
      <w:pPr>
        <w:pStyle w:val="NormalWeb"/>
        <w:spacing w:before="0" w:beforeAutospacing="0" w:after="0" w:afterAutospacing="0" w:line="276" w:lineRule="auto"/>
        <w:jc w:val="both"/>
        <w:rPr>
          <w:sz w:val="20"/>
          <w:szCs w:val="20"/>
        </w:rPr>
      </w:pPr>
      <w:r w:rsidRPr="00C87C83">
        <w:rPr>
          <w:sz w:val="20"/>
          <w:szCs w:val="20"/>
        </w:rPr>
        <w:t>Table 2. Particle size analysis of blood-, urine-, and honey-derived EV samples.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1710"/>
        <w:gridCol w:w="6300"/>
      </w:tblGrid>
      <w:tr w:rsidR="00C87C83" w:rsidRPr="00C87C83" w14:paraId="46D8F68A" w14:textId="77777777" w:rsidTr="00532E73">
        <w:trPr>
          <w:tblHeader/>
          <w:tblCellSpacing w:w="15" w:type="dxa"/>
        </w:trPr>
        <w:tc>
          <w:tcPr>
            <w:tcW w:w="945" w:type="dxa"/>
            <w:tcBorders>
              <w:top w:val="nil"/>
              <w:bottom w:val="single" w:sz="4" w:space="0" w:color="auto"/>
            </w:tcBorders>
            <w:vAlign w:val="center"/>
            <w:hideMark/>
          </w:tcPr>
          <w:p w14:paraId="36317A74" w14:textId="77777777" w:rsidR="00C87C83" w:rsidRPr="00C87C83" w:rsidRDefault="00C87C83" w:rsidP="00C87C83">
            <w:pPr>
              <w:pStyle w:val="NormalWeb"/>
              <w:spacing w:after="240" w:line="276" w:lineRule="auto"/>
              <w:rPr>
                <w:sz w:val="20"/>
                <w:szCs w:val="20"/>
              </w:rPr>
            </w:pPr>
            <w:r w:rsidRPr="00C87C83">
              <w:rPr>
                <w:sz w:val="20"/>
                <w:szCs w:val="20"/>
              </w:rPr>
              <w:t>Sample</w:t>
            </w:r>
          </w:p>
        </w:tc>
        <w:tc>
          <w:tcPr>
            <w:tcW w:w="1680" w:type="dxa"/>
            <w:tcBorders>
              <w:top w:val="nil"/>
              <w:bottom w:val="single" w:sz="4" w:space="0" w:color="auto"/>
            </w:tcBorders>
            <w:vAlign w:val="center"/>
            <w:hideMark/>
          </w:tcPr>
          <w:p w14:paraId="23338AD6" w14:textId="77777777" w:rsidR="00C87C83" w:rsidRPr="00C87C83" w:rsidRDefault="00C87C83" w:rsidP="00C87C83">
            <w:pPr>
              <w:pStyle w:val="NormalWeb"/>
              <w:spacing w:after="240" w:line="276" w:lineRule="auto"/>
              <w:rPr>
                <w:sz w:val="20"/>
                <w:szCs w:val="20"/>
              </w:rPr>
            </w:pPr>
            <w:r w:rsidRPr="00C87C83">
              <w:rPr>
                <w:sz w:val="20"/>
                <w:szCs w:val="20"/>
              </w:rPr>
              <w:t>Z-average (nm)</w:t>
            </w:r>
          </w:p>
        </w:tc>
        <w:tc>
          <w:tcPr>
            <w:tcW w:w="6255" w:type="dxa"/>
            <w:tcBorders>
              <w:top w:val="nil"/>
              <w:bottom w:val="single" w:sz="4" w:space="0" w:color="auto"/>
            </w:tcBorders>
            <w:vAlign w:val="center"/>
            <w:hideMark/>
          </w:tcPr>
          <w:p w14:paraId="0B61ED4A" w14:textId="77777777" w:rsidR="00C87C83" w:rsidRPr="00C87C83" w:rsidRDefault="00C87C83" w:rsidP="00C87C83">
            <w:pPr>
              <w:pStyle w:val="NormalWeb"/>
              <w:spacing w:after="240" w:line="276" w:lineRule="auto"/>
              <w:rPr>
                <w:sz w:val="20"/>
                <w:szCs w:val="20"/>
              </w:rPr>
            </w:pPr>
            <w:r w:rsidRPr="00C87C83">
              <w:rPr>
                <w:sz w:val="20"/>
                <w:szCs w:val="20"/>
              </w:rPr>
              <w:t>Intensity-distribution note</w:t>
            </w:r>
          </w:p>
        </w:tc>
      </w:tr>
      <w:tr w:rsidR="00C87C83" w:rsidRPr="00C87C83" w14:paraId="15374F46" w14:textId="77777777" w:rsidTr="00532E73">
        <w:trPr>
          <w:tblCellSpacing w:w="15" w:type="dxa"/>
        </w:trPr>
        <w:tc>
          <w:tcPr>
            <w:tcW w:w="945" w:type="dxa"/>
            <w:vAlign w:val="center"/>
            <w:hideMark/>
          </w:tcPr>
          <w:p w14:paraId="0C76F0FD" w14:textId="77777777" w:rsidR="00C87C83" w:rsidRPr="00C87C83" w:rsidRDefault="00C87C83" w:rsidP="00C87C83">
            <w:pPr>
              <w:pStyle w:val="NormalWeb"/>
              <w:spacing w:after="240" w:line="276" w:lineRule="auto"/>
              <w:rPr>
                <w:sz w:val="20"/>
                <w:szCs w:val="20"/>
              </w:rPr>
            </w:pPr>
            <w:r w:rsidRPr="00C87C83">
              <w:rPr>
                <w:sz w:val="20"/>
                <w:szCs w:val="20"/>
              </w:rPr>
              <w:t>Blood</w:t>
            </w:r>
          </w:p>
        </w:tc>
        <w:tc>
          <w:tcPr>
            <w:tcW w:w="1680" w:type="dxa"/>
            <w:vAlign w:val="center"/>
            <w:hideMark/>
          </w:tcPr>
          <w:p w14:paraId="4A07E01E" w14:textId="77777777" w:rsidR="00C87C83" w:rsidRPr="00C87C83" w:rsidRDefault="00C87C83" w:rsidP="00C87C83">
            <w:pPr>
              <w:pStyle w:val="NormalWeb"/>
              <w:spacing w:after="240" w:line="276" w:lineRule="auto"/>
              <w:rPr>
                <w:sz w:val="20"/>
                <w:szCs w:val="20"/>
              </w:rPr>
            </w:pPr>
            <w:r w:rsidRPr="00C87C83">
              <w:rPr>
                <w:sz w:val="20"/>
                <w:szCs w:val="20"/>
              </w:rPr>
              <w:t>47.3 – 60.1</w:t>
            </w:r>
          </w:p>
        </w:tc>
        <w:tc>
          <w:tcPr>
            <w:tcW w:w="6255" w:type="dxa"/>
            <w:vAlign w:val="center"/>
            <w:hideMark/>
          </w:tcPr>
          <w:p w14:paraId="2B2DC04F" w14:textId="77777777" w:rsidR="00C87C83" w:rsidRPr="00C87C83" w:rsidRDefault="00C87C83" w:rsidP="00C87C83">
            <w:pPr>
              <w:pStyle w:val="NormalWeb"/>
              <w:spacing w:after="240" w:line="276" w:lineRule="auto"/>
              <w:rPr>
                <w:sz w:val="20"/>
                <w:szCs w:val="20"/>
              </w:rPr>
            </w:pPr>
            <w:r w:rsidRPr="00C87C83">
              <w:rPr>
                <w:sz w:val="20"/>
                <w:szCs w:val="20"/>
              </w:rPr>
              <w:t>Predominantly nanoscale (small EV-size range) profile; moderate polydispersity in intensity readout.</w:t>
            </w:r>
          </w:p>
        </w:tc>
      </w:tr>
      <w:tr w:rsidR="00C87C83" w:rsidRPr="00C87C83" w14:paraId="08292D88" w14:textId="77777777" w:rsidTr="00532E73">
        <w:trPr>
          <w:tblCellSpacing w:w="15" w:type="dxa"/>
        </w:trPr>
        <w:tc>
          <w:tcPr>
            <w:tcW w:w="945" w:type="dxa"/>
            <w:vAlign w:val="center"/>
            <w:hideMark/>
          </w:tcPr>
          <w:p w14:paraId="05E8E93B" w14:textId="77777777" w:rsidR="00C87C83" w:rsidRPr="00C87C83" w:rsidRDefault="00C87C83" w:rsidP="00C87C83">
            <w:pPr>
              <w:pStyle w:val="NormalWeb"/>
              <w:spacing w:after="240" w:line="276" w:lineRule="auto"/>
              <w:rPr>
                <w:sz w:val="20"/>
                <w:szCs w:val="20"/>
              </w:rPr>
            </w:pPr>
            <w:r w:rsidRPr="00C87C83">
              <w:rPr>
                <w:sz w:val="20"/>
                <w:szCs w:val="20"/>
              </w:rPr>
              <w:t>Urine</w:t>
            </w:r>
          </w:p>
        </w:tc>
        <w:tc>
          <w:tcPr>
            <w:tcW w:w="1680" w:type="dxa"/>
            <w:vAlign w:val="center"/>
            <w:hideMark/>
          </w:tcPr>
          <w:p w14:paraId="534823C5" w14:textId="77777777" w:rsidR="00C87C83" w:rsidRPr="00C87C83" w:rsidRDefault="00C87C83" w:rsidP="00C87C83">
            <w:pPr>
              <w:pStyle w:val="NormalWeb"/>
              <w:spacing w:after="240" w:line="276" w:lineRule="auto"/>
              <w:rPr>
                <w:sz w:val="20"/>
                <w:szCs w:val="20"/>
              </w:rPr>
            </w:pPr>
            <w:r w:rsidRPr="00C87C83">
              <w:rPr>
                <w:sz w:val="20"/>
                <w:szCs w:val="20"/>
              </w:rPr>
              <w:t>162.3 – 324.9</w:t>
            </w:r>
          </w:p>
        </w:tc>
        <w:tc>
          <w:tcPr>
            <w:tcW w:w="6255" w:type="dxa"/>
            <w:vAlign w:val="center"/>
            <w:hideMark/>
          </w:tcPr>
          <w:p w14:paraId="11912445" w14:textId="77777777" w:rsidR="00C87C83" w:rsidRPr="00C87C83" w:rsidRDefault="00C87C83" w:rsidP="00C87C83">
            <w:pPr>
              <w:pStyle w:val="NormalWeb"/>
              <w:spacing w:after="240" w:line="276" w:lineRule="auto"/>
              <w:rPr>
                <w:sz w:val="20"/>
                <w:szCs w:val="20"/>
              </w:rPr>
            </w:pPr>
            <w:r w:rsidRPr="00C87C83">
              <w:rPr>
                <w:sz w:val="20"/>
                <w:szCs w:val="20"/>
              </w:rPr>
              <w:t>Heterogeneous; one run shows a small EV-sized mode (~111.9 nm), but larger particles contribute strongly to the intensity-weighted signal.</w:t>
            </w:r>
          </w:p>
        </w:tc>
      </w:tr>
      <w:tr w:rsidR="00C87C83" w:rsidRPr="00C87C83" w14:paraId="21B86CFB" w14:textId="77777777" w:rsidTr="00532E73">
        <w:trPr>
          <w:tblCellSpacing w:w="15" w:type="dxa"/>
        </w:trPr>
        <w:tc>
          <w:tcPr>
            <w:tcW w:w="945" w:type="dxa"/>
            <w:vAlign w:val="center"/>
            <w:hideMark/>
          </w:tcPr>
          <w:p w14:paraId="2EC4724E" w14:textId="77777777" w:rsidR="00C87C83" w:rsidRPr="00C87C83" w:rsidRDefault="00C87C83" w:rsidP="00C87C83">
            <w:pPr>
              <w:pStyle w:val="NormalWeb"/>
              <w:spacing w:after="240" w:line="276" w:lineRule="auto"/>
              <w:rPr>
                <w:sz w:val="20"/>
                <w:szCs w:val="20"/>
              </w:rPr>
            </w:pPr>
            <w:r w:rsidRPr="00C87C83">
              <w:rPr>
                <w:sz w:val="20"/>
                <w:szCs w:val="20"/>
              </w:rPr>
              <w:t>Honey</w:t>
            </w:r>
          </w:p>
        </w:tc>
        <w:tc>
          <w:tcPr>
            <w:tcW w:w="1680" w:type="dxa"/>
            <w:vAlign w:val="center"/>
            <w:hideMark/>
          </w:tcPr>
          <w:p w14:paraId="4161E125" w14:textId="77777777" w:rsidR="00C87C83" w:rsidRPr="00C87C83" w:rsidRDefault="00C87C83" w:rsidP="00C87C83">
            <w:pPr>
              <w:pStyle w:val="NormalWeb"/>
              <w:spacing w:after="240" w:line="276" w:lineRule="auto"/>
              <w:rPr>
                <w:sz w:val="20"/>
                <w:szCs w:val="20"/>
              </w:rPr>
            </w:pPr>
            <w:r w:rsidRPr="00C87C83">
              <w:rPr>
                <w:sz w:val="20"/>
                <w:szCs w:val="20"/>
              </w:rPr>
              <w:t>211.3 – 614.1</w:t>
            </w:r>
          </w:p>
        </w:tc>
        <w:tc>
          <w:tcPr>
            <w:tcW w:w="6255" w:type="dxa"/>
            <w:vAlign w:val="center"/>
            <w:hideMark/>
          </w:tcPr>
          <w:p w14:paraId="630714DE" w14:textId="77777777" w:rsidR="00C87C83" w:rsidRPr="00C87C83" w:rsidRDefault="00C87C83" w:rsidP="00C87C83">
            <w:pPr>
              <w:pStyle w:val="NormalWeb"/>
              <w:spacing w:after="240" w:line="276" w:lineRule="auto"/>
              <w:rPr>
                <w:sz w:val="20"/>
                <w:szCs w:val="20"/>
              </w:rPr>
            </w:pPr>
            <w:r w:rsidRPr="00C87C83">
              <w:rPr>
                <w:sz w:val="20"/>
                <w:szCs w:val="20"/>
              </w:rPr>
              <w:t>Submicron-dominant intensity distribution; one run shows a minor small EV-size range peak (~58.3 nm; 22% area).</w:t>
            </w:r>
          </w:p>
        </w:tc>
      </w:tr>
    </w:tbl>
    <w:p w14:paraId="370EB563" w14:textId="77777777" w:rsidR="00C87C83" w:rsidRPr="00C87C83" w:rsidRDefault="00C87C83" w:rsidP="00C87C83">
      <w:pPr>
        <w:spacing w:before="240" w:line="276" w:lineRule="auto"/>
        <w:jc w:val="both"/>
        <w:rPr>
          <w:rFonts w:ascii="Times New Roman" w:hAnsi="Times New Roman" w:cs="Times New Roman"/>
          <w:sz w:val="20"/>
          <w:szCs w:val="20"/>
        </w:rPr>
      </w:pPr>
      <w:r w:rsidRPr="00C87C83">
        <w:rPr>
          <w:rFonts w:ascii="Times New Roman" w:hAnsi="Times New Roman" w:cs="Times New Roman"/>
          <w:noProof/>
          <w:sz w:val="24"/>
          <w:szCs w:val="24"/>
        </w:rPr>
        <w:drawing>
          <wp:inline distT="0" distB="0" distL="0" distR="0" wp14:anchorId="3413D029" wp14:editId="6B5C484A">
            <wp:extent cx="2895600" cy="5304155"/>
            <wp:effectExtent l="0" t="0" r="0" b="0"/>
            <wp:docPr id="118395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5600" cy="5304155"/>
                    </a:xfrm>
                    <a:prstGeom prst="rect">
                      <a:avLst/>
                    </a:prstGeom>
                    <a:noFill/>
                  </pic:spPr>
                </pic:pic>
              </a:graphicData>
            </a:graphic>
          </wp:inline>
        </w:drawing>
      </w:r>
    </w:p>
    <w:p w14:paraId="55B024B4" w14:textId="28F41678" w:rsidR="00C87C83" w:rsidRPr="00C87C83" w:rsidRDefault="00C87C83" w:rsidP="00C87C83">
      <w:pPr>
        <w:spacing w:before="240" w:line="276" w:lineRule="auto"/>
        <w:jc w:val="both"/>
        <w:rPr>
          <w:rFonts w:ascii="Times New Roman" w:hAnsi="Times New Roman" w:cs="Times New Roman"/>
          <w:sz w:val="20"/>
          <w:szCs w:val="20"/>
        </w:rPr>
      </w:pPr>
      <w:r w:rsidRPr="00C87C83">
        <w:rPr>
          <w:rFonts w:ascii="Times New Roman" w:hAnsi="Times New Roman" w:cs="Times New Roman"/>
          <w:sz w:val="20"/>
          <w:szCs w:val="20"/>
        </w:rPr>
        <w:t xml:space="preserve">Figure 1. Representative of DLS particle size distribution (Z-Average and Polydispersity Index) of EV-Enriched samples from (A)blood-derived EVs, (B) urine-derived EVs, and (C) honey-derived EVs. Particle size analysis was performed by HORIBA </w:t>
      </w:r>
      <w:proofErr w:type="spellStart"/>
      <w:r w:rsidRPr="00C87C83">
        <w:rPr>
          <w:rFonts w:ascii="Times New Roman" w:hAnsi="Times New Roman" w:cs="Times New Roman"/>
          <w:sz w:val="20"/>
          <w:szCs w:val="20"/>
        </w:rPr>
        <w:t>nanoPartica</w:t>
      </w:r>
      <w:proofErr w:type="spellEnd"/>
      <w:r w:rsidRPr="00C87C83">
        <w:rPr>
          <w:rFonts w:ascii="Times New Roman" w:hAnsi="Times New Roman" w:cs="Times New Roman"/>
          <w:sz w:val="20"/>
          <w:szCs w:val="20"/>
        </w:rPr>
        <w:t xml:space="preserve"> SZ-100V2.</w:t>
      </w:r>
    </w:p>
    <w:p w14:paraId="457DCDB4" w14:textId="5024F1C5" w:rsidR="00C87C83" w:rsidRDefault="00C87C83" w:rsidP="00C87C83">
      <w:pPr>
        <w:spacing w:before="240" w:line="276" w:lineRule="auto"/>
        <w:jc w:val="both"/>
        <w:rPr>
          <w:rFonts w:ascii="Times New Roman" w:hAnsi="Times New Roman" w:cs="Times New Roman"/>
          <w:sz w:val="24"/>
          <w:szCs w:val="24"/>
        </w:rPr>
      </w:pPr>
      <w:r w:rsidRPr="00C87C83">
        <w:rPr>
          <w:rFonts w:ascii="Times New Roman" w:hAnsi="Times New Roman" w:cs="Times New Roman"/>
          <w:sz w:val="24"/>
          <w:szCs w:val="24"/>
        </w:rPr>
        <w:lastRenderedPageBreak/>
        <w:t>Zeta potential measurements showed near-neutral apparent surface charge for all preparations under the tested high-conductivity conditions (approximately 14.0–16.6 mS/cm). Blood-derived preparations ranged from +0.4 to −2.0 mV, urine-derived preparations were consistently ~+0.1 mV, and honey-derived preparations ranged from −1.6 to −3.0 mV</w:t>
      </w:r>
      <w:r>
        <w:rPr>
          <w:rFonts w:ascii="Times New Roman" w:hAnsi="Times New Roman" w:cs="Times New Roman"/>
          <w:sz w:val="24"/>
          <w:szCs w:val="24"/>
        </w:rPr>
        <w:t xml:space="preserve">. </w:t>
      </w:r>
      <w:r w:rsidRPr="00C87C83">
        <w:rPr>
          <w:rFonts w:ascii="Times New Roman" w:hAnsi="Times New Roman" w:cs="Times New Roman"/>
          <w:sz w:val="24"/>
          <w:szCs w:val="24"/>
        </w:rPr>
        <w:t xml:space="preserve">These values should be interpreted with caution: under the high-conductivity conditions used (~15 mS/cm), </w:t>
      </w:r>
      <w:r w:rsidR="008B5CFD">
        <w:rPr>
          <w:rFonts w:ascii="Times New Roman" w:hAnsi="Times New Roman" w:cs="Times New Roman"/>
          <w:sz w:val="24"/>
          <w:szCs w:val="24"/>
        </w:rPr>
        <w:t xml:space="preserve">this </w:t>
      </w:r>
      <w:r w:rsidRPr="00C87C83">
        <w:rPr>
          <w:rFonts w:ascii="Times New Roman" w:hAnsi="Times New Roman" w:cs="Times New Roman"/>
          <w:sz w:val="24"/>
          <w:szCs w:val="24"/>
        </w:rPr>
        <w:t>approximation does not reliably convert electrophoretic mobility into intrinsic surface charge because the electrical double layer is compressed. The near-neutral apparent ζ-potentials reported here are therefore consistent with a buffer-limited measurement rather than with intrinsic EV surface chemistry. Future studies should perform ζ-potential measurement in low-conductivity buffer (e.g., diluted in 1 mM KCl), paired with orthogonal size and marker readouts, to obtain interpretable surface-charge values [1-3,15].</w:t>
      </w:r>
      <w:r>
        <w:rPr>
          <w:rFonts w:ascii="Times New Roman" w:hAnsi="Times New Roman" w:cs="Times New Roman"/>
          <w:sz w:val="24"/>
          <w:szCs w:val="24"/>
        </w:rPr>
        <w:t xml:space="preserve"> </w:t>
      </w:r>
    </w:p>
    <w:p w14:paraId="375BAD3B" w14:textId="1CC99810" w:rsidR="008B5CFD" w:rsidRDefault="008B5CFD" w:rsidP="008B5CFD">
      <w:pPr>
        <w:spacing w:before="240" w:after="0" w:line="276" w:lineRule="auto"/>
        <w:jc w:val="both"/>
        <w:rPr>
          <w:rFonts w:ascii="Times New Roman" w:hAnsi="Times New Roman" w:cs="Times New Roman"/>
          <w:sz w:val="24"/>
          <w:szCs w:val="24"/>
        </w:rPr>
      </w:pPr>
      <w:r w:rsidRPr="008B5CFD">
        <w:rPr>
          <w:rFonts w:ascii="Times New Roman" w:hAnsi="Times New Roman" w:cs="Times New Roman"/>
          <w:sz w:val="24"/>
          <w:szCs w:val="24"/>
        </w:rPr>
        <w:t>Table 3. Zeta potential (ζ) of blood-, urine-, and honey-derived EV samples.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676"/>
        <w:gridCol w:w="1276"/>
        <w:gridCol w:w="1674"/>
        <w:gridCol w:w="2233"/>
        <w:gridCol w:w="3167"/>
      </w:tblGrid>
      <w:tr w:rsidR="008B5CFD" w:rsidRPr="00EB2BF2" w14:paraId="28C157FE" w14:textId="77777777" w:rsidTr="00532E73">
        <w:trPr>
          <w:tblHeader/>
          <w:tblCellSpacing w:w="15" w:type="dxa"/>
        </w:trPr>
        <w:tc>
          <w:tcPr>
            <w:tcW w:w="0" w:type="auto"/>
            <w:tcBorders>
              <w:top w:val="nil"/>
              <w:bottom w:val="single" w:sz="4" w:space="0" w:color="auto"/>
            </w:tcBorders>
            <w:vAlign w:val="center"/>
            <w:hideMark/>
          </w:tcPr>
          <w:p w14:paraId="5FFB10A4"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Sample</w:t>
            </w:r>
          </w:p>
        </w:tc>
        <w:tc>
          <w:tcPr>
            <w:tcW w:w="0" w:type="auto"/>
            <w:tcBorders>
              <w:top w:val="nil"/>
              <w:bottom w:val="single" w:sz="4" w:space="0" w:color="auto"/>
            </w:tcBorders>
            <w:vAlign w:val="center"/>
            <w:hideMark/>
          </w:tcPr>
          <w:p w14:paraId="3DBA46EF"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ζ-potential range (mV)</w:t>
            </w:r>
          </w:p>
        </w:tc>
        <w:tc>
          <w:tcPr>
            <w:tcW w:w="0" w:type="auto"/>
            <w:tcBorders>
              <w:top w:val="nil"/>
              <w:bottom w:val="single" w:sz="4" w:space="0" w:color="auto"/>
            </w:tcBorders>
            <w:vAlign w:val="center"/>
            <w:hideMark/>
          </w:tcPr>
          <w:p w14:paraId="2E40131F"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Conductivity range (mS/cm)</w:t>
            </w:r>
          </w:p>
        </w:tc>
        <w:tc>
          <w:tcPr>
            <w:tcW w:w="0" w:type="auto"/>
            <w:tcBorders>
              <w:top w:val="nil"/>
              <w:bottom w:val="single" w:sz="4" w:space="0" w:color="auto"/>
            </w:tcBorders>
            <w:vAlign w:val="center"/>
            <w:hideMark/>
          </w:tcPr>
          <w:p w14:paraId="6B2A4CFF"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Electrophoretic mobility range (cm²/V·s)</w:t>
            </w:r>
          </w:p>
        </w:tc>
        <w:tc>
          <w:tcPr>
            <w:tcW w:w="0" w:type="auto"/>
            <w:tcBorders>
              <w:top w:val="nil"/>
              <w:bottom w:val="single" w:sz="4" w:space="0" w:color="auto"/>
            </w:tcBorders>
            <w:vAlign w:val="center"/>
            <w:hideMark/>
          </w:tcPr>
          <w:p w14:paraId="50D8D071"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Note (interpretation)</w:t>
            </w:r>
          </w:p>
        </w:tc>
      </w:tr>
      <w:tr w:rsidR="008B5CFD" w:rsidRPr="00EB2BF2" w14:paraId="586BD487" w14:textId="77777777" w:rsidTr="00532E73">
        <w:trPr>
          <w:tblCellSpacing w:w="15" w:type="dxa"/>
        </w:trPr>
        <w:tc>
          <w:tcPr>
            <w:tcW w:w="0" w:type="auto"/>
            <w:vAlign w:val="center"/>
            <w:hideMark/>
          </w:tcPr>
          <w:p w14:paraId="1C59760E"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 xml:space="preserve">Blood </w:t>
            </w:r>
          </w:p>
        </w:tc>
        <w:tc>
          <w:tcPr>
            <w:tcW w:w="0" w:type="auto"/>
            <w:vAlign w:val="center"/>
            <w:hideMark/>
          </w:tcPr>
          <w:p w14:paraId="2F12B534"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+0.4 to −2.0</w:t>
            </w:r>
          </w:p>
        </w:tc>
        <w:tc>
          <w:tcPr>
            <w:tcW w:w="0" w:type="auto"/>
            <w:vAlign w:val="center"/>
            <w:hideMark/>
          </w:tcPr>
          <w:p w14:paraId="7BBE559E"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14.026</w:t>
            </w:r>
          </w:p>
        </w:tc>
        <w:tc>
          <w:tcPr>
            <w:tcW w:w="0" w:type="auto"/>
            <w:vAlign w:val="center"/>
            <w:hideMark/>
          </w:tcPr>
          <w:p w14:paraId="4FE78469"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+0.000003 to −0.000015</w:t>
            </w:r>
          </w:p>
        </w:tc>
        <w:tc>
          <w:tcPr>
            <w:tcW w:w="0" w:type="auto"/>
            <w:vAlign w:val="center"/>
            <w:hideMark/>
          </w:tcPr>
          <w:p w14:paraId="7FCF8D47"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Near-neutral apparent charge under high ionic strength conditions.</w:t>
            </w:r>
          </w:p>
        </w:tc>
      </w:tr>
      <w:tr w:rsidR="008B5CFD" w:rsidRPr="00EB2BF2" w14:paraId="33098182" w14:textId="77777777" w:rsidTr="00532E73">
        <w:trPr>
          <w:tblCellSpacing w:w="15" w:type="dxa"/>
        </w:trPr>
        <w:tc>
          <w:tcPr>
            <w:tcW w:w="0" w:type="auto"/>
            <w:vAlign w:val="center"/>
            <w:hideMark/>
          </w:tcPr>
          <w:p w14:paraId="3BC52313"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Urine</w:t>
            </w:r>
          </w:p>
        </w:tc>
        <w:tc>
          <w:tcPr>
            <w:tcW w:w="0" w:type="auto"/>
            <w:vAlign w:val="center"/>
            <w:hideMark/>
          </w:tcPr>
          <w:p w14:paraId="14DF5630"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+0.1 to +0.1</w:t>
            </w:r>
          </w:p>
        </w:tc>
        <w:tc>
          <w:tcPr>
            <w:tcW w:w="0" w:type="auto"/>
            <w:vAlign w:val="center"/>
            <w:hideMark/>
          </w:tcPr>
          <w:p w14:paraId="56FA3173"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16.628</w:t>
            </w:r>
          </w:p>
        </w:tc>
        <w:tc>
          <w:tcPr>
            <w:tcW w:w="0" w:type="auto"/>
            <w:vAlign w:val="center"/>
            <w:hideMark/>
          </w:tcPr>
          <w:p w14:paraId="5747E397"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0.000000 to 0.000000</w:t>
            </w:r>
          </w:p>
        </w:tc>
        <w:tc>
          <w:tcPr>
            <w:tcW w:w="0" w:type="auto"/>
            <w:vAlign w:val="center"/>
            <w:hideMark/>
          </w:tcPr>
          <w:p w14:paraId="7BF2F763"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Consistently near-neutral across runs (apparent ζ).</w:t>
            </w:r>
          </w:p>
        </w:tc>
      </w:tr>
      <w:tr w:rsidR="008B5CFD" w:rsidRPr="00EB2BF2" w14:paraId="31E7CAFA" w14:textId="77777777" w:rsidTr="00532E73">
        <w:trPr>
          <w:tblCellSpacing w:w="15" w:type="dxa"/>
        </w:trPr>
        <w:tc>
          <w:tcPr>
            <w:tcW w:w="0" w:type="auto"/>
            <w:vAlign w:val="center"/>
            <w:hideMark/>
          </w:tcPr>
          <w:p w14:paraId="0EBA2B7A"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Honey</w:t>
            </w:r>
          </w:p>
        </w:tc>
        <w:tc>
          <w:tcPr>
            <w:tcW w:w="0" w:type="auto"/>
            <w:vAlign w:val="center"/>
            <w:hideMark/>
          </w:tcPr>
          <w:p w14:paraId="1722933B"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−3.0 to −1.6</w:t>
            </w:r>
          </w:p>
        </w:tc>
        <w:tc>
          <w:tcPr>
            <w:tcW w:w="0" w:type="auto"/>
            <w:vAlign w:val="center"/>
            <w:hideMark/>
          </w:tcPr>
          <w:p w14:paraId="247702D8"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15.996</w:t>
            </w:r>
          </w:p>
        </w:tc>
        <w:tc>
          <w:tcPr>
            <w:tcW w:w="0" w:type="auto"/>
            <w:vAlign w:val="center"/>
            <w:hideMark/>
          </w:tcPr>
          <w:p w14:paraId="04B4EC18"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−0.000023 to −0.000013</w:t>
            </w:r>
          </w:p>
        </w:tc>
        <w:tc>
          <w:tcPr>
            <w:tcW w:w="0" w:type="auto"/>
            <w:vAlign w:val="center"/>
            <w:hideMark/>
          </w:tcPr>
          <w:p w14:paraId="2BD1FD1B" w14:textId="77777777" w:rsidR="008B5CFD" w:rsidRPr="00EB2BF2" w:rsidRDefault="008B5CFD" w:rsidP="00532E73">
            <w:pPr>
              <w:pStyle w:val="NormalWeb"/>
              <w:spacing w:before="0" w:beforeAutospacing="0" w:after="0" w:afterAutospacing="0" w:line="360" w:lineRule="auto"/>
              <w:rPr>
                <w:sz w:val="20"/>
                <w:szCs w:val="20"/>
              </w:rPr>
            </w:pPr>
            <w:r w:rsidRPr="00EB2BF2">
              <w:rPr>
                <w:sz w:val="20"/>
                <w:szCs w:val="20"/>
              </w:rPr>
              <w:t>Slightly negative, but still low-magnitude (screening likely).</w:t>
            </w:r>
          </w:p>
        </w:tc>
      </w:tr>
    </w:tbl>
    <w:p w14:paraId="46861813" w14:textId="7947F934" w:rsidR="008B5CFD" w:rsidRPr="00AE11F5" w:rsidRDefault="008B5CFD" w:rsidP="00C87C83">
      <w:pPr>
        <w:spacing w:before="240" w:line="276" w:lineRule="auto"/>
        <w:jc w:val="both"/>
        <w:rPr>
          <w:rFonts w:ascii="Times New Roman" w:hAnsi="Times New Roman" w:cs="Times New Roman"/>
          <w:sz w:val="24"/>
          <w:szCs w:val="24"/>
        </w:rPr>
      </w:pPr>
      <w:r>
        <w:rPr>
          <w:noProof/>
        </w:rPr>
        <w:lastRenderedPageBreak/>
        <w:drawing>
          <wp:inline distT="0" distB="0" distL="0" distR="0" wp14:anchorId="5930275E" wp14:editId="27631525">
            <wp:extent cx="2076450" cy="4360393"/>
            <wp:effectExtent l="0" t="0" r="0" b="2540"/>
            <wp:docPr id="1254466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56108" cy="4527670"/>
                    </a:xfrm>
                    <a:prstGeom prst="rect">
                      <a:avLst/>
                    </a:prstGeom>
                    <a:noFill/>
                  </pic:spPr>
                </pic:pic>
              </a:graphicData>
            </a:graphic>
          </wp:inline>
        </w:drawing>
      </w:r>
    </w:p>
    <w:p w14:paraId="57F09287" w14:textId="6ACB314E" w:rsidR="00AE11F5" w:rsidRDefault="008B5CFD" w:rsidP="008B5CFD">
      <w:pPr>
        <w:rPr>
          <w:rFonts w:ascii="Times New Roman" w:hAnsi="Times New Roman" w:cs="Times New Roman"/>
          <w:noProof/>
          <w:sz w:val="20"/>
          <w:szCs w:val="20"/>
        </w:rPr>
      </w:pPr>
      <w:r>
        <w:rPr>
          <w:rFonts w:ascii="Times New Roman" w:hAnsi="Times New Roman" w:cs="Times New Roman"/>
          <w:noProof/>
          <w:sz w:val="20"/>
          <w:szCs w:val="20"/>
          <w:lang w:val="id-ID"/>
        </w:rPr>
        <w:t xml:space="preserve">Figure 2. </w:t>
      </w:r>
      <w:r w:rsidRPr="00B62A60">
        <w:rPr>
          <w:rFonts w:ascii="Times New Roman" w:hAnsi="Times New Roman" w:cs="Times New Roman"/>
          <w:noProof/>
          <w:sz w:val="20"/>
          <w:szCs w:val="20"/>
        </w:rPr>
        <w:t>Zeta potential distributions of EV-enriched preparations from blood (A), urine (B), and honey (C), measured using the HORIBA nanoPartica SZ-100V2 Particle Size Analyzer (electrophoretic light scattering)</w:t>
      </w:r>
    </w:p>
    <w:p w14:paraId="067A6521" w14:textId="77777777" w:rsidR="008B5CFD" w:rsidRDefault="008B5CFD" w:rsidP="008B5CFD">
      <w:pPr>
        <w:rPr>
          <w:rFonts w:ascii="Times New Roman" w:hAnsi="Times New Roman" w:cs="Times New Roman"/>
          <w:noProof/>
          <w:sz w:val="20"/>
          <w:szCs w:val="20"/>
        </w:rPr>
      </w:pPr>
    </w:p>
    <w:p w14:paraId="5E3776F9" w14:textId="77777777" w:rsidR="008B5CFD" w:rsidRPr="008B5CFD" w:rsidRDefault="008B5CFD" w:rsidP="008B5CFD">
      <w:pPr>
        <w:jc w:val="both"/>
        <w:rPr>
          <w:rFonts w:ascii="Times New Roman" w:hAnsi="Times New Roman" w:cs="Times New Roman"/>
          <w:b/>
          <w:bCs/>
          <w:sz w:val="24"/>
          <w:szCs w:val="24"/>
        </w:rPr>
      </w:pPr>
      <w:r w:rsidRPr="008B5CFD">
        <w:rPr>
          <w:rFonts w:ascii="Times New Roman" w:hAnsi="Times New Roman" w:cs="Times New Roman"/>
          <w:b/>
          <w:bCs/>
          <w:sz w:val="24"/>
          <w:szCs w:val="24"/>
        </w:rPr>
        <w:t>Total protein quantification (Bradford assay)</w:t>
      </w:r>
    </w:p>
    <w:p w14:paraId="10DC03F4" w14:textId="77777777" w:rsidR="008B5CFD" w:rsidRPr="008B5CFD" w:rsidRDefault="008B5CFD" w:rsidP="008B5CFD">
      <w:pPr>
        <w:jc w:val="both"/>
        <w:rPr>
          <w:rFonts w:ascii="Times New Roman" w:hAnsi="Times New Roman" w:cs="Times New Roman"/>
          <w:sz w:val="24"/>
          <w:szCs w:val="24"/>
        </w:rPr>
      </w:pPr>
      <w:r w:rsidRPr="008B5CFD">
        <w:rPr>
          <w:rFonts w:ascii="Times New Roman" w:hAnsi="Times New Roman" w:cs="Times New Roman"/>
          <w:sz w:val="24"/>
          <w:szCs w:val="24"/>
        </w:rPr>
        <w:t xml:space="preserve">Bradford assay quantification revealed clear source-dependent differences in total protein concentration of the enriched suspensions. Blood-derived preparations had the highest protein concentration (664.4 µg/mL), while urine (187.7 µg/mL) and honey (181.6 µg/mL) were substantially lower. When combined with final suspension volumes, total recovered protein was highest in blood (13.29 mg) versus urine (2.82 mg) and honey (2.54 mg). When normalized to initial sample volume, blood also remained higher (265.8 µg/mL starting material) compared with urine (18.8 µg/mL) and honey (17.0 µg/mL). Values represent pooled measurements per matrix; per-donor variability (mean ± SD) was not </w:t>
      </w:r>
      <w:proofErr w:type="spellStart"/>
      <w:r w:rsidRPr="008B5CFD">
        <w:rPr>
          <w:rFonts w:ascii="Times New Roman" w:hAnsi="Times New Roman" w:cs="Times New Roman"/>
          <w:sz w:val="24"/>
          <w:szCs w:val="24"/>
        </w:rPr>
        <w:t>analyzed</w:t>
      </w:r>
      <w:proofErr w:type="spellEnd"/>
      <w:r w:rsidRPr="008B5CFD">
        <w:rPr>
          <w:rFonts w:ascii="Times New Roman" w:hAnsi="Times New Roman" w:cs="Times New Roman"/>
          <w:sz w:val="24"/>
          <w:szCs w:val="24"/>
        </w:rPr>
        <w:t xml:space="preserve"> in this descriptive characterization study and is identified as a limitation.</w:t>
      </w:r>
    </w:p>
    <w:p w14:paraId="5FA3E2E3" w14:textId="2F26916F" w:rsidR="008B5CFD" w:rsidRDefault="008B5CFD" w:rsidP="008B5CFD">
      <w:pPr>
        <w:jc w:val="both"/>
        <w:rPr>
          <w:rFonts w:ascii="Times New Roman" w:hAnsi="Times New Roman" w:cs="Times New Roman"/>
          <w:sz w:val="24"/>
          <w:szCs w:val="24"/>
        </w:rPr>
      </w:pPr>
      <w:r w:rsidRPr="008B5CFD">
        <w:rPr>
          <w:rFonts w:ascii="Times New Roman" w:hAnsi="Times New Roman" w:cs="Times New Roman"/>
          <w:sz w:val="24"/>
          <w:szCs w:val="24"/>
        </w:rPr>
        <w:t xml:space="preserve">These findings align with expectations that blood-derived EV-enriched preparations often contain higher vesicle-associated and co-isolated soluble protein loads than urine- or honey-derived preparations [4,7,12]. However, total protein is not a direct surrogate for EV number or EV purity, particularly in protein-rich matrices where non-vesicular proteins and other extracellular particles can co-isolate. Common matrix-specific co-isolates (e.g., apolipoproteins and albumin in plasma; uromodulin/Tamm-Horsfall protein in urine) were not specifically assessed and represent an additional limitation [15]. Therefore, the protein results support recovery of EV-associated material across sources, but should be interpreted alongside </w:t>
      </w:r>
      <w:r w:rsidRPr="008B5CFD">
        <w:rPr>
          <w:rFonts w:ascii="Times New Roman" w:hAnsi="Times New Roman" w:cs="Times New Roman"/>
          <w:sz w:val="24"/>
          <w:szCs w:val="24"/>
        </w:rPr>
        <w:lastRenderedPageBreak/>
        <w:t>sizing, marker profiling, and ultrastructural evidence, as emphasized in current recommendations [2,3,15].</w:t>
      </w:r>
    </w:p>
    <w:p w14:paraId="1569014B" w14:textId="3EE34860" w:rsidR="008B5CFD" w:rsidRDefault="008B5CFD" w:rsidP="008B5CFD">
      <w:pPr>
        <w:jc w:val="both"/>
        <w:rPr>
          <w:rFonts w:ascii="Times New Roman" w:hAnsi="Times New Roman" w:cs="Times New Roman"/>
          <w:sz w:val="24"/>
          <w:szCs w:val="24"/>
        </w:rPr>
      </w:pPr>
      <w:r>
        <w:rPr>
          <w:noProof/>
        </w:rPr>
        <w:drawing>
          <wp:inline distT="0" distB="0" distL="0" distR="0" wp14:anchorId="305C6038" wp14:editId="6161F34B">
            <wp:extent cx="3943350" cy="2417738"/>
            <wp:effectExtent l="0" t="0" r="0" b="1905"/>
            <wp:docPr id="19804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61896" cy="2490421"/>
                    </a:xfrm>
                    <a:prstGeom prst="rect">
                      <a:avLst/>
                    </a:prstGeom>
                    <a:noFill/>
                    <a:ln>
                      <a:noFill/>
                    </a:ln>
                  </pic:spPr>
                </pic:pic>
              </a:graphicData>
            </a:graphic>
          </wp:inline>
        </w:drawing>
      </w:r>
    </w:p>
    <w:p w14:paraId="5FF822E1" w14:textId="70A06061" w:rsidR="008B5CFD" w:rsidRDefault="008B5CFD" w:rsidP="008B5CFD">
      <w:pPr>
        <w:jc w:val="both"/>
        <w:rPr>
          <w:rFonts w:ascii="Times New Roman" w:hAnsi="Times New Roman" w:cs="Times New Roman"/>
          <w:sz w:val="24"/>
          <w:szCs w:val="24"/>
        </w:rPr>
      </w:pPr>
      <w:r w:rsidRPr="008B5CFD">
        <w:rPr>
          <w:rFonts w:ascii="Times New Roman" w:hAnsi="Times New Roman" w:cs="Times New Roman"/>
          <w:sz w:val="24"/>
          <w:szCs w:val="24"/>
        </w:rPr>
        <w:t>Figure 3. BSA Bradford standard curve used for total protein quantification of EV preparations (10–160 µg/mL; y = 0.00193x + 0.0107; R² = 0.989).</w:t>
      </w:r>
    </w:p>
    <w:p w14:paraId="555FEE43" w14:textId="04C27BBE" w:rsidR="008B5CFD" w:rsidRPr="008B5CFD" w:rsidRDefault="008B5CFD" w:rsidP="008B5CFD">
      <w:pPr>
        <w:spacing w:after="0"/>
        <w:jc w:val="both"/>
        <w:rPr>
          <w:rFonts w:ascii="Times New Roman" w:hAnsi="Times New Roman" w:cs="Times New Roman"/>
          <w:sz w:val="24"/>
          <w:szCs w:val="24"/>
        </w:rPr>
      </w:pPr>
      <w:r w:rsidRPr="008B5CFD">
        <w:rPr>
          <w:rFonts w:ascii="Times New Roman" w:hAnsi="Times New Roman" w:cs="Times New Roman"/>
          <w:sz w:val="24"/>
          <w:szCs w:val="24"/>
        </w:rPr>
        <w:t>Table 4. Comparative protein quantification of EVs from different biological sources.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631"/>
        <w:gridCol w:w="1279"/>
        <w:gridCol w:w="1435"/>
        <w:gridCol w:w="1625"/>
        <w:gridCol w:w="1394"/>
        <w:gridCol w:w="2662"/>
      </w:tblGrid>
      <w:tr w:rsidR="008B5CFD" w:rsidRPr="00D709BD" w14:paraId="7E9B69CA" w14:textId="77777777" w:rsidTr="00532E73">
        <w:trPr>
          <w:tblHeader/>
          <w:tblCellSpacing w:w="15" w:type="dxa"/>
        </w:trPr>
        <w:tc>
          <w:tcPr>
            <w:tcW w:w="0" w:type="auto"/>
            <w:tcBorders>
              <w:top w:val="nil"/>
              <w:bottom w:val="single" w:sz="4" w:space="0" w:color="auto"/>
            </w:tcBorders>
            <w:vAlign w:val="center"/>
            <w:hideMark/>
          </w:tcPr>
          <w:p w14:paraId="72F49066"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Source</w:t>
            </w:r>
          </w:p>
        </w:tc>
        <w:tc>
          <w:tcPr>
            <w:tcW w:w="0" w:type="auto"/>
            <w:tcBorders>
              <w:top w:val="nil"/>
              <w:bottom w:val="single" w:sz="4" w:space="0" w:color="auto"/>
            </w:tcBorders>
            <w:vAlign w:val="center"/>
            <w:hideMark/>
          </w:tcPr>
          <w:p w14:paraId="2B54907E"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Initial volume (mL)</w:t>
            </w:r>
          </w:p>
        </w:tc>
        <w:tc>
          <w:tcPr>
            <w:tcW w:w="0" w:type="auto"/>
            <w:tcBorders>
              <w:top w:val="nil"/>
              <w:bottom w:val="single" w:sz="4" w:space="0" w:color="auto"/>
            </w:tcBorders>
            <w:vAlign w:val="center"/>
            <w:hideMark/>
          </w:tcPr>
          <w:p w14:paraId="6637F9ED"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Final EV volume (mL)</w:t>
            </w:r>
          </w:p>
        </w:tc>
        <w:tc>
          <w:tcPr>
            <w:tcW w:w="0" w:type="auto"/>
            <w:tcBorders>
              <w:top w:val="nil"/>
              <w:bottom w:val="single" w:sz="4" w:space="0" w:color="auto"/>
            </w:tcBorders>
            <w:vAlign w:val="center"/>
            <w:hideMark/>
          </w:tcPr>
          <w:p w14:paraId="0C7BF63B"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EV protein conc. (µg/mL)</w:t>
            </w:r>
          </w:p>
        </w:tc>
        <w:tc>
          <w:tcPr>
            <w:tcW w:w="0" w:type="auto"/>
            <w:tcBorders>
              <w:top w:val="nil"/>
              <w:bottom w:val="single" w:sz="4" w:space="0" w:color="auto"/>
            </w:tcBorders>
            <w:vAlign w:val="center"/>
            <w:hideMark/>
          </w:tcPr>
          <w:p w14:paraId="0AA1F5F3"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Total EV protein (mg)</w:t>
            </w:r>
          </w:p>
        </w:tc>
        <w:tc>
          <w:tcPr>
            <w:tcW w:w="0" w:type="auto"/>
            <w:tcBorders>
              <w:top w:val="nil"/>
              <w:bottom w:val="single" w:sz="4" w:space="0" w:color="auto"/>
            </w:tcBorders>
            <w:vAlign w:val="center"/>
            <w:hideMark/>
          </w:tcPr>
          <w:p w14:paraId="02652DD1"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Protein normalized to initial sample (µg/mL)</w:t>
            </w:r>
          </w:p>
        </w:tc>
      </w:tr>
      <w:tr w:rsidR="008B5CFD" w:rsidRPr="00D709BD" w14:paraId="0DA7E06E" w14:textId="77777777" w:rsidTr="00532E73">
        <w:trPr>
          <w:tblCellSpacing w:w="15" w:type="dxa"/>
        </w:trPr>
        <w:tc>
          <w:tcPr>
            <w:tcW w:w="0" w:type="auto"/>
            <w:vAlign w:val="center"/>
            <w:hideMark/>
          </w:tcPr>
          <w:p w14:paraId="2B365370"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Blood</w:t>
            </w:r>
          </w:p>
        </w:tc>
        <w:tc>
          <w:tcPr>
            <w:tcW w:w="0" w:type="auto"/>
            <w:vAlign w:val="center"/>
            <w:hideMark/>
          </w:tcPr>
          <w:p w14:paraId="5E2BAD34"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90</w:t>
            </w:r>
          </w:p>
        </w:tc>
        <w:tc>
          <w:tcPr>
            <w:tcW w:w="0" w:type="auto"/>
            <w:vAlign w:val="center"/>
            <w:hideMark/>
          </w:tcPr>
          <w:p w14:paraId="4CA08299"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20</w:t>
            </w:r>
          </w:p>
        </w:tc>
        <w:tc>
          <w:tcPr>
            <w:tcW w:w="0" w:type="auto"/>
            <w:vAlign w:val="center"/>
            <w:hideMark/>
          </w:tcPr>
          <w:p w14:paraId="44BF1833"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664.4</w:t>
            </w:r>
          </w:p>
        </w:tc>
        <w:tc>
          <w:tcPr>
            <w:tcW w:w="0" w:type="auto"/>
            <w:vAlign w:val="center"/>
            <w:hideMark/>
          </w:tcPr>
          <w:p w14:paraId="72103697"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13.29</w:t>
            </w:r>
          </w:p>
        </w:tc>
        <w:tc>
          <w:tcPr>
            <w:tcW w:w="0" w:type="auto"/>
            <w:vAlign w:val="center"/>
            <w:hideMark/>
          </w:tcPr>
          <w:p w14:paraId="730B256E"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265.8</w:t>
            </w:r>
          </w:p>
        </w:tc>
      </w:tr>
      <w:tr w:rsidR="008B5CFD" w:rsidRPr="00D709BD" w14:paraId="191F56DD" w14:textId="77777777" w:rsidTr="00532E73">
        <w:trPr>
          <w:tblCellSpacing w:w="15" w:type="dxa"/>
        </w:trPr>
        <w:tc>
          <w:tcPr>
            <w:tcW w:w="0" w:type="auto"/>
            <w:vAlign w:val="center"/>
            <w:hideMark/>
          </w:tcPr>
          <w:p w14:paraId="7C598BFD"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Urine</w:t>
            </w:r>
          </w:p>
        </w:tc>
        <w:tc>
          <w:tcPr>
            <w:tcW w:w="0" w:type="auto"/>
            <w:vAlign w:val="center"/>
            <w:hideMark/>
          </w:tcPr>
          <w:p w14:paraId="125C5350"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150</w:t>
            </w:r>
          </w:p>
        </w:tc>
        <w:tc>
          <w:tcPr>
            <w:tcW w:w="0" w:type="auto"/>
            <w:vAlign w:val="center"/>
            <w:hideMark/>
          </w:tcPr>
          <w:p w14:paraId="7AF4D4D6"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15</w:t>
            </w:r>
          </w:p>
        </w:tc>
        <w:tc>
          <w:tcPr>
            <w:tcW w:w="0" w:type="auto"/>
            <w:vAlign w:val="center"/>
            <w:hideMark/>
          </w:tcPr>
          <w:p w14:paraId="1D961F76"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187.7</w:t>
            </w:r>
          </w:p>
        </w:tc>
        <w:tc>
          <w:tcPr>
            <w:tcW w:w="0" w:type="auto"/>
            <w:vAlign w:val="center"/>
            <w:hideMark/>
          </w:tcPr>
          <w:p w14:paraId="2341C650"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2.82</w:t>
            </w:r>
          </w:p>
        </w:tc>
        <w:tc>
          <w:tcPr>
            <w:tcW w:w="0" w:type="auto"/>
            <w:vAlign w:val="center"/>
            <w:hideMark/>
          </w:tcPr>
          <w:p w14:paraId="2D61B9BD"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18.8</w:t>
            </w:r>
          </w:p>
        </w:tc>
      </w:tr>
      <w:tr w:rsidR="008B5CFD" w:rsidRPr="00D709BD" w14:paraId="35E7C1D3" w14:textId="77777777" w:rsidTr="00532E73">
        <w:trPr>
          <w:tblCellSpacing w:w="15" w:type="dxa"/>
        </w:trPr>
        <w:tc>
          <w:tcPr>
            <w:tcW w:w="0" w:type="auto"/>
            <w:vAlign w:val="center"/>
            <w:hideMark/>
          </w:tcPr>
          <w:p w14:paraId="62540F89"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Honey</w:t>
            </w:r>
          </w:p>
        </w:tc>
        <w:tc>
          <w:tcPr>
            <w:tcW w:w="0" w:type="auto"/>
            <w:vAlign w:val="center"/>
            <w:hideMark/>
          </w:tcPr>
          <w:p w14:paraId="4DE4DDE6"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150</w:t>
            </w:r>
          </w:p>
        </w:tc>
        <w:tc>
          <w:tcPr>
            <w:tcW w:w="0" w:type="auto"/>
            <w:vAlign w:val="center"/>
            <w:hideMark/>
          </w:tcPr>
          <w:p w14:paraId="6021A64E"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14</w:t>
            </w:r>
          </w:p>
        </w:tc>
        <w:tc>
          <w:tcPr>
            <w:tcW w:w="0" w:type="auto"/>
            <w:vAlign w:val="center"/>
            <w:hideMark/>
          </w:tcPr>
          <w:p w14:paraId="05F5F1CE"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181.6</w:t>
            </w:r>
          </w:p>
        </w:tc>
        <w:tc>
          <w:tcPr>
            <w:tcW w:w="0" w:type="auto"/>
            <w:vAlign w:val="center"/>
            <w:hideMark/>
          </w:tcPr>
          <w:p w14:paraId="474A1BCA"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2.54</w:t>
            </w:r>
          </w:p>
        </w:tc>
        <w:tc>
          <w:tcPr>
            <w:tcW w:w="0" w:type="auto"/>
            <w:vAlign w:val="center"/>
            <w:hideMark/>
          </w:tcPr>
          <w:p w14:paraId="0118F7D1" w14:textId="77777777" w:rsidR="008B5CFD" w:rsidRPr="00D709BD" w:rsidRDefault="008B5CFD" w:rsidP="00532E73">
            <w:pPr>
              <w:pStyle w:val="NormalWeb"/>
              <w:spacing w:before="0" w:beforeAutospacing="0" w:after="0" w:afterAutospacing="0" w:line="360" w:lineRule="auto"/>
              <w:jc w:val="center"/>
              <w:rPr>
                <w:sz w:val="20"/>
                <w:szCs w:val="20"/>
              </w:rPr>
            </w:pPr>
            <w:r w:rsidRPr="00D709BD">
              <w:rPr>
                <w:sz w:val="20"/>
                <w:szCs w:val="20"/>
              </w:rPr>
              <w:t>17.0</w:t>
            </w:r>
          </w:p>
        </w:tc>
      </w:tr>
    </w:tbl>
    <w:p w14:paraId="3CA4C575" w14:textId="77777777" w:rsidR="00AE11F5" w:rsidRDefault="00AE11F5" w:rsidP="00C87C83">
      <w:pPr>
        <w:spacing w:line="276" w:lineRule="auto"/>
        <w:jc w:val="both"/>
        <w:rPr>
          <w:rFonts w:ascii="Times New Roman" w:hAnsi="Times New Roman" w:cs="Times New Roman"/>
          <w:sz w:val="24"/>
          <w:szCs w:val="24"/>
        </w:rPr>
      </w:pPr>
    </w:p>
    <w:p w14:paraId="5EBB5507" w14:textId="77777777" w:rsidR="008B5CFD" w:rsidRPr="008B5CFD" w:rsidRDefault="008B5CFD" w:rsidP="008B5CFD">
      <w:pPr>
        <w:spacing w:line="276" w:lineRule="auto"/>
        <w:jc w:val="both"/>
        <w:rPr>
          <w:rFonts w:ascii="Times New Roman" w:hAnsi="Times New Roman" w:cs="Times New Roman"/>
          <w:b/>
          <w:bCs/>
          <w:sz w:val="24"/>
          <w:szCs w:val="24"/>
        </w:rPr>
      </w:pPr>
      <w:r w:rsidRPr="008B5CFD">
        <w:rPr>
          <w:rFonts w:ascii="Times New Roman" w:hAnsi="Times New Roman" w:cs="Times New Roman"/>
          <w:b/>
          <w:bCs/>
          <w:sz w:val="24"/>
          <w:szCs w:val="24"/>
        </w:rPr>
        <w:t>EV-associated surface markers (bead-based flow cytometry)</w:t>
      </w:r>
    </w:p>
    <w:p w14:paraId="53B9C79B" w14:textId="77777777" w:rsidR="008B5CFD" w:rsidRPr="008B5CFD" w:rsidRDefault="008B5CFD" w:rsidP="008B5CFD">
      <w:pPr>
        <w:spacing w:line="276" w:lineRule="auto"/>
        <w:jc w:val="both"/>
        <w:rPr>
          <w:rFonts w:ascii="Times New Roman" w:hAnsi="Times New Roman" w:cs="Times New Roman"/>
          <w:sz w:val="24"/>
          <w:szCs w:val="24"/>
        </w:rPr>
      </w:pPr>
      <w:r w:rsidRPr="008B5CFD">
        <w:rPr>
          <w:rFonts w:ascii="Times New Roman" w:hAnsi="Times New Roman" w:cs="Times New Roman"/>
          <w:sz w:val="24"/>
          <w:szCs w:val="24"/>
        </w:rPr>
        <w:t xml:space="preserve">Bead-based flow cytometry using anti-CD81–PE demonstrated clear discrimination between unstained controls (UNS) and stained (S) tubes after sequential gating to exclude debris, remove doublets (singlets), and identify bead populations. The initial FSC-A/SSC-A gate defined a "non-debris" population, followed by FSC-A/FSC-H singlet gating to minimize aggregates and doublets, and a bead gate on APC-A versus </w:t>
      </w:r>
      <w:proofErr w:type="spellStart"/>
      <w:r w:rsidRPr="008B5CFD">
        <w:rPr>
          <w:rFonts w:ascii="Times New Roman" w:hAnsi="Times New Roman" w:cs="Times New Roman"/>
          <w:sz w:val="24"/>
          <w:szCs w:val="24"/>
        </w:rPr>
        <w:t>PerCP</w:t>
      </w:r>
      <w:proofErr w:type="spellEnd"/>
      <w:r w:rsidRPr="008B5CFD">
        <w:rPr>
          <w:rFonts w:ascii="Times New Roman" w:hAnsi="Times New Roman" w:cs="Times New Roman"/>
          <w:sz w:val="24"/>
          <w:szCs w:val="24"/>
        </w:rPr>
        <w:t xml:space="preserve">-A to restrict analysis to bead-associated events. Within the bead gate, CD81 signal was evaluated in the PE channel using both a CD81 </w:t>
      </w:r>
      <w:proofErr w:type="spellStart"/>
      <w:r w:rsidRPr="008B5CFD">
        <w:rPr>
          <w:rFonts w:ascii="Times New Roman" w:hAnsi="Times New Roman" w:cs="Times New Roman"/>
          <w:sz w:val="24"/>
          <w:szCs w:val="24"/>
        </w:rPr>
        <w:t>dotplot</w:t>
      </w:r>
      <w:proofErr w:type="spellEnd"/>
      <w:r w:rsidRPr="008B5CFD">
        <w:rPr>
          <w:rFonts w:ascii="Times New Roman" w:hAnsi="Times New Roman" w:cs="Times New Roman"/>
          <w:sz w:val="24"/>
          <w:szCs w:val="24"/>
        </w:rPr>
        <w:t xml:space="preserve"> gate and a CD81 histogram. In the UNS controls, CD81-positive events were near background within the bead gate for all matrices (FCM UNS: 1/5,843 events; 0.0%; FCD UNS: 6/1,310 events; 0.5%; FCU UNS: 8/7,920 events; 0.1%), supporting the appropriateness of the positivity threshold and indicating minimal background signal at the applied gates.</w:t>
      </w:r>
    </w:p>
    <w:p w14:paraId="1DAB1413" w14:textId="32BA0D2E" w:rsidR="008B5CFD" w:rsidRDefault="008B5CFD" w:rsidP="00C87C83">
      <w:pPr>
        <w:spacing w:line="276" w:lineRule="auto"/>
        <w:jc w:val="both"/>
        <w:rPr>
          <w:rFonts w:ascii="Times New Roman" w:hAnsi="Times New Roman" w:cs="Times New Roman"/>
          <w:sz w:val="24"/>
          <w:szCs w:val="24"/>
        </w:rPr>
      </w:pPr>
      <w:r w:rsidRPr="008B5CFD">
        <w:rPr>
          <w:rFonts w:ascii="Times New Roman" w:hAnsi="Times New Roman" w:cs="Times New Roman"/>
          <w:sz w:val="24"/>
          <w:szCs w:val="24"/>
        </w:rPr>
        <w:t xml:space="preserve">In contrast, stained tubes showed preparation-dependent CD81 positivity. Honey-derived preparations (FCM S) displayed low CD81-positive beads (55/17,522 events; 0.3%). Blood-derived preparations (FCD S) showed substantially higher CD81 positivity (3,210/18,134 events; 17.7% by </w:t>
      </w:r>
      <w:proofErr w:type="spellStart"/>
      <w:r w:rsidRPr="008B5CFD">
        <w:rPr>
          <w:rFonts w:ascii="Times New Roman" w:hAnsi="Times New Roman" w:cs="Times New Roman"/>
          <w:sz w:val="24"/>
          <w:szCs w:val="24"/>
        </w:rPr>
        <w:t>dotplot</w:t>
      </w:r>
      <w:proofErr w:type="spellEnd"/>
      <w:r w:rsidRPr="008B5CFD">
        <w:rPr>
          <w:rFonts w:ascii="Times New Roman" w:hAnsi="Times New Roman" w:cs="Times New Roman"/>
          <w:sz w:val="24"/>
          <w:szCs w:val="24"/>
        </w:rPr>
        <w:t xml:space="preserve"> gating; 3,083/18,134 events; 17.0% by histogram gating). Urine-</w:t>
      </w:r>
      <w:r w:rsidRPr="008B5CFD">
        <w:rPr>
          <w:rFonts w:ascii="Times New Roman" w:hAnsi="Times New Roman" w:cs="Times New Roman"/>
          <w:sz w:val="24"/>
          <w:szCs w:val="24"/>
        </w:rPr>
        <w:lastRenderedPageBreak/>
        <w:t xml:space="preserve">derived preparations (FCU S) showed the highest CD81 positivity (5,337/26,664 events; 20.0% by </w:t>
      </w:r>
      <w:proofErr w:type="spellStart"/>
      <w:r w:rsidRPr="008B5CFD">
        <w:rPr>
          <w:rFonts w:ascii="Times New Roman" w:hAnsi="Times New Roman" w:cs="Times New Roman"/>
          <w:sz w:val="24"/>
          <w:szCs w:val="24"/>
        </w:rPr>
        <w:t>dotplot</w:t>
      </w:r>
      <w:proofErr w:type="spellEnd"/>
      <w:r w:rsidRPr="008B5CFD">
        <w:rPr>
          <w:rFonts w:ascii="Times New Roman" w:hAnsi="Times New Roman" w:cs="Times New Roman"/>
          <w:sz w:val="24"/>
          <w:szCs w:val="24"/>
        </w:rPr>
        <w:t xml:space="preserve"> gating; 5,142/26,664 events; 19.3% by histogram gating), and the representative FCU S </w:t>
      </w:r>
      <w:proofErr w:type="spellStart"/>
      <w:r w:rsidRPr="008B5CFD">
        <w:rPr>
          <w:rFonts w:ascii="Times New Roman" w:hAnsi="Times New Roman" w:cs="Times New Roman"/>
          <w:sz w:val="24"/>
          <w:szCs w:val="24"/>
        </w:rPr>
        <w:t>dotplot</w:t>
      </w:r>
      <w:proofErr w:type="spellEnd"/>
      <w:r w:rsidRPr="008B5CFD">
        <w:rPr>
          <w:rFonts w:ascii="Times New Roman" w:hAnsi="Times New Roman" w:cs="Times New Roman"/>
          <w:sz w:val="24"/>
          <w:szCs w:val="24"/>
        </w:rPr>
        <w:t xml:space="preserve"> demonstrated a discrete PE-shifted CD81-positive region within the bead gate, consistent with specific antibody-associated signal over the low UNS background. Across all tubes, upstream gating metrics were broadly consistent with successful event-level cleanup: non-debris events ranged from 48.8–63.6% for FCM/FCU and 23.2–60.0% for FCD; singlets comprised 85.4–96.9% of non-debris events; and bead events comprised 63.9–91.9% of singlets, indicating that the bead population was robustly captured following debris/doublet exclusion</w:t>
      </w:r>
      <w:r>
        <w:rPr>
          <w:rFonts w:ascii="Times New Roman" w:hAnsi="Times New Roman" w:cs="Times New Roman"/>
          <w:sz w:val="24"/>
          <w:szCs w:val="24"/>
        </w:rPr>
        <w:t xml:space="preserve">. </w:t>
      </w:r>
    </w:p>
    <w:p w14:paraId="405AA2FA" w14:textId="2B589C0A" w:rsidR="008B5CFD" w:rsidRPr="00AE11F5" w:rsidRDefault="008B5CFD" w:rsidP="008B5CFD">
      <w:pPr>
        <w:spacing w:after="0" w:line="276" w:lineRule="auto"/>
        <w:jc w:val="both"/>
        <w:rPr>
          <w:rFonts w:ascii="Times New Roman" w:hAnsi="Times New Roman" w:cs="Times New Roman"/>
          <w:sz w:val="24"/>
          <w:szCs w:val="24"/>
        </w:rPr>
      </w:pPr>
      <w:r w:rsidRPr="008B5CFD">
        <w:rPr>
          <w:rFonts w:ascii="Times New Roman" w:hAnsi="Times New Roman" w:cs="Times New Roman"/>
          <w:sz w:val="24"/>
          <w:szCs w:val="24"/>
        </w:rPr>
        <w:t>Table 5. Bead-based flow-cytometry analysis of gating statistics and CD-81 expression.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1319"/>
        <w:gridCol w:w="1277"/>
        <w:gridCol w:w="1268"/>
        <w:gridCol w:w="1293"/>
        <w:gridCol w:w="1299"/>
        <w:gridCol w:w="1292"/>
      </w:tblGrid>
      <w:tr w:rsidR="008B5CFD" w14:paraId="79C87D7B" w14:textId="77777777" w:rsidTr="00532E73">
        <w:tc>
          <w:tcPr>
            <w:tcW w:w="1375" w:type="dxa"/>
            <w:tcBorders>
              <w:top w:val="single" w:sz="4" w:space="0" w:color="auto"/>
              <w:bottom w:val="single" w:sz="4" w:space="0" w:color="auto"/>
            </w:tcBorders>
            <w:vAlign w:val="center"/>
          </w:tcPr>
          <w:p w14:paraId="4611FADF"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Source</w:t>
            </w:r>
          </w:p>
        </w:tc>
        <w:tc>
          <w:tcPr>
            <w:tcW w:w="1375" w:type="dxa"/>
            <w:tcBorders>
              <w:top w:val="single" w:sz="4" w:space="0" w:color="auto"/>
              <w:bottom w:val="single" w:sz="4" w:space="0" w:color="auto"/>
            </w:tcBorders>
            <w:vAlign w:val="center"/>
          </w:tcPr>
          <w:p w14:paraId="3AD22370"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Staining</w:t>
            </w:r>
          </w:p>
        </w:tc>
        <w:tc>
          <w:tcPr>
            <w:tcW w:w="1375" w:type="dxa"/>
            <w:tcBorders>
              <w:top w:val="single" w:sz="4" w:space="0" w:color="auto"/>
              <w:bottom w:val="single" w:sz="4" w:space="0" w:color="auto"/>
            </w:tcBorders>
            <w:vAlign w:val="center"/>
          </w:tcPr>
          <w:p w14:paraId="2AA66524"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All events (n)</w:t>
            </w:r>
          </w:p>
        </w:tc>
        <w:tc>
          <w:tcPr>
            <w:tcW w:w="1375" w:type="dxa"/>
            <w:tcBorders>
              <w:top w:val="single" w:sz="4" w:space="0" w:color="auto"/>
              <w:bottom w:val="single" w:sz="4" w:space="0" w:color="auto"/>
            </w:tcBorders>
            <w:vAlign w:val="center"/>
          </w:tcPr>
          <w:p w14:paraId="4C82EDAB"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Non-debris (% of total)</w:t>
            </w:r>
          </w:p>
        </w:tc>
        <w:tc>
          <w:tcPr>
            <w:tcW w:w="1376" w:type="dxa"/>
            <w:tcBorders>
              <w:top w:val="single" w:sz="4" w:space="0" w:color="auto"/>
              <w:bottom w:val="single" w:sz="4" w:space="0" w:color="auto"/>
            </w:tcBorders>
            <w:vAlign w:val="center"/>
          </w:tcPr>
          <w:p w14:paraId="55E49FEC"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Singlets (% of non-debris)</w:t>
            </w:r>
          </w:p>
        </w:tc>
        <w:tc>
          <w:tcPr>
            <w:tcW w:w="1376" w:type="dxa"/>
            <w:tcBorders>
              <w:top w:val="single" w:sz="4" w:space="0" w:color="auto"/>
              <w:bottom w:val="single" w:sz="4" w:space="0" w:color="auto"/>
            </w:tcBorders>
            <w:vAlign w:val="center"/>
          </w:tcPr>
          <w:p w14:paraId="3ED802AB"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Beads (% of singlets)</w:t>
            </w:r>
          </w:p>
        </w:tc>
        <w:tc>
          <w:tcPr>
            <w:tcW w:w="1376" w:type="dxa"/>
            <w:tcBorders>
              <w:top w:val="single" w:sz="4" w:space="0" w:color="auto"/>
              <w:bottom w:val="single" w:sz="4" w:space="0" w:color="auto"/>
            </w:tcBorders>
            <w:vAlign w:val="center"/>
          </w:tcPr>
          <w:p w14:paraId="7FEB1D1A"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CD-81 positive beads (% of bead gate)</w:t>
            </w:r>
          </w:p>
        </w:tc>
      </w:tr>
      <w:tr w:rsidR="008B5CFD" w14:paraId="2EB567A7" w14:textId="77777777" w:rsidTr="00532E73">
        <w:tc>
          <w:tcPr>
            <w:tcW w:w="1375" w:type="dxa"/>
            <w:vMerge w:val="restart"/>
            <w:tcBorders>
              <w:top w:val="single" w:sz="4" w:space="0" w:color="auto"/>
            </w:tcBorders>
            <w:vAlign w:val="center"/>
          </w:tcPr>
          <w:p w14:paraId="1B82CE73"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Blood</w:t>
            </w:r>
          </w:p>
        </w:tc>
        <w:tc>
          <w:tcPr>
            <w:tcW w:w="1375" w:type="dxa"/>
            <w:tcBorders>
              <w:top w:val="single" w:sz="4" w:space="0" w:color="auto"/>
            </w:tcBorders>
            <w:vAlign w:val="center"/>
          </w:tcPr>
          <w:p w14:paraId="0436C183"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Unstained</w:t>
            </w:r>
          </w:p>
        </w:tc>
        <w:tc>
          <w:tcPr>
            <w:tcW w:w="1375" w:type="dxa"/>
            <w:tcBorders>
              <w:top w:val="single" w:sz="4" w:space="0" w:color="auto"/>
            </w:tcBorders>
            <w:vAlign w:val="center"/>
          </w:tcPr>
          <w:p w14:paraId="43AA66C0"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10,362</w:t>
            </w:r>
          </w:p>
        </w:tc>
        <w:tc>
          <w:tcPr>
            <w:tcW w:w="1375" w:type="dxa"/>
            <w:tcBorders>
              <w:top w:val="single" w:sz="4" w:space="0" w:color="auto"/>
            </w:tcBorders>
            <w:vAlign w:val="center"/>
          </w:tcPr>
          <w:p w14:paraId="7B34BB5F"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23.2</w:t>
            </w:r>
          </w:p>
        </w:tc>
        <w:tc>
          <w:tcPr>
            <w:tcW w:w="1376" w:type="dxa"/>
            <w:tcBorders>
              <w:top w:val="single" w:sz="4" w:space="0" w:color="auto"/>
            </w:tcBorders>
            <w:vAlign w:val="center"/>
          </w:tcPr>
          <w:p w14:paraId="310533BC"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85.4</w:t>
            </w:r>
          </w:p>
        </w:tc>
        <w:tc>
          <w:tcPr>
            <w:tcW w:w="1376" w:type="dxa"/>
            <w:tcBorders>
              <w:top w:val="single" w:sz="4" w:space="0" w:color="auto"/>
            </w:tcBorders>
            <w:vAlign w:val="center"/>
          </w:tcPr>
          <w:p w14:paraId="2F9E6F77"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63.9</w:t>
            </w:r>
          </w:p>
        </w:tc>
        <w:tc>
          <w:tcPr>
            <w:tcW w:w="1376" w:type="dxa"/>
            <w:tcBorders>
              <w:top w:val="single" w:sz="4" w:space="0" w:color="auto"/>
            </w:tcBorders>
            <w:vAlign w:val="center"/>
          </w:tcPr>
          <w:p w14:paraId="6C26FC99"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0.5</w:t>
            </w:r>
          </w:p>
        </w:tc>
      </w:tr>
      <w:tr w:rsidR="008B5CFD" w14:paraId="7D679094" w14:textId="77777777" w:rsidTr="00532E73">
        <w:tc>
          <w:tcPr>
            <w:tcW w:w="1375" w:type="dxa"/>
            <w:vMerge/>
            <w:vAlign w:val="center"/>
          </w:tcPr>
          <w:p w14:paraId="00564511" w14:textId="77777777" w:rsidR="008B5CFD" w:rsidRDefault="008B5CFD" w:rsidP="00532E73">
            <w:pPr>
              <w:spacing w:line="312" w:lineRule="auto"/>
              <w:jc w:val="center"/>
              <w:rPr>
                <w:rFonts w:ascii="Times New Roman" w:eastAsia="Times New Roman" w:hAnsi="Times New Roman" w:cs="Times New Roman"/>
                <w:bCs/>
                <w:sz w:val="20"/>
                <w:szCs w:val="20"/>
              </w:rPr>
            </w:pPr>
          </w:p>
        </w:tc>
        <w:tc>
          <w:tcPr>
            <w:tcW w:w="1375" w:type="dxa"/>
            <w:vAlign w:val="center"/>
          </w:tcPr>
          <w:p w14:paraId="08A45706"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Stained</w:t>
            </w:r>
          </w:p>
        </w:tc>
        <w:tc>
          <w:tcPr>
            <w:tcW w:w="1375" w:type="dxa"/>
            <w:vAlign w:val="center"/>
          </w:tcPr>
          <w:p w14:paraId="23AB3D5A"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35,640</w:t>
            </w:r>
          </w:p>
        </w:tc>
        <w:tc>
          <w:tcPr>
            <w:tcW w:w="1375" w:type="dxa"/>
            <w:vAlign w:val="center"/>
          </w:tcPr>
          <w:p w14:paraId="7B5D6213"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60</w:t>
            </w:r>
          </w:p>
        </w:tc>
        <w:tc>
          <w:tcPr>
            <w:tcW w:w="1376" w:type="dxa"/>
            <w:vAlign w:val="center"/>
          </w:tcPr>
          <w:p w14:paraId="4888734B"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96.9</w:t>
            </w:r>
          </w:p>
        </w:tc>
        <w:tc>
          <w:tcPr>
            <w:tcW w:w="1376" w:type="dxa"/>
            <w:vAlign w:val="center"/>
          </w:tcPr>
          <w:p w14:paraId="35BBD432"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87.4</w:t>
            </w:r>
          </w:p>
        </w:tc>
        <w:tc>
          <w:tcPr>
            <w:tcW w:w="1376" w:type="dxa"/>
            <w:vAlign w:val="center"/>
          </w:tcPr>
          <w:p w14:paraId="01C854BD"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17.7</w:t>
            </w:r>
          </w:p>
        </w:tc>
      </w:tr>
      <w:tr w:rsidR="008B5CFD" w14:paraId="300D8EA0" w14:textId="77777777" w:rsidTr="00532E73">
        <w:tc>
          <w:tcPr>
            <w:tcW w:w="1375" w:type="dxa"/>
            <w:vMerge w:val="restart"/>
            <w:vAlign w:val="center"/>
          </w:tcPr>
          <w:p w14:paraId="09226745"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Urine</w:t>
            </w:r>
          </w:p>
        </w:tc>
        <w:tc>
          <w:tcPr>
            <w:tcW w:w="1375" w:type="dxa"/>
            <w:vAlign w:val="center"/>
          </w:tcPr>
          <w:p w14:paraId="07E08308"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Unstained</w:t>
            </w:r>
          </w:p>
        </w:tc>
        <w:tc>
          <w:tcPr>
            <w:tcW w:w="1375" w:type="dxa"/>
            <w:vAlign w:val="center"/>
          </w:tcPr>
          <w:p w14:paraId="4B0F8FE4"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15,840</w:t>
            </w:r>
          </w:p>
        </w:tc>
        <w:tc>
          <w:tcPr>
            <w:tcW w:w="1375" w:type="dxa"/>
            <w:vAlign w:val="center"/>
          </w:tcPr>
          <w:p w14:paraId="2F0FEA55"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60.6</w:t>
            </w:r>
          </w:p>
        </w:tc>
        <w:tc>
          <w:tcPr>
            <w:tcW w:w="1376" w:type="dxa"/>
            <w:vAlign w:val="center"/>
          </w:tcPr>
          <w:p w14:paraId="109D83D1"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94.1</w:t>
            </w:r>
          </w:p>
        </w:tc>
        <w:tc>
          <w:tcPr>
            <w:tcW w:w="1376" w:type="dxa"/>
            <w:vAlign w:val="center"/>
          </w:tcPr>
          <w:p w14:paraId="05D6A09A"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87.6</w:t>
            </w:r>
          </w:p>
        </w:tc>
        <w:tc>
          <w:tcPr>
            <w:tcW w:w="1376" w:type="dxa"/>
            <w:vAlign w:val="center"/>
          </w:tcPr>
          <w:p w14:paraId="15DBE5DA"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0.1</w:t>
            </w:r>
          </w:p>
        </w:tc>
      </w:tr>
      <w:tr w:rsidR="008B5CFD" w14:paraId="0982AE6E" w14:textId="77777777" w:rsidTr="00532E73">
        <w:tc>
          <w:tcPr>
            <w:tcW w:w="1375" w:type="dxa"/>
            <w:vMerge/>
            <w:vAlign w:val="center"/>
          </w:tcPr>
          <w:p w14:paraId="13254CF8" w14:textId="77777777" w:rsidR="008B5CFD" w:rsidRDefault="008B5CFD" w:rsidP="00532E73">
            <w:pPr>
              <w:spacing w:line="312" w:lineRule="auto"/>
              <w:jc w:val="center"/>
              <w:rPr>
                <w:rFonts w:ascii="Times New Roman" w:eastAsia="Times New Roman" w:hAnsi="Times New Roman" w:cs="Times New Roman"/>
                <w:bCs/>
                <w:sz w:val="20"/>
                <w:szCs w:val="20"/>
              </w:rPr>
            </w:pPr>
          </w:p>
        </w:tc>
        <w:tc>
          <w:tcPr>
            <w:tcW w:w="1375" w:type="dxa"/>
            <w:vAlign w:val="center"/>
          </w:tcPr>
          <w:p w14:paraId="19068C74"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Stained</w:t>
            </w:r>
          </w:p>
        </w:tc>
        <w:tc>
          <w:tcPr>
            <w:tcW w:w="1375" w:type="dxa"/>
            <w:vAlign w:val="center"/>
          </w:tcPr>
          <w:p w14:paraId="2B47071F"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72,039</w:t>
            </w:r>
          </w:p>
        </w:tc>
        <w:tc>
          <w:tcPr>
            <w:tcW w:w="1375" w:type="dxa"/>
            <w:vAlign w:val="center"/>
          </w:tcPr>
          <w:p w14:paraId="5EE906F4"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48.8</w:t>
            </w:r>
          </w:p>
        </w:tc>
        <w:tc>
          <w:tcPr>
            <w:tcW w:w="1376" w:type="dxa"/>
            <w:vAlign w:val="center"/>
          </w:tcPr>
          <w:p w14:paraId="2CBC9E8D"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95.1</w:t>
            </w:r>
          </w:p>
        </w:tc>
        <w:tc>
          <w:tcPr>
            <w:tcW w:w="1376" w:type="dxa"/>
            <w:vAlign w:val="center"/>
          </w:tcPr>
          <w:p w14:paraId="5B1B4DE1"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79.7</w:t>
            </w:r>
          </w:p>
        </w:tc>
        <w:tc>
          <w:tcPr>
            <w:tcW w:w="1376" w:type="dxa"/>
            <w:vAlign w:val="center"/>
          </w:tcPr>
          <w:p w14:paraId="41879598"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20</w:t>
            </w:r>
          </w:p>
        </w:tc>
      </w:tr>
      <w:tr w:rsidR="008B5CFD" w14:paraId="65262C23" w14:textId="77777777" w:rsidTr="00532E73">
        <w:tc>
          <w:tcPr>
            <w:tcW w:w="1375" w:type="dxa"/>
            <w:vMerge w:val="restart"/>
            <w:vAlign w:val="center"/>
          </w:tcPr>
          <w:p w14:paraId="756A6D00"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Honey</w:t>
            </w:r>
          </w:p>
        </w:tc>
        <w:tc>
          <w:tcPr>
            <w:tcW w:w="1375" w:type="dxa"/>
            <w:vAlign w:val="center"/>
          </w:tcPr>
          <w:p w14:paraId="0EE49E4D"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Unstained</w:t>
            </w:r>
          </w:p>
        </w:tc>
        <w:tc>
          <w:tcPr>
            <w:tcW w:w="1375" w:type="dxa"/>
            <w:vAlign w:val="center"/>
          </w:tcPr>
          <w:p w14:paraId="7399A8D7"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10,395</w:t>
            </w:r>
          </w:p>
        </w:tc>
        <w:tc>
          <w:tcPr>
            <w:tcW w:w="1375" w:type="dxa"/>
            <w:vAlign w:val="center"/>
          </w:tcPr>
          <w:p w14:paraId="68EF3B23"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63.6</w:t>
            </w:r>
          </w:p>
        </w:tc>
        <w:tc>
          <w:tcPr>
            <w:tcW w:w="1376" w:type="dxa"/>
            <w:vAlign w:val="center"/>
          </w:tcPr>
          <w:p w14:paraId="3CBC9172"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96.2</w:t>
            </w:r>
          </w:p>
        </w:tc>
        <w:tc>
          <w:tcPr>
            <w:tcW w:w="1376" w:type="dxa"/>
            <w:vAlign w:val="center"/>
          </w:tcPr>
          <w:p w14:paraId="29249330"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91.9</w:t>
            </w:r>
          </w:p>
        </w:tc>
        <w:tc>
          <w:tcPr>
            <w:tcW w:w="1376" w:type="dxa"/>
            <w:vAlign w:val="center"/>
          </w:tcPr>
          <w:p w14:paraId="7B2F6AEE"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0.0</w:t>
            </w:r>
          </w:p>
        </w:tc>
      </w:tr>
      <w:tr w:rsidR="008B5CFD" w14:paraId="334C02C1" w14:textId="77777777" w:rsidTr="00532E73">
        <w:tc>
          <w:tcPr>
            <w:tcW w:w="1375" w:type="dxa"/>
            <w:vMerge/>
            <w:vAlign w:val="center"/>
          </w:tcPr>
          <w:p w14:paraId="04782857" w14:textId="77777777" w:rsidR="008B5CFD" w:rsidRDefault="008B5CFD" w:rsidP="00532E73">
            <w:pPr>
              <w:spacing w:line="312" w:lineRule="auto"/>
              <w:jc w:val="center"/>
              <w:rPr>
                <w:rFonts w:ascii="Times New Roman" w:eastAsia="Times New Roman" w:hAnsi="Times New Roman" w:cs="Times New Roman"/>
                <w:bCs/>
                <w:sz w:val="20"/>
                <w:szCs w:val="20"/>
              </w:rPr>
            </w:pPr>
          </w:p>
        </w:tc>
        <w:tc>
          <w:tcPr>
            <w:tcW w:w="1375" w:type="dxa"/>
            <w:vAlign w:val="center"/>
          </w:tcPr>
          <w:p w14:paraId="10B03B1E"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Stained</w:t>
            </w:r>
          </w:p>
        </w:tc>
        <w:tc>
          <w:tcPr>
            <w:tcW w:w="1375" w:type="dxa"/>
            <w:vAlign w:val="center"/>
          </w:tcPr>
          <w:p w14:paraId="53D8B980"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38,016</w:t>
            </w:r>
          </w:p>
        </w:tc>
        <w:tc>
          <w:tcPr>
            <w:tcW w:w="1375" w:type="dxa"/>
            <w:vAlign w:val="center"/>
          </w:tcPr>
          <w:p w14:paraId="3C5147E8"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56.5</w:t>
            </w:r>
          </w:p>
        </w:tc>
        <w:tc>
          <w:tcPr>
            <w:tcW w:w="1376" w:type="dxa"/>
            <w:vAlign w:val="center"/>
          </w:tcPr>
          <w:p w14:paraId="1540520C"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95.2</w:t>
            </w:r>
          </w:p>
        </w:tc>
        <w:tc>
          <w:tcPr>
            <w:tcW w:w="1376" w:type="dxa"/>
            <w:vAlign w:val="center"/>
          </w:tcPr>
          <w:p w14:paraId="5F9843C4"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85.7</w:t>
            </w:r>
          </w:p>
        </w:tc>
        <w:tc>
          <w:tcPr>
            <w:tcW w:w="1376" w:type="dxa"/>
            <w:vAlign w:val="center"/>
          </w:tcPr>
          <w:p w14:paraId="6F6C92E3" w14:textId="77777777" w:rsidR="008B5CFD" w:rsidRDefault="008B5CFD" w:rsidP="00532E73">
            <w:pPr>
              <w:spacing w:line="312"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0.3</w:t>
            </w:r>
          </w:p>
        </w:tc>
      </w:tr>
    </w:tbl>
    <w:p w14:paraId="3891B8D4" w14:textId="30EB069A" w:rsidR="008B5CFD" w:rsidRPr="008B5CFD" w:rsidRDefault="008B5CFD" w:rsidP="00C87C83">
      <w:pPr>
        <w:spacing w:line="276" w:lineRule="auto"/>
        <w:jc w:val="both"/>
        <w:rPr>
          <w:rFonts w:ascii="Times New Roman" w:hAnsi="Times New Roman" w:cs="Times New Roman"/>
          <w:sz w:val="20"/>
          <w:szCs w:val="20"/>
        </w:rPr>
      </w:pPr>
      <w:r w:rsidRPr="008B5CFD">
        <w:rPr>
          <w:rFonts w:ascii="Times New Roman" w:hAnsi="Times New Roman" w:cs="Times New Roman"/>
          <w:sz w:val="20"/>
          <w:szCs w:val="20"/>
        </w:rPr>
        <w:t xml:space="preserve">*Percentages follow the instrument/software report: Non-debris is shown as %Total; Singlets as %Parent (Non-debris); Beads as %Parent (Singlets); and CD81-positive as %Parent (Beads). For Blood (stained), the software also reports CD81 positivity using the histogram gate (3,083 events; 17.0%). For Urine (stained), the software also reports CD81 positivity using the histogram gate (5,142 events; 19.3%). The CD81-positive values presented in the main table are based on the CD-81 </w:t>
      </w:r>
      <w:proofErr w:type="spellStart"/>
      <w:r w:rsidRPr="008B5CFD">
        <w:rPr>
          <w:rFonts w:ascii="Times New Roman" w:hAnsi="Times New Roman" w:cs="Times New Roman"/>
          <w:sz w:val="20"/>
          <w:szCs w:val="20"/>
        </w:rPr>
        <w:t>dotplot</w:t>
      </w:r>
      <w:proofErr w:type="spellEnd"/>
      <w:r w:rsidRPr="008B5CFD">
        <w:rPr>
          <w:rFonts w:ascii="Times New Roman" w:hAnsi="Times New Roman" w:cs="Times New Roman"/>
          <w:sz w:val="20"/>
          <w:szCs w:val="20"/>
        </w:rPr>
        <w:t xml:space="preserve"> gate to maintain a single, consistent definition of "positivity" across tubes. </w:t>
      </w:r>
    </w:p>
    <w:p w14:paraId="46972ECB" w14:textId="77777777" w:rsidR="008B5CFD" w:rsidRPr="00AE11F5" w:rsidRDefault="008B5CFD" w:rsidP="00C87C83">
      <w:pPr>
        <w:spacing w:line="276" w:lineRule="auto"/>
        <w:jc w:val="both"/>
        <w:rPr>
          <w:rFonts w:ascii="Times New Roman" w:hAnsi="Times New Roman" w:cs="Times New Roman"/>
          <w:sz w:val="24"/>
          <w:szCs w:val="24"/>
        </w:rPr>
      </w:pPr>
    </w:p>
    <w:p w14:paraId="64035843" w14:textId="7393CE40" w:rsidR="00AE11F5" w:rsidRDefault="008B5CFD" w:rsidP="00C87C83">
      <w:pPr>
        <w:spacing w:line="276" w:lineRule="auto"/>
        <w:jc w:val="both"/>
        <w:rPr>
          <w:rFonts w:ascii="Times New Roman" w:hAnsi="Times New Roman" w:cs="Times New Roman"/>
          <w:sz w:val="24"/>
          <w:szCs w:val="24"/>
        </w:rPr>
      </w:pPr>
      <w:r>
        <w:rPr>
          <w:noProof/>
        </w:rPr>
        <w:lastRenderedPageBreak/>
        <w:drawing>
          <wp:inline distT="0" distB="0" distL="0" distR="0" wp14:anchorId="085C6FDB" wp14:editId="6B99F43B">
            <wp:extent cx="5731510" cy="3643950"/>
            <wp:effectExtent l="0" t="0" r="2540" b="0"/>
            <wp:docPr id="60115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43950"/>
                    </a:xfrm>
                    <a:prstGeom prst="rect">
                      <a:avLst/>
                    </a:prstGeom>
                    <a:noFill/>
                    <a:ln>
                      <a:noFill/>
                    </a:ln>
                  </pic:spPr>
                </pic:pic>
              </a:graphicData>
            </a:graphic>
          </wp:inline>
        </w:drawing>
      </w:r>
    </w:p>
    <w:p w14:paraId="79983815" w14:textId="7520008B" w:rsidR="008B5CFD" w:rsidRDefault="008B5CFD" w:rsidP="00C87C83">
      <w:pPr>
        <w:spacing w:line="276" w:lineRule="auto"/>
        <w:jc w:val="both"/>
        <w:rPr>
          <w:rFonts w:ascii="Times New Roman" w:hAnsi="Times New Roman" w:cs="Times New Roman"/>
          <w:sz w:val="24"/>
          <w:szCs w:val="24"/>
        </w:rPr>
      </w:pPr>
      <w:r>
        <w:rPr>
          <w:noProof/>
        </w:rPr>
        <w:drawing>
          <wp:inline distT="0" distB="0" distL="0" distR="0" wp14:anchorId="67C1C2CA" wp14:editId="1AE90752">
            <wp:extent cx="5731510" cy="3564531"/>
            <wp:effectExtent l="0" t="0" r="2540" b="0"/>
            <wp:docPr id="7195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64531"/>
                    </a:xfrm>
                    <a:prstGeom prst="rect">
                      <a:avLst/>
                    </a:prstGeom>
                    <a:noFill/>
                    <a:ln>
                      <a:noFill/>
                    </a:ln>
                  </pic:spPr>
                </pic:pic>
              </a:graphicData>
            </a:graphic>
          </wp:inline>
        </w:drawing>
      </w:r>
    </w:p>
    <w:p w14:paraId="0E6158CA" w14:textId="796EE01B" w:rsidR="008B5CFD" w:rsidRDefault="008B5CFD" w:rsidP="000F296E">
      <w:pPr>
        <w:spacing w:after="0" w:line="276" w:lineRule="auto"/>
        <w:jc w:val="both"/>
        <w:rPr>
          <w:rFonts w:ascii="Times New Roman" w:hAnsi="Times New Roman" w:cs="Times New Roman"/>
          <w:sz w:val="24"/>
          <w:szCs w:val="24"/>
        </w:rPr>
      </w:pPr>
      <w:r>
        <w:rPr>
          <w:noProof/>
        </w:rPr>
        <w:lastRenderedPageBreak/>
        <w:drawing>
          <wp:inline distT="0" distB="0" distL="0" distR="0" wp14:anchorId="2D9876CD" wp14:editId="1F6AE9F1">
            <wp:extent cx="5731510" cy="3595997"/>
            <wp:effectExtent l="0" t="0" r="2540" b="5080"/>
            <wp:docPr id="424865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95997"/>
                    </a:xfrm>
                    <a:prstGeom prst="rect">
                      <a:avLst/>
                    </a:prstGeom>
                    <a:noFill/>
                    <a:ln>
                      <a:noFill/>
                    </a:ln>
                  </pic:spPr>
                </pic:pic>
              </a:graphicData>
            </a:graphic>
          </wp:inline>
        </w:drawing>
      </w:r>
    </w:p>
    <w:p w14:paraId="6DB53260" w14:textId="77777777" w:rsidR="008B5CFD" w:rsidRDefault="008B5CFD" w:rsidP="008B5CFD">
      <w:pPr>
        <w:spacing w:line="312" w:lineRule="auto"/>
        <w:jc w:val="both"/>
        <w:rPr>
          <w:rFonts w:ascii="Times New Roman" w:eastAsia="Times New Roman" w:hAnsi="Times New Roman" w:cs="Times New Roman"/>
          <w:bCs/>
          <w:sz w:val="20"/>
          <w:szCs w:val="20"/>
        </w:rPr>
      </w:pPr>
      <w:r w:rsidRPr="00B44E69">
        <w:rPr>
          <w:rFonts w:ascii="Times New Roman" w:eastAsia="Times New Roman" w:hAnsi="Times New Roman" w:cs="Times New Roman"/>
          <w:bCs/>
          <w:sz w:val="20"/>
          <w:szCs w:val="20"/>
        </w:rPr>
        <w:t>Figure 4. Representative bead-based flow-cytometry gating strategy and CD81 (PE) detection in EV-enriched preparations from blood (FCD), urine (FCU), and honey (FCM), comparing stained (S) and unstained control (UNS) tubes.</w:t>
      </w:r>
    </w:p>
    <w:p w14:paraId="2B1358BA" w14:textId="1DC393A9" w:rsidR="008B5CFD" w:rsidRDefault="008B5CFD" w:rsidP="00C87C83">
      <w:pPr>
        <w:spacing w:line="276" w:lineRule="auto"/>
        <w:jc w:val="both"/>
        <w:rPr>
          <w:rFonts w:ascii="Times New Roman" w:hAnsi="Times New Roman" w:cs="Times New Roman"/>
          <w:sz w:val="24"/>
          <w:szCs w:val="24"/>
        </w:rPr>
      </w:pPr>
      <w:r w:rsidRPr="008B5CFD">
        <w:rPr>
          <w:rFonts w:ascii="Times New Roman" w:hAnsi="Times New Roman" w:cs="Times New Roman"/>
          <w:sz w:val="24"/>
          <w:szCs w:val="24"/>
        </w:rPr>
        <w:t xml:space="preserve">These results underscore that EV marker detectability can vary substantially across sources and matrices, and therefore should be interpreted using appropriate negative controls and in conjunction with orthogonal characterization. Detectable CD81 signal in blood-associated preparations is consistent with prior work showing that bead-based flow approaches can capture </w:t>
      </w:r>
      <w:proofErr w:type="spellStart"/>
      <w:r w:rsidRPr="008B5CFD">
        <w:rPr>
          <w:rFonts w:ascii="Times New Roman" w:hAnsi="Times New Roman" w:cs="Times New Roman"/>
          <w:sz w:val="24"/>
          <w:szCs w:val="24"/>
        </w:rPr>
        <w:t>tetraspanin</w:t>
      </w:r>
      <w:proofErr w:type="spellEnd"/>
      <w:r w:rsidRPr="008B5CFD">
        <w:rPr>
          <w:rFonts w:ascii="Times New Roman" w:hAnsi="Times New Roman" w:cs="Times New Roman"/>
          <w:sz w:val="24"/>
          <w:szCs w:val="24"/>
        </w:rPr>
        <w:t>-associated EV features from plasma-derived samples when gating and controls are appropriately applied [4,10]. The strong CD81 positivity observed for urine-associated preparations is in line with literature describing urinary EVs as an accessible resource in which marker detectability can be robust, while still being sensitive to pre-analytical and analytical variables [7,8].</w:t>
      </w:r>
    </w:p>
    <w:p w14:paraId="7B83CBA6" w14:textId="260862F7" w:rsidR="008B5CFD" w:rsidRDefault="008B5CFD" w:rsidP="00C87C83">
      <w:pPr>
        <w:spacing w:line="276" w:lineRule="auto"/>
        <w:jc w:val="both"/>
        <w:rPr>
          <w:rFonts w:ascii="Times New Roman" w:hAnsi="Times New Roman" w:cs="Times New Roman"/>
          <w:sz w:val="24"/>
          <w:szCs w:val="24"/>
        </w:rPr>
      </w:pPr>
      <w:r w:rsidRPr="008B5CFD">
        <w:rPr>
          <w:rFonts w:ascii="Times New Roman" w:hAnsi="Times New Roman" w:cs="Times New Roman"/>
          <w:sz w:val="24"/>
          <w:szCs w:val="24"/>
        </w:rPr>
        <w:t xml:space="preserve">Conversely, the very low CD81 positivity in honey-associated preparations (0.3%) should be interpreted with particular caution: anti-human CD81 antibodies are not expected to recognize epitopes on plant/insect-derived honey vesicle-like nanoparticles, because </w:t>
      </w:r>
      <w:proofErr w:type="spellStart"/>
      <w:r w:rsidRPr="008B5CFD">
        <w:rPr>
          <w:rFonts w:ascii="Times New Roman" w:hAnsi="Times New Roman" w:cs="Times New Roman"/>
          <w:sz w:val="24"/>
          <w:szCs w:val="24"/>
        </w:rPr>
        <w:t>tetraspanin</w:t>
      </w:r>
      <w:proofErr w:type="spellEnd"/>
      <w:r w:rsidRPr="008B5CFD">
        <w:rPr>
          <w:rFonts w:ascii="Times New Roman" w:hAnsi="Times New Roman" w:cs="Times New Roman"/>
          <w:sz w:val="24"/>
          <w:szCs w:val="24"/>
        </w:rPr>
        <w:t xml:space="preserve"> sequences are not conserved across these kingdoms. The low signal is therefore consistent with epitope non-conservation rather than absence of vesicular material, as confirmed by the presence of membrane-enclosed structures on cryo-EM (see below). Identity in honey VLNs should be assessed in follow-up work using source-appropriate markers (e.g., plant-vesicle membrane lipids or characteristic miRNA cargo) [5,9,15].</w:t>
      </w:r>
    </w:p>
    <w:p w14:paraId="7E704233" w14:textId="77777777" w:rsidR="008B5CFD" w:rsidRPr="008B5CFD" w:rsidRDefault="008B5CFD" w:rsidP="008B5CFD">
      <w:pPr>
        <w:spacing w:line="276" w:lineRule="auto"/>
        <w:jc w:val="both"/>
        <w:rPr>
          <w:rFonts w:ascii="Times New Roman" w:hAnsi="Times New Roman" w:cs="Times New Roman"/>
          <w:b/>
          <w:bCs/>
          <w:sz w:val="24"/>
          <w:szCs w:val="24"/>
        </w:rPr>
      </w:pPr>
      <w:r w:rsidRPr="008B5CFD">
        <w:rPr>
          <w:rFonts w:ascii="Times New Roman" w:hAnsi="Times New Roman" w:cs="Times New Roman"/>
          <w:b/>
          <w:bCs/>
          <w:sz w:val="24"/>
          <w:szCs w:val="24"/>
        </w:rPr>
        <w:t>EV morphology (cryo-electron microscopy)</w:t>
      </w:r>
    </w:p>
    <w:p w14:paraId="33A89C68" w14:textId="77777777" w:rsidR="008B5CFD" w:rsidRDefault="008B5CFD" w:rsidP="008B5CFD">
      <w:pPr>
        <w:spacing w:line="276" w:lineRule="auto"/>
        <w:jc w:val="both"/>
        <w:rPr>
          <w:rFonts w:ascii="Times New Roman" w:hAnsi="Times New Roman" w:cs="Times New Roman"/>
          <w:sz w:val="24"/>
          <w:szCs w:val="24"/>
        </w:rPr>
      </w:pPr>
      <w:r w:rsidRPr="008B5CFD">
        <w:rPr>
          <w:rFonts w:ascii="Times New Roman" w:hAnsi="Times New Roman" w:cs="Times New Roman"/>
          <w:sz w:val="24"/>
          <w:szCs w:val="24"/>
        </w:rPr>
        <w:t xml:space="preserve">Cryo-EM visualized membrane-enclosed vesicular structures in blood-, urine-, and honey-derived preparations embedded in vitreous ice, supporting preservation of native morphology and successful vitrification. Vesicles were predominantly spherical or slightly cup-shaped with </w:t>
      </w:r>
      <w:r w:rsidRPr="008B5CFD">
        <w:rPr>
          <w:rFonts w:ascii="Times New Roman" w:hAnsi="Times New Roman" w:cs="Times New Roman"/>
          <w:sz w:val="24"/>
          <w:szCs w:val="24"/>
        </w:rPr>
        <w:lastRenderedPageBreak/>
        <w:t>visible lipid bilayers and electron-dense lumens. Qualitatively, most observed structures fell within a size range commonly attributed to small EVs (~50–150 nm), with occasional larger vesicles extending into ~200–300 nm. Large cellular debris and extensive aggregation were minimal in representative micrographs. Quantitative vesicle-diameter measurements were not performed in this descriptive study and are identified as a limitation; future studies will report median diameters with interquartile ranges based on ≥ 50 vesicles per matrix.</w:t>
      </w:r>
    </w:p>
    <w:p w14:paraId="48481F58" w14:textId="3CCCEF0F" w:rsidR="008B5CFD" w:rsidRDefault="008B5CFD" w:rsidP="00A60E62">
      <w:pPr>
        <w:spacing w:after="0" w:line="276" w:lineRule="auto"/>
        <w:jc w:val="both"/>
        <w:rPr>
          <w:rFonts w:ascii="Times New Roman" w:hAnsi="Times New Roman" w:cs="Times New Roman"/>
          <w:sz w:val="24"/>
          <w:szCs w:val="24"/>
        </w:rPr>
      </w:pPr>
      <w:r>
        <w:rPr>
          <w:noProof/>
        </w:rPr>
        <w:drawing>
          <wp:inline distT="0" distB="0" distL="0" distR="0" wp14:anchorId="1CFBD9A2" wp14:editId="380B075A">
            <wp:extent cx="5725795" cy="1867119"/>
            <wp:effectExtent l="0" t="0" r="8255" b="0"/>
            <wp:docPr id="3631026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2502" cy="1914959"/>
                    </a:xfrm>
                    <a:prstGeom prst="rect">
                      <a:avLst/>
                    </a:prstGeom>
                    <a:noFill/>
                  </pic:spPr>
                </pic:pic>
              </a:graphicData>
            </a:graphic>
          </wp:inline>
        </w:drawing>
      </w:r>
    </w:p>
    <w:p w14:paraId="2CF0F9CF" w14:textId="4323E121" w:rsidR="008B5CFD" w:rsidRDefault="008B5CFD" w:rsidP="008B5CFD">
      <w:pPr>
        <w:spacing w:line="276" w:lineRule="auto"/>
        <w:jc w:val="both"/>
        <w:rPr>
          <w:rFonts w:ascii="Times New Roman" w:hAnsi="Times New Roman" w:cs="Times New Roman"/>
          <w:sz w:val="24"/>
          <w:szCs w:val="24"/>
        </w:rPr>
      </w:pPr>
      <w:r w:rsidRPr="008B5CFD">
        <w:rPr>
          <w:rFonts w:ascii="Times New Roman" w:hAnsi="Times New Roman" w:cs="Times New Roman"/>
          <w:sz w:val="24"/>
          <w:szCs w:val="24"/>
        </w:rPr>
        <w:t>Figure 5. Representative cryo-electron micrographs of EV-enriched preparations from blood (A), honey (B), and urine (C), showing membrane-bound vesicles within the small EV size range (scale bar = 50 nm).</w:t>
      </w:r>
    </w:p>
    <w:p w14:paraId="711C47A0" w14:textId="4757A0D7" w:rsidR="008B5CFD" w:rsidRDefault="008B5CFD" w:rsidP="008B5CFD">
      <w:pPr>
        <w:spacing w:line="276" w:lineRule="auto"/>
        <w:jc w:val="both"/>
        <w:rPr>
          <w:rFonts w:ascii="Times New Roman" w:hAnsi="Times New Roman" w:cs="Times New Roman"/>
          <w:sz w:val="24"/>
          <w:szCs w:val="24"/>
        </w:rPr>
      </w:pPr>
      <w:r w:rsidRPr="008B5CFD">
        <w:rPr>
          <w:rFonts w:ascii="Times New Roman" w:hAnsi="Times New Roman" w:cs="Times New Roman"/>
          <w:sz w:val="24"/>
          <w:szCs w:val="24"/>
        </w:rPr>
        <w:t>These ultrastructural observations provide direct morphological evidence of vesicular material across all three sources and are broadly consistent with the DLS-derived heterogeneity patterns, particularly the presence of nanoscale fractions in each matrix. Importantly, cryo-EM here should be treated as confirmation of membrane-enclosed structures rather than a definitive tool for assigning EV biogenesis-based subtypes, and contemporary guidance emphasizes operational terminology unless biogenesis is directly demonstrated [15]. Within this framework, cryo-EM strengthens the evidence for EV-enriched preparations across matrices when interpreted in combination with physicochemical sizing and marker profiling [15].</w:t>
      </w:r>
    </w:p>
    <w:p w14:paraId="55D32E77" w14:textId="3EE4DE69" w:rsidR="008B5CFD" w:rsidRPr="008B5CFD" w:rsidRDefault="008B5CFD" w:rsidP="008B5CFD">
      <w:pPr>
        <w:spacing w:line="276" w:lineRule="auto"/>
        <w:jc w:val="both"/>
        <w:rPr>
          <w:rFonts w:ascii="Times New Roman" w:hAnsi="Times New Roman" w:cs="Times New Roman"/>
          <w:b/>
          <w:bCs/>
          <w:sz w:val="24"/>
          <w:szCs w:val="24"/>
        </w:rPr>
      </w:pPr>
      <w:r w:rsidRPr="008B5CFD">
        <w:rPr>
          <w:rFonts w:ascii="Times New Roman" w:hAnsi="Times New Roman" w:cs="Times New Roman"/>
          <w:b/>
          <w:bCs/>
          <w:sz w:val="24"/>
          <w:szCs w:val="24"/>
        </w:rPr>
        <w:t>CONCLUSIONS</w:t>
      </w:r>
    </w:p>
    <w:p w14:paraId="161684BD" w14:textId="77777777" w:rsidR="008B5CFD" w:rsidRPr="008B5CFD" w:rsidRDefault="008B5CFD" w:rsidP="008B5CFD">
      <w:pPr>
        <w:spacing w:line="276" w:lineRule="auto"/>
        <w:jc w:val="both"/>
        <w:rPr>
          <w:rFonts w:ascii="Times New Roman" w:hAnsi="Times New Roman" w:cs="Times New Roman"/>
          <w:sz w:val="24"/>
          <w:szCs w:val="24"/>
        </w:rPr>
      </w:pPr>
      <w:r w:rsidRPr="008B5CFD">
        <w:rPr>
          <w:rFonts w:ascii="Times New Roman" w:hAnsi="Times New Roman" w:cs="Times New Roman"/>
          <w:sz w:val="24"/>
          <w:szCs w:val="24"/>
        </w:rPr>
        <w:t>This study demonstrates that EV-enriched preparations can be isolated from honey and urine using non-invasive, relatively straightforward procedures and characterized alongside blood-derived preparations as a reference. Particle size analysis, zeta potential measurements, protein quantification, surface marker expression, and cryo-electron microscopy collectively support the presence of membrane-enclosed nanoparticles that include a small EV-size range fraction across all three sources. Blood-derived preparations showed the highest total protein concentration, whereas urine- and honey-derived preparations exhibited lower protein levels and more heterogeneous intensity-weighted size profiles, consistent with strong matrix effects on the recovered material.</w:t>
      </w:r>
    </w:p>
    <w:p w14:paraId="78EEF989" w14:textId="77777777" w:rsidR="008B5CFD" w:rsidRPr="008B5CFD" w:rsidRDefault="008B5CFD" w:rsidP="008B5CFD">
      <w:pPr>
        <w:spacing w:line="276" w:lineRule="auto"/>
        <w:jc w:val="both"/>
        <w:rPr>
          <w:rFonts w:ascii="Times New Roman" w:hAnsi="Times New Roman" w:cs="Times New Roman"/>
          <w:sz w:val="24"/>
          <w:szCs w:val="24"/>
        </w:rPr>
      </w:pPr>
      <w:r w:rsidRPr="008B5CFD">
        <w:rPr>
          <w:rFonts w:ascii="Times New Roman" w:hAnsi="Times New Roman" w:cs="Times New Roman"/>
          <w:sz w:val="24"/>
          <w:szCs w:val="24"/>
        </w:rPr>
        <w:t xml:space="preserve">Updated bead-based flow cytometry using unstained controls confirmed minimal background and demonstrated clear, preparation-dependent CD81 detectability in stained tubes (Honey 0.3%, Blood 17.7%, Urine 20.0% CD81-positive beads), highlighting that marker readouts are matrix- and assay-dependent and should be interpreted cautiously — particularly for honey, where the low CD81 signal likely reflects </w:t>
      </w:r>
      <w:proofErr w:type="spellStart"/>
      <w:r w:rsidRPr="008B5CFD">
        <w:rPr>
          <w:rFonts w:ascii="Times New Roman" w:hAnsi="Times New Roman" w:cs="Times New Roman"/>
          <w:sz w:val="24"/>
          <w:szCs w:val="24"/>
        </w:rPr>
        <w:t>tetraspanin</w:t>
      </w:r>
      <w:proofErr w:type="spellEnd"/>
      <w:r w:rsidRPr="008B5CFD">
        <w:rPr>
          <w:rFonts w:ascii="Times New Roman" w:hAnsi="Times New Roman" w:cs="Times New Roman"/>
          <w:sz w:val="24"/>
          <w:szCs w:val="24"/>
        </w:rPr>
        <w:t xml:space="preserve"> epitope non-conservation across </w:t>
      </w:r>
      <w:r w:rsidRPr="008B5CFD">
        <w:rPr>
          <w:rFonts w:ascii="Times New Roman" w:hAnsi="Times New Roman" w:cs="Times New Roman"/>
          <w:sz w:val="24"/>
          <w:szCs w:val="24"/>
        </w:rPr>
        <w:lastRenderedPageBreak/>
        <w:t>kingdoms rather than absence of vesicular material. Overall, honey and urine represent practical candidate matrices for EV-related workflows; however, expanded identity/contaminant marker assessment, quantitative particle concentration methods, and functional assays such as loading, stability, uptake, and bioactivity are required before inferring suitability for drug-delivery applications, in line with current EV reporting guidance.</w:t>
      </w:r>
    </w:p>
    <w:p w14:paraId="204BA22D" w14:textId="38549D89" w:rsidR="008B5CFD" w:rsidRPr="008B5CFD" w:rsidRDefault="008B5CFD" w:rsidP="00C87C83">
      <w:pPr>
        <w:spacing w:line="276" w:lineRule="auto"/>
        <w:jc w:val="both"/>
        <w:rPr>
          <w:rFonts w:ascii="Times New Roman" w:hAnsi="Times New Roman" w:cs="Times New Roman"/>
          <w:sz w:val="24"/>
          <w:szCs w:val="24"/>
        </w:rPr>
      </w:pPr>
      <w:r w:rsidRPr="008B5CFD">
        <w:rPr>
          <w:rFonts w:ascii="Times New Roman" w:hAnsi="Times New Roman" w:cs="Times New Roman"/>
          <w:sz w:val="24"/>
          <w:szCs w:val="24"/>
        </w:rPr>
        <w:t>Consistent with MISEV2024 [15], future work on these matrices should incorporate (</w:t>
      </w:r>
      <w:proofErr w:type="spellStart"/>
      <w:r w:rsidRPr="008B5CFD">
        <w:rPr>
          <w:rFonts w:ascii="Times New Roman" w:hAnsi="Times New Roman" w:cs="Times New Roman"/>
          <w:sz w:val="24"/>
          <w:szCs w:val="24"/>
        </w:rPr>
        <w:t>i</w:t>
      </w:r>
      <w:proofErr w:type="spellEnd"/>
      <w:r w:rsidRPr="008B5CFD">
        <w:rPr>
          <w:rFonts w:ascii="Times New Roman" w:hAnsi="Times New Roman" w:cs="Times New Roman"/>
          <w:sz w:val="24"/>
          <w:szCs w:val="24"/>
        </w:rPr>
        <w:t>) per-donor reporting with replicate-level descriptive statistics (mean ± SD; n), (ii) absolute particle quantification by a single-particle method (e.g., NTA), (iii) at least one additional EV-transmembrane marker and one cytosolic marker, (iv) explicit assessment of common matrix-specific co-isolates (apolipoproteins, uromodulin, soluble proteins), and (v) source-appropriate markers for honey VLNs, before drawing inferences about therapeutic or drug-delivery suitability.</w:t>
      </w:r>
    </w:p>
    <w:p w14:paraId="70E04662" w14:textId="77777777" w:rsidR="008B5CFD" w:rsidRPr="008B5CFD" w:rsidRDefault="008B5CFD" w:rsidP="008B5CFD">
      <w:pPr>
        <w:spacing w:line="276" w:lineRule="auto"/>
        <w:jc w:val="both"/>
        <w:rPr>
          <w:rFonts w:ascii="Times New Roman" w:hAnsi="Times New Roman" w:cs="Times New Roman"/>
          <w:b/>
          <w:bCs/>
        </w:rPr>
      </w:pPr>
      <w:r w:rsidRPr="008B5CFD">
        <w:rPr>
          <w:rFonts w:ascii="Times New Roman" w:hAnsi="Times New Roman" w:cs="Times New Roman"/>
          <w:b/>
          <w:bCs/>
        </w:rPr>
        <w:t>ACKNOWLEDGEMENTS</w:t>
      </w:r>
    </w:p>
    <w:p w14:paraId="66F91689" w14:textId="77777777" w:rsidR="008B5CFD" w:rsidRDefault="008B5CFD" w:rsidP="008B5CFD">
      <w:pPr>
        <w:spacing w:line="276" w:lineRule="auto"/>
        <w:jc w:val="both"/>
        <w:rPr>
          <w:rFonts w:ascii="Times New Roman" w:hAnsi="Times New Roman" w:cs="Times New Roman"/>
        </w:rPr>
      </w:pPr>
      <w:r w:rsidRPr="008B5CFD">
        <w:rPr>
          <w:rFonts w:ascii="Times New Roman" w:hAnsi="Times New Roman" w:cs="Times New Roman"/>
        </w:rPr>
        <w:t xml:space="preserve">This work was supported by Kementerian Pendidikan Tinggi, Sains, dan </w:t>
      </w:r>
      <w:proofErr w:type="spellStart"/>
      <w:r w:rsidRPr="008B5CFD">
        <w:rPr>
          <w:rFonts w:ascii="Times New Roman" w:hAnsi="Times New Roman" w:cs="Times New Roman"/>
        </w:rPr>
        <w:t>Teknologi</w:t>
      </w:r>
      <w:proofErr w:type="spellEnd"/>
      <w:r w:rsidRPr="008B5CFD">
        <w:rPr>
          <w:rFonts w:ascii="Times New Roman" w:hAnsi="Times New Roman" w:cs="Times New Roman"/>
        </w:rPr>
        <w:t xml:space="preserve"> (</w:t>
      </w:r>
      <w:proofErr w:type="spellStart"/>
      <w:r w:rsidRPr="008B5CFD">
        <w:rPr>
          <w:rFonts w:ascii="Times New Roman" w:hAnsi="Times New Roman" w:cs="Times New Roman"/>
        </w:rPr>
        <w:t>Kemdiktisaintek</w:t>
      </w:r>
      <w:proofErr w:type="spellEnd"/>
      <w:r w:rsidRPr="008B5CFD">
        <w:rPr>
          <w:rFonts w:ascii="Times New Roman" w:hAnsi="Times New Roman" w:cs="Times New Roman"/>
        </w:rPr>
        <w:t xml:space="preserve">) Republik Indonesia through BIMA Fundamental Research Grant (Surat Keputusan No. 0419/C3/DT.05.00/2025; Grant Agreement No. 124/C3/DT.05.00/PL/202). The authors also acknowledge institutional and technical support from </w:t>
      </w:r>
      <w:proofErr w:type="spellStart"/>
      <w:r w:rsidRPr="008B5CFD">
        <w:rPr>
          <w:rFonts w:ascii="Times New Roman" w:hAnsi="Times New Roman" w:cs="Times New Roman"/>
        </w:rPr>
        <w:t>Krida</w:t>
      </w:r>
      <w:proofErr w:type="spellEnd"/>
      <w:r w:rsidRPr="008B5CFD">
        <w:rPr>
          <w:rFonts w:ascii="Times New Roman" w:hAnsi="Times New Roman" w:cs="Times New Roman"/>
        </w:rPr>
        <w:t xml:space="preserve"> </w:t>
      </w:r>
      <w:proofErr w:type="spellStart"/>
      <w:r w:rsidRPr="008B5CFD">
        <w:rPr>
          <w:rFonts w:ascii="Times New Roman" w:hAnsi="Times New Roman" w:cs="Times New Roman"/>
        </w:rPr>
        <w:t>Wacana</w:t>
      </w:r>
      <w:proofErr w:type="spellEnd"/>
      <w:r w:rsidRPr="008B5CFD">
        <w:rPr>
          <w:rFonts w:ascii="Times New Roman" w:hAnsi="Times New Roman" w:cs="Times New Roman"/>
        </w:rPr>
        <w:t xml:space="preserve"> Christian University (UKRIDA) and the Badan Riset dan </w:t>
      </w:r>
      <w:proofErr w:type="spellStart"/>
      <w:r w:rsidRPr="008B5CFD">
        <w:rPr>
          <w:rFonts w:ascii="Times New Roman" w:hAnsi="Times New Roman" w:cs="Times New Roman"/>
        </w:rPr>
        <w:t>Inovasi</w:t>
      </w:r>
      <w:proofErr w:type="spellEnd"/>
      <w:r w:rsidRPr="008B5CFD">
        <w:rPr>
          <w:rFonts w:ascii="Times New Roman" w:hAnsi="Times New Roman" w:cs="Times New Roman"/>
        </w:rPr>
        <w:t xml:space="preserve"> Nasional (BRIN), particularly the </w:t>
      </w:r>
      <w:proofErr w:type="spellStart"/>
      <w:r w:rsidRPr="008B5CFD">
        <w:rPr>
          <w:rFonts w:ascii="Times New Roman" w:hAnsi="Times New Roman" w:cs="Times New Roman"/>
        </w:rPr>
        <w:t>Laboratorium</w:t>
      </w:r>
      <w:proofErr w:type="spellEnd"/>
      <w:r w:rsidRPr="008B5CFD">
        <w:rPr>
          <w:rFonts w:ascii="Times New Roman" w:hAnsi="Times New Roman" w:cs="Times New Roman"/>
        </w:rPr>
        <w:t xml:space="preserve"> </w:t>
      </w:r>
      <w:proofErr w:type="spellStart"/>
      <w:r w:rsidRPr="008B5CFD">
        <w:rPr>
          <w:rFonts w:ascii="Times New Roman" w:hAnsi="Times New Roman" w:cs="Times New Roman"/>
        </w:rPr>
        <w:t>Genomik</w:t>
      </w:r>
      <w:proofErr w:type="spellEnd"/>
      <w:r w:rsidRPr="008B5CFD">
        <w:rPr>
          <w:rFonts w:ascii="Times New Roman" w:hAnsi="Times New Roman" w:cs="Times New Roman"/>
        </w:rPr>
        <w:t xml:space="preserve"> – Pusat Riset </w:t>
      </w:r>
      <w:proofErr w:type="spellStart"/>
      <w:r w:rsidRPr="008B5CFD">
        <w:rPr>
          <w:rFonts w:ascii="Times New Roman" w:hAnsi="Times New Roman" w:cs="Times New Roman"/>
        </w:rPr>
        <w:t>Genetika</w:t>
      </w:r>
      <w:proofErr w:type="spellEnd"/>
      <w:r w:rsidRPr="008B5CFD">
        <w:rPr>
          <w:rFonts w:ascii="Times New Roman" w:hAnsi="Times New Roman" w:cs="Times New Roman"/>
        </w:rPr>
        <w:t xml:space="preserve"> dan Molekuler, for providing access and technical assistance in cryo-EM and related analyses. Additional support is gratefully acknowledged from Emmerich Research </w:t>
      </w:r>
      <w:proofErr w:type="spellStart"/>
      <w:r w:rsidRPr="008B5CFD">
        <w:rPr>
          <w:rFonts w:ascii="Times New Roman" w:hAnsi="Times New Roman" w:cs="Times New Roman"/>
        </w:rPr>
        <w:t>Center</w:t>
      </w:r>
      <w:proofErr w:type="spellEnd"/>
      <w:r w:rsidRPr="008B5CFD">
        <w:rPr>
          <w:rFonts w:ascii="Times New Roman" w:hAnsi="Times New Roman" w:cs="Times New Roman"/>
        </w:rPr>
        <w:t xml:space="preserve"> and </w:t>
      </w:r>
      <w:proofErr w:type="spellStart"/>
      <w:r w:rsidRPr="008B5CFD">
        <w:rPr>
          <w:rFonts w:ascii="Times New Roman" w:hAnsi="Times New Roman" w:cs="Times New Roman"/>
        </w:rPr>
        <w:t>Beezee</w:t>
      </w:r>
      <w:proofErr w:type="spellEnd"/>
      <w:r w:rsidRPr="008B5CFD">
        <w:rPr>
          <w:rFonts w:ascii="Times New Roman" w:hAnsi="Times New Roman" w:cs="Times New Roman"/>
        </w:rPr>
        <w:t xml:space="preserve"> Honey Indonesia for the provision of honey samples and related assistance.</w:t>
      </w:r>
    </w:p>
    <w:p w14:paraId="7A6290F9" w14:textId="77777777" w:rsidR="008B5CFD" w:rsidRPr="008B5CFD" w:rsidRDefault="008B5CFD" w:rsidP="008B5CFD">
      <w:pPr>
        <w:spacing w:line="276" w:lineRule="auto"/>
        <w:jc w:val="both"/>
        <w:rPr>
          <w:rFonts w:ascii="Times New Roman" w:hAnsi="Times New Roman" w:cs="Times New Roman"/>
          <w:b/>
          <w:bCs/>
        </w:rPr>
      </w:pPr>
      <w:r w:rsidRPr="008B5CFD">
        <w:rPr>
          <w:rFonts w:ascii="Times New Roman" w:hAnsi="Times New Roman" w:cs="Times New Roman"/>
          <w:b/>
          <w:bCs/>
        </w:rPr>
        <w:t>DECLARATION OF GENERATIVE AI IN SCIENTIFIC WRITING</w:t>
      </w:r>
    </w:p>
    <w:p w14:paraId="3260A51E" w14:textId="052252AB" w:rsidR="008B5CFD" w:rsidRPr="008B5CFD" w:rsidRDefault="008B5CFD" w:rsidP="008B5CFD">
      <w:pPr>
        <w:spacing w:line="276" w:lineRule="auto"/>
        <w:jc w:val="both"/>
        <w:rPr>
          <w:rFonts w:ascii="Times New Roman" w:hAnsi="Times New Roman" w:cs="Times New Roman"/>
        </w:rPr>
      </w:pPr>
      <w:r w:rsidRPr="008B5CFD">
        <w:rPr>
          <w:rFonts w:ascii="Times New Roman" w:hAnsi="Times New Roman" w:cs="Times New Roman"/>
        </w:rPr>
        <w:t>The authors acknowledge the use of generative AI tools (Grammarly) in the preparation of this manuscript, specifically for language editing, grammar correction, and manuscript-structure review. No content generation or data interpretation was performed by AI. The authors take full responsibility for the content and conclusions of this work.</w:t>
      </w:r>
    </w:p>
    <w:p w14:paraId="2F3EB23C" w14:textId="77777777" w:rsidR="008B5CFD" w:rsidRDefault="008B5CFD" w:rsidP="008B5CFD">
      <w:pPr>
        <w:spacing w:line="312" w:lineRule="auto"/>
        <w:jc w:val="both"/>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CRediT</w:t>
      </w:r>
      <w:proofErr w:type="spellEnd"/>
      <w:r>
        <w:rPr>
          <w:rFonts w:ascii="Times New Roman" w:eastAsia="Times New Roman" w:hAnsi="Times New Roman" w:cs="Times New Roman"/>
          <w:b/>
          <w:sz w:val="20"/>
          <w:szCs w:val="20"/>
        </w:rPr>
        <w:t xml:space="preserve"> author statement</w:t>
      </w:r>
    </w:p>
    <w:p w14:paraId="13486F0F" w14:textId="77777777" w:rsidR="008B5CFD" w:rsidRDefault="008B5CFD" w:rsidP="008B5CFD">
      <w:pPr>
        <w:spacing w:after="240" w:line="360" w:lineRule="auto"/>
        <w:jc w:val="both"/>
        <w:rPr>
          <w:rFonts w:ascii="Times New Roman" w:hAnsi="Times New Roman" w:cs="Times New Roman"/>
          <w:sz w:val="24"/>
          <w:szCs w:val="24"/>
        </w:rPr>
      </w:pPr>
      <w:r w:rsidRPr="00443906">
        <w:rPr>
          <w:rFonts w:ascii="Times New Roman" w:hAnsi="Times New Roman" w:cs="Times New Roman"/>
          <w:b/>
          <w:bCs/>
          <w:sz w:val="24"/>
          <w:szCs w:val="24"/>
        </w:rPr>
        <w:t xml:space="preserve">Agus </w:t>
      </w:r>
      <w:proofErr w:type="spellStart"/>
      <w:r w:rsidRPr="00443906">
        <w:rPr>
          <w:rFonts w:ascii="Times New Roman" w:hAnsi="Times New Roman" w:cs="Times New Roman"/>
          <w:b/>
          <w:bCs/>
          <w:sz w:val="24"/>
          <w:szCs w:val="24"/>
        </w:rPr>
        <w:t>Limanto</w:t>
      </w:r>
      <w:proofErr w:type="spellEnd"/>
      <w:r>
        <w:rPr>
          <w:rFonts w:ascii="Times New Roman" w:hAnsi="Times New Roman" w:cs="Times New Roman"/>
          <w:sz w:val="24"/>
          <w:szCs w:val="24"/>
        </w:rPr>
        <w:t xml:space="preserve">: </w:t>
      </w:r>
      <w:r w:rsidRPr="00443906">
        <w:rPr>
          <w:rFonts w:ascii="Times New Roman" w:hAnsi="Times New Roman" w:cs="Times New Roman"/>
          <w:sz w:val="24"/>
          <w:szCs w:val="24"/>
        </w:rPr>
        <w:t>Conceptualization; Methodology; Investigation; Data curation; Formal analysis; Validation; Resources; Supervision; Funding acquisition; Writing – original draft.</w:t>
      </w:r>
      <w:r>
        <w:rPr>
          <w:rFonts w:ascii="Times New Roman" w:hAnsi="Times New Roman" w:cs="Times New Roman"/>
          <w:sz w:val="24"/>
          <w:szCs w:val="24"/>
        </w:rPr>
        <w:t xml:space="preserve"> </w:t>
      </w:r>
      <w:r w:rsidRPr="00443906">
        <w:rPr>
          <w:rFonts w:ascii="Times New Roman" w:hAnsi="Times New Roman" w:cs="Times New Roman"/>
          <w:b/>
          <w:bCs/>
          <w:sz w:val="24"/>
          <w:szCs w:val="24"/>
        </w:rPr>
        <w:t xml:space="preserve">Deby </w:t>
      </w:r>
      <w:proofErr w:type="spellStart"/>
      <w:r w:rsidRPr="00443906">
        <w:rPr>
          <w:rFonts w:ascii="Times New Roman" w:hAnsi="Times New Roman" w:cs="Times New Roman"/>
          <w:b/>
          <w:bCs/>
          <w:sz w:val="24"/>
          <w:szCs w:val="24"/>
        </w:rPr>
        <w:t>Deby</w:t>
      </w:r>
      <w:proofErr w:type="spellEnd"/>
      <w:r w:rsidRPr="00443906">
        <w:rPr>
          <w:rFonts w:ascii="Times New Roman" w:hAnsi="Times New Roman" w:cs="Times New Roman"/>
          <w:sz w:val="24"/>
          <w:szCs w:val="24"/>
        </w:rPr>
        <w:t>: Conceptualization; Methodology; Investigation; Data curation; Formal analysis; Validation; Resources; Supervision; Writing – original draft; Writing – review &amp; editing</w:t>
      </w:r>
      <w:r w:rsidRPr="00443906">
        <w:rPr>
          <w:rFonts w:ascii="Times New Roman" w:hAnsi="Times New Roman" w:cs="Times New Roman"/>
          <w:b/>
          <w:bCs/>
          <w:sz w:val="24"/>
          <w:szCs w:val="24"/>
        </w:rPr>
        <w:t xml:space="preserve">. Glenn Marchelinno </w:t>
      </w:r>
      <w:proofErr w:type="spellStart"/>
      <w:r w:rsidRPr="00443906">
        <w:rPr>
          <w:rFonts w:ascii="Times New Roman" w:hAnsi="Times New Roman" w:cs="Times New Roman"/>
          <w:b/>
          <w:bCs/>
          <w:sz w:val="24"/>
          <w:szCs w:val="24"/>
        </w:rPr>
        <w:t>Souissa</w:t>
      </w:r>
      <w:proofErr w:type="spellEnd"/>
      <w:r w:rsidRPr="00443906">
        <w:rPr>
          <w:rFonts w:ascii="Times New Roman" w:hAnsi="Times New Roman" w:cs="Times New Roman"/>
          <w:sz w:val="24"/>
          <w:szCs w:val="24"/>
        </w:rPr>
        <w:t>: Investigation; Data curation (EV isolation); Resources; Writing – original draft.</w:t>
      </w:r>
      <w:r>
        <w:rPr>
          <w:rFonts w:ascii="Times New Roman" w:hAnsi="Times New Roman" w:cs="Times New Roman"/>
          <w:sz w:val="24"/>
          <w:szCs w:val="24"/>
        </w:rPr>
        <w:t xml:space="preserve"> </w:t>
      </w:r>
      <w:r w:rsidRPr="00443906">
        <w:rPr>
          <w:rFonts w:ascii="Times New Roman" w:hAnsi="Times New Roman" w:cs="Times New Roman"/>
          <w:b/>
          <w:bCs/>
          <w:sz w:val="24"/>
          <w:szCs w:val="24"/>
        </w:rPr>
        <w:t>Bryan Christopher Wiraputra</w:t>
      </w:r>
      <w:r w:rsidRPr="00443906">
        <w:rPr>
          <w:rFonts w:ascii="Times New Roman" w:hAnsi="Times New Roman" w:cs="Times New Roman"/>
          <w:sz w:val="24"/>
          <w:szCs w:val="24"/>
        </w:rPr>
        <w:t>: Investigation; Data curation (EV isolation); Resources; Writing – original draft.</w:t>
      </w:r>
      <w:r>
        <w:rPr>
          <w:rFonts w:ascii="Times New Roman" w:hAnsi="Times New Roman" w:cs="Times New Roman"/>
          <w:sz w:val="24"/>
          <w:szCs w:val="24"/>
        </w:rPr>
        <w:t xml:space="preserve"> </w:t>
      </w:r>
      <w:r w:rsidRPr="00443906">
        <w:rPr>
          <w:rFonts w:ascii="Times New Roman" w:hAnsi="Times New Roman" w:cs="Times New Roman"/>
          <w:b/>
          <w:bCs/>
          <w:sz w:val="24"/>
          <w:szCs w:val="24"/>
        </w:rPr>
        <w:t>Eden Steven</w:t>
      </w:r>
      <w:r w:rsidRPr="00443906">
        <w:rPr>
          <w:rFonts w:ascii="Times New Roman" w:hAnsi="Times New Roman" w:cs="Times New Roman"/>
          <w:sz w:val="24"/>
          <w:szCs w:val="24"/>
        </w:rPr>
        <w:t>: Investigation; Data curation (honey quality control); Resources; Writing – original draft.</w:t>
      </w:r>
      <w:r>
        <w:rPr>
          <w:rFonts w:ascii="Times New Roman" w:hAnsi="Times New Roman" w:cs="Times New Roman"/>
          <w:sz w:val="24"/>
          <w:szCs w:val="24"/>
        </w:rPr>
        <w:t xml:space="preserve"> </w:t>
      </w:r>
      <w:proofErr w:type="spellStart"/>
      <w:r w:rsidRPr="00443906">
        <w:rPr>
          <w:rFonts w:ascii="Times New Roman" w:hAnsi="Times New Roman" w:cs="Times New Roman"/>
          <w:b/>
          <w:bCs/>
          <w:sz w:val="24"/>
          <w:szCs w:val="24"/>
        </w:rPr>
        <w:t>Yudhi</w:t>
      </w:r>
      <w:proofErr w:type="spellEnd"/>
      <w:r w:rsidRPr="00443906">
        <w:rPr>
          <w:rFonts w:ascii="Times New Roman" w:hAnsi="Times New Roman" w:cs="Times New Roman"/>
          <w:b/>
          <w:bCs/>
          <w:sz w:val="24"/>
          <w:szCs w:val="24"/>
        </w:rPr>
        <w:t xml:space="preserve"> Nugraha</w:t>
      </w:r>
      <w:r w:rsidRPr="00443906">
        <w:rPr>
          <w:rFonts w:ascii="Times New Roman" w:hAnsi="Times New Roman" w:cs="Times New Roman"/>
          <w:sz w:val="24"/>
          <w:szCs w:val="24"/>
        </w:rPr>
        <w:t>: Investigation; Data curation (cryo-EM); Writing – original draft.</w:t>
      </w:r>
      <w:r>
        <w:rPr>
          <w:rFonts w:ascii="Times New Roman" w:hAnsi="Times New Roman" w:cs="Times New Roman"/>
          <w:sz w:val="24"/>
          <w:szCs w:val="24"/>
        </w:rPr>
        <w:t xml:space="preserve"> </w:t>
      </w:r>
      <w:r w:rsidRPr="00443906">
        <w:rPr>
          <w:rFonts w:ascii="Times New Roman" w:hAnsi="Times New Roman" w:cs="Times New Roman"/>
          <w:b/>
          <w:bCs/>
          <w:sz w:val="24"/>
          <w:szCs w:val="24"/>
        </w:rPr>
        <w:t>Ahmad Novi Muslimin</w:t>
      </w:r>
      <w:r w:rsidRPr="00443906">
        <w:rPr>
          <w:rFonts w:ascii="Times New Roman" w:hAnsi="Times New Roman" w:cs="Times New Roman"/>
          <w:sz w:val="24"/>
          <w:szCs w:val="24"/>
        </w:rPr>
        <w:t>: Investigation; Data curation (cryo-EM).</w:t>
      </w:r>
      <w:r>
        <w:rPr>
          <w:rFonts w:ascii="Times New Roman" w:hAnsi="Times New Roman" w:cs="Times New Roman"/>
          <w:sz w:val="24"/>
          <w:szCs w:val="24"/>
        </w:rPr>
        <w:t xml:space="preserve"> </w:t>
      </w:r>
      <w:proofErr w:type="spellStart"/>
      <w:r w:rsidRPr="00443906">
        <w:rPr>
          <w:rFonts w:ascii="Times New Roman" w:hAnsi="Times New Roman" w:cs="Times New Roman"/>
          <w:b/>
          <w:bCs/>
          <w:sz w:val="24"/>
          <w:szCs w:val="24"/>
        </w:rPr>
        <w:t>Purnamawati</w:t>
      </w:r>
      <w:proofErr w:type="spellEnd"/>
      <w:r w:rsidRPr="00443906">
        <w:rPr>
          <w:rFonts w:ascii="Times New Roman" w:hAnsi="Times New Roman" w:cs="Times New Roman"/>
          <w:sz w:val="24"/>
          <w:szCs w:val="24"/>
        </w:rPr>
        <w:t>: Investigation; Formal analysis; Writing – original draft; Writing – review &amp; editing.</w:t>
      </w:r>
    </w:p>
    <w:p w14:paraId="1DC3CC6A" w14:textId="77777777" w:rsidR="008B5CFD" w:rsidRPr="008B5CFD" w:rsidRDefault="008B5CFD" w:rsidP="008B5CFD">
      <w:pPr>
        <w:spacing w:line="312" w:lineRule="auto"/>
        <w:rPr>
          <w:rFonts w:ascii="Times New Roman" w:eastAsia="Times New Roman" w:hAnsi="Times New Roman" w:cs="Times New Roman"/>
          <w:b/>
          <w:sz w:val="24"/>
          <w:szCs w:val="24"/>
        </w:rPr>
      </w:pPr>
      <w:r w:rsidRPr="008B5CFD">
        <w:rPr>
          <w:rFonts w:ascii="Times New Roman" w:eastAsia="Times New Roman" w:hAnsi="Times New Roman" w:cs="Times New Roman"/>
          <w:b/>
          <w:sz w:val="24"/>
          <w:szCs w:val="24"/>
        </w:rPr>
        <w:lastRenderedPageBreak/>
        <w:t>References</w:t>
      </w:r>
    </w:p>
    <w:p w14:paraId="7B85AE15" w14:textId="77777777" w:rsidR="008B5CFD" w:rsidRPr="008B5CFD" w:rsidRDefault="008B5CFD" w:rsidP="008B5CFD">
      <w:pPr>
        <w:spacing w:after="240"/>
        <w:ind w:left="454" w:hanging="454"/>
        <w:jc w:val="both"/>
        <w:rPr>
          <w:rFonts w:ascii="Times New Roman" w:hAnsi="Times New Roman" w:cs="Times New Roman"/>
          <w:sz w:val="24"/>
          <w:szCs w:val="24"/>
        </w:rPr>
      </w:pPr>
      <w:r w:rsidRPr="008B5CFD">
        <w:rPr>
          <w:rFonts w:ascii="Times New Roman" w:eastAsia="Times New Roman" w:hAnsi="Times New Roman" w:cs="Times New Roman"/>
          <w:sz w:val="24"/>
          <w:szCs w:val="24"/>
        </w:rPr>
        <w:t>[1]</w:t>
      </w:r>
      <w:r w:rsidRPr="008B5CFD">
        <w:rPr>
          <w:rFonts w:ascii="Times New Roman" w:eastAsia="Times New Roman" w:hAnsi="Times New Roman" w:cs="Times New Roman"/>
          <w:sz w:val="24"/>
          <w:szCs w:val="24"/>
        </w:rPr>
        <w:tab/>
      </w:r>
      <w:proofErr w:type="spellStart"/>
      <w:r w:rsidRPr="008B5CFD">
        <w:rPr>
          <w:rFonts w:ascii="Times New Roman" w:hAnsi="Times New Roman" w:cs="Times New Roman"/>
          <w:sz w:val="24"/>
          <w:szCs w:val="24"/>
        </w:rPr>
        <w:t>Mehryab</w:t>
      </w:r>
      <w:proofErr w:type="spellEnd"/>
      <w:r w:rsidRPr="008B5CFD">
        <w:rPr>
          <w:rFonts w:ascii="Times New Roman" w:hAnsi="Times New Roman" w:cs="Times New Roman"/>
          <w:sz w:val="24"/>
          <w:szCs w:val="24"/>
        </w:rPr>
        <w:t xml:space="preserve"> F, Taghizadeh F, </w:t>
      </w:r>
      <w:proofErr w:type="spellStart"/>
      <w:r w:rsidRPr="008B5CFD">
        <w:rPr>
          <w:rFonts w:ascii="Times New Roman" w:hAnsi="Times New Roman" w:cs="Times New Roman"/>
          <w:sz w:val="24"/>
          <w:szCs w:val="24"/>
        </w:rPr>
        <w:t>Goshtasbi</w:t>
      </w:r>
      <w:proofErr w:type="spellEnd"/>
      <w:r w:rsidRPr="008B5CFD">
        <w:rPr>
          <w:rFonts w:ascii="Times New Roman" w:hAnsi="Times New Roman" w:cs="Times New Roman"/>
          <w:sz w:val="24"/>
          <w:szCs w:val="24"/>
        </w:rPr>
        <w:t xml:space="preserve"> N, Merati F, Rabbani S, Haeri A. Exosomes as cutting-edge therapeutics in various biomedical applications: An update on engineering, delivery, and Preclinical Studies. </w:t>
      </w:r>
      <w:proofErr w:type="spellStart"/>
      <w:r w:rsidRPr="008B5CFD">
        <w:rPr>
          <w:rFonts w:ascii="Times New Roman" w:hAnsi="Times New Roman" w:cs="Times New Roman"/>
          <w:sz w:val="24"/>
          <w:szCs w:val="24"/>
        </w:rPr>
        <w:t>Biochimie</w:t>
      </w:r>
      <w:proofErr w:type="spellEnd"/>
      <w:r w:rsidRPr="008B5CFD">
        <w:rPr>
          <w:rFonts w:ascii="Times New Roman" w:hAnsi="Times New Roman" w:cs="Times New Roman"/>
          <w:sz w:val="24"/>
          <w:szCs w:val="24"/>
        </w:rPr>
        <w:t xml:space="preserve">. </w:t>
      </w:r>
      <w:proofErr w:type="gramStart"/>
      <w:r w:rsidRPr="008B5CFD">
        <w:rPr>
          <w:rFonts w:ascii="Times New Roman" w:hAnsi="Times New Roman" w:cs="Times New Roman"/>
          <w:sz w:val="24"/>
          <w:szCs w:val="24"/>
        </w:rPr>
        <w:t>2023;213:139</w:t>
      </w:r>
      <w:proofErr w:type="gramEnd"/>
      <w:r w:rsidRPr="008B5CFD">
        <w:rPr>
          <w:rFonts w:ascii="Times New Roman" w:hAnsi="Times New Roman" w:cs="Times New Roman"/>
          <w:sz w:val="24"/>
          <w:szCs w:val="24"/>
        </w:rPr>
        <w:t xml:space="preserve">–67. </w:t>
      </w:r>
      <w:proofErr w:type="spellStart"/>
      <w:r w:rsidRPr="008B5CFD">
        <w:rPr>
          <w:rFonts w:ascii="Times New Roman" w:hAnsi="Times New Roman" w:cs="Times New Roman"/>
          <w:sz w:val="24"/>
          <w:szCs w:val="24"/>
        </w:rPr>
        <w:t>doi</w:t>
      </w:r>
      <w:proofErr w:type="spellEnd"/>
      <w:r w:rsidRPr="008B5CFD">
        <w:rPr>
          <w:rFonts w:ascii="Times New Roman" w:hAnsi="Times New Roman" w:cs="Times New Roman"/>
          <w:sz w:val="24"/>
          <w:szCs w:val="24"/>
        </w:rPr>
        <w:t>: 10.1016/j.biochi.2023.05.010.</w:t>
      </w:r>
    </w:p>
    <w:p w14:paraId="527468F1" w14:textId="77777777" w:rsidR="008B5CFD" w:rsidRPr="008B5CFD" w:rsidRDefault="008B5CFD" w:rsidP="008B5CFD">
      <w:pPr>
        <w:spacing w:after="240"/>
        <w:ind w:left="454" w:hanging="454"/>
        <w:jc w:val="both"/>
        <w:rPr>
          <w:rFonts w:ascii="Times New Roman" w:eastAsia="Times New Roman" w:hAnsi="Times New Roman" w:cs="Times New Roman"/>
          <w:sz w:val="24"/>
          <w:szCs w:val="24"/>
        </w:rPr>
      </w:pPr>
      <w:r w:rsidRPr="008B5CFD">
        <w:rPr>
          <w:rFonts w:ascii="Times New Roman" w:eastAsia="Times New Roman" w:hAnsi="Times New Roman" w:cs="Times New Roman"/>
          <w:sz w:val="24"/>
          <w:szCs w:val="24"/>
        </w:rPr>
        <w:t>[2]</w:t>
      </w:r>
      <w:r w:rsidRPr="008B5CFD">
        <w:rPr>
          <w:rFonts w:ascii="Times New Roman" w:eastAsia="Times New Roman" w:hAnsi="Times New Roman" w:cs="Times New Roman"/>
          <w:sz w:val="24"/>
          <w:szCs w:val="24"/>
        </w:rPr>
        <w:tab/>
      </w:r>
      <w:r w:rsidRPr="008B5CFD">
        <w:rPr>
          <w:rFonts w:ascii="Times New Roman" w:hAnsi="Times New Roman" w:cs="Times New Roman"/>
          <w:sz w:val="24"/>
          <w:szCs w:val="24"/>
        </w:rPr>
        <w:t>Du S, Guan Y, Xie A, Yan Z, Gao S, Li W, et al. Extracellular vesicles: A rising star for Therapeutics and Drug Delivery. Journal of Nanobiotechnology. 2023;21(1). doi:10.1186/s12951-023-01973-5</w:t>
      </w:r>
    </w:p>
    <w:p w14:paraId="56EAD591" w14:textId="77777777" w:rsidR="008B5CFD" w:rsidRPr="008B5CFD" w:rsidRDefault="008B5CFD" w:rsidP="008B5CFD">
      <w:pPr>
        <w:spacing w:after="240" w:line="312" w:lineRule="auto"/>
        <w:ind w:left="454" w:hanging="454"/>
        <w:jc w:val="both"/>
        <w:rPr>
          <w:rFonts w:ascii="Times New Roman" w:eastAsia="Times New Roman" w:hAnsi="Times New Roman" w:cs="Times New Roman"/>
          <w:sz w:val="24"/>
          <w:szCs w:val="24"/>
        </w:rPr>
      </w:pPr>
      <w:r w:rsidRPr="008B5CFD">
        <w:rPr>
          <w:rFonts w:ascii="Times New Roman" w:eastAsia="Times New Roman" w:hAnsi="Times New Roman" w:cs="Times New Roman"/>
          <w:sz w:val="24"/>
          <w:szCs w:val="24"/>
        </w:rPr>
        <w:t>[3]</w:t>
      </w:r>
      <w:r w:rsidRPr="008B5CFD">
        <w:rPr>
          <w:rFonts w:ascii="Times New Roman" w:eastAsia="Times New Roman" w:hAnsi="Times New Roman" w:cs="Times New Roman"/>
          <w:sz w:val="24"/>
          <w:szCs w:val="24"/>
        </w:rPr>
        <w:tab/>
      </w:r>
      <w:r w:rsidRPr="008B5CFD">
        <w:rPr>
          <w:rFonts w:ascii="Times New Roman" w:hAnsi="Times New Roman" w:cs="Times New Roman"/>
          <w:sz w:val="24"/>
          <w:szCs w:val="24"/>
        </w:rPr>
        <w:t xml:space="preserve">Extracellular vesicle-based therapeutics: Extracellular vesicles as therapeutic targets and agents. Pharmacology. 2023;242: 108352. </w:t>
      </w:r>
      <w:proofErr w:type="spellStart"/>
      <w:r w:rsidRPr="008B5CFD">
        <w:rPr>
          <w:rFonts w:ascii="Times New Roman" w:hAnsi="Times New Roman" w:cs="Times New Roman"/>
          <w:sz w:val="24"/>
          <w:szCs w:val="24"/>
        </w:rPr>
        <w:t>doi</w:t>
      </w:r>
      <w:proofErr w:type="spellEnd"/>
      <w:r w:rsidRPr="008B5CFD">
        <w:rPr>
          <w:rFonts w:ascii="Times New Roman" w:hAnsi="Times New Roman" w:cs="Times New Roman"/>
          <w:sz w:val="24"/>
          <w:szCs w:val="24"/>
        </w:rPr>
        <w:t>: 10.1016/j.pharmthera.2023.108352</w:t>
      </w:r>
    </w:p>
    <w:p w14:paraId="0A100AB9" w14:textId="77777777" w:rsidR="008B5CFD" w:rsidRPr="008B5CFD" w:rsidRDefault="008B5CFD" w:rsidP="008B5CFD">
      <w:pPr>
        <w:spacing w:after="240" w:line="312" w:lineRule="auto"/>
        <w:ind w:left="454" w:hanging="454"/>
        <w:jc w:val="both"/>
        <w:rPr>
          <w:rFonts w:ascii="Times New Roman" w:eastAsia="Times New Roman" w:hAnsi="Times New Roman" w:cs="Times New Roman"/>
          <w:sz w:val="24"/>
          <w:szCs w:val="24"/>
        </w:rPr>
      </w:pPr>
      <w:r w:rsidRPr="008B5CFD">
        <w:rPr>
          <w:rFonts w:ascii="Times New Roman" w:eastAsia="Times New Roman" w:hAnsi="Times New Roman" w:cs="Times New Roman"/>
          <w:sz w:val="24"/>
          <w:szCs w:val="24"/>
        </w:rPr>
        <w:t>[4]</w:t>
      </w:r>
      <w:r w:rsidRPr="008B5CFD">
        <w:rPr>
          <w:rFonts w:ascii="Times New Roman" w:eastAsia="Times New Roman" w:hAnsi="Times New Roman" w:cs="Times New Roman"/>
          <w:sz w:val="24"/>
          <w:szCs w:val="24"/>
        </w:rPr>
        <w:tab/>
      </w:r>
      <w:r w:rsidRPr="008B5CFD">
        <w:rPr>
          <w:rFonts w:ascii="Times New Roman" w:hAnsi="Times New Roman" w:cs="Times New Roman"/>
          <w:sz w:val="24"/>
          <w:szCs w:val="24"/>
        </w:rPr>
        <w:t xml:space="preserve">Deby D, </w:t>
      </w:r>
      <w:proofErr w:type="spellStart"/>
      <w:r w:rsidRPr="008B5CFD">
        <w:rPr>
          <w:rFonts w:ascii="Times New Roman" w:hAnsi="Times New Roman" w:cs="Times New Roman"/>
          <w:sz w:val="24"/>
          <w:szCs w:val="24"/>
        </w:rPr>
        <w:t>Antarianto</w:t>
      </w:r>
      <w:proofErr w:type="spellEnd"/>
      <w:r w:rsidRPr="008B5CFD">
        <w:rPr>
          <w:rFonts w:ascii="Times New Roman" w:hAnsi="Times New Roman" w:cs="Times New Roman"/>
          <w:sz w:val="24"/>
          <w:szCs w:val="24"/>
        </w:rPr>
        <w:t xml:space="preserve"> RD, </w:t>
      </w:r>
      <w:proofErr w:type="spellStart"/>
      <w:r w:rsidRPr="008B5CFD">
        <w:rPr>
          <w:rFonts w:ascii="Times New Roman" w:hAnsi="Times New Roman" w:cs="Times New Roman"/>
          <w:sz w:val="24"/>
          <w:szCs w:val="24"/>
        </w:rPr>
        <w:t>Barasila</w:t>
      </w:r>
      <w:proofErr w:type="spellEnd"/>
      <w:r w:rsidRPr="008B5CFD">
        <w:rPr>
          <w:rFonts w:ascii="Times New Roman" w:hAnsi="Times New Roman" w:cs="Times New Roman"/>
          <w:sz w:val="24"/>
          <w:szCs w:val="24"/>
        </w:rPr>
        <w:t xml:space="preserve"> AC, Irawan C, Ahani AR, </w:t>
      </w:r>
      <w:proofErr w:type="spellStart"/>
      <w:r w:rsidRPr="008B5CFD">
        <w:rPr>
          <w:rFonts w:ascii="Times New Roman" w:hAnsi="Times New Roman" w:cs="Times New Roman"/>
          <w:sz w:val="24"/>
          <w:szCs w:val="24"/>
        </w:rPr>
        <w:t>Jasirwan</w:t>
      </w:r>
      <w:proofErr w:type="spellEnd"/>
      <w:r w:rsidRPr="008B5CFD">
        <w:rPr>
          <w:rFonts w:ascii="Times New Roman" w:hAnsi="Times New Roman" w:cs="Times New Roman"/>
          <w:sz w:val="24"/>
          <w:szCs w:val="24"/>
        </w:rPr>
        <w:t xml:space="preserve"> CO, et al. Stimulation effect of exosome from healthy sera to Natural Killer (NK) cells of hepatocellular carcinoma subject in vitro. Indonesian Journal of Cancer. 2024 Dec 23;18(4):410–9. doi:10.33371/</w:t>
      </w:r>
      <w:proofErr w:type="gramStart"/>
      <w:r w:rsidRPr="008B5CFD">
        <w:rPr>
          <w:rFonts w:ascii="Times New Roman" w:hAnsi="Times New Roman" w:cs="Times New Roman"/>
          <w:sz w:val="24"/>
          <w:szCs w:val="24"/>
        </w:rPr>
        <w:t>ijoc.v</w:t>
      </w:r>
      <w:proofErr w:type="gramEnd"/>
      <w:r w:rsidRPr="008B5CFD">
        <w:rPr>
          <w:rFonts w:ascii="Times New Roman" w:hAnsi="Times New Roman" w:cs="Times New Roman"/>
          <w:sz w:val="24"/>
          <w:szCs w:val="24"/>
        </w:rPr>
        <w:t>18i4.1122</w:t>
      </w:r>
    </w:p>
    <w:p w14:paraId="24781607" w14:textId="77777777" w:rsidR="008B5CFD" w:rsidRPr="008B5CFD" w:rsidRDefault="008B5CFD" w:rsidP="008B5CFD">
      <w:pPr>
        <w:spacing w:after="240" w:line="312" w:lineRule="auto"/>
        <w:ind w:left="454" w:hanging="454"/>
        <w:jc w:val="both"/>
        <w:rPr>
          <w:rFonts w:ascii="Times New Roman" w:eastAsia="Times New Roman" w:hAnsi="Times New Roman" w:cs="Times New Roman"/>
          <w:sz w:val="24"/>
          <w:szCs w:val="24"/>
        </w:rPr>
      </w:pPr>
      <w:r w:rsidRPr="008B5CFD">
        <w:rPr>
          <w:rFonts w:ascii="Times New Roman" w:eastAsia="Times New Roman" w:hAnsi="Times New Roman" w:cs="Times New Roman"/>
          <w:sz w:val="24"/>
          <w:szCs w:val="24"/>
        </w:rPr>
        <w:t>[5]</w:t>
      </w:r>
      <w:r w:rsidRPr="008B5CFD">
        <w:rPr>
          <w:rFonts w:ascii="Times New Roman" w:eastAsia="Times New Roman" w:hAnsi="Times New Roman" w:cs="Times New Roman"/>
          <w:sz w:val="24"/>
          <w:szCs w:val="24"/>
        </w:rPr>
        <w:tab/>
      </w:r>
      <w:r w:rsidRPr="008B5CFD">
        <w:rPr>
          <w:rFonts w:ascii="Times New Roman" w:hAnsi="Times New Roman" w:cs="Times New Roman"/>
          <w:sz w:val="24"/>
          <w:szCs w:val="24"/>
        </w:rPr>
        <w:t xml:space="preserve">Chen X, Liu B, Li X, </w:t>
      </w:r>
      <w:proofErr w:type="gramStart"/>
      <w:r w:rsidRPr="008B5CFD">
        <w:rPr>
          <w:rFonts w:ascii="Times New Roman" w:hAnsi="Times New Roman" w:cs="Times New Roman"/>
          <w:sz w:val="24"/>
          <w:szCs w:val="24"/>
        </w:rPr>
        <w:t>An</w:t>
      </w:r>
      <w:proofErr w:type="gramEnd"/>
      <w:r w:rsidRPr="008B5CFD">
        <w:rPr>
          <w:rFonts w:ascii="Times New Roman" w:hAnsi="Times New Roman" w:cs="Times New Roman"/>
          <w:sz w:val="24"/>
          <w:szCs w:val="24"/>
        </w:rPr>
        <w:t xml:space="preserve"> TT, Zhou Y, Li G, et al. Identification of anti‐inflammatory vesicle‐like nanoparticles in honey. Journal of Extracellular Vesicles. 2021;10(4). doi:10.1002/jev2.12069</w:t>
      </w:r>
    </w:p>
    <w:p w14:paraId="2DF1D493" w14:textId="77777777" w:rsidR="008B5CFD" w:rsidRPr="008B5CFD" w:rsidRDefault="008B5CFD" w:rsidP="008B5CFD">
      <w:pPr>
        <w:spacing w:after="240" w:line="312" w:lineRule="auto"/>
        <w:ind w:left="454" w:hanging="454"/>
        <w:jc w:val="both"/>
        <w:rPr>
          <w:rFonts w:ascii="Times New Roman" w:eastAsia="Times New Roman" w:hAnsi="Times New Roman" w:cs="Times New Roman"/>
          <w:sz w:val="24"/>
          <w:szCs w:val="24"/>
        </w:rPr>
      </w:pPr>
      <w:r w:rsidRPr="008B5CFD">
        <w:rPr>
          <w:rFonts w:ascii="Times New Roman" w:eastAsia="Times New Roman" w:hAnsi="Times New Roman" w:cs="Times New Roman"/>
          <w:sz w:val="24"/>
          <w:szCs w:val="24"/>
        </w:rPr>
        <w:t>[6]</w:t>
      </w:r>
      <w:r w:rsidRPr="008B5CFD">
        <w:rPr>
          <w:rFonts w:ascii="Times New Roman" w:eastAsia="Times New Roman" w:hAnsi="Times New Roman" w:cs="Times New Roman"/>
          <w:sz w:val="24"/>
          <w:szCs w:val="24"/>
        </w:rPr>
        <w:tab/>
      </w:r>
      <w:proofErr w:type="spellStart"/>
      <w:r w:rsidRPr="008B5CFD">
        <w:rPr>
          <w:rFonts w:ascii="Times New Roman" w:hAnsi="Times New Roman" w:cs="Times New Roman"/>
          <w:sz w:val="24"/>
          <w:szCs w:val="24"/>
        </w:rPr>
        <w:t>Pisitkun</w:t>
      </w:r>
      <w:proofErr w:type="spellEnd"/>
      <w:r w:rsidRPr="008B5CFD">
        <w:rPr>
          <w:rFonts w:ascii="Times New Roman" w:hAnsi="Times New Roman" w:cs="Times New Roman"/>
          <w:sz w:val="24"/>
          <w:szCs w:val="24"/>
        </w:rPr>
        <w:t xml:space="preserve"> T, Shen R-F, Knepper MA. Identification and proteomic profiling of exosomes in human urine. Proceedings of the National Academy of Sciences. 2004;101(36):13368–73. doi:10.1073/pnas.0403453101</w:t>
      </w:r>
    </w:p>
    <w:p w14:paraId="3174D090" w14:textId="77777777" w:rsidR="008B5CFD" w:rsidRPr="008B5CFD" w:rsidRDefault="008B5CFD" w:rsidP="008B5CFD">
      <w:pPr>
        <w:spacing w:after="240" w:line="312" w:lineRule="auto"/>
        <w:ind w:left="454" w:hanging="454"/>
        <w:jc w:val="both"/>
        <w:rPr>
          <w:rFonts w:ascii="Times New Roman" w:eastAsia="Times New Roman" w:hAnsi="Times New Roman" w:cs="Times New Roman"/>
          <w:sz w:val="24"/>
          <w:szCs w:val="24"/>
        </w:rPr>
      </w:pPr>
      <w:bookmarkStart w:id="0" w:name="_heading=h.gjdgxs" w:colFirst="0" w:colLast="0"/>
      <w:bookmarkEnd w:id="0"/>
      <w:r w:rsidRPr="008B5CFD">
        <w:rPr>
          <w:rFonts w:ascii="Times New Roman" w:eastAsia="Times New Roman" w:hAnsi="Times New Roman" w:cs="Times New Roman"/>
          <w:sz w:val="24"/>
          <w:szCs w:val="24"/>
        </w:rPr>
        <w:t>[7]</w:t>
      </w:r>
      <w:r w:rsidRPr="008B5CFD">
        <w:rPr>
          <w:rFonts w:ascii="Times New Roman" w:eastAsia="Times New Roman" w:hAnsi="Times New Roman" w:cs="Times New Roman"/>
          <w:sz w:val="24"/>
          <w:szCs w:val="24"/>
        </w:rPr>
        <w:tab/>
      </w:r>
      <w:r w:rsidRPr="008B5CFD">
        <w:rPr>
          <w:rFonts w:ascii="Times New Roman" w:hAnsi="Times New Roman" w:cs="Times New Roman"/>
          <w:sz w:val="24"/>
          <w:szCs w:val="24"/>
        </w:rPr>
        <w:t xml:space="preserve">Wang Y, Zhang M. Urinary Exosomes: A Promising Biomarker for Disease Diagnosis. Vol. 54, Laboratory medicine. NLM (Medline); 2023. p. 115–25. </w:t>
      </w:r>
      <w:proofErr w:type="spellStart"/>
      <w:r w:rsidRPr="008B5CFD">
        <w:rPr>
          <w:rFonts w:ascii="Times New Roman" w:hAnsi="Times New Roman" w:cs="Times New Roman"/>
          <w:sz w:val="24"/>
          <w:szCs w:val="24"/>
        </w:rPr>
        <w:t>doi</w:t>
      </w:r>
      <w:proofErr w:type="spellEnd"/>
      <w:r w:rsidRPr="008B5CFD">
        <w:rPr>
          <w:rFonts w:ascii="Times New Roman" w:hAnsi="Times New Roman" w:cs="Times New Roman"/>
          <w:sz w:val="24"/>
          <w:szCs w:val="24"/>
        </w:rPr>
        <w:t>: 10.1093/</w:t>
      </w:r>
      <w:proofErr w:type="spellStart"/>
      <w:r w:rsidRPr="008B5CFD">
        <w:rPr>
          <w:rFonts w:ascii="Times New Roman" w:hAnsi="Times New Roman" w:cs="Times New Roman"/>
          <w:sz w:val="24"/>
          <w:szCs w:val="24"/>
        </w:rPr>
        <w:t>labmed</w:t>
      </w:r>
      <w:proofErr w:type="spellEnd"/>
      <w:r w:rsidRPr="008B5CFD">
        <w:rPr>
          <w:rFonts w:ascii="Times New Roman" w:hAnsi="Times New Roman" w:cs="Times New Roman"/>
          <w:sz w:val="24"/>
          <w:szCs w:val="24"/>
        </w:rPr>
        <w:t>/lmac087. PMID: 36065158</w:t>
      </w:r>
    </w:p>
    <w:p w14:paraId="6971F0E3" w14:textId="77777777" w:rsidR="008B5CFD" w:rsidRPr="008B5CFD" w:rsidRDefault="008B5CFD" w:rsidP="008B5CFD">
      <w:pPr>
        <w:spacing w:after="240" w:line="312" w:lineRule="auto"/>
        <w:ind w:left="454" w:hanging="454"/>
        <w:jc w:val="both"/>
        <w:rPr>
          <w:rFonts w:ascii="Times New Roman" w:eastAsia="Times New Roman" w:hAnsi="Times New Roman" w:cs="Times New Roman"/>
          <w:sz w:val="24"/>
          <w:szCs w:val="24"/>
        </w:rPr>
      </w:pPr>
      <w:r w:rsidRPr="008B5CFD">
        <w:rPr>
          <w:rFonts w:ascii="Times New Roman" w:eastAsia="Times New Roman" w:hAnsi="Times New Roman" w:cs="Times New Roman"/>
          <w:sz w:val="24"/>
          <w:szCs w:val="24"/>
        </w:rPr>
        <w:t>[8]</w:t>
      </w:r>
      <w:r w:rsidRPr="008B5CFD">
        <w:rPr>
          <w:rFonts w:ascii="Times New Roman" w:eastAsia="Times New Roman" w:hAnsi="Times New Roman" w:cs="Times New Roman"/>
          <w:sz w:val="24"/>
          <w:szCs w:val="24"/>
        </w:rPr>
        <w:tab/>
      </w:r>
      <w:r w:rsidRPr="008B5CFD">
        <w:rPr>
          <w:rFonts w:ascii="Times New Roman" w:hAnsi="Times New Roman" w:cs="Times New Roman"/>
          <w:color w:val="000000"/>
          <w:sz w:val="24"/>
          <w:szCs w:val="24"/>
        </w:rPr>
        <w:t xml:space="preserve">Mizutani K, Kawakami K, Horie K, Fujita Y, Kameyama K, Kato T, et al. Urinary exosome as a potential biomarker for urinary tract infection. Cell </w:t>
      </w:r>
      <w:proofErr w:type="spellStart"/>
      <w:r w:rsidRPr="008B5CFD">
        <w:rPr>
          <w:rFonts w:ascii="Times New Roman" w:hAnsi="Times New Roman" w:cs="Times New Roman"/>
          <w:color w:val="000000"/>
          <w:sz w:val="24"/>
          <w:szCs w:val="24"/>
        </w:rPr>
        <w:t>Microbiol</w:t>
      </w:r>
      <w:proofErr w:type="spellEnd"/>
      <w:r w:rsidRPr="008B5CFD">
        <w:rPr>
          <w:rFonts w:ascii="Times New Roman" w:hAnsi="Times New Roman" w:cs="Times New Roman"/>
          <w:color w:val="000000"/>
          <w:sz w:val="24"/>
          <w:szCs w:val="24"/>
        </w:rPr>
        <w:t>. 2019 Jul 1;21(7). </w:t>
      </w:r>
      <w:proofErr w:type="spellStart"/>
      <w:r w:rsidRPr="008B5CFD">
        <w:rPr>
          <w:rFonts w:ascii="Times New Roman" w:hAnsi="Times New Roman" w:cs="Times New Roman"/>
          <w:color w:val="000000"/>
          <w:sz w:val="24"/>
          <w:szCs w:val="24"/>
        </w:rPr>
        <w:t>doi</w:t>
      </w:r>
      <w:proofErr w:type="spellEnd"/>
      <w:r w:rsidRPr="008B5CFD">
        <w:rPr>
          <w:rFonts w:ascii="Times New Roman" w:hAnsi="Times New Roman" w:cs="Times New Roman"/>
          <w:color w:val="000000"/>
          <w:sz w:val="24"/>
          <w:szCs w:val="24"/>
        </w:rPr>
        <w:t xml:space="preserve">: 10.1111/cmi.13020. </w:t>
      </w:r>
      <w:proofErr w:type="spellStart"/>
      <w:r w:rsidRPr="008B5CFD">
        <w:rPr>
          <w:rFonts w:ascii="Times New Roman" w:hAnsi="Times New Roman" w:cs="Times New Roman"/>
          <w:color w:val="000000"/>
          <w:sz w:val="24"/>
          <w:szCs w:val="24"/>
        </w:rPr>
        <w:t>Epub</w:t>
      </w:r>
      <w:proofErr w:type="spellEnd"/>
      <w:r w:rsidRPr="008B5CFD">
        <w:rPr>
          <w:rFonts w:ascii="Times New Roman" w:hAnsi="Times New Roman" w:cs="Times New Roman"/>
          <w:color w:val="000000"/>
          <w:sz w:val="24"/>
          <w:szCs w:val="24"/>
        </w:rPr>
        <w:t xml:space="preserve"> 2019 Mar 7. PMID: 30817089</w:t>
      </w:r>
    </w:p>
    <w:p w14:paraId="533326BB" w14:textId="77777777" w:rsidR="008B5CFD" w:rsidRPr="008B5CFD" w:rsidRDefault="008B5CFD" w:rsidP="008B5CFD">
      <w:pPr>
        <w:spacing w:after="240" w:line="312" w:lineRule="auto"/>
        <w:ind w:left="454" w:hanging="454"/>
        <w:jc w:val="both"/>
        <w:rPr>
          <w:rFonts w:ascii="Times New Roman" w:hAnsi="Times New Roman" w:cs="Times New Roman"/>
          <w:color w:val="000000"/>
          <w:sz w:val="24"/>
          <w:szCs w:val="24"/>
        </w:rPr>
      </w:pPr>
      <w:r w:rsidRPr="008B5CFD">
        <w:rPr>
          <w:rFonts w:ascii="Times New Roman" w:eastAsia="Times New Roman" w:hAnsi="Times New Roman" w:cs="Times New Roman"/>
          <w:sz w:val="24"/>
          <w:szCs w:val="24"/>
        </w:rPr>
        <w:t>[9]</w:t>
      </w:r>
      <w:r w:rsidRPr="008B5CFD">
        <w:rPr>
          <w:rFonts w:ascii="Times New Roman" w:eastAsia="Times New Roman" w:hAnsi="Times New Roman" w:cs="Times New Roman"/>
          <w:sz w:val="24"/>
          <w:szCs w:val="24"/>
        </w:rPr>
        <w:tab/>
      </w:r>
      <w:r w:rsidRPr="008B5CFD">
        <w:rPr>
          <w:rFonts w:ascii="Times New Roman" w:hAnsi="Times New Roman" w:cs="Times New Roman"/>
          <w:color w:val="000000"/>
          <w:sz w:val="24"/>
          <w:szCs w:val="24"/>
        </w:rPr>
        <w:t>Schuh CMAP, Aguayo S, Zavala G, Khoury M. Exosome-like vesicles in Apis mellifera bee pollen, honey and royal jelly contribute to their antibacterial and pro-regenerative activity. Journal of Experimental Biology. 2019;222(20). </w:t>
      </w:r>
      <w:proofErr w:type="spellStart"/>
      <w:r w:rsidRPr="008B5CFD">
        <w:rPr>
          <w:rFonts w:ascii="Times New Roman" w:hAnsi="Times New Roman" w:cs="Times New Roman"/>
          <w:color w:val="000000"/>
          <w:sz w:val="24"/>
          <w:szCs w:val="24"/>
        </w:rPr>
        <w:t>doi</w:t>
      </w:r>
      <w:proofErr w:type="spellEnd"/>
      <w:r w:rsidRPr="008B5CFD">
        <w:rPr>
          <w:rFonts w:ascii="Times New Roman" w:hAnsi="Times New Roman" w:cs="Times New Roman"/>
          <w:color w:val="000000"/>
          <w:sz w:val="24"/>
          <w:szCs w:val="24"/>
        </w:rPr>
        <w:t>: 10.1242/jeb.208702. PMID: 31537653</w:t>
      </w:r>
    </w:p>
    <w:p w14:paraId="6C61ADD8" w14:textId="77777777" w:rsidR="008B5CFD" w:rsidRPr="008B5CFD" w:rsidRDefault="008B5CFD" w:rsidP="008B5CFD">
      <w:pPr>
        <w:spacing w:after="240" w:line="312" w:lineRule="auto"/>
        <w:ind w:left="454" w:hanging="454"/>
        <w:jc w:val="both"/>
        <w:rPr>
          <w:rFonts w:ascii="Times New Roman" w:hAnsi="Times New Roman" w:cs="Times New Roman"/>
          <w:sz w:val="24"/>
          <w:szCs w:val="24"/>
        </w:rPr>
      </w:pPr>
      <w:r w:rsidRPr="008B5CFD">
        <w:rPr>
          <w:rFonts w:ascii="Times New Roman" w:hAnsi="Times New Roman" w:cs="Times New Roman"/>
          <w:color w:val="000000"/>
          <w:sz w:val="24"/>
          <w:szCs w:val="24"/>
        </w:rPr>
        <w:t>[10]</w:t>
      </w:r>
      <w:r w:rsidRPr="008B5CFD">
        <w:rPr>
          <w:rFonts w:ascii="Times New Roman" w:hAnsi="Times New Roman" w:cs="Times New Roman"/>
          <w:color w:val="000000"/>
          <w:sz w:val="24"/>
          <w:szCs w:val="24"/>
        </w:rPr>
        <w:tab/>
      </w:r>
      <w:proofErr w:type="spellStart"/>
      <w:r w:rsidRPr="008B5CFD">
        <w:rPr>
          <w:rFonts w:ascii="Times New Roman" w:hAnsi="Times New Roman" w:cs="Times New Roman"/>
          <w:sz w:val="24"/>
          <w:szCs w:val="24"/>
        </w:rPr>
        <w:t>Woud</w:t>
      </w:r>
      <w:proofErr w:type="spellEnd"/>
      <w:r w:rsidRPr="008B5CFD">
        <w:rPr>
          <w:rFonts w:ascii="Times New Roman" w:hAnsi="Times New Roman" w:cs="Times New Roman"/>
          <w:sz w:val="24"/>
          <w:szCs w:val="24"/>
        </w:rPr>
        <w:t xml:space="preserve"> WW, van der Pol E, Mul E, </w:t>
      </w:r>
      <w:proofErr w:type="spellStart"/>
      <w:r w:rsidRPr="008B5CFD">
        <w:rPr>
          <w:rFonts w:ascii="Times New Roman" w:hAnsi="Times New Roman" w:cs="Times New Roman"/>
          <w:sz w:val="24"/>
          <w:szCs w:val="24"/>
        </w:rPr>
        <w:t>Hoogduijn</w:t>
      </w:r>
      <w:proofErr w:type="spellEnd"/>
      <w:r w:rsidRPr="008B5CFD">
        <w:rPr>
          <w:rFonts w:ascii="Times New Roman" w:hAnsi="Times New Roman" w:cs="Times New Roman"/>
          <w:sz w:val="24"/>
          <w:szCs w:val="24"/>
        </w:rPr>
        <w:t xml:space="preserve"> MJ, Baan CC, Boer K, et al. An imaging flow cytometry-based methodology for the analysis of single extracellular vesicles in </w:t>
      </w:r>
      <w:r w:rsidRPr="008B5CFD">
        <w:rPr>
          <w:rFonts w:ascii="Times New Roman" w:hAnsi="Times New Roman" w:cs="Times New Roman"/>
          <w:sz w:val="24"/>
          <w:szCs w:val="24"/>
        </w:rPr>
        <w:lastRenderedPageBreak/>
        <w:t>unprocessed human plasma. Communications Biology. 2022;5(1). doi:10.1038/s42003-022-03569-5</w:t>
      </w:r>
    </w:p>
    <w:p w14:paraId="7A573678" w14:textId="77777777" w:rsidR="008B5CFD" w:rsidRPr="008B5CFD" w:rsidRDefault="008B5CFD" w:rsidP="008B5CFD">
      <w:pPr>
        <w:spacing w:after="240" w:line="312" w:lineRule="auto"/>
        <w:ind w:left="454" w:hanging="454"/>
        <w:jc w:val="both"/>
        <w:rPr>
          <w:rFonts w:ascii="Times New Roman" w:hAnsi="Times New Roman" w:cs="Times New Roman"/>
          <w:sz w:val="24"/>
          <w:szCs w:val="24"/>
        </w:rPr>
      </w:pPr>
      <w:r w:rsidRPr="008B5CFD">
        <w:rPr>
          <w:rFonts w:ascii="Times New Roman" w:hAnsi="Times New Roman" w:cs="Times New Roman"/>
          <w:color w:val="000000"/>
          <w:sz w:val="24"/>
          <w:szCs w:val="24"/>
        </w:rPr>
        <w:t>[11]</w:t>
      </w:r>
      <w:r w:rsidRPr="008B5CFD">
        <w:rPr>
          <w:rFonts w:ascii="Times New Roman" w:hAnsi="Times New Roman" w:cs="Times New Roman"/>
          <w:color w:val="000000"/>
          <w:sz w:val="24"/>
          <w:szCs w:val="24"/>
        </w:rPr>
        <w:tab/>
      </w:r>
      <w:r w:rsidRPr="008B5CFD">
        <w:rPr>
          <w:rFonts w:ascii="Times New Roman" w:hAnsi="Times New Roman" w:cs="Times New Roman"/>
          <w:sz w:val="24"/>
          <w:szCs w:val="24"/>
        </w:rPr>
        <w:t xml:space="preserve">Houghton JE, </w:t>
      </w:r>
      <w:proofErr w:type="spellStart"/>
      <w:r w:rsidRPr="008B5CFD">
        <w:rPr>
          <w:rFonts w:ascii="Times New Roman" w:hAnsi="Times New Roman" w:cs="Times New Roman"/>
          <w:sz w:val="24"/>
          <w:szCs w:val="24"/>
        </w:rPr>
        <w:t>Behnsen</w:t>
      </w:r>
      <w:proofErr w:type="spellEnd"/>
      <w:r w:rsidRPr="008B5CFD">
        <w:rPr>
          <w:rFonts w:ascii="Times New Roman" w:hAnsi="Times New Roman" w:cs="Times New Roman"/>
          <w:sz w:val="24"/>
          <w:szCs w:val="24"/>
        </w:rPr>
        <w:t xml:space="preserve"> J, Duller RA, Nichols TE, Worden RH. Particle size analysis: A comparison of laboratory-based techniques and their application to geoscience. Sedimentary Geology. 2024;464: 106607. </w:t>
      </w:r>
      <w:proofErr w:type="spellStart"/>
      <w:r w:rsidRPr="008B5CFD">
        <w:rPr>
          <w:rFonts w:ascii="Times New Roman" w:hAnsi="Times New Roman" w:cs="Times New Roman"/>
          <w:sz w:val="24"/>
          <w:szCs w:val="24"/>
        </w:rPr>
        <w:t>doi</w:t>
      </w:r>
      <w:proofErr w:type="spellEnd"/>
      <w:r w:rsidRPr="008B5CFD">
        <w:rPr>
          <w:rFonts w:ascii="Times New Roman" w:hAnsi="Times New Roman" w:cs="Times New Roman"/>
          <w:sz w:val="24"/>
          <w:szCs w:val="24"/>
        </w:rPr>
        <w:t>: 10.1016/j.sedgeo.2024.106607</w:t>
      </w:r>
    </w:p>
    <w:p w14:paraId="7ED1954C" w14:textId="77777777" w:rsidR="008B5CFD" w:rsidRPr="008B5CFD" w:rsidRDefault="008B5CFD" w:rsidP="008B5CFD">
      <w:pPr>
        <w:spacing w:after="240" w:line="312" w:lineRule="auto"/>
        <w:ind w:left="454" w:hanging="454"/>
        <w:jc w:val="both"/>
        <w:rPr>
          <w:rFonts w:ascii="Times New Roman" w:hAnsi="Times New Roman" w:cs="Times New Roman"/>
          <w:sz w:val="24"/>
          <w:szCs w:val="24"/>
        </w:rPr>
      </w:pPr>
      <w:r w:rsidRPr="008B5CFD">
        <w:rPr>
          <w:rFonts w:ascii="Times New Roman" w:hAnsi="Times New Roman" w:cs="Times New Roman"/>
          <w:sz w:val="24"/>
          <w:szCs w:val="24"/>
        </w:rPr>
        <w:t xml:space="preserve">[12] Rekowski A, </w:t>
      </w:r>
      <w:proofErr w:type="spellStart"/>
      <w:r w:rsidRPr="008B5CFD">
        <w:rPr>
          <w:rFonts w:ascii="Times New Roman" w:hAnsi="Times New Roman" w:cs="Times New Roman"/>
          <w:sz w:val="24"/>
          <w:szCs w:val="24"/>
        </w:rPr>
        <w:t>Langenkämper</w:t>
      </w:r>
      <w:proofErr w:type="spellEnd"/>
      <w:r w:rsidRPr="008B5CFD">
        <w:rPr>
          <w:rFonts w:ascii="Times New Roman" w:hAnsi="Times New Roman" w:cs="Times New Roman"/>
          <w:sz w:val="24"/>
          <w:szCs w:val="24"/>
        </w:rPr>
        <w:t xml:space="preserve"> G, Dier M, Wimmer MA, Scherf KA, </w:t>
      </w:r>
      <w:proofErr w:type="spellStart"/>
      <w:r w:rsidRPr="008B5CFD">
        <w:rPr>
          <w:rFonts w:ascii="Times New Roman" w:hAnsi="Times New Roman" w:cs="Times New Roman"/>
          <w:sz w:val="24"/>
          <w:szCs w:val="24"/>
        </w:rPr>
        <w:t>Zörb</w:t>
      </w:r>
      <w:proofErr w:type="spellEnd"/>
      <w:r w:rsidRPr="008B5CFD">
        <w:rPr>
          <w:rFonts w:ascii="Times New Roman" w:hAnsi="Times New Roman" w:cs="Times New Roman"/>
          <w:sz w:val="24"/>
          <w:szCs w:val="24"/>
        </w:rPr>
        <w:t xml:space="preserve"> C. Determination of soluble wheat protein fractions using the Bradford Assay. Cereal Chemistry. 2021 May 30;98(5):1059–65. doi:10.1002/cche.10447</w:t>
      </w:r>
    </w:p>
    <w:p w14:paraId="4959809E" w14:textId="77777777" w:rsidR="008B5CFD" w:rsidRPr="008B5CFD" w:rsidRDefault="008B5CFD" w:rsidP="008B5CFD">
      <w:pPr>
        <w:spacing w:after="240" w:line="312" w:lineRule="auto"/>
        <w:ind w:left="454" w:hanging="454"/>
        <w:jc w:val="both"/>
        <w:rPr>
          <w:rFonts w:ascii="Times New Roman" w:hAnsi="Times New Roman" w:cs="Times New Roman"/>
          <w:sz w:val="24"/>
          <w:szCs w:val="24"/>
        </w:rPr>
      </w:pPr>
      <w:r w:rsidRPr="008B5CFD">
        <w:rPr>
          <w:rFonts w:ascii="Times New Roman" w:hAnsi="Times New Roman" w:cs="Times New Roman"/>
          <w:sz w:val="24"/>
          <w:szCs w:val="24"/>
        </w:rPr>
        <w:t>[13]</w:t>
      </w:r>
      <w:r w:rsidRPr="008B5CFD">
        <w:rPr>
          <w:rFonts w:ascii="Times New Roman" w:hAnsi="Times New Roman" w:cs="Times New Roman"/>
          <w:sz w:val="24"/>
          <w:szCs w:val="24"/>
        </w:rPr>
        <w:tab/>
        <w:t>Zeev-Ben-</w:t>
      </w:r>
      <w:proofErr w:type="spellStart"/>
      <w:r w:rsidRPr="008B5CFD">
        <w:rPr>
          <w:rFonts w:ascii="Times New Roman" w:hAnsi="Times New Roman" w:cs="Times New Roman"/>
          <w:sz w:val="24"/>
          <w:szCs w:val="24"/>
        </w:rPr>
        <w:t>Mordehai</w:t>
      </w:r>
      <w:proofErr w:type="spellEnd"/>
      <w:r w:rsidRPr="008B5CFD">
        <w:rPr>
          <w:rFonts w:ascii="Times New Roman" w:hAnsi="Times New Roman" w:cs="Times New Roman"/>
          <w:sz w:val="24"/>
          <w:szCs w:val="24"/>
        </w:rPr>
        <w:t xml:space="preserve"> T, </w:t>
      </w:r>
      <w:proofErr w:type="spellStart"/>
      <w:r w:rsidRPr="008B5CFD">
        <w:rPr>
          <w:rFonts w:ascii="Times New Roman" w:hAnsi="Times New Roman" w:cs="Times New Roman"/>
          <w:sz w:val="24"/>
          <w:szCs w:val="24"/>
        </w:rPr>
        <w:t>Vasishtan</w:t>
      </w:r>
      <w:proofErr w:type="spellEnd"/>
      <w:r w:rsidRPr="008B5CFD">
        <w:rPr>
          <w:rFonts w:ascii="Times New Roman" w:hAnsi="Times New Roman" w:cs="Times New Roman"/>
          <w:sz w:val="24"/>
          <w:szCs w:val="24"/>
        </w:rPr>
        <w:t xml:space="preserve"> D, Siebert CA, Whittle C, Grünewald K. Extracellular vesicles: a platform for the structure determination of membrane proteins by cryo-EM. Structure. 2014;22(11):1687–92. </w:t>
      </w:r>
      <w:proofErr w:type="gramStart"/>
      <w:r w:rsidRPr="008B5CFD">
        <w:rPr>
          <w:rFonts w:ascii="Times New Roman" w:hAnsi="Times New Roman" w:cs="Times New Roman"/>
          <w:sz w:val="24"/>
          <w:szCs w:val="24"/>
        </w:rPr>
        <w:t>doi:10.1016/j.str</w:t>
      </w:r>
      <w:proofErr w:type="gramEnd"/>
      <w:r w:rsidRPr="008B5CFD">
        <w:rPr>
          <w:rFonts w:ascii="Times New Roman" w:hAnsi="Times New Roman" w:cs="Times New Roman"/>
          <w:sz w:val="24"/>
          <w:szCs w:val="24"/>
        </w:rPr>
        <w:t>.2014.09.005</w:t>
      </w:r>
    </w:p>
    <w:p w14:paraId="09A7F88E" w14:textId="77777777" w:rsidR="008B5CFD" w:rsidRPr="008B5CFD" w:rsidRDefault="008B5CFD" w:rsidP="008B5CFD">
      <w:pPr>
        <w:spacing w:after="240" w:line="312" w:lineRule="auto"/>
        <w:ind w:left="454" w:hanging="454"/>
        <w:jc w:val="both"/>
        <w:rPr>
          <w:rFonts w:ascii="Times New Roman" w:hAnsi="Times New Roman" w:cs="Times New Roman"/>
          <w:sz w:val="24"/>
          <w:szCs w:val="24"/>
        </w:rPr>
      </w:pPr>
      <w:r w:rsidRPr="008B5CFD">
        <w:rPr>
          <w:rFonts w:ascii="Times New Roman" w:hAnsi="Times New Roman" w:cs="Times New Roman"/>
          <w:sz w:val="24"/>
          <w:szCs w:val="24"/>
        </w:rPr>
        <w:t xml:space="preserve">[14] Emelyanov A, </w:t>
      </w:r>
      <w:proofErr w:type="spellStart"/>
      <w:r w:rsidRPr="008B5CFD">
        <w:rPr>
          <w:rFonts w:ascii="Times New Roman" w:hAnsi="Times New Roman" w:cs="Times New Roman"/>
          <w:sz w:val="24"/>
          <w:szCs w:val="24"/>
        </w:rPr>
        <w:t>Shtam</w:t>
      </w:r>
      <w:proofErr w:type="spellEnd"/>
      <w:r w:rsidRPr="008B5CFD">
        <w:rPr>
          <w:rFonts w:ascii="Times New Roman" w:hAnsi="Times New Roman" w:cs="Times New Roman"/>
          <w:sz w:val="24"/>
          <w:szCs w:val="24"/>
        </w:rPr>
        <w:t xml:space="preserve"> T, </w:t>
      </w:r>
      <w:proofErr w:type="spellStart"/>
      <w:r w:rsidRPr="008B5CFD">
        <w:rPr>
          <w:rFonts w:ascii="Times New Roman" w:hAnsi="Times New Roman" w:cs="Times New Roman"/>
          <w:sz w:val="24"/>
          <w:szCs w:val="24"/>
        </w:rPr>
        <w:t>Kamyshinsky</w:t>
      </w:r>
      <w:proofErr w:type="spellEnd"/>
      <w:r w:rsidRPr="008B5CFD">
        <w:rPr>
          <w:rFonts w:ascii="Times New Roman" w:hAnsi="Times New Roman" w:cs="Times New Roman"/>
          <w:sz w:val="24"/>
          <w:szCs w:val="24"/>
        </w:rPr>
        <w:t xml:space="preserve"> R, </w:t>
      </w:r>
      <w:proofErr w:type="spellStart"/>
      <w:r w:rsidRPr="008B5CFD">
        <w:rPr>
          <w:rFonts w:ascii="Times New Roman" w:hAnsi="Times New Roman" w:cs="Times New Roman"/>
          <w:sz w:val="24"/>
          <w:szCs w:val="24"/>
        </w:rPr>
        <w:t>Garaeva</w:t>
      </w:r>
      <w:proofErr w:type="spellEnd"/>
      <w:r w:rsidRPr="008B5CFD">
        <w:rPr>
          <w:rFonts w:ascii="Times New Roman" w:hAnsi="Times New Roman" w:cs="Times New Roman"/>
          <w:sz w:val="24"/>
          <w:szCs w:val="24"/>
        </w:rPr>
        <w:t xml:space="preserve"> L, </w:t>
      </w:r>
      <w:proofErr w:type="spellStart"/>
      <w:r w:rsidRPr="008B5CFD">
        <w:rPr>
          <w:rFonts w:ascii="Times New Roman" w:hAnsi="Times New Roman" w:cs="Times New Roman"/>
          <w:sz w:val="24"/>
          <w:szCs w:val="24"/>
        </w:rPr>
        <w:t>Verlov</w:t>
      </w:r>
      <w:proofErr w:type="spellEnd"/>
      <w:r w:rsidRPr="008B5CFD">
        <w:rPr>
          <w:rFonts w:ascii="Times New Roman" w:hAnsi="Times New Roman" w:cs="Times New Roman"/>
          <w:sz w:val="24"/>
          <w:szCs w:val="24"/>
        </w:rPr>
        <w:t xml:space="preserve"> N, </w:t>
      </w:r>
      <w:proofErr w:type="spellStart"/>
      <w:r w:rsidRPr="008B5CFD">
        <w:rPr>
          <w:rFonts w:ascii="Times New Roman" w:hAnsi="Times New Roman" w:cs="Times New Roman"/>
          <w:sz w:val="24"/>
          <w:szCs w:val="24"/>
        </w:rPr>
        <w:t>Miliukhina</w:t>
      </w:r>
      <w:proofErr w:type="spellEnd"/>
      <w:r w:rsidRPr="008B5CFD">
        <w:rPr>
          <w:rFonts w:ascii="Times New Roman" w:hAnsi="Times New Roman" w:cs="Times New Roman"/>
          <w:sz w:val="24"/>
          <w:szCs w:val="24"/>
        </w:rPr>
        <w:t xml:space="preserve"> I, et al. Cryo-electron microscopy of extracellular vesicles from cerebrospinal fluid. </w:t>
      </w:r>
      <w:proofErr w:type="spellStart"/>
      <w:r w:rsidRPr="008B5CFD">
        <w:rPr>
          <w:rFonts w:ascii="Times New Roman" w:hAnsi="Times New Roman" w:cs="Times New Roman"/>
          <w:sz w:val="24"/>
          <w:szCs w:val="24"/>
        </w:rPr>
        <w:t>PLoS</w:t>
      </w:r>
      <w:proofErr w:type="spellEnd"/>
      <w:r w:rsidRPr="008B5CFD">
        <w:rPr>
          <w:rFonts w:ascii="Times New Roman" w:hAnsi="Times New Roman" w:cs="Times New Roman"/>
          <w:sz w:val="24"/>
          <w:szCs w:val="24"/>
        </w:rPr>
        <w:t xml:space="preserve"> One. 2020;15(1</w:t>
      </w:r>
      <w:proofErr w:type="gramStart"/>
      <w:r w:rsidRPr="008B5CFD">
        <w:rPr>
          <w:rFonts w:ascii="Times New Roman" w:hAnsi="Times New Roman" w:cs="Times New Roman"/>
          <w:sz w:val="24"/>
          <w:szCs w:val="24"/>
        </w:rPr>
        <w:t>):e</w:t>
      </w:r>
      <w:proofErr w:type="gramEnd"/>
      <w:r w:rsidRPr="008B5CFD">
        <w:rPr>
          <w:rFonts w:ascii="Times New Roman" w:hAnsi="Times New Roman" w:cs="Times New Roman"/>
          <w:sz w:val="24"/>
          <w:szCs w:val="24"/>
        </w:rPr>
        <w:t xml:space="preserve">0227949. </w:t>
      </w:r>
      <w:proofErr w:type="gramStart"/>
      <w:r w:rsidRPr="008B5CFD">
        <w:rPr>
          <w:rFonts w:ascii="Times New Roman" w:hAnsi="Times New Roman" w:cs="Times New Roman"/>
          <w:sz w:val="24"/>
          <w:szCs w:val="24"/>
        </w:rPr>
        <w:t>doi:10.1371/journal.pone</w:t>
      </w:r>
      <w:proofErr w:type="gramEnd"/>
      <w:r w:rsidRPr="008B5CFD">
        <w:rPr>
          <w:rFonts w:ascii="Times New Roman" w:hAnsi="Times New Roman" w:cs="Times New Roman"/>
          <w:sz w:val="24"/>
          <w:szCs w:val="24"/>
        </w:rPr>
        <w:t>.0227949</w:t>
      </w:r>
    </w:p>
    <w:p w14:paraId="0BF71A2F" w14:textId="77777777" w:rsidR="008B5CFD" w:rsidRPr="008B5CFD" w:rsidRDefault="008B5CFD" w:rsidP="008B5CFD">
      <w:pPr>
        <w:spacing w:after="240" w:line="312" w:lineRule="auto"/>
        <w:ind w:left="454" w:hanging="454"/>
        <w:jc w:val="both"/>
        <w:rPr>
          <w:rFonts w:ascii="Times New Roman" w:hAnsi="Times New Roman" w:cs="Times New Roman"/>
          <w:color w:val="000000"/>
          <w:sz w:val="24"/>
          <w:szCs w:val="24"/>
        </w:rPr>
      </w:pPr>
      <w:r w:rsidRPr="008B5CFD">
        <w:rPr>
          <w:rFonts w:ascii="Times New Roman" w:hAnsi="Times New Roman" w:cs="Times New Roman"/>
          <w:sz w:val="24"/>
          <w:szCs w:val="24"/>
        </w:rPr>
        <w:t xml:space="preserve">[15] Welsh JA, Goberdhan DCI, O’Driscoll L, Buzas EI, </w:t>
      </w:r>
      <w:proofErr w:type="spellStart"/>
      <w:r w:rsidRPr="008B5CFD">
        <w:rPr>
          <w:rFonts w:ascii="Times New Roman" w:hAnsi="Times New Roman" w:cs="Times New Roman"/>
          <w:sz w:val="24"/>
          <w:szCs w:val="24"/>
        </w:rPr>
        <w:t>Blenkiron</w:t>
      </w:r>
      <w:proofErr w:type="spellEnd"/>
      <w:r w:rsidRPr="008B5CFD">
        <w:rPr>
          <w:rFonts w:ascii="Times New Roman" w:hAnsi="Times New Roman" w:cs="Times New Roman"/>
          <w:sz w:val="24"/>
          <w:szCs w:val="24"/>
        </w:rPr>
        <w:t xml:space="preserve"> C, </w:t>
      </w:r>
      <w:proofErr w:type="spellStart"/>
      <w:r w:rsidRPr="008B5CFD">
        <w:rPr>
          <w:rFonts w:ascii="Times New Roman" w:hAnsi="Times New Roman" w:cs="Times New Roman"/>
          <w:sz w:val="24"/>
          <w:szCs w:val="24"/>
        </w:rPr>
        <w:t>Bussolati</w:t>
      </w:r>
      <w:proofErr w:type="spellEnd"/>
      <w:r w:rsidRPr="008B5CFD">
        <w:rPr>
          <w:rFonts w:ascii="Times New Roman" w:hAnsi="Times New Roman" w:cs="Times New Roman"/>
          <w:sz w:val="24"/>
          <w:szCs w:val="24"/>
        </w:rPr>
        <w:t xml:space="preserve"> B, et al; MISEV Consortium; </w:t>
      </w:r>
      <w:proofErr w:type="spellStart"/>
      <w:r w:rsidRPr="008B5CFD">
        <w:rPr>
          <w:rFonts w:ascii="Times New Roman" w:hAnsi="Times New Roman" w:cs="Times New Roman"/>
          <w:sz w:val="24"/>
          <w:szCs w:val="24"/>
        </w:rPr>
        <w:t>Théry</w:t>
      </w:r>
      <w:proofErr w:type="spellEnd"/>
      <w:r w:rsidRPr="008B5CFD">
        <w:rPr>
          <w:rFonts w:ascii="Times New Roman" w:hAnsi="Times New Roman" w:cs="Times New Roman"/>
          <w:sz w:val="24"/>
          <w:szCs w:val="24"/>
        </w:rPr>
        <w:t xml:space="preserve"> C, Witwer KW. Minimal information for studies of extracellular vesicles (MISEV2023): From basic to advanced approaches. J </w:t>
      </w:r>
      <w:proofErr w:type="spellStart"/>
      <w:r w:rsidRPr="008B5CFD">
        <w:rPr>
          <w:rFonts w:ascii="Times New Roman" w:hAnsi="Times New Roman" w:cs="Times New Roman"/>
          <w:sz w:val="24"/>
          <w:szCs w:val="24"/>
        </w:rPr>
        <w:t>Extracell</w:t>
      </w:r>
      <w:proofErr w:type="spellEnd"/>
      <w:r w:rsidRPr="008B5CFD">
        <w:rPr>
          <w:rFonts w:ascii="Times New Roman" w:hAnsi="Times New Roman" w:cs="Times New Roman"/>
          <w:sz w:val="24"/>
          <w:szCs w:val="24"/>
        </w:rPr>
        <w:t xml:space="preserve"> Vesicles. 2024 Feb;13(2</w:t>
      </w:r>
      <w:proofErr w:type="gramStart"/>
      <w:r w:rsidRPr="008B5CFD">
        <w:rPr>
          <w:rFonts w:ascii="Times New Roman" w:hAnsi="Times New Roman" w:cs="Times New Roman"/>
          <w:sz w:val="24"/>
          <w:szCs w:val="24"/>
        </w:rPr>
        <w:t>):e</w:t>
      </w:r>
      <w:proofErr w:type="gramEnd"/>
      <w:r w:rsidRPr="008B5CFD">
        <w:rPr>
          <w:rFonts w:ascii="Times New Roman" w:hAnsi="Times New Roman" w:cs="Times New Roman"/>
          <w:sz w:val="24"/>
          <w:szCs w:val="24"/>
        </w:rPr>
        <w:t xml:space="preserve">12404. doi:10.1002/jev2.12404. Erratum in: J </w:t>
      </w:r>
      <w:proofErr w:type="spellStart"/>
      <w:r w:rsidRPr="008B5CFD">
        <w:rPr>
          <w:rFonts w:ascii="Times New Roman" w:hAnsi="Times New Roman" w:cs="Times New Roman"/>
          <w:sz w:val="24"/>
          <w:szCs w:val="24"/>
        </w:rPr>
        <w:t>Extracell</w:t>
      </w:r>
      <w:proofErr w:type="spellEnd"/>
      <w:r w:rsidRPr="008B5CFD">
        <w:rPr>
          <w:rFonts w:ascii="Times New Roman" w:hAnsi="Times New Roman" w:cs="Times New Roman"/>
          <w:sz w:val="24"/>
          <w:szCs w:val="24"/>
        </w:rPr>
        <w:t xml:space="preserve"> Vesicles. 2024 May;13(5</w:t>
      </w:r>
      <w:proofErr w:type="gramStart"/>
      <w:r w:rsidRPr="008B5CFD">
        <w:rPr>
          <w:rFonts w:ascii="Times New Roman" w:hAnsi="Times New Roman" w:cs="Times New Roman"/>
          <w:sz w:val="24"/>
          <w:szCs w:val="24"/>
        </w:rPr>
        <w:t>):e</w:t>
      </w:r>
      <w:proofErr w:type="gramEnd"/>
      <w:r w:rsidRPr="008B5CFD">
        <w:rPr>
          <w:rFonts w:ascii="Times New Roman" w:hAnsi="Times New Roman" w:cs="Times New Roman"/>
          <w:sz w:val="24"/>
          <w:szCs w:val="24"/>
        </w:rPr>
        <w:t>12451. doi:10.1002/jev2.12451</w:t>
      </w:r>
    </w:p>
    <w:p w14:paraId="6CBE1642" w14:textId="77777777" w:rsidR="008B5CFD" w:rsidRPr="00443906" w:rsidRDefault="008B5CFD" w:rsidP="008B5CFD">
      <w:pPr>
        <w:spacing w:after="240" w:line="360" w:lineRule="auto"/>
        <w:jc w:val="both"/>
        <w:rPr>
          <w:rFonts w:ascii="Times New Roman" w:hAnsi="Times New Roman" w:cs="Times New Roman"/>
          <w:sz w:val="24"/>
          <w:szCs w:val="24"/>
        </w:rPr>
      </w:pPr>
    </w:p>
    <w:p w14:paraId="4547B9AE" w14:textId="77777777" w:rsidR="008B5CFD" w:rsidRPr="008B5CFD" w:rsidRDefault="008B5CFD" w:rsidP="008B5CFD">
      <w:pPr>
        <w:spacing w:line="276" w:lineRule="auto"/>
        <w:jc w:val="both"/>
        <w:rPr>
          <w:rFonts w:ascii="Times New Roman" w:hAnsi="Times New Roman" w:cs="Times New Roman"/>
        </w:rPr>
      </w:pPr>
    </w:p>
    <w:p w14:paraId="690BE880" w14:textId="77777777" w:rsidR="007A50A0" w:rsidRPr="007A50A0" w:rsidRDefault="007A50A0" w:rsidP="00C87C83">
      <w:pPr>
        <w:spacing w:line="276" w:lineRule="auto"/>
        <w:jc w:val="both"/>
      </w:pPr>
    </w:p>
    <w:sectPr w:rsidR="007A50A0" w:rsidRPr="007A50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A0"/>
    <w:rsid w:val="000F296E"/>
    <w:rsid w:val="00113AEB"/>
    <w:rsid w:val="0038584E"/>
    <w:rsid w:val="00402405"/>
    <w:rsid w:val="00614EA2"/>
    <w:rsid w:val="00686477"/>
    <w:rsid w:val="006D4536"/>
    <w:rsid w:val="007A50A0"/>
    <w:rsid w:val="00861F3D"/>
    <w:rsid w:val="008B5CFD"/>
    <w:rsid w:val="00A152C6"/>
    <w:rsid w:val="00A60E62"/>
    <w:rsid w:val="00AE11F5"/>
    <w:rsid w:val="00B02CF7"/>
    <w:rsid w:val="00B32805"/>
    <w:rsid w:val="00C27308"/>
    <w:rsid w:val="00C87C83"/>
    <w:rsid w:val="00D1688E"/>
    <w:rsid w:val="00D24DB9"/>
    <w:rsid w:val="00D32C67"/>
    <w:rsid w:val="00DA699B"/>
    <w:rsid w:val="00DD2275"/>
    <w:rsid w:val="00E7425E"/>
    <w:rsid w:val="00F620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72A06"/>
  <w15:chartTrackingRefBased/>
  <w15:docId w15:val="{51F7729E-DB19-4FA7-BB9B-C7EE96DC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0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0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0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0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0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0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0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0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A0"/>
    <w:rPr>
      <w:rFonts w:eastAsiaTheme="majorEastAsia" w:cstheme="majorBidi"/>
      <w:color w:val="272727" w:themeColor="text1" w:themeTint="D8"/>
    </w:rPr>
  </w:style>
  <w:style w:type="paragraph" w:styleId="Title">
    <w:name w:val="Title"/>
    <w:basedOn w:val="Normal"/>
    <w:next w:val="Normal"/>
    <w:link w:val="TitleChar"/>
    <w:uiPriority w:val="10"/>
    <w:qFormat/>
    <w:rsid w:val="007A5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A0"/>
    <w:pPr>
      <w:spacing w:before="160"/>
      <w:jc w:val="center"/>
    </w:pPr>
    <w:rPr>
      <w:i/>
      <w:iCs/>
      <w:color w:val="404040" w:themeColor="text1" w:themeTint="BF"/>
    </w:rPr>
  </w:style>
  <w:style w:type="character" w:customStyle="1" w:styleId="QuoteChar">
    <w:name w:val="Quote Char"/>
    <w:basedOn w:val="DefaultParagraphFont"/>
    <w:link w:val="Quote"/>
    <w:uiPriority w:val="29"/>
    <w:rsid w:val="007A50A0"/>
    <w:rPr>
      <w:i/>
      <w:iCs/>
      <w:color w:val="404040" w:themeColor="text1" w:themeTint="BF"/>
    </w:rPr>
  </w:style>
  <w:style w:type="paragraph" w:styleId="ListParagraph">
    <w:name w:val="List Paragraph"/>
    <w:basedOn w:val="Normal"/>
    <w:uiPriority w:val="34"/>
    <w:qFormat/>
    <w:rsid w:val="007A50A0"/>
    <w:pPr>
      <w:ind w:left="720"/>
      <w:contextualSpacing/>
    </w:pPr>
  </w:style>
  <w:style w:type="character" w:styleId="IntenseEmphasis">
    <w:name w:val="Intense Emphasis"/>
    <w:basedOn w:val="DefaultParagraphFont"/>
    <w:uiPriority w:val="21"/>
    <w:qFormat/>
    <w:rsid w:val="007A50A0"/>
    <w:rPr>
      <w:i/>
      <w:iCs/>
      <w:color w:val="2F5496" w:themeColor="accent1" w:themeShade="BF"/>
    </w:rPr>
  </w:style>
  <w:style w:type="paragraph" w:styleId="IntenseQuote">
    <w:name w:val="Intense Quote"/>
    <w:basedOn w:val="Normal"/>
    <w:next w:val="Normal"/>
    <w:link w:val="IntenseQuoteChar"/>
    <w:uiPriority w:val="30"/>
    <w:qFormat/>
    <w:rsid w:val="007A50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0A0"/>
    <w:rPr>
      <w:i/>
      <w:iCs/>
      <w:color w:val="2F5496" w:themeColor="accent1" w:themeShade="BF"/>
    </w:rPr>
  </w:style>
  <w:style w:type="character" w:styleId="IntenseReference">
    <w:name w:val="Intense Reference"/>
    <w:basedOn w:val="DefaultParagraphFont"/>
    <w:uiPriority w:val="32"/>
    <w:qFormat/>
    <w:rsid w:val="007A50A0"/>
    <w:rPr>
      <w:b/>
      <w:bCs/>
      <w:smallCaps/>
      <w:color w:val="2F5496" w:themeColor="accent1" w:themeShade="BF"/>
      <w:spacing w:val="5"/>
    </w:rPr>
  </w:style>
  <w:style w:type="character" w:styleId="Hyperlink">
    <w:name w:val="Hyperlink"/>
    <w:basedOn w:val="DefaultParagraphFont"/>
    <w:uiPriority w:val="99"/>
    <w:unhideWhenUsed/>
    <w:rsid w:val="007A50A0"/>
    <w:rPr>
      <w:color w:val="0563C1" w:themeColor="hyperlink"/>
      <w:u w:val="single"/>
    </w:rPr>
  </w:style>
  <w:style w:type="character" w:styleId="UnresolvedMention">
    <w:name w:val="Unresolved Mention"/>
    <w:basedOn w:val="DefaultParagraphFont"/>
    <w:uiPriority w:val="99"/>
    <w:semiHidden/>
    <w:unhideWhenUsed/>
    <w:rsid w:val="007A50A0"/>
    <w:rPr>
      <w:color w:val="605E5C"/>
      <w:shd w:val="clear" w:color="auto" w:fill="E1DFDD"/>
    </w:rPr>
  </w:style>
  <w:style w:type="paragraph" w:styleId="NormalWeb">
    <w:name w:val="Normal (Web)"/>
    <w:basedOn w:val="Normal"/>
    <w:uiPriority w:val="99"/>
    <w:unhideWhenUsed/>
    <w:rsid w:val="00C87C8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leGrid">
    <w:name w:val="Table Grid"/>
    <w:basedOn w:val="TableNormal"/>
    <w:uiPriority w:val="39"/>
    <w:rsid w:val="008B5CFD"/>
    <w:pPr>
      <w:spacing w:after="0" w:line="240" w:lineRule="auto"/>
    </w:pPr>
    <w:rPr>
      <w:rFonts w:ascii="Angsana New" w:eastAsia="Angsana New" w:hAnsi="Angsana New" w:cs="Angsana New"/>
      <w:kern w:val="0"/>
      <w:sz w:val="32"/>
      <w:szCs w:val="32"/>
      <w:lang w:val="en-US"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tiff"/><Relationship Id="rId4" Type="http://schemas.openxmlformats.org/officeDocument/2006/relationships/hyperlink" Target="mailto:agus.limanto@ukrida.ac.id" TargetMode="External"/><Relationship Id="rId9" Type="http://schemas.openxmlformats.org/officeDocument/2006/relationships/image" Target="media/image5.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19</Pages>
  <Words>6701</Words>
  <Characters>38201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Lim</dc:creator>
  <cp:keywords/>
  <dc:description/>
  <cp:lastModifiedBy>Agus Lim</cp:lastModifiedBy>
  <cp:revision>13</cp:revision>
  <dcterms:created xsi:type="dcterms:W3CDTF">2026-05-11T12:19:00Z</dcterms:created>
  <dcterms:modified xsi:type="dcterms:W3CDTF">2026-06-26T01:31:00Z</dcterms:modified>
</cp:coreProperties>
</file>