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3250F" w14:textId="77777777" w:rsidR="00480F78" w:rsidRDefault="00000000">
      <w:pPr>
        <w:spacing w:line="480" w:lineRule="auto"/>
      </w:pPr>
      <w:r>
        <w:rPr>
          <w:b/>
        </w:rPr>
        <w:t>Review Article</w:t>
      </w:r>
    </w:p>
    <w:p w14:paraId="4E51868B" w14:textId="77777777" w:rsidR="00480F78" w:rsidRDefault="00000000">
      <w:pPr>
        <w:spacing w:line="480" w:lineRule="auto"/>
        <w:jc w:val="center"/>
      </w:pPr>
      <w:r>
        <w:rPr>
          <w:b/>
        </w:rPr>
        <w:t>Legal and Ethical Considerations for Integrating Forensic Odontology into Hospital Management Systems: A Review</w:t>
      </w:r>
    </w:p>
    <w:p w14:paraId="28A35106" w14:textId="77777777" w:rsidR="00480F78" w:rsidRDefault="00000000">
      <w:pPr>
        <w:bidi/>
        <w:spacing w:line="480" w:lineRule="auto"/>
        <w:jc w:val="right"/>
      </w:pPr>
      <w:r>
        <w:rPr>
          <w:b/>
          <w:rtl/>
        </w:rPr>
        <w:t>الاعتبارات القانونية والأخلاقية لإدماج طب الأسنان الشرعي في نظم إدارة المستشفيات: مراجعة</w:t>
      </w:r>
    </w:p>
    <w:p w14:paraId="1C681472" w14:textId="77777777" w:rsidR="00480F78" w:rsidRDefault="00000000">
      <w:pPr>
        <w:spacing w:line="480" w:lineRule="auto"/>
      </w:pPr>
      <w:r>
        <w:rPr>
          <w:b/>
        </w:rPr>
        <w:t>Abstract</w:t>
      </w:r>
    </w:p>
    <w:p w14:paraId="5FE514E8" w14:textId="77777777" w:rsidR="00480F78" w:rsidRDefault="00000000" w:rsidP="00972CBF">
      <w:pPr>
        <w:spacing w:line="480" w:lineRule="auto"/>
        <w:jc w:val="both"/>
      </w:pPr>
      <w:r>
        <w:t>Forensic odontology can support human identification, disaster victim identification, medico-legal reporting, and judicial investigation, yet its hospital implementation depends on more than technical dental expertise. This review examined legal, ethical, and governance considerations relevant to integrating forensic odontology into hospital management systems, with emphasis on dental records, confidentiality, consent, professional accountability, and institutional responsibility. Published literature, international disaster victim identification guidance, professional dental ethics statements, and Indonesian health, medical-record, and personal-data regulations were purposively reviewed and synthesized through normative legal and ethical analysis. The synthesis identified four interdependent requirements: lawful and traceable access to dental records, reliable documentation and evidence integrity, ethical separation between clinical and forensic roles, and hospital governance mechanisms that define authority, competence, confidentiality, and accountability. The review indicates that forensic-ready dental records and standard operating procedures can reduce medico-legal risk while protecting patient rights. Hospitals should therefore incorporate forensic odontology into clinical governance, medical-record policies, data-protection processes, ethics oversight, and disaster preparedness.</w:t>
      </w:r>
    </w:p>
    <w:p w14:paraId="725FEAA9" w14:textId="77777777" w:rsidR="00480F78" w:rsidRDefault="00000000" w:rsidP="00972CBF">
      <w:pPr>
        <w:bidi/>
        <w:spacing w:line="480" w:lineRule="auto"/>
        <w:jc w:val="both"/>
      </w:pPr>
      <w:r>
        <w:rPr>
          <w:b/>
          <w:rtl/>
        </w:rPr>
        <w:t>الملخص</w:t>
      </w:r>
    </w:p>
    <w:p w14:paraId="64BA4230" w14:textId="77777777" w:rsidR="00480F78" w:rsidRDefault="00000000" w:rsidP="00972CBF">
      <w:pPr>
        <w:bidi/>
        <w:spacing w:line="480" w:lineRule="auto"/>
        <w:jc w:val="both"/>
      </w:pPr>
      <w:r>
        <w:rPr>
          <w:rtl/>
        </w:rPr>
        <w:t xml:space="preserve">يمكن أن يسهم طب الأسنان الشرعي في تحديد الهوية، والتعرف إلى ضحايا الكوارث، وإعداد التقارير الطبية القانونية، ودعم التحقيقات القضائية، إلا أن تطبيقه داخل المستشفيات لا يعتمد على الخبرة السنية التقنية وحدها. استعرضت هذه المراجعة الاعتبارات القانونية والأخلاقية والحوكمية المرتبطة بإدماج طب الأسنان الشرعي في نظم إدارة المستشفيات، </w:t>
      </w:r>
      <w:r>
        <w:rPr>
          <w:rtl/>
        </w:rPr>
        <w:lastRenderedPageBreak/>
        <w:t>مع التركيز على السجلات السنية، والسرية، والموافقة المستنيرة، والمساءلة المهنية، والمسؤولية المؤسسية. تمت مراجعة الأدبيات المنشورة، وإرشادات التعرف إلى ضحايا الكوارث، وبيانات أخلاقيات مهنة طب الأسنان، والأنظمة الإندونيسية المتعلقة بالصحة والسجلات الطبية وحماية البيانات الشخصية، ثم تم توليفها من خلال تحليل قانوني وأخلاقي معياري. حددت المراجعة أربعة متطلبات مترابطة: الوصول القانوني والقابل للتتبع إلى السجلات السنية، وموثوقية التوثيق وسلامة الأدلة، والفصل الأخلاقي بين الدور السريري والدور الشرعي، وآليات الحوكمة التي تحدد السلطة والكفاءة والسرية والمساءلة. وتشير النتائج إلى أن السجلات السنية الجاهزة للاستخدام الشرعي والإجراءات التشغيلية المعيارية قد تقلل المخاطر الطبية القانونية مع حماية حقوق المرضى.</w:t>
      </w:r>
    </w:p>
    <w:p w14:paraId="588A21C0" w14:textId="77777777" w:rsidR="00480F78" w:rsidRDefault="00000000" w:rsidP="0049164B">
      <w:pPr>
        <w:spacing w:line="480" w:lineRule="auto"/>
        <w:jc w:val="both"/>
      </w:pPr>
      <w:r>
        <w:t>Keywords: forensic science; forensic odontology; hospital administration; medical law; professional ethics</w:t>
      </w:r>
    </w:p>
    <w:p w14:paraId="43964B12" w14:textId="77777777" w:rsidR="00480F78" w:rsidRDefault="00000000" w:rsidP="0049164B">
      <w:pPr>
        <w:spacing w:line="480" w:lineRule="auto"/>
        <w:jc w:val="both"/>
      </w:pPr>
      <w:r>
        <w:rPr>
          <w:b/>
        </w:rPr>
        <w:t>1. Introduction</w:t>
      </w:r>
    </w:p>
    <w:p w14:paraId="77CADB09" w14:textId="77777777" w:rsidR="00480F78" w:rsidRDefault="00000000" w:rsidP="0049164B">
      <w:pPr>
        <w:spacing w:line="480" w:lineRule="auto"/>
        <w:jc w:val="both"/>
      </w:pPr>
      <w:r>
        <w:t>Forensic odontology applies dental knowledge to identification, investigation, and legal proceedings. Its recognized applications include comparison of antemortem and postmortem dental data, disaster victim identification, age estimation, bite-mark assessment, documentation of oral injuries, and expert reporting in civil or criminal proceedings [1]. In disaster victim identification, dental data are internationally recognized as a primary source of identification when complete and reliable antemortem records are available [2]. Digital radiography, electronic dental records, three-dimensional imaging, and computational comparison tools have also expanded the potential role of forensic odontology in contemporary practice [3].</w:t>
      </w:r>
    </w:p>
    <w:p w14:paraId="3C41DEE2" w14:textId="77777777" w:rsidR="00480F78" w:rsidRDefault="00000000" w:rsidP="0049164B">
      <w:pPr>
        <w:spacing w:line="480" w:lineRule="auto"/>
        <w:jc w:val="both"/>
      </w:pPr>
      <w:r>
        <w:t xml:space="preserve">Despite this technical value, forensic odontology is often treated as a specialist service activated after a medico-legal event rather than as a function that should be prepared within hospital governance. Hospitals and dental services routinely generate clinical notes, odontograms, radiographs, photographs, treatment histories, and consent records. These materials may later become forensic evidence. Their usefulness depends not only on clinical accuracy but also on retrievability, authenticity, provenance, confidentiality, and the legality </w:t>
      </w:r>
      <w:r>
        <w:lastRenderedPageBreak/>
        <w:t>of disclosure. Surveys from Croatia and Pakistan have reported deficiencies in awareness and maintenance of dental records, indicating that record quality and forensic preparedness remain practical concerns for dental institutions [4,5].</w:t>
      </w:r>
    </w:p>
    <w:p w14:paraId="46104C42" w14:textId="77777777" w:rsidR="00480F78" w:rsidRDefault="00000000" w:rsidP="0049164B">
      <w:pPr>
        <w:spacing w:line="480" w:lineRule="auto"/>
        <w:jc w:val="both"/>
      </w:pPr>
      <w:r>
        <w:t>The problem is therefore not whether forensic odontology has scientific value, but how hospitals should govern its use. Forensic dental evidence may affect the rights of patients, deceased persons, families, suspects, and institutions. A hospital may be asked to release records, provide expert support, cooperate with investigators, or contribute to disaster response. Without clear policies, clinicians and administrators may face uncertainty about who can authorize disclosure, how copies should be authenticated, how confidentiality should be protected, and how the treating dentist’s role should be distinguished from independent forensic interpretation.</w:t>
      </w:r>
    </w:p>
    <w:p w14:paraId="7A4A56BE" w14:textId="77777777" w:rsidR="00480F78" w:rsidRDefault="00000000" w:rsidP="0049164B">
      <w:pPr>
        <w:spacing w:line="480" w:lineRule="auto"/>
        <w:jc w:val="both"/>
      </w:pPr>
      <w:r>
        <w:t>The aim of this review is to analyze the legal, ethical, and governance considerations required for integrating forensic odontology into hospital management systems. The review focuses on dental record governance, lawful disclosure, evidence integrity, professional independence, informed consent, confidentiality, and institutional accountability. Although the analysis uses Indonesian health and data-protection regulation as a policy context, the governance principles discussed are relevant to hospitals in other jurisdictions where dental information may be used for medico-legal purposes.</w:t>
      </w:r>
    </w:p>
    <w:p w14:paraId="10EE9DE7" w14:textId="77777777" w:rsidR="00480F78" w:rsidRDefault="00000000" w:rsidP="0049164B">
      <w:pPr>
        <w:spacing w:line="480" w:lineRule="auto"/>
        <w:jc w:val="both"/>
      </w:pPr>
      <w:r>
        <w:rPr>
          <w:b/>
        </w:rPr>
        <w:t>2. Materials and Methods</w:t>
      </w:r>
    </w:p>
    <w:p w14:paraId="2D2C6988" w14:textId="77777777" w:rsidR="00480F78" w:rsidRDefault="00000000" w:rsidP="0049164B">
      <w:pPr>
        <w:spacing w:line="480" w:lineRule="auto"/>
        <w:jc w:val="both"/>
      </w:pPr>
      <w:r>
        <w:t>This review used a purposive literature and normative document analysis rather than a systematic review design. The materials included published literature on forensic odontology, dental record maintenance, digital forensic dentistry, hospital governance, and professional ethics, together with international disaster victim identification guidance, professional dental ethics statements, and selected Indonesian statutes and regulations governing health services, medical records, personal data protection, and hospital accountability.</w:t>
      </w:r>
    </w:p>
    <w:p w14:paraId="1BD94C3E" w14:textId="77777777" w:rsidR="00480F78" w:rsidRDefault="00000000" w:rsidP="0049164B">
      <w:pPr>
        <w:spacing w:line="480" w:lineRule="auto"/>
        <w:jc w:val="both"/>
      </w:pPr>
      <w:r>
        <w:lastRenderedPageBreak/>
        <w:t>The legal documents considered included Law No. 17 of 2023 on Health, its implementing regulation, the regulation on medical records, and the personal data protection law [6-9]. Professional and ethical materials included dental ethics guidance, biomedical ethics principles, and patient-rights statements [10-12]. Governance and forensic practice materials included hospital governance literature and international disaster victim identification guidance [2,13,14]. Materials were selected because they addressed at least one of the following domains: dental record quality, lawful access and disclosure, privacy, institutional accountability, professional independence, evidence integrity, or ethics in medico-legal practice.</w:t>
      </w:r>
    </w:p>
    <w:p w14:paraId="7A4EA516" w14:textId="77777777" w:rsidR="00480F78" w:rsidRDefault="00000000" w:rsidP="0049164B">
      <w:pPr>
        <w:spacing w:line="480" w:lineRule="auto"/>
        <w:jc w:val="both"/>
      </w:pPr>
      <w:r>
        <w:t>The analysis proceeded in three steps. First, legal and professional duties relevant to dental information were identified. Second, ethical issues were interpreted using the principles of autonomy, beneficence, non-maleficence, and justice [11]. Third, the findings were synthesized into a practical governance framework for hospitals. Because no human participants, human tissue, deceased individuals, identifiable clinical records, surveys, or animals were involved, ethical approval and informed consent were not required for this review. The review was conducted in accordance with general publication-ethics expectations for transparent reporting of non-interventional scholarly work [15].</w:t>
      </w:r>
    </w:p>
    <w:p w14:paraId="36203088" w14:textId="77777777" w:rsidR="00480F78" w:rsidRDefault="00000000" w:rsidP="0049164B">
      <w:pPr>
        <w:spacing w:line="480" w:lineRule="auto"/>
        <w:jc w:val="both"/>
      </w:pPr>
      <w:r>
        <w:rPr>
          <w:b/>
        </w:rPr>
        <w:t>3. Results</w:t>
      </w:r>
    </w:p>
    <w:p w14:paraId="0BF2AED8" w14:textId="77777777" w:rsidR="00480F78" w:rsidRDefault="00000000" w:rsidP="0049164B">
      <w:pPr>
        <w:spacing w:line="480" w:lineRule="auto"/>
        <w:jc w:val="both"/>
      </w:pPr>
      <w:r>
        <w:t>The synthesis identified four interdependent findings. First, hospital-based forensic odontology depends on dental records that are complete, attributable, retrievable, and protected from unauthorized alteration. A dental record that lacks clinical detail, date, clinician attribution, or reliable imaging is less useful for forensic comparison, even if it is available. Conversely, a record that is accurate but poorly governed may create privacy and evidentiary problems when it is disclosed informally or without traceability.</w:t>
      </w:r>
    </w:p>
    <w:p w14:paraId="782A5B59" w14:textId="77777777" w:rsidR="00480F78" w:rsidRDefault="00000000" w:rsidP="0049164B">
      <w:pPr>
        <w:spacing w:line="480" w:lineRule="auto"/>
        <w:jc w:val="both"/>
      </w:pPr>
      <w:r>
        <w:lastRenderedPageBreak/>
        <w:t>Second, lawful disclosure must be distinguished from routine clinical access. Dental records are health information and may include highly identifying images or observations. Their release for forensic or investigative purposes should therefore be based on a documented authority, request, or legal justification. The decision should be necessary and proportionate to the purpose of disclosure, and the hospital should be able to trace who requested, authorized, copied, transferred, and received the information.</w:t>
      </w:r>
    </w:p>
    <w:p w14:paraId="0BFF5F18" w14:textId="77777777" w:rsidR="00480F78" w:rsidRDefault="00000000" w:rsidP="0049164B">
      <w:pPr>
        <w:spacing w:line="480" w:lineRule="auto"/>
        <w:jc w:val="both"/>
      </w:pPr>
      <w:r>
        <w:t>Third, clinical and forensic roles should not be conflated. Treating dentists have duties of patient care, confidentiality, and accurate factual documentation. Forensic experts may provide independent interpretation, comparison, and opinion for legal processes. When one person or institution performs both functions, the scope of each role should be explicitly documented. This separation reduces the risk of biased interpretation, protects professional independence, and clarifies the evidentiary limits of expert statements.</w:t>
      </w:r>
    </w:p>
    <w:p w14:paraId="5EEFD5A3" w14:textId="77777777" w:rsidR="00480F78" w:rsidRDefault="00000000" w:rsidP="0049164B">
      <w:pPr>
        <w:spacing w:line="480" w:lineRule="auto"/>
        <w:jc w:val="both"/>
      </w:pPr>
      <w:r>
        <w:t>Fourth, forensic odontology requires a governance pathway rather than an ad hoc response. The minimum requirements include a written service mandate, credentialed expertise, standardized dental record practices, evidence-integrity procedures, lawful disclosure protocols, ethics oversight, and training or audit mechanisms. A practical framework is summarized in Table-1.</w:t>
      </w:r>
    </w:p>
    <w:p w14:paraId="31E3B7B7" w14:textId="77777777" w:rsidR="00480F78" w:rsidRDefault="00000000" w:rsidP="0049164B">
      <w:pPr>
        <w:spacing w:line="480" w:lineRule="auto"/>
        <w:jc w:val="both"/>
      </w:pPr>
      <w:r>
        <w:rPr>
          <w:b/>
        </w:rPr>
        <w:t>4. Discussion</w:t>
      </w:r>
    </w:p>
    <w:p w14:paraId="080BB7BB" w14:textId="77777777" w:rsidR="00480F78" w:rsidRDefault="00000000" w:rsidP="0049164B">
      <w:pPr>
        <w:spacing w:line="480" w:lineRule="auto"/>
        <w:jc w:val="both"/>
      </w:pPr>
      <w:r>
        <w:rPr>
          <w:b/>
          <w:i/>
        </w:rPr>
        <w:t>Forensic odontology as a hospital governance function</w:t>
      </w:r>
    </w:p>
    <w:p w14:paraId="44944904" w14:textId="77777777" w:rsidR="00480F78" w:rsidRDefault="00000000" w:rsidP="0049164B">
      <w:pPr>
        <w:spacing w:line="480" w:lineRule="auto"/>
        <w:jc w:val="both"/>
      </w:pPr>
      <w:r>
        <w:t>The findings support the view that forensic odontology should be treated as a governed hospital capability rather than an occasional expert request. Hospitals already manage clinical risk, documentation, patient safety, privacy, and medico-legal communication. Forensic dental information sits at the intersection of these areas. If hospitals wait until a disaster, legal request, or unidentified patient event occurs, the quality of the forensic response will depend on records and systems that were built earlier for ordinary clinical purposes.</w:t>
      </w:r>
    </w:p>
    <w:p w14:paraId="07C1EE41" w14:textId="77777777" w:rsidR="00480F78" w:rsidRDefault="00000000" w:rsidP="0049164B">
      <w:pPr>
        <w:spacing w:line="480" w:lineRule="auto"/>
        <w:jc w:val="both"/>
      </w:pPr>
      <w:r>
        <w:lastRenderedPageBreak/>
        <w:t>International disaster victim identification guidance reinforces the importance of standardized antemortem and postmortem information and quality management [2,14]. Hospitals are not always the lead forensic authority, but they are often the source of antemortem dental data and may serve as points of coordination during emergencies. A hospital that can retrieve, authenticate, and transmit dental information through a controlled pathway contributes directly to identification reliability and procedural fairness.</w:t>
      </w:r>
    </w:p>
    <w:p w14:paraId="35DDF840" w14:textId="77777777" w:rsidR="00480F78" w:rsidRDefault="00000000" w:rsidP="0049164B">
      <w:pPr>
        <w:spacing w:line="480" w:lineRule="auto"/>
        <w:jc w:val="both"/>
      </w:pPr>
      <w:r>
        <w:rPr>
          <w:b/>
          <w:i/>
        </w:rPr>
        <w:t>Legal authority, confidentiality, and data protection</w:t>
      </w:r>
    </w:p>
    <w:p w14:paraId="1F89716A" w14:textId="77777777" w:rsidR="00480F78" w:rsidRDefault="00000000" w:rsidP="0049164B">
      <w:pPr>
        <w:spacing w:line="480" w:lineRule="auto"/>
        <w:jc w:val="both"/>
      </w:pPr>
      <w:r>
        <w:t>The legal basis for using dental records in medico-legal processes should be clear before disclosure occurs. Health law and medical-record regulation provide a foundation for documentation duties and institutional accountability, while personal-data regulation strengthens the need for confidentiality, purpose limitation, and controlled processing of sensitive health information [6-9]. These duties do not prevent forensic use of records, but they require hospitals to make disclosure lawful, documented, and limited to what is necessary.</w:t>
      </w:r>
    </w:p>
    <w:p w14:paraId="76D0B1E4" w14:textId="77777777" w:rsidR="00480F78" w:rsidRDefault="00000000" w:rsidP="0049164B">
      <w:pPr>
        <w:spacing w:line="480" w:lineRule="auto"/>
        <w:jc w:val="both"/>
      </w:pPr>
      <w:r>
        <w:t>Consent remains ethically important, particularly when the patient is alive and disclosure is not otherwise legally compelled. However, forensic contexts may also involve court orders, law-enforcement requests, disaster victim identification, or deceased individuals. In these circumstances, the ethical task is to balance autonomy and confidentiality with justice, public safety, and the legitimate needs of investigation. This balance is easier to justify when the hospital has a written pathway that specifies the legal basis for disclosure, the records released, and the person responsible for authorizing release.</w:t>
      </w:r>
    </w:p>
    <w:p w14:paraId="3F45757C" w14:textId="77777777" w:rsidR="00480F78" w:rsidRDefault="00000000" w:rsidP="0049164B">
      <w:pPr>
        <w:spacing w:line="480" w:lineRule="auto"/>
        <w:jc w:val="both"/>
      </w:pPr>
      <w:r>
        <w:rPr>
          <w:b/>
          <w:i/>
        </w:rPr>
        <w:t>Professional ethics and expert independence</w:t>
      </w:r>
    </w:p>
    <w:p w14:paraId="66B8E10C" w14:textId="77777777" w:rsidR="00480F78" w:rsidRDefault="00000000" w:rsidP="0049164B">
      <w:pPr>
        <w:spacing w:line="480" w:lineRule="auto"/>
        <w:jc w:val="both"/>
      </w:pPr>
      <w:r>
        <w:t xml:space="preserve">Forensic odontologists must present observations and opinions in a way that is objective, transparent, and limited by the available evidence. Ethical principles require that the expert avoids overstating certainty, discloses relevant limitations, and differentiates factual record </w:t>
      </w:r>
      <w:r>
        <w:lastRenderedPageBreak/>
        <w:t>content from interpretation. Dental ethics guidance emphasizes professional responsibility, patient interests, confidentiality, and the avoidance of harm [10,12]. These values remain relevant even when the purpose of the work is legal rather than therapeutic.</w:t>
      </w:r>
    </w:p>
    <w:p w14:paraId="5D9E82BE" w14:textId="77777777" w:rsidR="00480F78" w:rsidRDefault="00000000" w:rsidP="0049164B">
      <w:pPr>
        <w:spacing w:line="480" w:lineRule="auto"/>
        <w:jc w:val="both"/>
      </w:pPr>
      <w:r>
        <w:t>Role conflict is a practical risk. A treating dentist may feel pressure to support the institution, assist an investigator, or defend earlier documentation. Conversely, a forensic expert may be asked to interpret records produced by colleagues. Hospitals can reduce this risk by defining when an internal clinician may provide factual clarification and when independent forensic consultation is required. Expert reports should identify the records reviewed, the method used, the limitations of the available material, and the degree of certainty that can be supported.</w:t>
      </w:r>
    </w:p>
    <w:p w14:paraId="250A96C1" w14:textId="77777777" w:rsidR="00480F78" w:rsidRDefault="00000000" w:rsidP="0049164B">
      <w:pPr>
        <w:spacing w:line="480" w:lineRule="auto"/>
        <w:jc w:val="both"/>
      </w:pPr>
      <w:r>
        <w:rPr>
          <w:b/>
          <w:i/>
        </w:rPr>
        <w:t>Digital records and evidence integrity</w:t>
      </w:r>
    </w:p>
    <w:p w14:paraId="22463AE3" w14:textId="77777777" w:rsidR="00480F78" w:rsidRDefault="00000000" w:rsidP="0049164B">
      <w:pPr>
        <w:spacing w:line="480" w:lineRule="auto"/>
        <w:jc w:val="both"/>
      </w:pPr>
      <w:r>
        <w:t>Digital systems create opportunities and vulnerabilities. Electronic records, radiographs, photographs, and three-dimensional data can improve retrieval and comparison, but they can also be duplicated, exported, altered, or transmitted without adequate controls. Digital forensic readiness therefore requires access logs, audit trails, retention policies, version control, secure export procedures, and metadata preservation. The forensic value of a digital record depends on whether the hospital can demonstrate its source, integrity, and chain of handling.</w:t>
      </w:r>
    </w:p>
    <w:p w14:paraId="7B4DE8F5" w14:textId="77777777" w:rsidR="00480F78" w:rsidRDefault="00000000" w:rsidP="0049164B">
      <w:pPr>
        <w:spacing w:line="480" w:lineRule="auto"/>
        <w:jc w:val="both"/>
      </w:pPr>
      <w:r>
        <w:t>Interoperability should also be considered. Dental information is often stored separately from general hospital records. A hospital does not necessarily need a full forensic odontology unit, but it should know where dental records are stored, who controls access, how records can be exported, and how they can be provided to an authorized forensic authority without compromising privacy or data integrity.</w:t>
      </w:r>
    </w:p>
    <w:p w14:paraId="76EEFEAE" w14:textId="77777777" w:rsidR="00480F78" w:rsidRDefault="00000000" w:rsidP="0049164B">
      <w:pPr>
        <w:spacing w:line="480" w:lineRule="auto"/>
        <w:jc w:val="both"/>
      </w:pPr>
      <w:r>
        <w:rPr>
          <w:b/>
          <w:i/>
        </w:rPr>
        <w:t>Implementation priorities and limitations</w:t>
      </w:r>
    </w:p>
    <w:p w14:paraId="49AD46D5" w14:textId="77777777" w:rsidR="00480F78" w:rsidRDefault="00000000" w:rsidP="0049164B">
      <w:pPr>
        <w:spacing w:line="480" w:lineRule="auto"/>
        <w:jc w:val="both"/>
      </w:pPr>
      <w:r>
        <w:lastRenderedPageBreak/>
        <w:t>A proportionate implementation model is preferable. Large tertiary hospitals may maintain formal forensic liaison roles, simulation exercises, and specialist referral agreements. Smaller hospitals may adopt a policy that defines activation criteria, record-release procedures, and external referral pathways. In both settings, training is essential because administrative staff, medical-record officers, information-technology personnel, dental clinicians, legal units, and ethics committees all influence the quality of the response.</w:t>
      </w:r>
    </w:p>
    <w:p w14:paraId="17832955" w14:textId="77777777" w:rsidR="00480F78" w:rsidRDefault="00000000" w:rsidP="0049164B">
      <w:pPr>
        <w:spacing w:line="480" w:lineRule="auto"/>
        <w:jc w:val="both"/>
      </w:pPr>
      <w:r>
        <w:t>This review has limitations. It is based on legal and ethical synthesis rather than empirical observation of hospital practice. The Indonesian legal context was used to illustrate regulatory duties, so application in other jurisdictions should be adapted to local laws on health information, privacy, expert evidence, and death investigation. Future studies should examine the readiness of hospitals to manage forensic dental records, the availability of trained forensic odontologists, and the effectiveness of standard operating procedures in real medico-legal and disaster-response settings.</w:t>
      </w:r>
    </w:p>
    <w:p w14:paraId="1DD54E17" w14:textId="77777777" w:rsidR="00480F78" w:rsidRDefault="00000000" w:rsidP="0049164B">
      <w:pPr>
        <w:spacing w:line="480" w:lineRule="auto"/>
        <w:jc w:val="both"/>
      </w:pPr>
      <w:r>
        <w:rPr>
          <w:b/>
        </w:rPr>
        <w:t>5. Conclusion</w:t>
      </w:r>
    </w:p>
    <w:p w14:paraId="1B218247" w14:textId="77777777" w:rsidR="00480F78" w:rsidRDefault="00000000" w:rsidP="0049164B">
      <w:pPr>
        <w:spacing w:line="480" w:lineRule="auto"/>
        <w:jc w:val="both"/>
      </w:pPr>
      <w:r>
        <w:t>Forensic odontology can strengthen identification, legal investigation, disaster response, and institutional accountability, but its hospital use must be legally authorized, ethically defensible, and operationally traceable. This review shows that the key requirements are reliable dental records, lawful and proportionate disclosure, separation of clinical and forensic roles, evidence-integrity procedures, and governance mechanisms that define authority and accountability. Hospitals should incorporate forensic odontology into medical-record policy, data-protection practice, ethics oversight, staff training, and disaster preparedness. Such integration can reduce medico-legal risk while protecting patient rights and supporting justice.</w:t>
      </w:r>
    </w:p>
    <w:p w14:paraId="6F8FA0ED" w14:textId="77777777" w:rsidR="00480F78" w:rsidRDefault="00000000" w:rsidP="0049164B">
      <w:pPr>
        <w:spacing w:line="480" w:lineRule="auto"/>
        <w:jc w:val="both"/>
      </w:pPr>
      <w:r>
        <w:rPr>
          <w:b/>
        </w:rPr>
        <w:t>Acknowledgments</w:t>
      </w:r>
    </w:p>
    <w:p w14:paraId="741D9AB5" w14:textId="77777777" w:rsidR="00480F78" w:rsidRDefault="00000000" w:rsidP="0049164B">
      <w:pPr>
        <w:spacing w:line="480" w:lineRule="auto"/>
        <w:jc w:val="both"/>
      </w:pPr>
      <w:r>
        <w:t>None.</w:t>
      </w:r>
    </w:p>
    <w:p w14:paraId="2EC50046" w14:textId="77777777" w:rsidR="00480F78" w:rsidRDefault="00000000" w:rsidP="0049164B">
      <w:pPr>
        <w:spacing w:line="480" w:lineRule="auto"/>
        <w:jc w:val="both"/>
      </w:pPr>
      <w:r>
        <w:rPr>
          <w:b/>
        </w:rPr>
        <w:lastRenderedPageBreak/>
        <w:t>Financial support</w:t>
      </w:r>
    </w:p>
    <w:p w14:paraId="56A85445" w14:textId="77777777" w:rsidR="00480F78" w:rsidRDefault="00000000" w:rsidP="0049164B">
      <w:pPr>
        <w:spacing w:line="480" w:lineRule="auto"/>
        <w:jc w:val="both"/>
      </w:pPr>
      <w:r>
        <w:t>No external funding was received for this work.</w:t>
      </w:r>
    </w:p>
    <w:p w14:paraId="12B5C8EA" w14:textId="77777777" w:rsidR="00480F78" w:rsidRDefault="00000000" w:rsidP="0049164B">
      <w:pPr>
        <w:spacing w:line="480" w:lineRule="auto"/>
        <w:jc w:val="both"/>
      </w:pPr>
      <w:r>
        <w:rPr>
          <w:b/>
        </w:rPr>
        <w:t>Conflicts of interest</w:t>
      </w:r>
    </w:p>
    <w:p w14:paraId="62E9776C" w14:textId="77777777" w:rsidR="00480F78" w:rsidRDefault="00000000" w:rsidP="0049164B">
      <w:pPr>
        <w:spacing w:line="480" w:lineRule="auto"/>
        <w:jc w:val="both"/>
      </w:pPr>
      <w:r>
        <w:t>The authors declare no conflicts of interest.</w:t>
      </w:r>
    </w:p>
    <w:p w14:paraId="31974FD7" w14:textId="77777777" w:rsidR="00480F78" w:rsidRDefault="00000000" w:rsidP="0049164B">
      <w:pPr>
        <w:spacing w:line="480" w:lineRule="auto"/>
        <w:jc w:val="both"/>
      </w:pPr>
      <w:r>
        <w:rPr>
          <w:b/>
        </w:rPr>
        <w:t>Ethical approval</w:t>
      </w:r>
    </w:p>
    <w:p w14:paraId="14DEAA46" w14:textId="77777777" w:rsidR="00480F78" w:rsidRDefault="00000000" w:rsidP="0049164B">
      <w:pPr>
        <w:spacing w:line="480" w:lineRule="auto"/>
        <w:jc w:val="both"/>
      </w:pPr>
      <w:r>
        <w:t>Ethical approval was not required because this review used only published literature, professional guidance, and publicly available legal or policy documents. It did not involve human participants, human data, surveys, deceased individuals, clinical records, human tissue, or animals.</w:t>
      </w:r>
    </w:p>
    <w:p w14:paraId="3D36F7A0" w14:textId="77777777" w:rsidR="00480F78" w:rsidRDefault="00000000" w:rsidP="0049164B">
      <w:pPr>
        <w:spacing w:line="480" w:lineRule="auto"/>
        <w:jc w:val="both"/>
      </w:pPr>
      <w:r>
        <w:rPr>
          <w:b/>
        </w:rPr>
        <w:t>Data availability</w:t>
      </w:r>
    </w:p>
    <w:p w14:paraId="00C697CF" w14:textId="77777777" w:rsidR="00480F78" w:rsidRDefault="00000000" w:rsidP="0049164B">
      <w:pPr>
        <w:spacing w:line="480" w:lineRule="auto"/>
        <w:jc w:val="both"/>
      </w:pPr>
      <w:r>
        <w:t>No primary dataset was generated or analyzed. All materials discussed in this review are available from the cited literature, guidance documents, and legal or policy sources.</w:t>
      </w:r>
    </w:p>
    <w:p w14:paraId="5DBA9C24" w14:textId="77777777" w:rsidR="00480F78" w:rsidRDefault="00000000" w:rsidP="0049164B">
      <w:pPr>
        <w:spacing w:line="480" w:lineRule="auto"/>
        <w:jc w:val="both"/>
      </w:pPr>
      <w:r>
        <w:rPr>
          <w:b/>
        </w:rPr>
        <w:t>Artificial intelligence disclosure</w:t>
      </w:r>
    </w:p>
    <w:p w14:paraId="5B04F6E8" w14:textId="77777777" w:rsidR="00480F78" w:rsidRDefault="00000000" w:rsidP="0049164B">
      <w:pPr>
        <w:spacing w:line="480" w:lineRule="auto"/>
        <w:jc w:val="both"/>
      </w:pPr>
      <w:r>
        <w:t>AI-assisted tools were used only for language editing, formatting support, and manuscript organization. The authors critically reviewed, verified, and approved the final content and remain fully responsible for the accuracy and integrity of the manuscript.</w:t>
      </w:r>
    </w:p>
    <w:p w14:paraId="688101D0" w14:textId="77777777" w:rsidR="00480F78" w:rsidRDefault="00000000" w:rsidP="0049164B">
      <w:pPr>
        <w:spacing w:line="480" w:lineRule="auto"/>
        <w:jc w:val="both"/>
      </w:pPr>
      <w:r>
        <w:rPr>
          <w:b/>
        </w:rPr>
        <w:t>References</w:t>
      </w:r>
    </w:p>
    <w:p w14:paraId="382F791B" w14:textId="34B20904" w:rsidR="00480F78" w:rsidRDefault="00000000" w:rsidP="00A017FA">
      <w:pPr>
        <w:pStyle w:val="ListParagraph"/>
        <w:numPr>
          <w:ilvl w:val="0"/>
          <w:numId w:val="3"/>
        </w:numPr>
        <w:spacing w:line="480" w:lineRule="auto"/>
        <w:ind w:left="426" w:hanging="426"/>
        <w:jc w:val="both"/>
      </w:pPr>
      <w:r>
        <w:t>David TJ, Lewis JM. Forensic odontology: principles and practice. Amsterdam: Elsevier; 2018.</w:t>
      </w:r>
    </w:p>
    <w:p w14:paraId="1045D3E8" w14:textId="4CBDE35B" w:rsidR="00480F78" w:rsidRDefault="00000000" w:rsidP="00A017FA">
      <w:pPr>
        <w:pStyle w:val="ListParagraph"/>
        <w:numPr>
          <w:ilvl w:val="0"/>
          <w:numId w:val="3"/>
        </w:numPr>
        <w:spacing w:line="480" w:lineRule="auto"/>
        <w:ind w:left="426" w:hanging="426"/>
        <w:jc w:val="both"/>
      </w:pPr>
      <w:r>
        <w:t>International Criminal Police Organization. Disaster Victim Identification Guide [Internet]. Lyon: INTERPOL; 2023 [cited 2026 Jul 30]. Available from: https://www.interpol.int/content/download/589/file/DVI_DVI%20Guide%202023.pdf</w:t>
      </w:r>
    </w:p>
    <w:p w14:paraId="61DF2F9D" w14:textId="38CF10C6" w:rsidR="00480F78" w:rsidRDefault="00000000" w:rsidP="00A017FA">
      <w:pPr>
        <w:pStyle w:val="ListParagraph"/>
        <w:numPr>
          <w:ilvl w:val="0"/>
          <w:numId w:val="3"/>
        </w:numPr>
        <w:spacing w:line="480" w:lineRule="auto"/>
        <w:ind w:left="426" w:hanging="426"/>
        <w:jc w:val="both"/>
      </w:pPr>
      <w:r>
        <w:t xml:space="preserve">Radu CC, </w:t>
      </w:r>
      <w:proofErr w:type="spellStart"/>
      <w:r>
        <w:t>Hogea</w:t>
      </w:r>
      <w:proofErr w:type="spellEnd"/>
      <w:r>
        <w:t xml:space="preserve"> T, Carasca C, Radu CM. Forensic odontology in the digital era: a narrative review of current methods and emerging trends. Diagnostics (Basel). 2025;15(20):2550. DOI: 10.3390/diagnostics15202550.</w:t>
      </w:r>
    </w:p>
    <w:p w14:paraId="4A328D0D" w14:textId="097C9651" w:rsidR="00480F78" w:rsidRDefault="00000000" w:rsidP="00A017FA">
      <w:pPr>
        <w:pStyle w:val="ListParagraph"/>
        <w:numPr>
          <w:ilvl w:val="0"/>
          <w:numId w:val="3"/>
        </w:numPr>
        <w:spacing w:line="480" w:lineRule="auto"/>
        <w:ind w:left="426" w:hanging="426"/>
        <w:jc w:val="both"/>
      </w:pPr>
      <w:r>
        <w:lastRenderedPageBreak/>
        <w:t xml:space="preserve">Savic </w:t>
      </w:r>
      <w:proofErr w:type="spellStart"/>
      <w:r>
        <w:t>Pavicin</w:t>
      </w:r>
      <w:proofErr w:type="spellEnd"/>
      <w:r>
        <w:t xml:space="preserve"> I, </w:t>
      </w:r>
      <w:proofErr w:type="spellStart"/>
      <w:r>
        <w:t>Jonjic</w:t>
      </w:r>
      <w:proofErr w:type="spellEnd"/>
      <w:r>
        <w:t xml:space="preserve"> A, Maretic I, Dumancic J, Zymber Ceshko A. Maintenance of dental records and forensic odontology awareness: a survey of Croatian dentists with implications for dental education. Dent J (Basel). 2021;9(4):37. DOI: 10.3390/dj9040037.</w:t>
      </w:r>
    </w:p>
    <w:p w14:paraId="1059FE99" w14:textId="40B16FB3" w:rsidR="00480F78" w:rsidRDefault="00000000" w:rsidP="00A017FA">
      <w:pPr>
        <w:pStyle w:val="ListParagraph"/>
        <w:numPr>
          <w:ilvl w:val="0"/>
          <w:numId w:val="3"/>
        </w:numPr>
        <w:spacing w:line="480" w:lineRule="auto"/>
        <w:ind w:left="426" w:hanging="426"/>
        <w:jc w:val="both"/>
      </w:pPr>
      <w:r>
        <w:t xml:space="preserve">Baqai HS, Zaidi SJA, Baig QA, Bashir MB, Anwar M, Ansari AS. Maintenance of dental records and awareness of forensic odontology among Pakistani dentists: a mixed-method study with implications for dental data repository. BMC Oral Health. </w:t>
      </w:r>
      <w:proofErr w:type="gramStart"/>
      <w:r>
        <w:t>2023;23:783</w:t>
      </w:r>
      <w:proofErr w:type="gramEnd"/>
      <w:r>
        <w:t>. DOI: 10.1186/s12903-023-03500-2.</w:t>
      </w:r>
    </w:p>
    <w:p w14:paraId="6788E302" w14:textId="6B19222E" w:rsidR="00480F78" w:rsidRDefault="00000000" w:rsidP="00A017FA">
      <w:pPr>
        <w:pStyle w:val="ListParagraph"/>
        <w:numPr>
          <w:ilvl w:val="0"/>
          <w:numId w:val="3"/>
        </w:numPr>
        <w:spacing w:line="480" w:lineRule="auto"/>
        <w:ind w:left="426" w:hanging="426"/>
        <w:jc w:val="both"/>
      </w:pPr>
      <w:r>
        <w:t>Republic of Indonesia. Law of the Republic of Indonesia No. 17 of 2023 on Health [Internet]. Jakarta: Government of Indonesia; 2023 [cited 2026 Jul 30]. Available from: https://peraturan.bpk.go.id/Details/258028/uu-no-17-tahun-2023</w:t>
      </w:r>
    </w:p>
    <w:p w14:paraId="0979C31C" w14:textId="652784B9" w:rsidR="00480F78" w:rsidRDefault="00000000" w:rsidP="00A017FA">
      <w:pPr>
        <w:pStyle w:val="ListParagraph"/>
        <w:numPr>
          <w:ilvl w:val="0"/>
          <w:numId w:val="3"/>
        </w:numPr>
        <w:spacing w:line="480" w:lineRule="auto"/>
        <w:ind w:left="426" w:hanging="426"/>
        <w:jc w:val="both"/>
      </w:pPr>
      <w:r>
        <w:t>Republic of Indonesia. Government Regulation No. 28 of 2024 concerning Implementing Regulation of Law No. 17 of 2023 on Health [Internet]. Jakarta: Government of Indonesia; 2024 [cited 2026 Jul 30]. Available from: https://peraturan.bpk.go.id/Details/294077/pp-no-28-tahun-2024</w:t>
      </w:r>
    </w:p>
    <w:p w14:paraId="1F3EB48F" w14:textId="1FFCD70B" w:rsidR="00480F78" w:rsidRDefault="00000000" w:rsidP="00A017FA">
      <w:pPr>
        <w:pStyle w:val="ListParagraph"/>
        <w:numPr>
          <w:ilvl w:val="0"/>
          <w:numId w:val="3"/>
        </w:numPr>
        <w:spacing w:line="480" w:lineRule="auto"/>
        <w:ind w:left="426" w:hanging="426"/>
        <w:jc w:val="both"/>
      </w:pPr>
      <w:r>
        <w:t>Ministry of Health of the Republic of Indonesia. Regulation of the Minister of Health No. 24 of 2022 concerning Medical Records [Internet]. Jakarta: Ministry of Health; 2022 [cited 2026 Jul 30]. Available from: https://peraturan.bpk.go.id/Details/245544/permenkes-no-24-tahun-2022</w:t>
      </w:r>
    </w:p>
    <w:p w14:paraId="43A18BF2" w14:textId="165C2C9D" w:rsidR="00480F78" w:rsidRDefault="00000000" w:rsidP="00A017FA">
      <w:pPr>
        <w:pStyle w:val="ListParagraph"/>
        <w:numPr>
          <w:ilvl w:val="0"/>
          <w:numId w:val="3"/>
        </w:numPr>
        <w:spacing w:line="480" w:lineRule="auto"/>
        <w:ind w:left="426" w:hanging="426"/>
        <w:jc w:val="both"/>
      </w:pPr>
      <w:r>
        <w:t>Republic of Indonesia. Law of the Republic of Indonesia No. 27 of 2022 concerning Personal Data Protection [Internet]. Jakarta: Government of Indonesia; 2022 [cited 2026 Jul 30]. Available from: https://peraturan.bpk.go.id/Details/229798/uu-no-27-tahun-2022</w:t>
      </w:r>
    </w:p>
    <w:p w14:paraId="27828D05" w14:textId="4F08B874" w:rsidR="00480F78" w:rsidRDefault="00000000" w:rsidP="00A017FA">
      <w:pPr>
        <w:pStyle w:val="ListParagraph"/>
        <w:numPr>
          <w:ilvl w:val="0"/>
          <w:numId w:val="3"/>
        </w:numPr>
        <w:spacing w:line="480" w:lineRule="auto"/>
        <w:ind w:left="426" w:hanging="426"/>
        <w:jc w:val="both"/>
      </w:pPr>
      <w:r>
        <w:t>FDI World Dental Federation. Ethics in dentistry [Internet]. Geneva: FDI World Dental Federation; 2024 [cited 2026 Jul 30]. Available from: https://www.fdiworlddental.org/sites/default/files/2024-11/DPS4-Ethics-in-Dentistry.pdf</w:t>
      </w:r>
    </w:p>
    <w:p w14:paraId="5668C4F1" w14:textId="600A558A" w:rsidR="00480F78" w:rsidRDefault="00000000" w:rsidP="00A017FA">
      <w:pPr>
        <w:pStyle w:val="ListParagraph"/>
        <w:numPr>
          <w:ilvl w:val="0"/>
          <w:numId w:val="3"/>
        </w:numPr>
        <w:spacing w:line="480" w:lineRule="auto"/>
        <w:ind w:left="426" w:hanging="426"/>
        <w:jc w:val="both"/>
      </w:pPr>
      <w:r>
        <w:lastRenderedPageBreak/>
        <w:t>Beauchamp TL, Childress JF. Principles of biomedical ethics. 8th ed. New York: Oxford University Press; 2019.</w:t>
      </w:r>
    </w:p>
    <w:p w14:paraId="0C584060" w14:textId="74C61B7F" w:rsidR="00480F78" w:rsidRDefault="00000000" w:rsidP="00A56C54">
      <w:pPr>
        <w:pStyle w:val="ListParagraph"/>
        <w:numPr>
          <w:ilvl w:val="0"/>
          <w:numId w:val="3"/>
        </w:numPr>
        <w:spacing w:line="480" w:lineRule="auto"/>
        <w:ind w:left="426" w:hanging="426"/>
        <w:jc w:val="both"/>
      </w:pPr>
      <w:r>
        <w:t>FDI World Dental Federation. Basic rights and responsibilities of dental patients [Internet]. Geneva: FDI World Dental Federation; 2018 [cited 2026 Jul 30]. Available from:</w:t>
      </w:r>
      <w:r w:rsidR="00A56C54">
        <w:t xml:space="preserve"> </w:t>
      </w:r>
      <w:r>
        <w:t>https://www.fdiworlddental.org/sites/default/files/2020-11/fdi_world_dental_federation_-_basic_rights_and_responsibilities_of_dental_patients_-_2018-06-15.pdf</w:t>
      </w:r>
    </w:p>
    <w:p w14:paraId="30AA48CA" w14:textId="19E81B86" w:rsidR="00480F78" w:rsidRDefault="00000000" w:rsidP="00A017FA">
      <w:pPr>
        <w:pStyle w:val="ListParagraph"/>
        <w:numPr>
          <w:ilvl w:val="0"/>
          <w:numId w:val="3"/>
        </w:numPr>
        <w:spacing w:line="480" w:lineRule="auto"/>
        <w:ind w:left="426" w:hanging="426"/>
        <w:jc w:val="both"/>
      </w:pPr>
      <w:proofErr w:type="spellStart"/>
      <w:r>
        <w:t>Jalilvand</w:t>
      </w:r>
      <w:proofErr w:type="spellEnd"/>
      <w:r>
        <w:t xml:space="preserve"> MA, </w:t>
      </w:r>
      <w:proofErr w:type="spellStart"/>
      <w:r>
        <w:t>Raeisi</w:t>
      </w:r>
      <w:proofErr w:type="spellEnd"/>
      <w:r>
        <w:t xml:space="preserve"> AR, Shaarbafchizadeh N. Hospital governance accountability structure: a scoping review. BMC Health Serv Res. </w:t>
      </w:r>
      <w:proofErr w:type="gramStart"/>
      <w:r>
        <w:t>2024;24:47</w:t>
      </w:r>
      <w:proofErr w:type="gramEnd"/>
      <w:r>
        <w:t>. DOI: 10.1186/s12913-023-10135-0.</w:t>
      </w:r>
    </w:p>
    <w:p w14:paraId="0FB743C7" w14:textId="616961E2" w:rsidR="00480F78" w:rsidRDefault="00000000" w:rsidP="00A017FA">
      <w:pPr>
        <w:pStyle w:val="ListParagraph"/>
        <w:numPr>
          <w:ilvl w:val="0"/>
          <w:numId w:val="3"/>
        </w:numPr>
        <w:spacing w:line="480" w:lineRule="auto"/>
        <w:ind w:left="426" w:hanging="426"/>
        <w:jc w:val="both"/>
      </w:pPr>
      <w:r>
        <w:t>International Criminal Police Organization. DVI Quality Management Guidelines [Internet]. Lyon: INTERPOL; 2018 [cited 2026 Jul 30]. Available from: https://www.interpol.int/content/download/587/file/DVI%20Quality%20Management%20Guidelines.pdf</w:t>
      </w:r>
    </w:p>
    <w:p w14:paraId="04AFED55" w14:textId="7D6F44E4" w:rsidR="00480F78" w:rsidRDefault="00000000" w:rsidP="00A017FA">
      <w:pPr>
        <w:pStyle w:val="ListParagraph"/>
        <w:numPr>
          <w:ilvl w:val="0"/>
          <w:numId w:val="3"/>
        </w:numPr>
        <w:spacing w:line="480" w:lineRule="auto"/>
        <w:ind w:left="426" w:hanging="426"/>
        <w:jc w:val="both"/>
      </w:pPr>
      <w:r>
        <w:t>World Medical Association. Declaration of Helsinki: ethical principles for medical research involving human participants [Internet]. Ferney-Voltaire: World Medical Association; 2024 [cited 2026 Jul 30]. Available from: https://www.wma.net/policies-post/wma-declaration-of-helsinki/</w:t>
      </w:r>
    </w:p>
    <w:p w14:paraId="6C3086A8" w14:textId="77777777" w:rsidR="00480F78" w:rsidRDefault="00480F78" w:rsidP="0049164B">
      <w:pPr>
        <w:spacing w:line="480" w:lineRule="auto"/>
        <w:jc w:val="both"/>
      </w:pPr>
    </w:p>
    <w:p w14:paraId="1CAABE63" w14:textId="77777777" w:rsidR="00480F78" w:rsidRDefault="00000000" w:rsidP="0049164B">
      <w:pPr>
        <w:spacing w:line="480" w:lineRule="auto"/>
        <w:jc w:val="both"/>
      </w:pPr>
      <w:r>
        <w:t>Total number of figures and tables: 1 table and 0 figures</w:t>
      </w:r>
    </w:p>
    <w:p w14:paraId="5D56B068" w14:textId="77777777" w:rsidR="00480F78" w:rsidRDefault="00000000">
      <w:pPr>
        <w:spacing w:line="480" w:lineRule="auto"/>
      </w:pPr>
      <w:r>
        <w:rPr>
          <w:b/>
        </w:rPr>
        <w:t>Tables</w:t>
      </w:r>
    </w:p>
    <w:p w14:paraId="61BA7AD1" w14:textId="77777777" w:rsidR="00480F78" w:rsidRDefault="00000000">
      <w:pPr>
        <w:spacing w:line="480" w:lineRule="auto"/>
      </w:pPr>
      <w:r>
        <w:rPr>
          <w:b/>
        </w:rPr>
        <w:t>Table 1- Minimum governance requirements for integrating forensic odontology into hospital management systems.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89"/>
        <w:gridCol w:w="4377"/>
        <w:gridCol w:w="2762"/>
      </w:tblGrid>
      <w:tr w:rsidR="00480F78" w14:paraId="7766BB86" w14:textId="77777777" w:rsidTr="003B5B6D">
        <w:trPr>
          <w:jc w:val="center"/>
        </w:trPr>
        <w:tc>
          <w:tcPr>
            <w:tcW w:w="1989" w:type="dxa"/>
            <w:shd w:val="clear" w:color="auto" w:fill="D9EAF7"/>
          </w:tcPr>
          <w:p w14:paraId="4A06997D" w14:textId="77777777" w:rsidR="00480F78" w:rsidRDefault="00000000">
            <w:r>
              <w:rPr>
                <w:b/>
                <w:sz w:val="20"/>
              </w:rPr>
              <w:t>Governance domain</w:t>
            </w:r>
          </w:p>
        </w:tc>
        <w:tc>
          <w:tcPr>
            <w:tcW w:w="4377" w:type="dxa"/>
            <w:shd w:val="clear" w:color="auto" w:fill="D9EAF7"/>
          </w:tcPr>
          <w:p w14:paraId="7A3B2A05" w14:textId="77777777" w:rsidR="00480F78" w:rsidRDefault="00000000">
            <w:r>
              <w:rPr>
                <w:b/>
                <w:sz w:val="20"/>
              </w:rPr>
              <w:t>Minimum hospital requirement</w:t>
            </w:r>
          </w:p>
        </w:tc>
        <w:tc>
          <w:tcPr>
            <w:tcW w:w="2762" w:type="dxa"/>
            <w:shd w:val="clear" w:color="auto" w:fill="D9EAF7"/>
          </w:tcPr>
          <w:p w14:paraId="4AC80B4F" w14:textId="77777777" w:rsidR="00480F78" w:rsidRDefault="00000000">
            <w:r>
              <w:rPr>
                <w:b/>
                <w:sz w:val="20"/>
              </w:rPr>
              <w:t>Operational indicator</w:t>
            </w:r>
          </w:p>
        </w:tc>
      </w:tr>
      <w:tr w:rsidR="00480F78" w14:paraId="131D9356" w14:textId="77777777" w:rsidTr="003B5B6D">
        <w:trPr>
          <w:jc w:val="center"/>
        </w:trPr>
        <w:tc>
          <w:tcPr>
            <w:tcW w:w="1989" w:type="dxa"/>
          </w:tcPr>
          <w:p w14:paraId="3B34FE1D" w14:textId="77777777" w:rsidR="00480F78" w:rsidRDefault="00000000">
            <w:r>
              <w:rPr>
                <w:sz w:val="20"/>
              </w:rPr>
              <w:t>Service mandate</w:t>
            </w:r>
          </w:p>
        </w:tc>
        <w:tc>
          <w:tcPr>
            <w:tcW w:w="4377" w:type="dxa"/>
          </w:tcPr>
          <w:p w14:paraId="7B0570E1" w14:textId="77777777" w:rsidR="00480F78" w:rsidRDefault="00000000">
            <w:r>
              <w:rPr>
                <w:sz w:val="20"/>
              </w:rPr>
              <w:t>Define when dental records may be released, when forensic consultation is needed, who may authorize each step, and when referral to external forensic authorities is required.</w:t>
            </w:r>
          </w:p>
        </w:tc>
        <w:tc>
          <w:tcPr>
            <w:tcW w:w="2762" w:type="dxa"/>
          </w:tcPr>
          <w:p w14:paraId="1AC8597B" w14:textId="77777777" w:rsidR="00480F78" w:rsidRDefault="00000000">
            <w:r>
              <w:rPr>
                <w:sz w:val="20"/>
              </w:rPr>
              <w:t>Written policy, activation criteria, and referral pathway.</w:t>
            </w:r>
          </w:p>
        </w:tc>
      </w:tr>
      <w:tr w:rsidR="00480F78" w14:paraId="243348C9" w14:textId="77777777" w:rsidTr="003B5B6D">
        <w:trPr>
          <w:jc w:val="center"/>
        </w:trPr>
        <w:tc>
          <w:tcPr>
            <w:tcW w:w="1989" w:type="dxa"/>
          </w:tcPr>
          <w:p w14:paraId="70AA00F0" w14:textId="77777777" w:rsidR="00480F78" w:rsidRDefault="00000000">
            <w:r>
              <w:rPr>
                <w:sz w:val="20"/>
              </w:rPr>
              <w:lastRenderedPageBreak/>
              <w:t>Professional competence and independence</w:t>
            </w:r>
          </w:p>
        </w:tc>
        <w:tc>
          <w:tcPr>
            <w:tcW w:w="4377" w:type="dxa"/>
          </w:tcPr>
          <w:p w14:paraId="44F2E7F4" w14:textId="77777777" w:rsidR="00480F78" w:rsidRDefault="00000000">
            <w:r>
              <w:rPr>
                <w:sz w:val="20"/>
              </w:rPr>
              <w:t>Use suitably credentialed dental or forensic experts for interpretive opinions and distinguish factual clinical information from independent forensic interpretation.</w:t>
            </w:r>
          </w:p>
        </w:tc>
        <w:tc>
          <w:tcPr>
            <w:tcW w:w="2762" w:type="dxa"/>
          </w:tcPr>
          <w:p w14:paraId="35B963B8" w14:textId="77777777" w:rsidR="00480F78" w:rsidRDefault="00000000">
            <w:r>
              <w:rPr>
                <w:sz w:val="20"/>
              </w:rPr>
              <w:t>Credential records, conflict-of-interest declaration, and expert-report template.</w:t>
            </w:r>
          </w:p>
        </w:tc>
      </w:tr>
      <w:tr w:rsidR="00480F78" w14:paraId="45361419" w14:textId="77777777" w:rsidTr="003B5B6D">
        <w:trPr>
          <w:jc w:val="center"/>
        </w:trPr>
        <w:tc>
          <w:tcPr>
            <w:tcW w:w="1989" w:type="dxa"/>
          </w:tcPr>
          <w:p w14:paraId="5E7C10AC" w14:textId="77777777" w:rsidR="00480F78" w:rsidRDefault="00000000">
            <w:r>
              <w:rPr>
                <w:sz w:val="20"/>
              </w:rPr>
              <w:t>Dental record quality</w:t>
            </w:r>
          </w:p>
        </w:tc>
        <w:tc>
          <w:tcPr>
            <w:tcW w:w="4377" w:type="dxa"/>
          </w:tcPr>
          <w:p w14:paraId="58988587" w14:textId="71B81120" w:rsidR="00480F78" w:rsidRDefault="00000000">
            <w:r>
              <w:rPr>
                <w:sz w:val="20"/>
              </w:rPr>
              <w:t xml:space="preserve">Maintain legible, attributable, dated, and retrievable dental records, including odontograms, radiographs, photographs, treatment </w:t>
            </w:r>
            <w:r w:rsidR="00972CBF">
              <w:rPr>
                <w:sz w:val="20"/>
              </w:rPr>
              <w:t>\</w:t>
            </w:r>
            <w:r>
              <w:rPr>
                <w:sz w:val="20"/>
              </w:rPr>
              <w:t>s, and consent documentation where applicable.</w:t>
            </w:r>
          </w:p>
        </w:tc>
        <w:tc>
          <w:tcPr>
            <w:tcW w:w="2762" w:type="dxa"/>
          </w:tcPr>
          <w:p w14:paraId="6E476D39" w14:textId="77777777" w:rsidR="00480F78" w:rsidRDefault="00000000">
            <w:r>
              <w:rPr>
                <w:sz w:val="20"/>
              </w:rPr>
              <w:t>Record audit, completeness checklist, and retention schedule.</w:t>
            </w:r>
          </w:p>
        </w:tc>
      </w:tr>
      <w:tr w:rsidR="00480F78" w14:paraId="3D08DC10" w14:textId="77777777" w:rsidTr="003B5B6D">
        <w:trPr>
          <w:jc w:val="center"/>
        </w:trPr>
        <w:tc>
          <w:tcPr>
            <w:tcW w:w="1989" w:type="dxa"/>
          </w:tcPr>
          <w:p w14:paraId="46ADEE9B" w14:textId="77777777" w:rsidR="00480F78" w:rsidRDefault="00000000">
            <w:r>
              <w:rPr>
                <w:sz w:val="20"/>
              </w:rPr>
              <w:t>Evidence integrity</w:t>
            </w:r>
          </w:p>
        </w:tc>
        <w:tc>
          <w:tcPr>
            <w:tcW w:w="4377" w:type="dxa"/>
          </w:tcPr>
          <w:p w14:paraId="19A77CE3" w14:textId="77777777" w:rsidR="00480F78" w:rsidRDefault="00000000">
            <w:r>
              <w:rPr>
                <w:sz w:val="20"/>
              </w:rPr>
              <w:t>Preserve source versions, metadata, audit trails, and chain of handling when records are copied, exported, or transmitted for medico-legal purposes.</w:t>
            </w:r>
          </w:p>
        </w:tc>
        <w:tc>
          <w:tcPr>
            <w:tcW w:w="2762" w:type="dxa"/>
          </w:tcPr>
          <w:p w14:paraId="496EDC5E" w14:textId="77777777" w:rsidR="00480F78" w:rsidRDefault="00000000">
            <w:r>
              <w:rPr>
                <w:sz w:val="20"/>
              </w:rPr>
              <w:t>Access logs, secure export procedure, and chain-of-custody record.</w:t>
            </w:r>
          </w:p>
        </w:tc>
      </w:tr>
      <w:tr w:rsidR="00480F78" w14:paraId="41D38A9E" w14:textId="77777777" w:rsidTr="003B5B6D">
        <w:trPr>
          <w:jc w:val="center"/>
        </w:trPr>
        <w:tc>
          <w:tcPr>
            <w:tcW w:w="1989" w:type="dxa"/>
          </w:tcPr>
          <w:p w14:paraId="17EF2A75" w14:textId="77777777" w:rsidR="00480F78" w:rsidRDefault="00000000">
            <w:r>
              <w:rPr>
                <w:sz w:val="20"/>
              </w:rPr>
              <w:t>Lawful disclosure and privacy</w:t>
            </w:r>
          </w:p>
        </w:tc>
        <w:tc>
          <w:tcPr>
            <w:tcW w:w="4377" w:type="dxa"/>
          </w:tcPr>
          <w:p w14:paraId="4D3C7969" w14:textId="77777777" w:rsidR="00480F78" w:rsidRDefault="00000000">
            <w:r>
              <w:rPr>
                <w:sz w:val="20"/>
              </w:rPr>
              <w:t>Release dental information only through an authorized, necessary, proportionate, and documented pathway that respects confidentiality and data-protection duties.</w:t>
            </w:r>
          </w:p>
        </w:tc>
        <w:tc>
          <w:tcPr>
            <w:tcW w:w="2762" w:type="dxa"/>
          </w:tcPr>
          <w:p w14:paraId="240A7FBF" w14:textId="77777777" w:rsidR="00480F78" w:rsidRDefault="00000000">
            <w:r>
              <w:rPr>
                <w:sz w:val="20"/>
              </w:rPr>
              <w:t>Written request, authorization record, disclosure log, and minimum necessary release.</w:t>
            </w:r>
          </w:p>
        </w:tc>
      </w:tr>
      <w:tr w:rsidR="00480F78" w14:paraId="00923C15" w14:textId="77777777" w:rsidTr="003B5B6D">
        <w:trPr>
          <w:jc w:val="center"/>
        </w:trPr>
        <w:tc>
          <w:tcPr>
            <w:tcW w:w="1989" w:type="dxa"/>
          </w:tcPr>
          <w:p w14:paraId="6B79AD22" w14:textId="77777777" w:rsidR="00480F78" w:rsidRDefault="00000000">
            <w:r>
              <w:rPr>
                <w:sz w:val="20"/>
              </w:rPr>
              <w:t>Ethics oversight</w:t>
            </w:r>
          </w:p>
        </w:tc>
        <w:tc>
          <w:tcPr>
            <w:tcW w:w="4377" w:type="dxa"/>
          </w:tcPr>
          <w:p w14:paraId="35F3D41C" w14:textId="77777777" w:rsidR="00480F78" w:rsidRDefault="00000000">
            <w:r>
              <w:rPr>
                <w:sz w:val="20"/>
              </w:rPr>
              <w:t>Provide guidance for consent, confidentiality, deceased individuals, family communication, uncertainty, and potential conflicts between clinical and forensic duties.</w:t>
            </w:r>
          </w:p>
        </w:tc>
        <w:tc>
          <w:tcPr>
            <w:tcW w:w="2762" w:type="dxa"/>
          </w:tcPr>
          <w:p w14:paraId="661CF93B" w14:textId="77777777" w:rsidR="00480F78" w:rsidRDefault="00000000">
            <w:r>
              <w:rPr>
                <w:sz w:val="20"/>
              </w:rPr>
              <w:t>Ethics committee access, case review, and escalation process.</w:t>
            </w:r>
          </w:p>
        </w:tc>
      </w:tr>
      <w:tr w:rsidR="00480F78" w14:paraId="6B59967A" w14:textId="77777777" w:rsidTr="003B5B6D">
        <w:trPr>
          <w:jc w:val="center"/>
        </w:trPr>
        <w:tc>
          <w:tcPr>
            <w:tcW w:w="1989" w:type="dxa"/>
          </w:tcPr>
          <w:p w14:paraId="05179779" w14:textId="77777777" w:rsidR="00480F78" w:rsidRDefault="00000000">
            <w:r>
              <w:rPr>
                <w:sz w:val="20"/>
              </w:rPr>
              <w:t>Training and audit</w:t>
            </w:r>
          </w:p>
        </w:tc>
        <w:tc>
          <w:tcPr>
            <w:tcW w:w="4377" w:type="dxa"/>
          </w:tcPr>
          <w:p w14:paraId="751AA604" w14:textId="77777777" w:rsidR="00480F78" w:rsidRDefault="00000000">
            <w:r>
              <w:rPr>
                <w:sz w:val="20"/>
              </w:rPr>
              <w:t>Train dental, medical-record, legal, information-technology, and emergency-management staff in forensic dental record handling and institutional responsibilities.</w:t>
            </w:r>
          </w:p>
        </w:tc>
        <w:tc>
          <w:tcPr>
            <w:tcW w:w="2762" w:type="dxa"/>
          </w:tcPr>
          <w:p w14:paraId="1A5FE179" w14:textId="77777777" w:rsidR="00480F78" w:rsidRDefault="00000000">
            <w:r>
              <w:rPr>
                <w:sz w:val="20"/>
              </w:rPr>
              <w:t>Periodic training, simulation, audit findings, and corrective action plan.</w:t>
            </w:r>
          </w:p>
        </w:tc>
      </w:tr>
    </w:tbl>
    <w:p w14:paraId="00E9BAB9" w14:textId="7B2B84BC" w:rsidR="00480F78" w:rsidRDefault="00480F78">
      <w:pPr>
        <w:spacing w:line="480" w:lineRule="auto"/>
      </w:pPr>
    </w:p>
    <w:sectPr w:rsidR="00480F78" w:rsidSect="00A93A64">
      <w:headerReference w:type="default" r:id="rId10"/>
      <w:footerReference w:type="even" r:id="rId11"/>
      <w:footerReference w:type="default" r:id="rId12"/>
      <w:pgSz w:w="11900" w:h="16840"/>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707C" w14:textId="77777777" w:rsidR="003A556A" w:rsidRDefault="003A556A" w:rsidP="004D3E78">
      <w:r>
        <w:separator/>
      </w:r>
    </w:p>
  </w:endnote>
  <w:endnote w:type="continuationSeparator" w:id="0">
    <w:p w14:paraId="7C6E882D" w14:textId="77777777" w:rsidR="003A556A" w:rsidRDefault="003A556A" w:rsidP="004D3E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6318"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334598" w14:textId="77777777" w:rsidR="008675CE" w:rsidRDefault="008675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75A3" w14:textId="77777777" w:rsidR="008675CE" w:rsidRDefault="008675CE" w:rsidP="004D3E7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3DA4">
      <w:rPr>
        <w:rStyle w:val="PageNumber"/>
        <w:noProof/>
      </w:rPr>
      <w:t>3</w:t>
    </w:r>
    <w:r>
      <w:rPr>
        <w:rStyle w:val="PageNumber"/>
      </w:rPr>
      <w:fldChar w:fldCharType="end"/>
    </w:r>
  </w:p>
  <w:p w14:paraId="756CA210" w14:textId="77777777" w:rsidR="008675CE" w:rsidRDefault="008675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CF412" w14:textId="77777777" w:rsidR="003A556A" w:rsidRDefault="003A556A" w:rsidP="004D3E78">
      <w:r>
        <w:separator/>
      </w:r>
    </w:p>
  </w:footnote>
  <w:footnote w:type="continuationSeparator" w:id="0">
    <w:p w14:paraId="0CAB1FC0" w14:textId="77777777" w:rsidR="003A556A" w:rsidRDefault="003A556A" w:rsidP="004D3E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32E71" w14:textId="77777777" w:rsidR="00480F78" w:rsidRDefault="00000000">
    <w:pPr>
      <w:pStyle w:val="Header"/>
      <w:jc w:val="right"/>
    </w:pPr>
    <w:r>
      <w:fldChar w:fldCharType="begin"/>
    </w:r>
    <w:r>
      <w:instrText>PAGE</w:instrText>
    </w:r>
    <w:r>
      <w:fldChar w:fldCharType="separate"/>
    </w:r>
    <w:r w:rsidR="00972C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44398"/>
    <w:multiLevelType w:val="hybridMultilevel"/>
    <w:tmpl w:val="6FC446DC"/>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2D7615F"/>
    <w:multiLevelType w:val="hybridMultilevel"/>
    <w:tmpl w:val="C568C5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FE000BC"/>
    <w:multiLevelType w:val="hybridMultilevel"/>
    <w:tmpl w:val="A9AA92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23881700">
    <w:abstractNumId w:val="0"/>
  </w:num>
  <w:num w:numId="2" w16cid:durableId="1028137508">
    <w:abstractNumId w:val="2"/>
  </w:num>
  <w:num w:numId="3" w16cid:durableId="1125544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ancer Researc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ta02sa5hwrftleaz9svrdfztdtpppp2xwvx&quot;&gt;Example Endnote References&lt;record-ids&gt;&lt;item&gt;15&lt;/item&gt;&lt;/record-ids&gt;&lt;/item&gt;&lt;/Libraries&gt;"/>
  </w:docVars>
  <w:rsids>
    <w:rsidRoot w:val="00182DE4"/>
    <w:rsid w:val="000234BF"/>
    <w:rsid w:val="00034847"/>
    <w:rsid w:val="00054EF3"/>
    <w:rsid w:val="0008765C"/>
    <w:rsid w:val="00092210"/>
    <w:rsid w:val="00114396"/>
    <w:rsid w:val="00155584"/>
    <w:rsid w:val="001564EF"/>
    <w:rsid w:val="00160BD1"/>
    <w:rsid w:val="00182DE4"/>
    <w:rsid w:val="00197CCA"/>
    <w:rsid w:val="001E5820"/>
    <w:rsid w:val="002450FB"/>
    <w:rsid w:val="002B3B60"/>
    <w:rsid w:val="00317B8C"/>
    <w:rsid w:val="00321BE6"/>
    <w:rsid w:val="003828B3"/>
    <w:rsid w:val="00393941"/>
    <w:rsid w:val="00396F98"/>
    <w:rsid w:val="003A556A"/>
    <w:rsid w:val="003B5B6D"/>
    <w:rsid w:val="003F2C67"/>
    <w:rsid w:val="004228FE"/>
    <w:rsid w:val="00423DA4"/>
    <w:rsid w:val="00480F78"/>
    <w:rsid w:val="0049164B"/>
    <w:rsid w:val="004D3E78"/>
    <w:rsid w:val="004D56EB"/>
    <w:rsid w:val="00516FFD"/>
    <w:rsid w:val="0053019A"/>
    <w:rsid w:val="005F0ACD"/>
    <w:rsid w:val="00614871"/>
    <w:rsid w:val="00635CFA"/>
    <w:rsid w:val="00661DAC"/>
    <w:rsid w:val="00662BD7"/>
    <w:rsid w:val="006C7663"/>
    <w:rsid w:val="006D1E47"/>
    <w:rsid w:val="00717AEF"/>
    <w:rsid w:val="00847463"/>
    <w:rsid w:val="008675CE"/>
    <w:rsid w:val="00876B5A"/>
    <w:rsid w:val="009572D6"/>
    <w:rsid w:val="00963DC4"/>
    <w:rsid w:val="00972CBF"/>
    <w:rsid w:val="00997E8E"/>
    <w:rsid w:val="009D2A1E"/>
    <w:rsid w:val="00A017FA"/>
    <w:rsid w:val="00A4279F"/>
    <w:rsid w:val="00A56C54"/>
    <w:rsid w:val="00A67CF9"/>
    <w:rsid w:val="00A920FF"/>
    <w:rsid w:val="00A93A64"/>
    <w:rsid w:val="00AA39C2"/>
    <w:rsid w:val="00B7327B"/>
    <w:rsid w:val="00BF291D"/>
    <w:rsid w:val="00BF73A8"/>
    <w:rsid w:val="00C55647"/>
    <w:rsid w:val="00CD7598"/>
    <w:rsid w:val="00CE0CC2"/>
    <w:rsid w:val="00D13C05"/>
    <w:rsid w:val="00DE0E48"/>
    <w:rsid w:val="00E07737"/>
    <w:rsid w:val="00FC441F"/>
    <w:rsid w:val="00FD0867"/>
    <w:rsid w:val="00FE46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47B87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rsid w:val="00661DAC"/>
    <w:pPr>
      <w:jc w:val="center"/>
    </w:pPr>
    <w:rPr>
      <w:rFonts w:cs="Times New Roman"/>
      <w:lang w:val="en-US"/>
    </w:rPr>
  </w:style>
  <w:style w:type="paragraph" w:customStyle="1" w:styleId="EndNoteBibliography">
    <w:name w:val="EndNote Bibliography"/>
    <w:basedOn w:val="Normal"/>
    <w:rsid w:val="00661DAC"/>
    <w:pPr>
      <w:spacing w:line="480" w:lineRule="auto"/>
    </w:pPr>
    <w:rPr>
      <w:rFonts w:cs="Times New Roman"/>
      <w:lang w:val="en-US"/>
    </w:rPr>
  </w:style>
  <w:style w:type="character" w:styleId="Hyperlink">
    <w:name w:val="Hyperlink"/>
    <w:basedOn w:val="DefaultParagraphFont"/>
    <w:uiPriority w:val="99"/>
    <w:unhideWhenUsed/>
    <w:rsid w:val="00635CFA"/>
    <w:rPr>
      <w:color w:val="0000FF" w:themeColor="hyperlink"/>
      <w:u w:val="single"/>
    </w:rPr>
  </w:style>
  <w:style w:type="paragraph" w:styleId="Footer">
    <w:name w:val="footer"/>
    <w:basedOn w:val="Normal"/>
    <w:link w:val="FooterChar"/>
    <w:uiPriority w:val="99"/>
    <w:unhideWhenUsed/>
    <w:rsid w:val="004D3E78"/>
    <w:pPr>
      <w:tabs>
        <w:tab w:val="center" w:pos="4320"/>
        <w:tab w:val="right" w:pos="8640"/>
      </w:tabs>
    </w:pPr>
  </w:style>
  <w:style w:type="character" w:customStyle="1" w:styleId="FooterChar">
    <w:name w:val="Footer Char"/>
    <w:basedOn w:val="DefaultParagraphFont"/>
    <w:link w:val="Footer"/>
    <w:uiPriority w:val="99"/>
    <w:rsid w:val="004D3E78"/>
  </w:style>
  <w:style w:type="character" w:styleId="PageNumber">
    <w:name w:val="page number"/>
    <w:basedOn w:val="DefaultParagraphFont"/>
    <w:uiPriority w:val="99"/>
    <w:semiHidden/>
    <w:unhideWhenUsed/>
    <w:rsid w:val="004D3E78"/>
  </w:style>
  <w:style w:type="paragraph" w:styleId="Header">
    <w:name w:val="header"/>
    <w:basedOn w:val="Normal"/>
    <w:link w:val="HeaderChar"/>
    <w:uiPriority w:val="99"/>
    <w:unhideWhenUsed/>
    <w:rsid w:val="004D3E78"/>
    <w:pPr>
      <w:tabs>
        <w:tab w:val="center" w:pos="4320"/>
        <w:tab w:val="right" w:pos="8640"/>
      </w:tabs>
    </w:pPr>
  </w:style>
  <w:style w:type="character" w:customStyle="1" w:styleId="HeaderChar">
    <w:name w:val="Header Char"/>
    <w:basedOn w:val="DefaultParagraphFont"/>
    <w:link w:val="Header"/>
    <w:uiPriority w:val="99"/>
    <w:rsid w:val="004D3E78"/>
  </w:style>
  <w:style w:type="character" w:styleId="LineNumber">
    <w:name w:val="line number"/>
    <w:basedOn w:val="DefaultParagraphFont"/>
    <w:uiPriority w:val="99"/>
    <w:semiHidden/>
    <w:unhideWhenUsed/>
    <w:rsid w:val="0008765C"/>
  </w:style>
  <w:style w:type="character" w:styleId="Strong">
    <w:name w:val="Strong"/>
    <w:basedOn w:val="DefaultParagraphFont"/>
    <w:uiPriority w:val="22"/>
    <w:qFormat/>
    <w:rsid w:val="00847463"/>
    <w:rPr>
      <w:b/>
      <w:bCs/>
    </w:rPr>
  </w:style>
  <w:style w:type="paragraph" w:styleId="ListParagraph">
    <w:name w:val="List Paragraph"/>
    <w:basedOn w:val="Normal"/>
    <w:uiPriority w:val="34"/>
    <w:qFormat/>
    <w:rsid w:val="008474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73670">
      <w:bodyDiv w:val="1"/>
      <w:marLeft w:val="0"/>
      <w:marRight w:val="0"/>
      <w:marTop w:val="0"/>
      <w:marBottom w:val="0"/>
      <w:divBdr>
        <w:top w:val="none" w:sz="0" w:space="0" w:color="auto"/>
        <w:left w:val="none" w:sz="0" w:space="0" w:color="auto"/>
        <w:bottom w:val="none" w:sz="0" w:space="0" w:color="auto"/>
        <w:right w:val="none" w:sz="0" w:space="0" w:color="auto"/>
      </w:divBdr>
    </w:div>
    <w:div w:id="201328303">
      <w:bodyDiv w:val="1"/>
      <w:marLeft w:val="0"/>
      <w:marRight w:val="0"/>
      <w:marTop w:val="0"/>
      <w:marBottom w:val="0"/>
      <w:divBdr>
        <w:top w:val="none" w:sz="0" w:space="0" w:color="auto"/>
        <w:left w:val="none" w:sz="0" w:space="0" w:color="auto"/>
        <w:bottom w:val="none" w:sz="0" w:space="0" w:color="auto"/>
        <w:right w:val="none" w:sz="0" w:space="0" w:color="auto"/>
      </w:divBdr>
    </w:div>
    <w:div w:id="246574442">
      <w:bodyDiv w:val="1"/>
      <w:marLeft w:val="0"/>
      <w:marRight w:val="0"/>
      <w:marTop w:val="0"/>
      <w:marBottom w:val="0"/>
      <w:divBdr>
        <w:top w:val="none" w:sz="0" w:space="0" w:color="auto"/>
        <w:left w:val="none" w:sz="0" w:space="0" w:color="auto"/>
        <w:bottom w:val="none" w:sz="0" w:space="0" w:color="auto"/>
        <w:right w:val="none" w:sz="0" w:space="0" w:color="auto"/>
      </w:divBdr>
    </w:div>
    <w:div w:id="343168128">
      <w:bodyDiv w:val="1"/>
      <w:marLeft w:val="0"/>
      <w:marRight w:val="0"/>
      <w:marTop w:val="0"/>
      <w:marBottom w:val="0"/>
      <w:divBdr>
        <w:top w:val="none" w:sz="0" w:space="0" w:color="auto"/>
        <w:left w:val="none" w:sz="0" w:space="0" w:color="auto"/>
        <w:bottom w:val="none" w:sz="0" w:space="0" w:color="auto"/>
        <w:right w:val="none" w:sz="0" w:space="0" w:color="auto"/>
      </w:divBdr>
    </w:div>
    <w:div w:id="548105600">
      <w:bodyDiv w:val="1"/>
      <w:marLeft w:val="0"/>
      <w:marRight w:val="0"/>
      <w:marTop w:val="0"/>
      <w:marBottom w:val="0"/>
      <w:divBdr>
        <w:top w:val="none" w:sz="0" w:space="0" w:color="auto"/>
        <w:left w:val="none" w:sz="0" w:space="0" w:color="auto"/>
        <w:bottom w:val="none" w:sz="0" w:space="0" w:color="auto"/>
        <w:right w:val="none" w:sz="0" w:space="0" w:color="auto"/>
      </w:divBdr>
    </w:div>
    <w:div w:id="596183294">
      <w:bodyDiv w:val="1"/>
      <w:marLeft w:val="0"/>
      <w:marRight w:val="0"/>
      <w:marTop w:val="0"/>
      <w:marBottom w:val="0"/>
      <w:divBdr>
        <w:top w:val="none" w:sz="0" w:space="0" w:color="auto"/>
        <w:left w:val="none" w:sz="0" w:space="0" w:color="auto"/>
        <w:bottom w:val="none" w:sz="0" w:space="0" w:color="auto"/>
        <w:right w:val="none" w:sz="0" w:space="0" w:color="auto"/>
      </w:divBdr>
    </w:div>
    <w:div w:id="1139373197">
      <w:bodyDiv w:val="1"/>
      <w:marLeft w:val="0"/>
      <w:marRight w:val="0"/>
      <w:marTop w:val="0"/>
      <w:marBottom w:val="0"/>
      <w:divBdr>
        <w:top w:val="none" w:sz="0" w:space="0" w:color="auto"/>
        <w:left w:val="none" w:sz="0" w:space="0" w:color="auto"/>
        <w:bottom w:val="none" w:sz="0" w:space="0" w:color="auto"/>
        <w:right w:val="none" w:sz="0" w:space="0" w:color="auto"/>
      </w:divBdr>
    </w:div>
    <w:div w:id="1200975529">
      <w:bodyDiv w:val="1"/>
      <w:marLeft w:val="0"/>
      <w:marRight w:val="0"/>
      <w:marTop w:val="0"/>
      <w:marBottom w:val="0"/>
      <w:divBdr>
        <w:top w:val="none" w:sz="0" w:space="0" w:color="auto"/>
        <w:left w:val="none" w:sz="0" w:space="0" w:color="auto"/>
        <w:bottom w:val="none" w:sz="0" w:space="0" w:color="auto"/>
        <w:right w:val="none" w:sz="0" w:space="0" w:color="auto"/>
      </w:divBdr>
    </w:div>
    <w:div w:id="1342665077">
      <w:bodyDiv w:val="1"/>
      <w:marLeft w:val="0"/>
      <w:marRight w:val="0"/>
      <w:marTop w:val="0"/>
      <w:marBottom w:val="0"/>
      <w:divBdr>
        <w:top w:val="none" w:sz="0" w:space="0" w:color="auto"/>
        <w:left w:val="none" w:sz="0" w:space="0" w:color="auto"/>
        <w:bottom w:val="none" w:sz="0" w:space="0" w:color="auto"/>
        <w:right w:val="none" w:sz="0" w:space="0" w:color="auto"/>
      </w:divBdr>
    </w:div>
    <w:div w:id="1393427011">
      <w:bodyDiv w:val="1"/>
      <w:marLeft w:val="0"/>
      <w:marRight w:val="0"/>
      <w:marTop w:val="0"/>
      <w:marBottom w:val="0"/>
      <w:divBdr>
        <w:top w:val="none" w:sz="0" w:space="0" w:color="auto"/>
        <w:left w:val="none" w:sz="0" w:space="0" w:color="auto"/>
        <w:bottom w:val="none" w:sz="0" w:space="0" w:color="auto"/>
        <w:right w:val="none" w:sz="0" w:space="0" w:color="auto"/>
      </w:divBdr>
    </w:div>
    <w:div w:id="1538928952">
      <w:bodyDiv w:val="1"/>
      <w:marLeft w:val="0"/>
      <w:marRight w:val="0"/>
      <w:marTop w:val="0"/>
      <w:marBottom w:val="0"/>
      <w:divBdr>
        <w:top w:val="none" w:sz="0" w:space="0" w:color="auto"/>
        <w:left w:val="none" w:sz="0" w:space="0" w:color="auto"/>
        <w:bottom w:val="none" w:sz="0" w:space="0" w:color="auto"/>
        <w:right w:val="none" w:sz="0" w:space="0" w:color="auto"/>
      </w:divBdr>
    </w:div>
    <w:div w:id="1626544314">
      <w:bodyDiv w:val="1"/>
      <w:marLeft w:val="0"/>
      <w:marRight w:val="0"/>
      <w:marTop w:val="0"/>
      <w:marBottom w:val="0"/>
      <w:divBdr>
        <w:top w:val="none" w:sz="0" w:space="0" w:color="auto"/>
        <w:left w:val="none" w:sz="0" w:space="0" w:color="auto"/>
        <w:bottom w:val="none" w:sz="0" w:space="0" w:color="auto"/>
        <w:right w:val="none" w:sz="0" w:space="0" w:color="auto"/>
      </w:divBdr>
    </w:div>
    <w:div w:id="1656377948">
      <w:bodyDiv w:val="1"/>
      <w:marLeft w:val="0"/>
      <w:marRight w:val="0"/>
      <w:marTop w:val="0"/>
      <w:marBottom w:val="0"/>
      <w:divBdr>
        <w:top w:val="none" w:sz="0" w:space="0" w:color="auto"/>
        <w:left w:val="none" w:sz="0" w:space="0" w:color="auto"/>
        <w:bottom w:val="none" w:sz="0" w:space="0" w:color="auto"/>
        <w:right w:val="none" w:sz="0" w:space="0" w:color="auto"/>
      </w:divBdr>
    </w:div>
    <w:div w:id="1747221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0ABB3D85C87A4A97A367BB86832E9B" ma:contentTypeVersion="8" ma:contentTypeDescription="Create a new document." ma:contentTypeScope="" ma:versionID="1357254d6bc06816301012f91ce37d29">
  <xsd:schema xmlns:xsd="http://www.w3.org/2001/XMLSchema" xmlns:xs="http://www.w3.org/2001/XMLSchema" xmlns:p="http://schemas.microsoft.com/office/2006/metadata/properties" xmlns:ns2="334a5b7a-044a-4e13-940c-2fe4ef74219f" targetNamespace="http://schemas.microsoft.com/office/2006/metadata/properties" ma:root="true" ma:fieldsID="1d1cb6e2fad79e53c533158f884ba269" ns2:_="">
    <xsd:import namespace="334a5b7a-044a-4e13-940c-2fe4ef74219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5b7a-044a-4e13-940c-2fe4ef742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2B2A63-5920-49F7-9609-B39AB951233C}">
  <ds:schemaRefs>
    <ds:schemaRef ds:uri="http://schemas.microsoft.com/sharepoint/v3/contenttype/forms"/>
  </ds:schemaRefs>
</ds:datastoreItem>
</file>

<file path=customXml/itemProps2.xml><?xml version="1.0" encoding="utf-8"?>
<ds:datastoreItem xmlns:ds="http://schemas.openxmlformats.org/officeDocument/2006/customXml" ds:itemID="{EE44F8EE-9C44-4FD7-8634-E778B3CD58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DF36F8-7F08-44B8-99A6-AA8B7FD2B5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5b7a-044a-4e13-940c-2fe4ef742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3352</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2014-01-30T15:45:00Z</dcterms:created>
  <dcterms:modified xsi:type="dcterms:W3CDTF">2026-07-31T08:44:00Z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0x0101001E0ABB3D85C87A4A97A367BB86832E9B</vt:lpwstr>
  </property>
</Properties>
</file>