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670E" w14:textId="77777777" w:rsidR="0095710F" w:rsidRDefault="00000000">
      <w:pPr>
        <w:spacing w:line="480" w:lineRule="auto"/>
        <w:jc w:val="center"/>
      </w:pPr>
      <w:r>
        <w:rPr>
          <w:b/>
        </w:rPr>
        <w:t>TITLE PAGE</w:t>
      </w:r>
    </w:p>
    <w:p w14:paraId="11633AC9" w14:textId="77777777" w:rsidR="0095710F" w:rsidRDefault="00000000">
      <w:pPr>
        <w:spacing w:line="480" w:lineRule="auto"/>
      </w:pPr>
      <w:r>
        <w:rPr>
          <w:b/>
        </w:rPr>
        <w:t>Article type</w:t>
      </w:r>
    </w:p>
    <w:p w14:paraId="26D2FB6D" w14:textId="77777777" w:rsidR="0095710F" w:rsidRDefault="00000000">
      <w:pPr>
        <w:spacing w:line="480" w:lineRule="auto"/>
      </w:pPr>
      <w:r>
        <w:t>Review Article</w:t>
      </w:r>
    </w:p>
    <w:p w14:paraId="0704463D" w14:textId="77777777" w:rsidR="0095710F" w:rsidRDefault="00000000">
      <w:pPr>
        <w:spacing w:line="480" w:lineRule="auto"/>
      </w:pPr>
      <w:r>
        <w:rPr>
          <w:b/>
        </w:rPr>
        <w:t>Title</w:t>
      </w:r>
    </w:p>
    <w:p w14:paraId="4A074A22" w14:textId="77777777" w:rsidR="0095710F" w:rsidRDefault="00000000">
      <w:pPr>
        <w:spacing w:line="480" w:lineRule="auto"/>
      </w:pPr>
      <w:r>
        <w:rPr>
          <w:b/>
        </w:rPr>
        <w:t>Legal and Ethical Considerations for Integrating Forensic Odontology into Hospital Management Systems: A Review</w:t>
      </w:r>
    </w:p>
    <w:p w14:paraId="14B3C821" w14:textId="77777777" w:rsidR="0095710F" w:rsidRDefault="00000000">
      <w:pPr>
        <w:bidi/>
        <w:spacing w:line="480" w:lineRule="auto"/>
        <w:jc w:val="right"/>
      </w:pPr>
      <w:r>
        <w:rPr>
          <w:b/>
          <w:rtl/>
        </w:rPr>
        <w:t>الاعتبارات القانونية والأخلاقية لإدماج طب الأسنان الشرعي في نظم إدارة المستشفيات: مراجعة</w:t>
      </w:r>
    </w:p>
    <w:p w14:paraId="5011624B" w14:textId="77777777" w:rsidR="0095710F" w:rsidRDefault="00000000">
      <w:pPr>
        <w:spacing w:line="480" w:lineRule="auto"/>
      </w:pPr>
      <w:r>
        <w:rPr>
          <w:b/>
        </w:rPr>
        <w:t>Authors and affiliations</w:t>
      </w:r>
    </w:p>
    <w:p w14:paraId="45F4BBF3" w14:textId="77777777" w:rsidR="0095710F" w:rsidRDefault="00000000">
      <w:pPr>
        <w:spacing w:line="480" w:lineRule="auto"/>
      </w:pPr>
      <w:r>
        <w:t>Yessy Andriani Fauziaha*, Eveline Yulia Darmadia, Farouk Al-Ghazalyb, Dwi Setianingtyasc, Dian Agustin Wahjuningrumd, Ajinkya Paware, Dany Agus Susantof</w:t>
      </w:r>
    </w:p>
    <w:p w14:paraId="58DB37E9" w14:textId="77777777" w:rsidR="0095710F" w:rsidRDefault="00000000">
      <w:pPr>
        <w:spacing w:line="480" w:lineRule="auto"/>
      </w:pPr>
      <w:r>
        <w:t>a. School of Dental Medicine, Universitas Ciputra, CitraLand CBD Boulevard, Made, Sambikerep, Surabaya, East Java 60219, Indonesia.</w:t>
      </w:r>
    </w:p>
    <w:p w14:paraId="6CFCCF4A" w14:textId="77777777" w:rsidR="0095710F" w:rsidRDefault="00000000">
      <w:pPr>
        <w:spacing w:line="480" w:lineRule="auto"/>
      </w:pPr>
      <w:r>
        <w:t>b. Faculty of Dental Medicine, Al-Saeed University, Taiz, Yemen, P.O. Box 4999.</w:t>
      </w:r>
    </w:p>
    <w:p w14:paraId="39A94E6F" w14:textId="77777777" w:rsidR="0095710F" w:rsidRDefault="00000000">
      <w:pPr>
        <w:spacing w:line="480" w:lineRule="auto"/>
      </w:pPr>
      <w:r>
        <w:t>c. Department of Oral Medicine, Faculty of Dentistry, Universitas Hang Tuah, Jalan Arif Rahman Hakim No.150, Surabaya, East Java, Indonesia.</w:t>
      </w:r>
    </w:p>
    <w:p w14:paraId="2F32B83D" w14:textId="77777777" w:rsidR="0095710F" w:rsidRDefault="00000000">
      <w:pPr>
        <w:spacing w:line="480" w:lineRule="auto"/>
      </w:pPr>
      <w:r>
        <w:t>d. Department of Conservative Dentistry, Faculty of Dental Medicine, Universitas Airlangga, Jl. Mayjen Prof. Dr. Moestopo No.47, Surabaya, East Java 60132, Indonesia.</w:t>
      </w:r>
    </w:p>
    <w:p w14:paraId="47D2D3AD" w14:textId="77777777" w:rsidR="0095710F" w:rsidRDefault="00000000">
      <w:pPr>
        <w:spacing w:line="480" w:lineRule="auto"/>
      </w:pPr>
      <w:r>
        <w:t>e. Department of Conservative Dentistry and Endodontics, Nair Hospital Dental College, Dr Anandrao Nair Marg, Mumbai Central, Mumbai, Maharashtra 400008, India.</w:t>
      </w:r>
    </w:p>
    <w:p w14:paraId="7E0F73AD" w14:textId="77777777" w:rsidR="0095710F" w:rsidRDefault="00000000">
      <w:pPr>
        <w:spacing w:line="480" w:lineRule="auto"/>
      </w:pPr>
      <w:r>
        <w:t>f. Faculty of Law, Universitas 45 Surabaya, Jl. Mayjen Sungkono Kompleks Gedung Juang No.106, Pakis, Sawahan, Surabaya, East Java 60256, Indonesia.</w:t>
      </w:r>
    </w:p>
    <w:p w14:paraId="31D5C044" w14:textId="77777777" w:rsidR="0095710F" w:rsidRDefault="00000000">
      <w:pPr>
        <w:spacing w:line="480" w:lineRule="auto"/>
      </w:pPr>
      <w:r>
        <w:t>*Corresponding author: Yessy Andriani Fauziah, School of Dental Medicine, Universitas Ciputra, CitraLand CBD Boulevard, Made, Sambikerep, Surabaya, East Java 60219, Indonesia. Email: yessy.andriani@ciputra.ac.id; Phone/WhatsApp: +62 857 3008 8872.</w:t>
      </w:r>
    </w:p>
    <w:p w14:paraId="1C046DBA" w14:textId="77777777" w:rsidR="00FD51D3" w:rsidRDefault="00FD51D3">
      <w:pPr>
        <w:spacing w:line="480" w:lineRule="auto"/>
        <w:rPr>
          <w:b/>
        </w:rPr>
      </w:pPr>
    </w:p>
    <w:p w14:paraId="703DB376" w14:textId="70D0F99A" w:rsidR="0095710F" w:rsidRDefault="00000000">
      <w:pPr>
        <w:spacing w:line="480" w:lineRule="auto"/>
      </w:pPr>
      <w:r>
        <w:rPr>
          <w:b/>
        </w:rPr>
        <w:lastRenderedPageBreak/>
        <w:t>Author identifiers</w:t>
      </w:r>
    </w:p>
    <w:p w14:paraId="0A1AB001" w14:textId="77777777" w:rsidR="0095710F" w:rsidRDefault="00000000">
      <w:pPr>
        <w:spacing w:line="480" w:lineRule="auto"/>
      </w:pPr>
      <w:r>
        <w:t>Yessy Andriani Fauziah: ORCID https://orcid.org/0009-0008-7423-7437; Scopus ID: 57218883072; Email: yessy.andriani@ciputra.ac.id.</w:t>
      </w:r>
    </w:p>
    <w:p w14:paraId="3CDECCD6" w14:textId="5C884163" w:rsidR="0095710F" w:rsidRDefault="00000000">
      <w:pPr>
        <w:spacing w:line="480" w:lineRule="auto"/>
      </w:pPr>
      <w:r>
        <w:t>Eveline Yulia Darmadi: ORCID https://orcid.org/0009-0002-3948-6987; Email: eveline.darmadi@ciputra.ac.id.</w:t>
      </w:r>
    </w:p>
    <w:p w14:paraId="4A65099B" w14:textId="3F23D3FC" w:rsidR="0095710F" w:rsidRDefault="00000000">
      <w:pPr>
        <w:spacing w:line="480" w:lineRule="auto"/>
      </w:pPr>
      <w:r>
        <w:t>Farouk Al-</w:t>
      </w:r>
      <w:proofErr w:type="spellStart"/>
      <w:r>
        <w:t>Ghazaly</w:t>
      </w:r>
      <w:proofErr w:type="spellEnd"/>
      <w:r>
        <w:t>: ORCID https://orcid.org/0009-0003-4080-9090; Email: faroukalghazaly@gmail.com.</w:t>
      </w:r>
    </w:p>
    <w:p w14:paraId="212E4D50" w14:textId="6D6E64F4" w:rsidR="0095710F" w:rsidRDefault="00000000">
      <w:pPr>
        <w:spacing w:line="480" w:lineRule="auto"/>
      </w:pPr>
      <w:r>
        <w:t xml:space="preserve">Dwi </w:t>
      </w:r>
      <w:proofErr w:type="spellStart"/>
      <w:r>
        <w:t>Setianingtyas</w:t>
      </w:r>
      <w:proofErr w:type="spellEnd"/>
      <w:r>
        <w:t>: ORCID https://orcid.org/0009-0000-6977-7326; Email: dwi.setianingtyas.anik@gmail.com.</w:t>
      </w:r>
    </w:p>
    <w:p w14:paraId="0858ACEA" w14:textId="1CCFDD6D" w:rsidR="0095710F" w:rsidRDefault="00000000">
      <w:pPr>
        <w:spacing w:line="480" w:lineRule="auto"/>
      </w:pPr>
      <w:r>
        <w:t xml:space="preserve">Dian Agustin </w:t>
      </w:r>
      <w:proofErr w:type="spellStart"/>
      <w:r>
        <w:t>Wahjuningrum</w:t>
      </w:r>
      <w:proofErr w:type="spellEnd"/>
      <w:r>
        <w:t>: ORCID https://orcid.org/0000-0002-5168-1016; Email: dian-agustin-w@fkg.unair.ac.id.</w:t>
      </w:r>
    </w:p>
    <w:p w14:paraId="4CEE3EFC" w14:textId="71A9DEA9" w:rsidR="0095710F" w:rsidRDefault="00000000">
      <w:pPr>
        <w:spacing w:line="480" w:lineRule="auto"/>
      </w:pPr>
      <w:r>
        <w:t>Ajinkya Pawar: ORCID https://orcid.org/0000-0003-3985-5674; Email: ajinkya@drpawars.com.</w:t>
      </w:r>
    </w:p>
    <w:p w14:paraId="6AF3294E" w14:textId="6B247BAF" w:rsidR="0095710F" w:rsidRDefault="00000000">
      <w:pPr>
        <w:spacing w:line="480" w:lineRule="auto"/>
      </w:pPr>
      <w:r>
        <w:t>Dany Agus Susanto: ORCID https://orcid.org/0009-0000-1780-2788; Email: danyagussusanto@univ45sby.ac.id.</w:t>
      </w:r>
    </w:p>
    <w:p w14:paraId="0D84746C" w14:textId="77777777" w:rsidR="0095710F" w:rsidRDefault="00000000">
      <w:pPr>
        <w:spacing w:line="480" w:lineRule="auto"/>
      </w:pPr>
      <w:r>
        <w:rPr>
          <w:b/>
        </w:rPr>
        <w:t>Abstract</w:t>
      </w:r>
    </w:p>
    <w:p w14:paraId="2D731A0B" w14:textId="77777777" w:rsidR="0095710F" w:rsidRDefault="00000000">
      <w:pPr>
        <w:spacing w:line="480" w:lineRule="auto"/>
      </w:pPr>
      <w:r>
        <w:t xml:space="preserve">Forensic odontology can support human identification, disaster victim identification, medico-legal reporting, and judicial investigation, yet its hospital implementation depends on more than technical dental expertise. This review examined legal, ethical, and governance considerations relevant to integrating forensic odontology into hospital management systems, with emphasis on dental records, confidentiality, consent, professional accountability, and institutional responsibility. Published literature, international disaster victim identification guidance, professional dental ethics statements, and Indonesian health, medical-record, and personal-data regulations were purposively reviewed and synthesized through normative legal and ethical analysis. The synthesis identified four interdependent requirements: lawful </w:t>
      </w:r>
      <w:r>
        <w:lastRenderedPageBreak/>
        <w:t>and traceable access to dental records, reliable documentation and evidence integrity, ethical separation between clinical and forensic roles, and hospital governance mechanisms that define authority, competence, confidentiality, and accountability. The review indicates that forensic-ready dental records and standard operating procedures can reduce medico-legal risk while protecting patient rights. Hospitals should therefore incorporate forensic odontology into clinical governance, medical-record policies, data-protection processes, ethics oversight, and disaster preparedness.</w:t>
      </w:r>
    </w:p>
    <w:p w14:paraId="33BAE46D" w14:textId="77777777" w:rsidR="0095710F" w:rsidRDefault="00000000" w:rsidP="00FD51D3">
      <w:pPr>
        <w:bidi/>
        <w:spacing w:line="480" w:lineRule="auto"/>
        <w:jc w:val="both"/>
      </w:pPr>
      <w:r>
        <w:rPr>
          <w:b/>
          <w:rtl/>
        </w:rPr>
        <w:t>الملخص</w:t>
      </w:r>
    </w:p>
    <w:p w14:paraId="23D9E791" w14:textId="77777777" w:rsidR="0095710F" w:rsidRDefault="00000000" w:rsidP="00FD51D3">
      <w:pPr>
        <w:bidi/>
        <w:spacing w:line="480" w:lineRule="auto"/>
        <w:jc w:val="both"/>
      </w:pPr>
      <w:r>
        <w:rPr>
          <w:rtl/>
        </w:rPr>
        <w:t>يمكن أن يسهم طب الأسنان الشرعي في تحديد الهوية، والتعرف إلى ضحايا الكوارث، وإعداد التقارير الطبية القانونية، ودعم التحقيقات القضائية، إلا أن تطبيقه داخل المستشفيات لا يعتمد على الخبرة السنية التقنية وحدها. استعرضت هذه المراجعة الاعتبارات القانونية والأخلاقية والحوكمية المرتبطة بإدماج طب الأسنان الشرعي في نظم إدارة المستشفيات، مع التركيز على السجلات السنية، والسرية، والموافقة المستنيرة، والمساءلة المهنية، والمسؤولية المؤسسية. تمت مراجعة الأدبيات المنشورة، وإرشادات التعرف إلى ضحايا الكوارث، وبيانات أخلاقيات مهنة طب الأسنان، والأنظمة الإندونيسية المتعلقة بالصحة والسجلات الطبية وحماية البيانات الشخصية، ثم تم توليفها من خلال تحليل قانوني وأخلاقي معياري. حددت المراجعة أربعة متطلبات مترابطة: الوصول القانوني والقابل للتتبع إلى السجلات السنية، وموثوقية التوثيق وسلامة الأدلة، والفصل الأخلاقي بين الدور السريري والدور الشرعي، وآليات الحوكمة التي تحدد السلطة والكفاءة والسرية والمساءلة. وتشير النتائج إلى أن السجلات السنية الجاهزة للاستخدام الشرعي والإجراءات التشغيلية المعيارية قد تقلل المخاطر الطبية القانونية مع حماية حقوق المرضى.</w:t>
      </w:r>
    </w:p>
    <w:p w14:paraId="79956177" w14:textId="77777777" w:rsidR="0095710F" w:rsidRDefault="00000000">
      <w:pPr>
        <w:spacing w:line="480" w:lineRule="auto"/>
      </w:pPr>
      <w:r>
        <w:t>Keywords: forensic science; forensic odontology; hospital administration; medical law; professional ethics</w:t>
      </w:r>
    </w:p>
    <w:p w14:paraId="72C9107B" w14:textId="77777777" w:rsidR="0095710F" w:rsidRDefault="00000000">
      <w:pPr>
        <w:spacing w:line="480" w:lineRule="auto"/>
      </w:pPr>
      <w:r>
        <w:rPr>
          <w:b/>
        </w:rPr>
        <w:t>Declarations</w:t>
      </w:r>
    </w:p>
    <w:p w14:paraId="268A416F" w14:textId="77777777" w:rsidR="0095710F" w:rsidRDefault="00000000">
      <w:pPr>
        <w:spacing w:line="480" w:lineRule="auto"/>
      </w:pPr>
      <w:r>
        <w:t>Funding: No external funding was received for this work.</w:t>
      </w:r>
    </w:p>
    <w:p w14:paraId="20FD17D1" w14:textId="77777777" w:rsidR="0095710F" w:rsidRDefault="00000000">
      <w:pPr>
        <w:spacing w:line="480" w:lineRule="auto"/>
      </w:pPr>
      <w:r>
        <w:t>Conflicts of interest: The authors declare no conflicts of interest.</w:t>
      </w:r>
    </w:p>
    <w:p w14:paraId="28877442" w14:textId="77777777" w:rsidR="0095710F" w:rsidRDefault="00000000">
      <w:pPr>
        <w:spacing w:line="480" w:lineRule="auto"/>
      </w:pPr>
      <w:r>
        <w:t xml:space="preserve">Ethical approval: Not required because this review used only published literature, professional guidance, and publicly available legal or policy documents and did not involve </w:t>
      </w:r>
      <w:r>
        <w:lastRenderedPageBreak/>
        <w:t>human participants, human data, surveys, deceased individuals, clinical records, human tissue, or animals.</w:t>
      </w:r>
    </w:p>
    <w:p w14:paraId="6F83DED1" w14:textId="77777777" w:rsidR="0095710F" w:rsidRDefault="00000000">
      <w:pPr>
        <w:spacing w:line="480" w:lineRule="auto"/>
      </w:pPr>
      <w:r>
        <w:t>Informed consent: Not applicable.</w:t>
      </w:r>
    </w:p>
    <w:p w14:paraId="3107E5C6" w14:textId="77777777" w:rsidR="0095710F" w:rsidRDefault="00000000">
      <w:pPr>
        <w:spacing w:line="480" w:lineRule="auto"/>
      </w:pPr>
      <w:r>
        <w:t>Data availability: No primary dataset was generated or analyzed.</w:t>
      </w:r>
    </w:p>
    <w:p w14:paraId="17069B7F" w14:textId="77777777" w:rsidR="0095710F" w:rsidRDefault="00000000">
      <w:pPr>
        <w:spacing w:line="480" w:lineRule="auto"/>
      </w:pPr>
      <w:r>
        <w:t>Artificial intelligence disclosure: AI-assisted tools were used only for language editing, formatting support, and manuscript organization. The authors critically reviewed, verified, and approved the final content and remain fully responsible for the manuscript.</w:t>
      </w:r>
    </w:p>
    <w:p w14:paraId="7388244F" w14:textId="77777777" w:rsidR="0095710F" w:rsidRDefault="00000000">
      <w:pPr>
        <w:spacing w:line="480" w:lineRule="auto"/>
      </w:pPr>
      <w:r>
        <w:rPr>
          <w:b/>
        </w:rPr>
        <w:t>Author contributions</w:t>
      </w:r>
    </w:p>
    <w:p w14:paraId="48E5EE59" w14:textId="77777777" w:rsidR="0095710F" w:rsidRDefault="00000000">
      <w:pPr>
        <w:spacing w:line="480" w:lineRule="auto"/>
      </w:pPr>
      <w:r>
        <w:t>Yessy Andriani Fauziah: Conceptualization, legal/ethical analysis, literature interpretation, manuscript review and approval of the final version. Please revise this line if the author contributions need to be differentiated before submission.</w:t>
      </w:r>
    </w:p>
    <w:p w14:paraId="37F5ABB7" w14:textId="77777777" w:rsidR="0095710F" w:rsidRDefault="00000000">
      <w:pPr>
        <w:spacing w:line="480" w:lineRule="auto"/>
      </w:pPr>
      <w:r>
        <w:t>Eveline Yulia Darmadi: Conceptualization, legal/ethical analysis, literature interpretation, manuscript review and approval of the final version. Please revise this line if the author contributions need to be differentiated before submission.</w:t>
      </w:r>
    </w:p>
    <w:p w14:paraId="66C96E16" w14:textId="77777777" w:rsidR="0095710F" w:rsidRDefault="00000000">
      <w:pPr>
        <w:spacing w:line="480" w:lineRule="auto"/>
      </w:pPr>
      <w:r>
        <w:t>Farouk Al-Ghazaly: Conceptualization, legal/ethical analysis, literature interpretation, manuscript review and approval of the final version. Please revise this line if the author contributions need to be differentiated before submission.</w:t>
      </w:r>
    </w:p>
    <w:p w14:paraId="58911D54" w14:textId="77777777" w:rsidR="0095710F" w:rsidRDefault="00000000">
      <w:pPr>
        <w:spacing w:line="480" w:lineRule="auto"/>
      </w:pPr>
      <w:r>
        <w:t>Dwi Setianingtyas: Conceptualization, legal/ethical analysis, literature interpretation, manuscript review and approval of the final version. Please revise this line if the author contributions need to be differentiated before submission.</w:t>
      </w:r>
    </w:p>
    <w:p w14:paraId="521F0977" w14:textId="77777777" w:rsidR="0095710F" w:rsidRDefault="00000000">
      <w:pPr>
        <w:spacing w:line="480" w:lineRule="auto"/>
      </w:pPr>
      <w:r>
        <w:t>Dian Agustin Wahjuningrum: Conceptualization, legal/ethical analysis, literature interpretation, manuscript review and approval of the final version. Please revise this line if the author contributions need to be differentiated before submission.</w:t>
      </w:r>
    </w:p>
    <w:p w14:paraId="0BBAEDEE" w14:textId="77777777" w:rsidR="0095710F" w:rsidRDefault="00000000">
      <w:pPr>
        <w:spacing w:line="480" w:lineRule="auto"/>
      </w:pPr>
      <w:r>
        <w:lastRenderedPageBreak/>
        <w:t>Ajinkya Pawar: Conceptualization, legal/ethical analysis, literature interpretation, manuscript review and approval of the final version. Please revise this line if the author contributions need to be differentiated before submission.</w:t>
      </w:r>
    </w:p>
    <w:p w14:paraId="1D4672D1" w14:textId="77777777" w:rsidR="0095710F" w:rsidRDefault="00000000">
      <w:pPr>
        <w:spacing w:line="480" w:lineRule="auto"/>
      </w:pPr>
      <w:r>
        <w:t>Dany Agus Susanto: Conceptualization, legal/ethical analysis, literature interpretation, manuscript review and approval of the final version. Please revise this line if the author contributions need to be differentiated before submission.</w:t>
      </w:r>
    </w:p>
    <w:p w14:paraId="4A27B357" w14:textId="153CC0D4" w:rsidR="0095710F" w:rsidRDefault="0095710F">
      <w:pPr>
        <w:spacing w:line="480" w:lineRule="auto"/>
      </w:pPr>
    </w:p>
    <w:sectPr w:rsidR="0095710F" w:rsidSect="00A93A64">
      <w:headerReference w:type="default" r:id="rId10"/>
      <w:footerReference w:type="even" r:id="rId11"/>
      <w:footerReference w:type="default" r:id="rId12"/>
      <w:pgSz w:w="11900" w:h="16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68D2" w14:textId="77777777" w:rsidR="000C7ED6" w:rsidRDefault="000C7ED6" w:rsidP="004D3E78">
      <w:r>
        <w:separator/>
      </w:r>
    </w:p>
  </w:endnote>
  <w:endnote w:type="continuationSeparator" w:id="0">
    <w:p w14:paraId="43C31579" w14:textId="77777777" w:rsidR="000C7ED6" w:rsidRDefault="000C7ED6" w:rsidP="004D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EE54"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E2BD98" w14:textId="77777777" w:rsidR="008675CE" w:rsidRDefault="00867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94CD"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3DA4">
      <w:rPr>
        <w:rStyle w:val="PageNumber"/>
        <w:noProof/>
      </w:rPr>
      <w:t>3</w:t>
    </w:r>
    <w:r>
      <w:rPr>
        <w:rStyle w:val="PageNumber"/>
      </w:rPr>
      <w:fldChar w:fldCharType="end"/>
    </w:r>
  </w:p>
  <w:p w14:paraId="52696513" w14:textId="77777777" w:rsidR="008675CE" w:rsidRDefault="0086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FE9C3" w14:textId="77777777" w:rsidR="000C7ED6" w:rsidRDefault="000C7ED6" w:rsidP="004D3E78">
      <w:r>
        <w:separator/>
      </w:r>
    </w:p>
  </w:footnote>
  <w:footnote w:type="continuationSeparator" w:id="0">
    <w:p w14:paraId="32B3C45B" w14:textId="77777777" w:rsidR="000C7ED6" w:rsidRDefault="000C7ED6" w:rsidP="004D3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0B29" w14:textId="77777777" w:rsidR="0095710F" w:rsidRDefault="00000000">
    <w:pPr>
      <w:pStyle w:val="Header"/>
      <w:jc w:val="right"/>
    </w:pPr>
    <w:r>
      <w:fldChar w:fldCharType="begin"/>
    </w:r>
    <w:r>
      <w:instrText>PAGE</w:instrText>
    </w:r>
    <w:r>
      <w:fldChar w:fldCharType="separate"/>
    </w:r>
    <w:r w:rsidR="00CA58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398"/>
    <w:multiLevelType w:val="hybridMultilevel"/>
    <w:tmpl w:val="6FC446DC"/>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5213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ancer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ta02sa5hwrftleaz9svrdfztdtpppp2xwvx&quot;&gt;Example Endnote References&lt;record-ids&gt;&lt;item&gt;15&lt;/item&gt;&lt;/record-ids&gt;&lt;/item&gt;&lt;/Libraries&gt;"/>
  </w:docVars>
  <w:rsids>
    <w:rsidRoot w:val="00182DE4"/>
    <w:rsid w:val="000234BF"/>
    <w:rsid w:val="00034847"/>
    <w:rsid w:val="00054EF3"/>
    <w:rsid w:val="0007426C"/>
    <w:rsid w:val="0008765C"/>
    <w:rsid w:val="00092210"/>
    <w:rsid w:val="000C7ED6"/>
    <w:rsid w:val="00114396"/>
    <w:rsid w:val="00155584"/>
    <w:rsid w:val="00160BD1"/>
    <w:rsid w:val="00182DE4"/>
    <w:rsid w:val="00197CCA"/>
    <w:rsid w:val="001E5820"/>
    <w:rsid w:val="002450FB"/>
    <w:rsid w:val="002B3B60"/>
    <w:rsid w:val="00321BE6"/>
    <w:rsid w:val="003828B3"/>
    <w:rsid w:val="00393941"/>
    <w:rsid w:val="00396F98"/>
    <w:rsid w:val="003F2C67"/>
    <w:rsid w:val="00423DA4"/>
    <w:rsid w:val="004D3E78"/>
    <w:rsid w:val="004D56EB"/>
    <w:rsid w:val="00516FFD"/>
    <w:rsid w:val="0053019A"/>
    <w:rsid w:val="005F0ACD"/>
    <w:rsid w:val="00614871"/>
    <w:rsid w:val="00635CFA"/>
    <w:rsid w:val="00661DAC"/>
    <w:rsid w:val="00662BD7"/>
    <w:rsid w:val="006C7663"/>
    <w:rsid w:val="006D1E47"/>
    <w:rsid w:val="00717AEF"/>
    <w:rsid w:val="007D373A"/>
    <w:rsid w:val="00847463"/>
    <w:rsid w:val="008675CE"/>
    <w:rsid w:val="00876B5A"/>
    <w:rsid w:val="0095710F"/>
    <w:rsid w:val="009572D6"/>
    <w:rsid w:val="00963DC4"/>
    <w:rsid w:val="00997E8E"/>
    <w:rsid w:val="009D2A1E"/>
    <w:rsid w:val="00A4279F"/>
    <w:rsid w:val="00A67CF9"/>
    <w:rsid w:val="00A920FF"/>
    <w:rsid w:val="00A93A64"/>
    <w:rsid w:val="00AA39C2"/>
    <w:rsid w:val="00B7327B"/>
    <w:rsid w:val="00BF291D"/>
    <w:rsid w:val="00BF73A8"/>
    <w:rsid w:val="00C55647"/>
    <w:rsid w:val="00CA588E"/>
    <w:rsid w:val="00CE0CC2"/>
    <w:rsid w:val="00D13C05"/>
    <w:rsid w:val="00D8644B"/>
    <w:rsid w:val="00E07737"/>
    <w:rsid w:val="00FC441F"/>
    <w:rsid w:val="00FD0867"/>
    <w:rsid w:val="00FD51D3"/>
    <w:rsid w:val="00FE46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43027"/>
  <w14:defaultImageDpi w14:val="300"/>
  <w15:docId w15:val="{8C3006D8-5B24-462B-8CB4-BE2D3E3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rsid w:val="00661DAC"/>
    <w:pPr>
      <w:jc w:val="center"/>
    </w:pPr>
    <w:rPr>
      <w:rFonts w:cs="Times New Roman"/>
      <w:lang w:val="en-US"/>
    </w:rPr>
  </w:style>
  <w:style w:type="paragraph" w:customStyle="1" w:styleId="EndNoteBibliography">
    <w:name w:val="EndNote Bibliography"/>
    <w:basedOn w:val="Normal"/>
    <w:rsid w:val="00661DAC"/>
    <w:pPr>
      <w:spacing w:line="480" w:lineRule="auto"/>
    </w:pPr>
    <w:rPr>
      <w:rFonts w:cs="Times New Roman"/>
      <w:lang w:val="en-US"/>
    </w:rPr>
  </w:style>
  <w:style w:type="character" w:styleId="Hyperlink">
    <w:name w:val="Hyperlink"/>
    <w:basedOn w:val="DefaultParagraphFont"/>
    <w:uiPriority w:val="99"/>
    <w:unhideWhenUsed/>
    <w:rsid w:val="00635CFA"/>
    <w:rPr>
      <w:color w:val="0000FF" w:themeColor="hyperlink"/>
      <w:u w:val="single"/>
    </w:rPr>
  </w:style>
  <w:style w:type="paragraph" w:styleId="Footer">
    <w:name w:val="footer"/>
    <w:basedOn w:val="Normal"/>
    <w:link w:val="FooterChar"/>
    <w:uiPriority w:val="99"/>
    <w:unhideWhenUsed/>
    <w:rsid w:val="004D3E78"/>
    <w:pPr>
      <w:tabs>
        <w:tab w:val="center" w:pos="4320"/>
        <w:tab w:val="right" w:pos="8640"/>
      </w:tabs>
    </w:pPr>
  </w:style>
  <w:style w:type="character" w:customStyle="1" w:styleId="FooterChar">
    <w:name w:val="Footer Char"/>
    <w:basedOn w:val="DefaultParagraphFont"/>
    <w:link w:val="Footer"/>
    <w:uiPriority w:val="99"/>
    <w:rsid w:val="004D3E78"/>
  </w:style>
  <w:style w:type="character" w:styleId="PageNumber">
    <w:name w:val="page number"/>
    <w:basedOn w:val="DefaultParagraphFont"/>
    <w:uiPriority w:val="99"/>
    <w:semiHidden/>
    <w:unhideWhenUsed/>
    <w:rsid w:val="004D3E78"/>
  </w:style>
  <w:style w:type="paragraph" w:styleId="Header">
    <w:name w:val="header"/>
    <w:basedOn w:val="Normal"/>
    <w:link w:val="HeaderChar"/>
    <w:uiPriority w:val="99"/>
    <w:unhideWhenUsed/>
    <w:rsid w:val="004D3E78"/>
    <w:pPr>
      <w:tabs>
        <w:tab w:val="center" w:pos="4320"/>
        <w:tab w:val="right" w:pos="8640"/>
      </w:tabs>
    </w:pPr>
  </w:style>
  <w:style w:type="character" w:customStyle="1" w:styleId="HeaderChar">
    <w:name w:val="Header Char"/>
    <w:basedOn w:val="DefaultParagraphFont"/>
    <w:link w:val="Header"/>
    <w:uiPriority w:val="99"/>
    <w:rsid w:val="004D3E78"/>
  </w:style>
  <w:style w:type="character" w:styleId="LineNumber">
    <w:name w:val="line number"/>
    <w:basedOn w:val="DefaultParagraphFont"/>
    <w:uiPriority w:val="99"/>
    <w:semiHidden/>
    <w:unhideWhenUsed/>
    <w:rsid w:val="0008765C"/>
  </w:style>
  <w:style w:type="character" w:styleId="Strong">
    <w:name w:val="Strong"/>
    <w:basedOn w:val="DefaultParagraphFont"/>
    <w:uiPriority w:val="22"/>
    <w:qFormat/>
    <w:rsid w:val="00847463"/>
    <w:rPr>
      <w:b/>
      <w:bCs/>
    </w:rPr>
  </w:style>
  <w:style w:type="paragraph" w:styleId="ListParagraph">
    <w:name w:val="List Paragraph"/>
    <w:basedOn w:val="Normal"/>
    <w:uiPriority w:val="34"/>
    <w:qFormat/>
    <w:rsid w:val="00847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73670">
      <w:bodyDiv w:val="1"/>
      <w:marLeft w:val="0"/>
      <w:marRight w:val="0"/>
      <w:marTop w:val="0"/>
      <w:marBottom w:val="0"/>
      <w:divBdr>
        <w:top w:val="none" w:sz="0" w:space="0" w:color="auto"/>
        <w:left w:val="none" w:sz="0" w:space="0" w:color="auto"/>
        <w:bottom w:val="none" w:sz="0" w:space="0" w:color="auto"/>
        <w:right w:val="none" w:sz="0" w:space="0" w:color="auto"/>
      </w:divBdr>
    </w:div>
    <w:div w:id="201328303">
      <w:bodyDiv w:val="1"/>
      <w:marLeft w:val="0"/>
      <w:marRight w:val="0"/>
      <w:marTop w:val="0"/>
      <w:marBottom w:val="0"/>
      <w:divBdr>
        <w:top w:val="none" w:sz="0" w:space="0" w:color="auto"/>
        <w:left w:val="none" w:sz="0" w:space="0" w:color="auto"/>
        <w:bottom w:val="none" w:sz="0" w:space="0" w:color="auto"/>
        <w:right w:val="none" w:sz="0" w:space="0" w:color="auto"/>
      </w:divBdr>
    </w:div>
    <w:div w:id="246574442">
      <w:bodyDiv w:val="1"/>
      <w:marLeft w:val="0"/>
      <w:marRight w:val="0"/>
      <w:marTop w:val="0"/>
      <w:marBottom w:val="0"/>
      <w:divBdr>
        <w:top w:val="none" w:sz="0" w:space="0" w:color="auto"/>
        <w:left w:val="none" w:sz="0" w:space="0" w:color="auto"/>
        <w:bottom w:val="none" w:sz="0" w:space="0" w:color="auto"/>
        <w:right w:val="none" w:sz="0" w:space="0" w:color="auto"/>
      </w:divBdr>
    </w:div>
    <w:div w:id="343168128">
      <w:bodyDiv w:val="1"/>
      <w:marLeft w:val="0"/>
      <w:marRight w:val="0"/>
      <w:marTop w:val="0"/>
      <w:marBottom w:val="0"/>
      <w:divBdr>
        <w:top w:val="none" w:sz="0" w:space="0" w:color="auto"/>
        <w:left w:val="none" w:sz="0" w:space="0" w:color="auto"/>
        <w:bottom w:val="none" w:sz="0" w:space="0" w:color="auto"/>
        <w:right w:val="none" w:sz="0" w:space="0" w:color="auto"/>
      </w:divBdr>
    </w:div>
    <w:div w:id="548105600">
      <w:bodyDiv w:val="1"/>
      <w:marLeft w:val="0"/>
      <w:marRight w:val="0"/>
      <w:marTop w:val="0"/>
      <w:marBottom w:val="0"/>
      <w:divBdr>
        <w:top w:val="none" w:sz="0" w:space="0" w:color="auto"/>
        <w:left w:val="none" w:sz="0" w:space="0" w:color="auto"/>
        <w:bottom w:val="none" w:sz="0" w:space="0" w:color="auto"/>
        <w:right w:val="none" w:sz="0" w:space="0" w:color="auto"/>
      </w:divBdr>
    </w:div>
    <w:div w:id="596183294">
      <w:bodyDiv w:val="1"/>
      <w:marLeft w:val="0"/>
      <w:marRight w:val="0"/>
      <w:marTop w:val="0"/>
      <w:marBottom w:val="0"/>
      <w:divBdr>
        <w:top w:val="none" w:sz="0" w:space="0" w:color="auto"/>
        <w:left w:val="none" w:sz="0" w:space="0" w:color="auto"/>
        <w:bottom w:val="none" w:sz="0" w:space="0" w:color="auto"/>
        <w:right w:val="none" w:sz="0" w:space="0" w:color="auto"/>
      </w:divBdr>
    </w:div>
    <w:div w:id="1139373197">
      <w:bodyDiv w:val="1"/>
      <w:marLeft w:val="0"/>
      <w:marRight w:val="0"/>
      <w:marTop w:val="0"/>
      <w:marBottom w:val="0"/>
      <w:divBdr>
        <w:top w:val="none" w:sz="0" w:space="0" w:color="auto"/>
        <w:left w:val="none" w:sz="0" w:space="0" w:color="auto"/>
        <w:bottom w:val="none" w:sz="0" w:space="0" w:color="auto"/>
        <w:right w:val="none" w:sz="0" w:space="0" w:color="auto"/>
      </w:divBdr>
    </w:div>
    <w:div w:id="1200975529">
      <w:bodyDiv w:val="1"/>
      <w:marLeft w:val="0"/>
      <w:marRight w:val="0"/>
      <w:marTop w:val="0"/>
      <w:marBottom w:val="0"/>
      <w:divBdr>
        <w:top w:val="none" w:sz="0" w:space="0" w:color="auto"/>
        <w:left w:val="none" w:sz="0" w:space="0" w:color="auto"/>
        <w:bottom w:val="none" w:sz="0" w:space="0" w:color="auto"/>
        <w:right w:val="none" w:sz="0" w:space="0" w:color="auto"/>
      </w:divBdr>
    </w:div>
    <w:div w:id="1342665077">
      <w:bodyDiv w:val="1"/>
      <w:marLeft w:val="0"/>
      <w:marRight w:val="0"/>
      <w:marTop w:val="0"/>
      <w:marBottom w:val="0"/>
      <w:divBdr>
        <w:top w:val="none" w:sz="0" w:space="0" w:color="auto"/>
        <w:left w:val="none" w:sz="0" w:space="0" w:color="auto"/>
        <w:bottom w:val="none" w:sz="0" w:space="0" w:color="auto"/>
        <w:right w:val="none" w:sz="0" w:space="0" w:color="auto"/>
      </w:divBdr>
    </w:div>
    <w:div w:id="1393427011">
      <w:bodyDiv w:val="1"/>
      <w:marLeft w:val="0"/>
      <w:marRight w:val="0"/>
      <w:marTop w:val="0"/>
      <w:marBottom w:val="0"/>
      <w:divBdr>
        <w:top w:val="none" w:sz="0" w:space="0" w:color="auto"/>
        <w:left w:val="none" w:sz="0" w:space="0" w:color="auto"/>
        <w:bottom w:val="none" w:sz="0" w:space="0" w:color="auto"/>
        <w:right w:val="none" w:sz="0" w:space="0" w:color="auto"/>
      </w:divBdr>
    </w:div>
    <w:div w:id="1538928952">
      <w:bodyDiv w:val="1"/>
      <w:marLeft w:val="0"/>
      <w:marRight w:val="0"/>
      <w:marTop w:val="0"/>
      <w:marBottom w:val="0"/>
      <w:divBdr>
        <w:top w:val="none" w:sz="0" w:space="0" w:color="auto"/>
        <w:left w:val="none" w:sz="0" w:space="0" w:color="auto"/>
        <w:bottom w:val="none" w:sz="0" w:space="0" w:color="auto"/>
        <w:right w:val="none" w:sz="0" w:space="0" w:color="auto"/>
      </w:divBdr>
    </w:div>
    <w:div w:id="1626544314">
      <w:bodyDiv w:val="1"/>
      <w:marLeft w:val="0"/>
      <w:marRight w:val="0"/>
      <w:marTop w:val="0"/>
      <w:marBottom w:val="0"/>
      <w:divBdr>
        <w:top w:val="none" w:sz="0" w:space="0" w:color="auto"/>
        <w:left w:val="none" w:sz="0" w:space="0" w:color="auto"/>
        <w:bottom w:val="none" w:sz="0" w:space="0" w:color="auto"/>
        <w:right w:val="none" w:sz="0" w:space="0" w:color="auto"/>
      </w:divBdr>
    </w:div>
    <w:div w:id="1656377948">
      <w:bodyDiv w:val="1"/>
      <w:marLeft w:val="0"/>
      <w:marRight w:val="0"/>
      <w:marTop w:val="0"/>
      <w:marBottom w:val="0"/>
      <w:divBdr>
        <w:top w:val="none" w:sz="0" w:space="0" w:color="auto"/>
        <w:left w:val="none" w:sz="0" w:space="0" w:color="auto"/>
        <w:bottom w:val="none" w:sz="0" w:space="0" w:color="auto"/>
        <w:right w:val="none" w:sz="0" w:space="0" w:color="auto"/>
      </w:divBdr>
    </w:div>
    <w:div w:id="17472210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0ABB3D85C87A4A97A367BB86832E9B" ma:contentTypeVersion="8" ma:contentTypeDescription="Create a new document." ma:contentTypeScope="" ma:versionID="1357254d6bc06816301012f91ce37d29">
  <xsd:schema xmlns:xsd="http://www.w3.org/2001/XMLSchema" xmlns:xs="http://www.w3.org/2001/XMLSchema" xmlns:p="http://schemas.microsoft.com/office/2006/metadata/properties" xmlns:ns2="334a5b7a-044a-4e13-940c-2fe4ef74219f" targetNamespace="http://schemas.microsoft.com/office/2006/metadata/properties" ma:root="true" ma:fieldsID="1d1cb6e2fad79e53c533158f884ba269" ns2:_="">
    <xsd:import namespace="334a5b7a-044a-4e13-940c-2fe4ef74219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5b7a-044a-4e13-940c-2fe4ef742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F36F8-7F08-44B8-99A6-AA8B7FD2B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5b7a-044a-4e13-940c-2fe4ef742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2B2A63-5920-49F7-9609-B39AB951233C}">
  <ds:schemaRefs>
    <ds:schemaRef ds:uri="http://schemas.microsoft.com/sharepoint/v3/contenttype/forms"/>
  </ds:schemaRefs>
</ds:datastoreItem>
</file>

<file path=customXml/itemProps3.xml><?xml version="1.0" encoding="utf-8"?>
<ds:datastoreItem xmlns:ds="http://schemas.openxmlformats.org/officeDocument/2006/customXml" ds:itemID="{EE44F8EE-9C44-4FD7-8634-E778B3CD58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4</cp:revision>
  <dcterms:created xsi:type="dcterms:W3CDTF">2014-01-30T15:45:00Z</dcterms:created>
  <dcterms:modified xsi:type="dcterms:W3CDTF">2026-07-31T00:41:00Z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0x0101001E0ABB3D85C87A4A97A367BB86832E9B</vt:lpwstr>
  </property>
</Properties>
</file>