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C3B87" w14:textId="242C9D91" w:rsidR="00A112F2" w:rsidRDefault="00A112F2" w:rsidP="00A112F2">
      <w:pPr>
        <w:jc w:val="center"/>
        <w:rPr>
          <w:b/>
        </w:rPr>
      </w:pPr>
      <w:r>
        <w:rPr>
          <w:b/>
        </w:rPr>
        <w:t>ABSTRACT</w:t>
      </w:r>
    </w:p>
    <w:p w14:paraId="7EAF384D" w14:textId="5F69818F" w:rsidR="00105824" w:rsidRDefault="00000000">
      <w:pPr>
        <w:jc w:val="both"/>
      </w:pPr>
      <w:r>
        <w:rPr>
          <w:b/>
        </w:rPr>
        <w:t xml:space="preserve">Background: </w:t>
      </w:r>
      <w:r>
        <w:t>Targeted amplicon assignment can be difficult when one consensus sequence retrieves highly similar records with different gene annotations. We characterized an approximately 700-bp human genomic amplicon from 13 blood samples and evaluated BLASTn similarity and phylogenetic placement relative to BGN- and G6PD-annotated human references.</w:t>
      </w:r>
    </w:p>
    <w:p w14:paraId="230FF0B7" w14:textId="77777777" w:rsidR="00105824" w:rsidRDefault="00000000">
      <w:pPr>
        <w:jc w:val="both"/>
      </w:pPr>
      <w:r>
        <w:rPr>
          <w:b/>
        </w:rPr>
        <w:t xml:space="preserve">Methods: </w:t>
      </w:r>
      <w:r>
        <w:t>Genomic DNA was extracted, amplified with primer pair 4_144_F/4_833_R, assessed by agarose gel electrophoresis, and sequenced bidirectionally by Sanger sequencing. Forward and reverse reads were assembled into consensus sequences, followed by BLASTn (megablast), ClustalW multiple sequence alignment in MEGA, and Neighbor-Joining analysis using the Tamura-Nei model with bootstrap evaluation.</w:t>
      </w:r>
    </w:p>
    <w:p w14:paraId="35925102" w14:textId="77777777" w:rsidR="00105824" w:rsidRDefault="00000000">
      <w:pPr>
        <w:jc w:val="both"/>
      </w:pPr>
      <w:r>
        <w:rPr>
          <w:b/>
        </w:rPr>
        <w:t xml:space="preserve">Results: </w:t>
      </w:r>
      <w:r>
        <w:t>All 13 samples produced a single visible PCR band at the expected size and successful bidirectional sequencing. BLASTn top-hit sets recurrently contained both BGN-annotated and G6PD-annotated records, with 99-100% query coverage, 99.64-100% identity, and E-values of 0. Multiple sequence alignment showed high conservation. In most individual sample-reference trees, study sequences were positioned within or adjacent to BGN-annotated branches, whereas G6PD-annotated references frequently formed a separate supported cluster. The all-sample tree showed bootstrap values of 43-98.</w:t>
      </w:r>
    </w:p>
    <w:p w14:paraId="493A79DD" w14:textId="77777777" w:rsidR="00105824" w:rsidRDefault="00000000">
      <w:pPr>
        <w:jc w:val="both"/>
      </w:pPr>
      <w:r>
        <w:rPr>
          <w:b/>
        </w:rPr>
        <w:t xml:space="preserve">Conclusion: </w:t>
      </w:r>
      <w:r>
        <w:t>The data support reliable sequencing of a single targeted human genomic amplicon and high similarity to records annotated as BGN and G6PD. Because one primer pair and one amplicon generated both annotation groups, the findings do not independently confirm two gene targets. Definitive locus assignment requires reference-genome mapping or independent target-specific validation.</w:t>
      </w:r>
    </w:p>
    <w:p w14:paraId="6361FFB4" w14:textId="77777777" w:rsidR="00105824" w:rsidRDefault="00000000">
      <w:r>
        <w:t>Keywords: Sanger Sequencing; BLAST; BGN; G6PD; Phylogeny</w:t>
      </w:r>
    </w:p>
    <w:sectPr w:rsidR="0010582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531716">
    <w:abstractNumId w:val="8"/>
  </w:num>
  <w:num w:numId="2" w16cid:durableId="748621216">
    <w:abstractNumId w:val="6"/>
  </w:num>
  <w:num w:numId="3" w16cid:durableId="341203462">
    <w:abstractNumId w:val="5"/>
  </w:num>
  <w:num w:numId="4" w16cid:durableId="1183087655">
    <w:abstractNumId w:val="4"/>
  </w:num>
  <w:num w:numId="5" w16cid:durableId="1559852761">
    <w:abstractNumId w:val="7"/>
  </w:num>
  <w:num w:numId="6" w16cid:durableId="743068700">
    <w:abstractNumId w:val="3"/>
  </w:num>
  <w:num w:numId="7" w16cid:durableId="16003344">
    <w:abstractNumId w:val="2"/>
  </w:num>
  <w:num w:numId="8" w16cid:durableId="83773067">
    <w:abstractNumId w:val="1"/>
  </w:num>
  <w:num w:numId="9" w16cid:durableId="239338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824"/>
    <w:rsid w:val="0015074B"/>
    <w:rsid w:val="0029639D"/>
    <w:rsid w:val="00326F90"/>
    <w:rsid w:val="00A112F2"/>
    <w:rsid w:val="00AA1D8D"/>
    <w:rsid w:val="00B47730"/>
    <w:rsid w:val="00CB0664"/>
    <w:rsid w:val="00F604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F6955"/>
  <w14:defaultImageDpi w14:val="300"/>
  <w15:docId w15:val="{547988C8-B460-436A-8C8F-735B1ED8C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2026-08-08T02:34:00Z</dcterms:modified>
  <cp:category/>
</cp:coreProperties>
</file>