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BDF76" w14:textId="77777777" w:rsidR="003C7918" w:rsidRDefault="00000000" w:rsidP="00D000C5">
      <w:pPr>
        <w:jc w:val="center"/>
      </w:pPr>
      <w:r>
        <w:rPr>
          <w:b/>
        </w:rPr>
        <w:t>Hyperbaric Oxygen Therapy and Spatial Working Memory After Repeated Gingival Porphyromonas gingivalis Exposure in Rats</w:t>
      </w:r>
    </w:p>
    <w:p w14:paraId="7768936C" w14:textId="77777777" w:rsidR="003C7918" w:rsidRDefault="00000000" w:rsidP="00D000C5">
      <w:pPr>
        <w:spacing w:before="240"/>
        <w:jc w:val="both"/>
      </w:pPr>
      <w:r>
        <w:rPr>
          <w:b/>
        </w:rPr>
        <w:t>Abstract</w:t>
      </w:r>
    </w:p>
    <w:p w14:paraId="01EC831C" w14:textId="77777777" w:rsidR="003C7918" w:rsidRDefault="00000000" w:rsidP="00D000C5">
      <w:pPr>
        <w:jc w:val="both"/>
      </w:pPr>
      <w:r>
        <w:rPr>
          <w:b/>
        </w:rPr>
        <w:t xml:space="preserve">Objectives: </w:t>
      </w:r>
      <w:r>
        <w:t>To evaluate temporal changes in spatial working memory after repeated gingival Porphyromonas gingivalis exposure followed by hyperbaric oxygen therapy.</w:t>
      </w:r>
    </w:p>
    <w:p w14:paraId="696E79CC" w14:textId="77777777" w:rsidR="003C7918" w:rsidRDefault="00000000" w:rsidP="00D000C5">
      <w:pPr>
        <w:jc w:val="both"/>
      </w:pPr>
      <w:r>
        <w:rPr>
          <w:b/>
        </w:rPr>
        <w:t xml:space="preserve">Materials and Methods: </w:t>
      </w:r>
      <w:r>
        <w:t>Twenty-two male Sprague-Dawley rats were assigned to a control group (n=11) or a Porphyromonas gingivalis exposure followed by hyperbaric oxygen therapy (HBOT) group (n=11). The exposure-HBOT group received bilateral gingival injections of P. gingivalis suspension (1×10⁹ CFU/mL; 3 µL/side) every two days for five weeks. HBOT was then delivered at 2.0 atmospheres absolute with 100% oxygen for 60 minutes/session, five sessions/week, for four weeks. Y-maze spontaneous alternation was measured at baseline, week 5, and week 9. Temporal within-group changes were analyzed with repeated-measures analysis of variance or Friedman testing followed by pairwise comparisons.</w:t>
      </w:r>
    </w:p>
    <w:p w14:paraId="4E4382E5" w14:textId="77777777" w:rsidR="003C7918" w:rsidRDefault="00000000" w:rsidP="00D000C5">
      <w:pPr>
        <w:jc w:val="both"/>
      </w:pPr>
      <w:r>
        <w:rPr>
          <w:b/>
        </w:rPr>
        <w:t xml:space="preserve">Results: </w:t>
      </w:r>
      <w:r>
        <w:t>Control scores remained statistically unchanged over time (baseline, 70.85±4.97; week 5, 65.45±9.60; week 9, 68.00±5.08; all pairwise P&gt;0.05). In the exposure-HBOT group, the mean score decreased from 68.02±1.67 at baseline to 32.01±24.71 at week 5 and increased to 52.09±14.03 at week 9. Pairwise differences were observed for baseline versus week 5 (P&lt;0.005), baseline versus week 9 (P&lt;0.010), and week 5 versus week 9 (P=0.041).</w:t>
      </w:r>
    </w:p>
    <w:p w14:paraId="0F01585F" w14:textId="77777777" w:rsidR="003C7918" w:rsidRDefault="00000000" w:rsidP="00D000C5">
      <w:pPr>
        <w:jc w:val="both"/>
      </w:pPr>
      <w:r>
        <w:rPr>
          <w:b/>
        </w:rPr>
        <w:t xml:space="preserve">Conclusion: </w:t>
      </w:r>
      <w:r>
        <w:t xml:space="preserve">Repeated gingival P. gingivalis exposure was accompanied by a lower Y-maze spontaneous alternation score, and the score was higher after the HBOT phase. </w:t>
      </w:r>
      <w:r>
        <w:lastRenderedPageBreak/>
        <w:t>Because no exposure-only group was included, the week-9 increase should be interpreted as a temporal association rather than definitive evidence of an HBOT-specific causal effect.</w:t>
      </w:r>
    </w:p>
    <w:p w14:paraId="41A7EB6F" w14:textId="77777777" w:rsidR="003C7918" w:rsidRDefault="00000000" w:rsidP="00D000C5">
      <w:pPr>
        <w:jc w:val="both"/>
      </w:pPr>
      <w:r>
        <w:rPr>
          <w:b/>
        </w:rPr>
        <w:t xml:space="preserve">Keywords: </w:t>
      </w:r>
      <w:r>
        <w:t>Hyperbaric Oxygenation; Memory, Short-Term; Periodontitis; Porphyromonas gingivalis; Rats, Sprague-Dawley; Spatial Behavior</w:t>
      </w:r>
    </w:p>
    <w:p w14:paraId="61FFE0A2" w14:textId="77777777" w:rsidR="003C7918" w:rsidRDefault="00000000" w:rsidP="00D000C5">
      <w:pPr>
        <w:spacing w:before="240"/>
        <w:jc w:val="both"/>
      </w:pPr>
      <w:r>
        <w:rPr>
          <w:b/>
        </w:rPr>
        <w:t>Introduction</w:t>
      </w:r>
    </w:p>
    <w:p w14:paraId="3059827D" w14:textId="77777777" w:rsidR="003C7918" w:rsidRDefault="00000000" w:rsidP="00D000C5">
      <w:pPr>
        <w:jc w:val="both"/>
      </w:pPr>
      <w:r>
        <w:t>Periodontal infection is increasingly discussed as a possible contributor to extra-oral inflammatory burden. Among periodontal pathogens, Porphyromonas gingivalis has particular relevance because its virulence factors can disturb the host-microbial balance and sustain inflammatory signaling within periodontal tissues. The same microbial products may also enter systemic inflammatory pathways, making P. gingivalis a useful organism for experimental studies on oral-systemic interactions [1,2].</w:t>
      </w:r>
    </w:p>
    <w:p w14:paraId="74EFD4DE" w14:textId="77777777" w:rsidR="003C7918" w:rsidRDefault="00000000" w:rsidP="00D000C5">
      <w:pPr>
        <w:jc w:val="both"/>
      </w:pPr>
      <w:r>
        <w:t>The biological link between periodontal pathogens and cognition is not yet fully established, but several mechanisms have been proposed. P. gingivalis components, including lipopolysaccharide, gingipains, fimbriae, and outer membrane vesicles, have been connected with endothelial alteration, cytokine activation, oxidative stress, and neuroimmune responses. Rodent studies have reported memory-related changes after exposure to P. gingivalis-derived vesicles and have suggested possible involvement of inflammasome activation, tau phosphorylation, microglial response, and neural communication through the trigeminal pathway [3-7].</w:t>
      </w:r>
    </w:p>
    <w:p w14:paraId="2FC63239" w14:textId="77777777" w:rsidR="003C7918" w:rsidRDefault="00000000" w:rsidP="00D000C5">
      <w:pPr>
        <w:jc w:val="both"/>
      </w:pPr>
      <w:r>
        <w:t xml:space="preserve">Hyperbaric oxygen therapy (HBOT) exposes tissues to high concentrations of oxygen under increased atmospheric pressure. In neurological and inflammatory contexts, HBOT has been investigated for effects related to oxygen diffusion, vascular function, oxidative </w:t>
      </w:r>
      <w:r>
        <w:lastRenderedPageBreak/>
        <w:t>balance, inflammatory regulation, and cognitive performance [8-12]. These mechanisms provide a rationale for examining HBOT after periodontal-pathogen exposure, although the available evidence remains limited and treatment-specific conclusions require appropriate control groups.</w:t>
      </w:r>
    </w:p>
    <w:p w14:paraId="61818BFF" w14:textId="77777777" w:rsidR="003C7918" w:rsidRDefault="00000000" w:rsidP="00D000C5">
      <w:pPr>
        <w:jc w:val="both"/>
      </w:pPr>
      <w:r>
        <w:t>This study examined Y-maze spontaneous alternation in rats subjected to repeated gingival P. gingivalis exposure followed by HBOT. We expected the spontaneous alternation score to decrease after the exposure phase and to increase during the subsequent HBOT phase. The design was intended to describe temporal behavioral changes rather than to establish an exclusive causal effect of HBOT.</w:t>
      </w:r>
    </w:p>
    <w:p w14:paraId="41E4A6EE" w14:textId="77777777" w:rsidR="003C7918" w:rsidRDefault="00000000" w:rsidP="00D000C5">
      <w:pPr>
        <w:spacing w:before="240"/>
        <w:jc w:val="both"/>
      </w:pPr>
      <w:r>
        <w:rPr>
          <w:b/>
        </w:rPr>
        <w:t>Materials and Methods</w:t>
      </w:r>
    </w:p>
    <w:p w14:paraId="7BE4C483" w14:textId="77777777" w:rsidR="003C7918" w:rsidRDefault="00000000" w:rsidP="00D000C5">
      <w:pPr>
        <w:spacing w:before="240"/>
        <w:jc w:val="both"/>
      </w:pPr>
      <w:r>
        <w:rPr>
          <w:b/>
        </w:rPr>
        <w:t>Study Design and Ethical Approval</w:t>
      </w:r>
    </w:p>
    <w:p w14:paraId="1253BD72" w14:textId="77777777" w:rsidR="003C7918" w:rsidRDefault="00000000" w:rsidP="00D000C5">
      <w:pPr>
        <w:jc w:val="both"/>
      </w:pPr>
      <w:r>
        <w:t>This experimental animal study evaluated spatial working memory after repeated gingival P. gingivalis exposure followed by HBOT. The protocol was approved by the Institutional Research Ethics Committee [blinded for peer review] (approval number: [blinded for peer review]). All animal procedures were conducted in accordance with institutional guidelines for the care and use of laboratory animals.</w:t>
      </w:r>
    </w:p>
    <w:p w14:paraId="3197689A" w14:textId="77777777" w:rsidR="003C7918" w:rsidRDefault="00000000" w:rsidP="00D000C5">
      <w:pPr>
        <w:spacing w:before="240"/>
        <w:jc w:val="both"/>
      </w:pPr>
      <w:r>
        <w:rPr>
          <w:b/>
        </w:rPr>
        <w:t>Animals and Housing Conditions</w:t>
      </w:r>
    </w:p>
    <w:p w14:paraId="1894998A" w14:textId="77777777" w:rsidR="003C7918" w:rsidRDefault="00000000" w:rsidP="00D000C5">
      <w:pPr>
        <w:jc w:val="both"/>
      </w:pPr>
      <w:r>
        <w:t>Twenty-two male Sprague-Dawley rats aged 10 weeks and weighing 150-180 g were included. Before the experiment, the animals underwent a one-week acclimatization period at 18-26 °C, 30-70% relative humidity, and a 12-hour light/dark cycle. Standard cages were used, and pellet diet and drinking water were provided ad libitum.</w:t>
      </w:r>
    </w:p>
    <w:p w14:paraId="17D30273" w14:textId="77777777" w:rsidR="003C7918" w:rsidRDefault="00000000" w:rsidP="00D000C5">
      <w:pPr>
        <w:jc w:val="both"/>
      </w:pPr>
      <w:r>
        <w:lastRenderedPageBreak/>
        <w:t>Eligibility was based on veterinary examination indicating a normal physical condition and behavior, including smooth fur, clear eyes, usual activity, adequate appetite, firm feces, and normal social behavior. Animals with congenital abnormalities or clinical signs of illness during acclimatization were excluded. Animals that died during the experiment were to be recorded as dropouts and excluded from the final analysis.</w:t>
      </w:r>
    </w:p>
    <w:p w14:paraId="1511BBEA" w14:textId="77777777" w:rsidR="003C7918" w:rsidRDefault="00000000" w:rsidP="00D000C5">
      <w:pPr>
        <w:spacing w:before="240"/>
        <w:jc w:val="both"/>
      </w:pPr>
      <w:r>
        <w:rPr>
          <w:b/>
        </w:rPr>
        <w:t>Experimental Groups</w:t>
      </w:r>
    </w:p>
    <w:p w14:paraId="6462B415" w14:textId="77777777" w:rsidR="003C7918" w:rsidRDefault="00000000" w:rsidP="00D000C5">
      <w:pPr>
        <w:jc w:val="both"/>
      </w:pPr>
      <w:r>
        <w:t>The control group did not receive P. gingivalis exposure or HBOT. The exposure-HBOT group received repeated gingival P. gingivalis injections for five weeks and then underwent HBOT for four weeks. Y-maze performance was assessed in both groups at baseline, week 5, and week 9.</w:t>
      </w:r>
    </w:p>
    <w:p w14:paraId="39A36CAF" w14:textId="77777777" w:rsidR="003C7918" w:rsidRDefault="00000000" w:rsidP="00D000C5">
      <w:pPr>
        <w:spacing w:before="240"/>
        <w:jc w:val="both"/>
      </w:pPr>
      <w:r>
        <w:rPr>
          <w:b/>
        </w:rPr>
        <w:t>Repeated Gingival Porphyromonas gingivalis Exposure</w:t>
      </w:r>
    </w:p>
    <w:p w14:paraId="4D8D545C" w14:textId="77777777" w:rsidR="003C7918" w:rsidRDefault="00000000" w:rsidP="00D000C5">
      <w:pPr>
        <w:jc w:val="both"/>
      </w:pPr>
      <w:r>
        <w:t>P. gingivalis ATCC 33277 PK/5 suspension was prepared at 1×10⁹ CFU/mL. A 3-µL volume was injected into gingival tissue adjacent to the mandibular second molar on both the right and left sides using a 5-µL microsyringe (Hamilton Company, Reno, NV, USA). The injections were administered every two days for five consecutive weeks.</w:t>
      </w:r>
    </w:p>
    <w:p w14:paraId="41EA1EA5" w14:textId="77777777" w:rsidR="003C7918" w:rsidRDefault="00000000" w:rsidP="00D000C5">
      <w:pPr>
        <w:jc w:val="both"/>
      </w:pPr>
      <w:r>
        <w:t>Because periodontal destruction was not evaluated histologically or radiographically, the procedure is reported as repeated gingival P. gingivalis exposure rather than as an independently validated periodontitis model.</w:t>
      </w:r>
    </w:p>
    <w:p w14:paraId="4DA675E2" w14:textId="77777777" w:rsidR="003C7918" w:rsidRDefault="00000000" w:rsidP="00D000C5">
      <w:pPr>
        <w:spacing w:before="240"/>
        <w:jc w:val="both"/>
      </w:pPr>
      <w:r>
        <w:rPr>
          <w:b/>
        </w:rPr>
        <w:t>Hyperbaric Oxygen Therapy Protocol</w:t>
      </w:r>
    </w:p>
    <w:p w14:paraId="0605460F" w14:textId="77777777" w:rsidR="003C7918" w:rsidRDefault="00000000" w:rsidP="00D000C5">
      <w:pPr>
        <w:jc w:val="both"/>
      </w:pPr>
      <w:r>
        <w:t xml:space="preserve">After the five-week exposure phase, animals in the exposure-HBOT group underwent HBOT at 2.0 atmospheres absolute with 100% medical oxygen. Compression was </w:t>
      </w:r>
      <w:r>
        <w:lastRenderedPageBreak/>
        <w:t>conducted at 0.1 atmospheres absolute/minute until the target pressure was reached. Each session consisted of two 30-minute oxygen exposure periods separated by a 5-minute interval at target pressure, followed by decompression at 0.1 atmospheres absolute/minute.</w:t>
      </w:r>
    </w:p>
    <w:p w14:paraId="135D5098" w14:textId="77777777" w:rsidR="003C7918" w:rsidRDefault="00000000" w:rsidP="00D000C5">
      <w:pPr>
        <w:jc w:val="both"/>
      </w:pPr>
      <w:r>
        <w:t>Before each session, animals were fasted for 4-6 hours and briefly observed to confirm suitability for therapy. During exposure, animals were monitored through the chamber window. Sessions were stopped if severe distress was observed. After each session, animals were transferred to a recovery cage and observed for approximately 30 minutes. HBOT was administered five times per week for four consecutive weeks.</w:t>
      </w:r>
    </w:p>
    <w:p w14:paraId="7DE991F6" w14:textId="77777777" w:rsidR="003C7918" w:rsidRDefault="00000000" w:rsidP="00D000C5">
      <w:pPr>
        <w:spacing w:before="240"/>
        <w:jc w:val="both"/>
      </w:pPr>
      <w:r>
        <w:rPr>
          <w:b/>
        </w:rPr>
        <w:t>Y-Maze Spontaneous Alternation Test</w:t>
      </w:r>
    </w:p>
    <w:p w14:paraId="049173CC" w14:textId="77777777" w:rsidR="003C7918" w:rsidRDefault="00000000" w:rsidP="00D000C5">
      <w:pPr>
        <w:jc w:val="both"/>
      </w:pPr>
      <w:r>
        <w:t>Spatial working memory was assessed with the Y-maze spontaneous alternation test. The apparatus consisted of three identical polyvinyl chloride arms labeled A, B, and C and arranged at 120° angles. Each arm measured approximately 30 cm×8 cm×15 cm.</w:t>
      </w:r>
    </w:p>
    <w:p w14:paraId="5B13FC19" w14:textId="77777777" w:rsidR="003C7918" w:rsidRDefault="00000000" w:rsidP="00D000C5">
      <w:pPr>
        <w:jc w:val="both"/>
      </w:pPr>
      <w:r>
        <w:t>Each rat acclimatized to the testing room for 10-15 minutes before testing. The animal was placed at the end of one arm and allowed to explore freely for 5-8 minutes while movement was video-recorded. An arm entry was counted only when the entire body, including the tail, entered an arm. The total number of arm entries and spontaneous alternations were recorded. A spontaneous alternation was defined as consecutive entries into three different arms. Spontaneous alternation percentage was calculated as follows: [number of spontaneous alternations/(total arm entries−2)]×100. The maze was cleaned with 70% alcohol between animals to reduce odor cues. Testing was performed at baseline, week 5, and week 9. This procedure was consistent with standard rodent spontaneous-alternation approaches for spatial working memory assessment [13,14].</w:t>
      </w:r>
    </w:p>
    <w:p w14:paraId="28BB449E" w14:textId="77777777" w:rsidR="003C7918" w:rsidRDefault="00000000" w:rsidP="00D000C5">
      <w:pPr>
        <w:spacing w:before="240"/>
        <w:jc w:val="both"/>
      </w:pPr>
      <w:r>
        <w:rPr>
          <w:b/>
        </w:rPr>
        <w:lastRenderedPageBreak/>
        <w:t>Statistical Analysis</w:t>
      </w:r>
    </w:p>
    <w:p w14:paraId="33442CB4" w14:textId="77777777" w:rsidR="003C7918" w:rsidRDefault="00000000" w:rsidP="00D000C5">
      <w:pPr>
        <w:jc w:val="both"/>
      </w:pPr>
      <w:r>
        <w:t>Data were analyzed with IBM SPSS Statistics version 27.0 (IBM Corp., Armonk, NY, USA). Descriptive data are presented as mean±standard deviation. Normality was assessed using the Shapiro-Wilk test, and homogeneity of variance was assessed using Levene’s test.</w:t>
      </w:r>
    </w:p>
    <w:p w14:paraId="5973BDEC" w14:textId="77777777" w:rsidR="003C7918" w:rsidRDefault="00000000" w:rsidP="00D000C5">
      <w:pPr>
        <w:jc w:val="both"/>
      </w:pPr>
      <w:r>
        <w:t>For the control group, repeated-measures analysis of variance was used to compare Y-maze scores across the three time points, followed by paired t-tests for pairwise comparisons. For the exposure-HBOT group, the Friedman test was used because the data were not normally distributed; pairwise comparisons were performed with Wilcoxon signed-rank tests. Two-sided P values &lt;0.05 were considered statistically significant. Because no exposure-only group was included, the analyses were interpreted as temporal within-group comparisons rather than proof of an HBOT-specific treatment effect.</w:t>
      </w:r>
    </w:p>
    <w:p w14:paraId="4849D9FB" w14:textId="77777777" w:rsidR="003C7918" w:rsidRDefault="00000000" w:rsidP="00D000C5">
      <w:pPr>
        <w:spacing w:before="240"/>
        <w:jc w:val="both"/>
      </w:pPr>
      <w:r>
        <w:rPr>
          <w:b/>
        </w:rPr>
        <w:t>Results</w:t>
      </w:r>
    </w:p>
    <w:p w14:paraId="543C4474" w14:textId="77777777" w:rsidR="003C7918" w:rsidRDefault="00000000" w:rsidP="00D000C5">
      <w:pPr>
        <w:spacing w:before="240"/>
        <w:jc w:val="both"/>
      </w:pPr>
      <w:r>
        <w:rPr>
          <w:b/>
        </w:rPr>
        <w:t>Y-Maze Spontaneous Alternation</w:t>
      </w:r>
    </w:p>
    <w:p w14:paraId="271B00EA" w14:textId="77777777" w:rsidR="003C7918" w:rsidRDefault="00000000" w:rsidP="00D000C5">
      <w:pPr>
        <w:jc w:val="both"/>
      </w:pPr>
      <w:r>
        <w:t>The descriptive Y-maze spontaneous alternation scores at baseline, week 5, and week 9 are summarized in Table 1. The control group showed relatively stable scores across the observation period. In the exposure-HBOT group, the mean score was lower after the five-week P. gingivalis exposure phase and higher after the four-week HBOT phase, although it did not return to the baseline value.</w:t>
      </w:r>
    </w:p>
    <w:p w14:paraId="51FEE4A1" w14:textId="77777777" w:rsidR="003C7918" w:rsidRDefault="00000000" w:rsidP="00D000C5">
      <w:pPr>
        <w:spacing w:before="240"/>
        <w:jc w:val="both"/>
      </w:pPr>
      <w:r>
        <w:rPr>
          <w:b/>
        </w:rPr>
        <w:t>Within-Group Comparisons</w:t>
      </w:r>
    </w:p>
    <w:p w14:paraId="3A95C33D" w14:textId="77777777" w:rsidR="003C7918" w:rsidRDefault="00000000" w:rsidP="00D000C5">
      <w:pPr>
        <w:jc w:val="both"/>
      </w:pPr>
      <w:r>
        <w:lastRenderedPageBreak/>
        <w:t>Pairwise comparisons for the control group are presented in Table 2. None of the comparisons reached statistical significance, indicating no statistically detectable temporal change in this group.</w:t>
      </w:r>
    </w:p>
    <w:p w14:paraId="1E6FD154" w14:textId="77777777" w:rsidR="003C7918" w:rsidRDefault="00000000" w:rsidP="00D000C5">
      <w:pPr>
        <w:jc w:val="both"/>
      </w:pPr>
      <w:r>
        <w:t>Pairwise comparisons for the exposure-HBOT group are presented in Table 3. Significant differences were found between baseline and week 5, baseline and week 9, and week 5 and week 9. These results show a lower score at week 5 than at baseline and a higher score at week 9 than at week 5. The findings were not interpreted as an HBOT-specific causal effect because an exposure-only comparison group was not included.</w:t>
      </w:r>
    </w:p>
    <w:p w14:paraId="42BE5902" w14:textId="77777777" w:rsidR="003C7918" w:rsidRDefault="00000000" w:rsidP="00D000C5">
      <w:pPr>
        <w:spacing w:before="240"/>
        <w:jc w:val="both"/>
      </w:pPr>
      <w:r>
        <w:rPr>
          <w:b/>
        </w:rPr>
        <w:t>Discussion</w:t>
      </w:r>
    </w:p>
    <w:p w14:paraId="1B69853C" w14:textId="77777777" w:rsidR="003C7918" w:rsidRDefault="00000000" w:rsidP="00D000C5">
      <w:pPr>
        <w:jc w:val="both"/>
      </w:pPr>
      <w:r>
        <w:t>This study found a reduction in Y-maze spontaneous alternation after five weeks of repeated gingival P. gingivalis exposure, followed by a higher score after the subsequent HBOT phase. The control group showed no significant pairwise change over the same period. Importantly, the post-HBOT score remained below baseline, indicating partial rather than complete recovery of Y-maze performance.</w:t>
      </w:r>
    </w:p>
    <w:p w14:paraId="3A290AAA" w14:textId="77777777" w:rsidR="003C7918" w:rsidRDefault="00000000" w:rsidP="00D000C5">
      <w:pPr>
        <w:jc w:val="both"/>
      </w:pPr>
      <w:r>
        <w:t>The week-5 decrease is consistent with experimental literature suggesting that P. gingivalis and its derived products may influence brain-related inflammatory pathways. Previous studies have connected P. gingivalis outer membrane vesicles and extracellular vesicles with memory impairment, inflammasome activation, tau-related changes, microglial response, and trigeminal nerve-mediated mechanisms [3-7]. The present experiment did not directly test these biological pathways. Therefore, they should be considered plausible explanatory mechanisms, not outcomes demonstrated by this study.</w:t>
      </w:r>
    </w:p>
    <w:p w14:paraId="538AFA9E" w14:textId="77777777" w:rsidR="003C7918" w:rsidRDefault="00000000" w:rsidP="00D000C5">
      <w:pPr>
        <w:jc w:val="both"/>
      </w:pPr>
      <w:r>
        <w:lastRenderedPageBreak/>
        <w:t>The higher score at week 9 occurred after the HBOT phase. HBOT has been examined in relation to oxygen delivery, vascular function, inflammatory regulation, oxidative balance, and cognitive outcomes [8-12]. These reported actions make HBOT relevant to inflammatory oral-systemic models. However, the current design does not allow the improvement between week 5 and week 9 to be attributed solely to HBOT. Spontaneous recovery, cessation of bacterial exposure, and repeated behavioral testing could also have contributed to the observed change.</w:t>
      </w:r>
    </w:p>
    <w:p w14:paraId="15BD5798" w14:textId="77777777" w:rsidR="003C7918" w:rsidRDefault="00000000" w:rsidP="00D000C5">
      <w:pPr>
        <w:jc w:val="both"/>
      </w:pPr>
      <w:r>
        <w:t>The Y-maze spontaneous alternation task is useful for assessing short-term spatial working memory in rodents, but its results should not be interpreted in isolation. Alternation behavior may also be affected by general locomotor activity, exploratory drive, anxiety, stress, or sensorimotor function. Although arm entries were recorded during testing, total arm-entry data were not included in the present results. Future reports should present these data and add complementary behavioral tests, such as open-field activity and another memory measure, to support a stronger interpretation of cognitive performance [13,14].</w:t>
      </w:r>
    </w:p>
    <w:p w14:paraId="1BD60DAE" w14:textId="77777777" w:rsidR="003C7918" w:rsidRDefault="00000000" w:rsidP="00D000C5">
      <w:pPr>
        <w:jc w:val="both"/>
      </w:pPr>
      <w:r>
        <w:t>Several limitations should guide interpretation. First, the design included only a control group and an exposure-HBOT group. It did not include P. gingivalis exposure-only, HBOT-only, or sham-chamber groups. Second, periodontal tissue destruction was not confirmed by histology, radiography, alveolar bone-loss assessment, or local inflammatory-marker measurement. Third, molecular outcomes related to neuroinflammation, oxidative stress, blood-brain barrier integrity, and neuronal injury were not measured. Fourth, the sample size was modest and only male Sprague-Dawley rats were used.</w:t>
      </w:r>
    </w:p>
    <w:p w14:paraId="7DD78D2C" w14:textId="77777777" w:rsidR="003C7918" w:rsidRDefault="00000000" w:rsidP="00D000C5">
      <w:pPr>
        <w:jc w:val="both"/>
      </w:pPr>
      <w:r>
        <w:t xml:space="preserve">Future experiments should use a more complete control structure that separates bacterial exposure, HBOT, chamber exposure, and time effects. Direct assessment of periodontal </w:t>
      </w:r>
      <w:r>
        <w:lastRenderedPageBreak/>
        <w:t>tissues, systemic inflammatory markers, hippocampal pathology, blood-brain barrier proteins, and P. gingivalis virulence factors would help clarify whether behavioral changes arise from local periodontal injury, systemic inflammation, neural involvement, or treatment-related modification.</w:t>
      </w:r>
    </w:p>
    <w:p w14:paraId="514FBD54" w14:textId="77777777" w:rsidR="003C7918" w:rsidRDefault="00000000" w:rsidP="00D000C5">
      <w:pPr>
        <w:spacing w:before="240"/>
        <w:jc w:val="both"/>
      </w:pPr>
      <w:r>
        <w:rPr>
          <w:b/>
        </w:rPr>
        <w:t>Conclusion</w:t>
      </w:r>
    </w:p>
    <w:p w14:paraId="7B1F3287" w14:textId="77777777" w:rsidR="003C7918" w:rsidRDefault="00000000" w:rsidP="00D000C5">
      <w:pPr>
        <w:jc w:val="both"/>
      </w:pPr>
      <w:r>
        <w:t>Repeated gingival P. gingivalis exposure was accompanied by a reduction in Y-maze spontaneous alternation at week 5. The score was higher at week 9 after the HBOT phase but did not return to baseline. Because an exposure-only group was not included and periodontal injury was not directly measured, the findings should be interpreted as temporal associations rather than definitive evidence that HBOT reverses P. gingivalis-related cognitive impairment.</w:t>
      </w:r>
    </w:p>
    <w:p w14:paraId="76E25E46" w14:textId="77777777" w:rsidR="003C7918" w:rsidRDefault="00000000" w:rsidP="00D000C5">
      <w:pPr>
        <w:spacing w:before="240"/>
        <w:jc w:val="both"/>
      </w:pPr>
      <w:r>
        <w:rPr>
          <w:b/>
        </w:rPr>
        <w:t>Acknowledgments</w:t>
      </w:r>
    </w:p>
    <w:p w14:paraId="65479FBC" w14:textId="77777777" w:rsidR="003C7918" w:rsidRDefault="00000000" w:rsidP="00D000C5">
      <w:pPr>
        <w:jc w:val="both"/>
      </w:pPr>
      <w:r>
        <w:t>The authors thank the laboratory staff and supporting personnel who assisted with the experimental procedures.</w:t>
      </w:r>
    </w:p>
    <w:p w14:paraId="07C7D654" w14:textId="77777777" w:rsidR="003C7918" w:rsidRDefault="00000000" w:rsidP="00D000C5">
      <w:pPr>
        <w:spacing w:before="240"/>
        <w:jc w:val="both"/>
      </w:pPr>
      <w:r>
        <w:rPr>
          <w:b/>
        </w:rPr>
        <w:t>Funding</w:t>
      </w:r>
    </w:p>
    <w:p w14:paraId="1875FEA1" w14:textId="77777777" w:rsidR="003C7918" w:rsidRDefault="00000000" w:rsidP="00D000C5">
      <w:pPr>
        <w:jc w:val="both"/>
      </w:pPr>
      <w:r>
        <w:t>This research received no specific grant from funding agencies in the public, commercial, or not-for-profit sectors.</w:t>
      </w:r>
    </w:p>
    <w:p w14:paraId="01B61D1D" w14:textId="77777777" w:rsidR="003C7918" w:rsidRDefault="00000000" w:rsidP="00D000C5">
      <w:pPr>
        <w:spacing w:before="240"/>
        <w:jc w:val="both"/>
      </w:pPr>
      <w:r>
        <w:rPr>
          <w:b/>
        </w:rPr>
        <w:t>Conflict of Interest</w:t>
      </w:r>
    </w:p>
    <w:p w14:paraId="4287A4F9" w14:textId="77777777" w:rsidR="003C7918" w:rsidRDefault="00000000" w:rsidP="00D000C5">
      <w:pPr>
        <w:jc w:val="both"/>
      </w:pPr>
      <w:r>
        <w:t>The authors declare that they have no conflict of interest.</w:t>
      </w:r>
    </w:p>
    <w:p w14:paraId="68D0AA37" w14:textId="77777777" w:rsidR="003C7918" w:rsidRDefault="00000000" w:rsidP="00D000C5">
      <w:pPr>
        <w:spacing w:before="240"/>
        <w:jc w:val="both"/>
      </w:pPr>
      <w:r>
        <w:rPr>
          <w:b/>
        </w:rPr>
        <w:t>Declaration of Artificial Intelligence (AI) Use</w:t>
      </w:r>
    </w:p>
    <w:p w14:paraId="281EF4F2" w14:textId="77777777" w:rsidR="003C7918" w:rsidRDefault="00000000" w:rsidP="00D000C5">
      <w:pPr>
        <w:jc w:val="both"/>
      </w:pPr>
      <w:r>
        <w:lastRenderedPageBreak/>
        <w:t>The authors acknowledge that ChatGPT (OpenAI) was used only for language editing, grammar refinement, and improving the clarity of selected sentences in the manuscript. The AI tool was not used to generate study data, perform statistical analysis, create results, or replace the authors’ scientific interpretation. All manuscript content, data presentation, references, and conclusions were reviewed, verified, and approved by the authors, who take full responsibility for the accuracy and integrity of the submitted work.</w:t>
      </w:r>
    </w:p>
    <w:p w14:paraId="46A7B025" w14:textId="77777777" w:rsidR="003C7918" w:rsidRDefault="00000000" w:rsidP="00D000C5">
      <w:pPr>
        <w:spacing w:before="240"/>
        <w:jc w:val="both"/>
      </w:pPr>
      <w:r>
        <w:rPr>
          <w:b/>
        </w:rPr>
        <w:t>References</w:t>
      </w:r>
    </w:p>
    <w:p w14:paraId="2A1D592E" w14:textId="77777777" w:rsidR="003C7918" w:rsidRDefault="00000000" w:rsidP="00D000C5">
      <w:pPr>
        <w:jc w:val="both"/>
      </w:pPr>
      <w:r>
        <w:t>1. Ma X, Yoo JW, Shin YJ, Park HS, Son YH, Kim DH. Alleviation of Porphyromonas gingivalis or Its Extracellular Vesicles Provoked Periodontitis and Cognitive Impairment by Lactobacillus pentosus NK357 and Bifidobacterium bifidum NK391. Nutrients. 2023 Mar 1;15(5). doi:10.3390/NU15051068</w:t>
      </w:r>
    </w:p>
    <w:p w14:paraId="42F2F61A" w14:textId="77777777" w:rsidR="003C7918" w:rsidRDefault="00000000" w:rsidP="00D000C5">
      <w:pPr>
        <w:jc w:val="both"/>
      </w:pPr>
      <w:r>
        <w:t>2. Cichońska D, Mazuś M, Kusiak A. Recent Aspects of Periodontitis and Alzheimer’s Disease-A Narrative Review. Int J Mol Sci. 2024 Feb 23;25(5). doi:10.3390/IJMS25052612</w:t>
      </w:r>
    </w:p>
    <w:p w14:paraId="7DD82CB7" w14:textId="77777777" w:rsidR="003C7918" w:rsidRDefault="00000000" w:rsidP="00D000C5">
      <w:pPr>
        <w:jc w:val="both"/>
      </w:pPr>
      <w:r>
        <w:t>3. Gong T, Chen Q, Mao H, Zhang Y, Ren H, Xu M, et al. Outer membrane vesicles of Porphyromonas gingivalis trigger NLRP3 inflammasome and induce neuroinflammation, tau phosphorylation, and memory dysfunction in mice. Front Cell Infect Microbiol. 2022 Aug 9;12. doi:10.3389/FCIMB.2022.925435</w:t>
      </w:r>
    </w:p>
    <w:p w14:paraId="6938708C" w14:textId="77777777" w:rsidR="003C7918" w:rsidRDefault="00000000" w:rsidP="00D000C5">
      <w:pPr>
        <w:jc w:val="both"/>
      </w:pPr>
      <w:r>
        <w:t>4. Magnusson A, Wu R, Demirel I. Porphyromonas gingivalis triggers microglia activation and neurodegenerative processes through NOX4. Front Cell Infect Microbiol. 2024 Oct 14;14:1451683. doi:10.3389/FCIMB.2024.1451683</w:t>
      </w:r>
    </w:p>
    <w:p w14:paraId="3542A5AB" w14:textId="77777777" w:rsidR="003C7918" w:rsidRDefault="00000000" w:rsidP="00D000C5">
      <w:pPr>
        <w:jc w:val="both"/>
      </w:pPr>
      <w:r>
        <w:lastRenderedPageBreak/>
        <w:t>5. Ma X, Shin YJ, Yoo JW, Park HS, Kim DH. Extracellular vesicles derived from Porphyromonas gingivalis induce trigeminal nerve-mediated cognitive impairment. J Adv Res. 2023 Dec 1;54:293-303. doi:10.1016/J.JARE.2023.02.006</w:t>
      </w:r>
    </w:p>
    <w:p w14:paraId="58DA5FCB" w14:textId="77777777" w:rsidR="003C7918" w:rsidRDefault="00000000" w:rsidP="00D000C5">
      <w:pPr>
        <w:jc w:val="both"/>
      </w:pPr>
      <w:r>
        <w:t>6. Kong L, Li J, Gao L, Zhao Y, Chen W, Wang X, et al. Periodontitis-induced neuroinflammation triggers IFITM3-Aβ axis to cause Alzheimer’s disease-like pathology and cognitive decline. Alzheimers Res Ther. 2025 Dec 1;17(1). doi:10.1186/S13195-025-01818-3</w:t>
      </w:r>
    </w:p>
    <w:p w14:paraId="4C99E44F" w14:textId="77777777" w:rsidR="003C7918" w:rsidRDefault="00000000" w:rsidP="00D000C5">
      <w:pPr>
        <w:jc w:val="both"/>
      </w:pPr>
      <w:r>
        <w:t>7. Tan S, Chen W, Kong G, Wei L, Xie Y. Peripheral inflammation and neurocognitive impairment: correlations, underlying mechanisms, and therapeutic implications. Front Aging Neurosci. 2023 Nov 29;15:1305790. doi:10.3389/FNAGI.2023.1305790</w:t>
      </w:r>
    </w:p>
    <w:p w14:paraId="46D88450" w14:textId="77777777" w:rsidR="003C7918" w:rsidRDefault="00000000" w:rsidP="00D000C5">
      <w:pPr>
        <w:jc w:val="both"/>
      </w:pPr>
      <w:r>
        <w:t>8. Bosco G, Brizzolari A, Paganini M, Camporesi E, Vezzoli A, Mrakic-Sposta S. Oxy-inflammation in hyperbaric oxygen therapy applications. Eur J Transl Myol. 2025;35(1):12783. doi:10.4081/EJTM.2025.12783</w:t>
      </w:r>
    </w:p>
    <w:p w14:paraId="7B58D430" w14:textId="77777777" w:rsidR="003C7918" w:rsidRDefault="00000000" w:rsidP="00D000C5">
      <w:pPr>
        <w:jc w:val="both"/>
      </w:pPr>
      <w:r>
        <w:t>9. Gottfried I, Schottlender N, Ashery U. Hyperbaric Oxygen Treatment-From Mechanisms to Cognitive Improvement. Biomolecules. 2021 Oct 1;11(10). doi:10.3390/BIOM11101520</w:t>
      </w:r>
    </w:p>
    <w:p w14:paraId="19D1418E" w14:textId="77777777" w:rsidR="003C7918" w:rsidRDefault="00000000" w:rsidP="00D000C5">
      <w:pPr>
        <w:jc w:val="both"/>
      </w:pPr>
      <w:r>
        <w:t>10. Marcinkowska AB, Mankowska ND, Kot J, Winklewski PJ. Impact of Hyperbaric Oxygen Therapy on Cognitive Functions: a Systematic Review. Neuropsychol Rev. 2022 Mar 1;32(1):99-126. doi:10.1007/S11065-021-09500-9</w:t>
      </w:r>
    </w:p>
    <w:p w14:paraId="0BCCB1D7" w14:textId="77777777" w:rsidR="003C7918" w:rsidRDefault="00000000" w:rsidP="00D000C5">
      <w:pPr>
        <w:jc w:val="both"/>
      </w:pPr>
      <w:r>
        <w:t>11. Shapira R, Gdalyahu A, Gottfried I, Sasson E, Hadanny A, Efrati S, et al. Hyperbaric oxygen therapy alleviates vascular dysfunction and amyloid burden in an Alzheimer’s disease mouse model and in elderly patients. Aging (Albany NY). 2021 Sep 15;13(17):20935. doi:10.18632/AGING.203485</w:t>
      </w:r>
    </w:p>
    <w:p w14:paraId="46CF42FF" w14:textId="77777777" w:rsidR="003C7918" w:rsidRDefault="00000000" w:rsidP="00D000C5">
      <w:pPr>
        <w:jc w:val="both"/>
      </w:pPr>
      <w:r>
        <w:lastRenderedPageBreak/>
        <w:t>12. Lin G, Zhao L, Lin J, Li X, Xu L. Clinical evidence of hyperbaric oxygen therapy for Alzheimer’s disease: a systematic review and meta-analysis of randomized controlled trials. Front Aging Neurosci. 2024;16. doi:10.3389/FNAGI.2024.1360148</w:t>
      </w:r>
    </w:p>
    <w:p w14:paraId="184A0BD4" w14:textId="77777777" w:rsidR="003C7918" w:rsidRDefault="00000000" w:rsidP="00D000C5">
      <w:pPr>
        <w:jc w:val="both"/>
      </w:pPr>
      <w:r>
        <w:t>13. Kim J, Kang H, Lee YB, Lee B, Lee D. A quantitative analysis of spontaneous alternation behaviors on a Y-maze reveals adverse effects of acute social isolation on spatial working memory. Sci Rep. 2023 Dec 1;13(1). doi:10.1038/S41598-023-41996-4</w:t>
      </w:r>
    </w:p>
    <w:p w14:paraId="6BB479A9" w14:textId="77777777" w:rsidR="003C7918" w:rsidRDefault="00000000" w:rsidP="00D000C5">
      <w:pPr>
        <w:jc w:val="both"/>
      </w:pPr>
      <w:r>
        <w:t>14. d’Isa R, Comi G, Leocani L. Apparatus design and behavioural testing protocol for the evaluation of spatial working memory in mice through the spontaneous alternation T-maze. Sci Rep. 2021 Dec 1;11(1). doi:10.1038/S41598-021-00402-7</w:t>
      </w:r>
    </w:p>
    <w:p w14:paraId="47DE64A8" w14:textId="77777777" w:rsidR="00D63BA2" w:rsidRDefault="00D63BA2" w:rsidP="00D63BA2">
      <w:pPr>
        <w:jc w:val="both"/>
      </w:pPr>
    </w:p>
    <w:p w14:paraId="3DBA63B5" w14:textId="52ACBD13" w:rsidR="003C7918" w:rsidRPr="00D63BA2" w:rsidRDefault="00000000" w:rsidP="00D63BA2">
      <w:pPr>
        <w:jc w:val="both"/>
      </w:pPr>
      <w:r w:rsidRPr="00D63BA2">
        <w:rPr>
          <w:b/>
          <w:szCs w:val="24"/>
        </w:rPr>
        <w:t>Table 1. Y-Maze Spontaneous Alternation Scores Across Study Time Points.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09"/>
        <w:gridCol w:w="2209"/>
        <w:gridCol w:w="2209"/>
        <w:gridCol w:w="2209"/>
      </w:tblGrid>
      <w:tr w:rsidR="003C7918" w:rsidRPr="00D63BA2" w14:paraId="16CAB66C" w14:textId="77777777">
        <w:trPr>
          <w:tblHeader/>
          <w:jc w:val="center"/>
        </w:trPr>
        <w:tc>
          <w:tcPr>
            <w:tcW w:w="2209" w:type="dxa"/>
            <w:vAlign w:val="center"/>
          </w:tcPr>
          <w:p w14:paraId="328FF6D0" w14:textId="77777777" w:rsidR="003C7918" w:rsidRPr="00D63BA2" w:rsidRDefault="00000000" w:rsidP="00D000C5">
            <w:pPr>
              <w:spacing w:line="276" w:lineRule="auto"/>
              <w:jc w:val="both"/>
              <w:rPr>
                <w:szCs w:val="24"/>
              </w:rPr>
            </w:pPr>
            <w:r w:rsidRPr="00D63BA2">
              <w:rPr>
                <w:b/>
                <w:szCs w:val="24"/>
              </w:rPr>
              <w:t>Group</w:t>
            </w:r>
          </w:p>
        </w:tc>
        <w:tc>
          <w:tcPr>
            <w:tcW w:w="2209" w:type="dxa"/>
            <w:vAlign w:val="center"/>
          </w:tcPr>
          <w:p w14:paraId="57FC5E28" w14:textId="77777777" w:rsidR="003C7918" w:rsidRPr="00D63BA2" w:rsidRDefault="00000000" w:rsidP="00D000C5">
            <w:pPr>
              <w:spacing w:line="276" w:lineRule="auto"/>
              <w:jc w:val="both"/>
              <w:rPr>
                <w:szCs w:val="24"/>
              </w:rPr>
            </w:pPr>
            <w:r w:rsidRPr="00D63BA2">
              <w:rPr>
                <w:b/>
                <w:szCs w:val="24"/>
              </w:rPr>
              <w:t>Baseline</w:t>
            </w:r>
          </w:p>
        </w:tc>
        <w:tc>
          <w:tcPr>
            <w:tcW w:w="2209" w:type="dxa"/>
            <w:vAlign w:val="center"/>
          </w:tcPr>
          <w:p w14:paraId="07B50125" w14:textId="77777777" w:rsidR="003C7918" w:rsidRPr="00D63BA2" w:rsidRDefault="00000000" w:rsidP="00D000C5">
            <w:pPr>
              <w:spacing w:line="276" w:lineRule="auto"/>
              <w:jc w:val="both"/>
              <w:rPr>
                <w:szCs w:val="24"/>
              </w:rPr>
            </w:pPr>
            <w:r w:rsidRPr="00D63BA2">
              <w:rPr>
                <w:b/>
                <w:szCs w:val="24"/>
              </w:rPr>
              <w:t>Week 5</w:t>
            </w:r>
          </w:p>
        </w:tc>
        <w:tc>
          <w:tcPr>
            <w:tcW w:w="2209" w:type="dxa"/>
            <w:vAlign w:val="center"/>
          </w:tcPr>
          <w:p w14:paraId="45F9AF66" w14:textId="77777777" w:rsidR="003C7918" w:rsidRPr="00D63BA2" w:rsidRDefault="00000000" w:rsidP="00D000C5">
            <w:pPr>
              <w:spacing w:line="276" w:lineRule="auto"/>
              <w:jc w:val="both"/>
              <w:rPr>
                <w:szCs w:val="24"/>
              </w:rPr>
            </w:pPr>
            <w:r w:rsidRPr="00D63BA2">
              <w:rPr>
                <w:b/>
                <w:szCs w:val="24"/>
              </w:rPr>
              <w:t>Week 9</w:t>
            </w:r>
          </w:p>
        </w:tc>
      </w:tr>
      <w:tr w:rsidR="003C7918" w:rsidRPr="00D63BA2" w14:paraId="160C5A5B" w14:textId="77777777">
        <w:trPr>
          <w:jc w:val="center"/>
        </w:trPr>
        <w:tc>
          <w:tcPr>
            <w:tcW w:w="2209" w:type="dxa"/>
            <w:vAlign w:val="center"/>
          </w:tcPr>
          <w:p w14:paraId="79C502F4" w14:textId="77777777" w:rsidR="003C7918" w:rsidRPr="00D63BA2" w:rsidRDefault="00000000" w:rsidP="00D000C5">
            <w:pPr>
              <w:spacing w:line="276" w:lineRule="auto"/>
              <w:jc w:val="both"/>
              <w:rPr>
                <w:szCs w:val="24"/>
              </w:rPr>
            </w:pPr>
            <w:r w:rsidRPr="00D63BA2">
              <w:rPr>
                <w:szCs w:val="24"/>
              </w:rPr>
              <w:t>Control</w:t>
            </w:r>
          </w:p>
        </w:tc>
        <w:tc>
          <w:tcPr>
            <w:tcW w:w="2209" w:type="dxa"/>
            <w:vAlign w:val="center"/>
          </w:tcPr>
          <w:p w14:paraId="160F53EA" w14:textId="77777777" w:rsidR="003C7918" w:rsidRPr="00D63BA2" w:rsidRDefault="00000000" w:rsidP="00D000C5">
            <w:pPr>
              <w:spacing w:line="276" w:lineRule="auto"/>
              <w:jc w:val="both"/>
              <w:rPr>
                <w:szCs w:val="24"/>
              </w:rPr>
            </w:pPr>
            <w:r w:rsidRPr="00D63BA2">
              <w:rPr>
                <w:szCs w:val="24"/>
              </w:rPr>
              <w:t>70.85±4.97</w:t>
            </w:r>
          </w:p>
        </w:tc>
        <w:tc>
          <w:tcPr>
            <w:tcW w:w="2209" w:type="dxa"/>
            <w:vAlign w:val="center"/>
          </w:tcPr>
          <w:p w14:paraId="6512E27D" w14:textId="77777777" w:rsidR="003C7918" w:rsidRPr="00D63BA2" w:rsidRDefault="00000000" w:rsidP="00D000C5">
            <w:pPr>
              <w:spacing w:line="276" w:lineRule="auto"/>
              <w:jc w:val="both"/>
              <w:rPr>
                <w:szCs w:val="24"/>
              </w:rPr>
            </w:pPr>
            <w:r w:rsidRPr="00D63BA2">
              <w:rPr>
                <w:szCs w:val="24"/>
              </w:rPr>
              <w:t>65.45±9.60</w:t>
            </w:r>
          </w:p>
        </w:tc>
        <w:tc>
          <w:tcPr>
            <w:tcW w:w="2209" w:type="dxa"/>
            <w:vAlign w:val="center"/>
          </w:tcPr>
          <w:p w14:paraId="2087D53D" w14:textId="77777777" w:rsidR="003C7918" w:rsidRPr="00D63BA2" w:rsidRDefault="00000000" w:rsidP="00D000C5">
            <w:pPr>
              <w:spacing w:line="276" w:lineRule="auto"/>
              <w:jc w:val="both"/>
              <w:rPr>
                <w:szCs w:val="24"/>
              </w:rPr>
            </w:pPr>
            <w:r w:rsidRPr="00D63BA2">
              <w:rPr>
                <w:szCs w:val="24"/>
              </w:rPr>
              <w:t>68.00±5.08</w:t>
            </w:r>
          </w:p>
        </w:tc>
      </w:tr>
      <w:tr w:rsidR="003C7918" w:rsidRPr="00D63BA2" w14:paraId="5418FDA4" w14:textId="77777777">
        <w:trPr>
          <w:jc w:val="center"/>
        </w:trPr>
        <w:tc>
          <w:tcPr>
            <w:tcW w:w="2209" w:type="dxa"/>
            <w:vAlign w:val="center"/>
          </w:tcPr>
          <w:p w14:paraId="72F31CB0" w14:textId="77777777" w:rsidR="003C7918" w:rsidRPr="00D63BA2" w:rsidRDefault="00000000" w:rsidP="00D000C5">
            <w:pPr>
              <w:spacing w:line="276" w:lineRule="auto"/>
              <w:jc w:val="both"/>
              <w:rPr>
                <w:szCs w:val="24"/>
              </w:rPr>
            </w:pPr>
            <w:r w:rsidRPr="00D63BA2">
              <w:rPr>
                <w:szCs w:val="24"/>
              </w:rPr>
              <w:t>Porphyromonas gingivalis exposure followed by hyperbaric oxygen therapy</w:t>
            </w:r>
          </w:p>
        </w:tc>
        <w:tc>
          <w:tcPr>
            <w:tcW w:w="2209" w:type="dxa"/>
            <w:vAlign w:val="center"/>
          </w:tcPr>
          <w:p w14:paraId="73A07EA6" w14:textId="77777777" w:rsidR="003C7918" w:rsidRPr="00D63BA2" w:rsidRDefault="00000000" w:rsidP="00D000C5">
            <w:pPr>
              <w:spacing w:line="276" w:lineRule="auto"/>
              <w:jc w:val="both"/>
              <w:rPr>
                <w:szCs w:val="24"/>
              </w:rPr>
            </w:pPr>
            <w:r w:rsidRPr="00D63BA2">
              <w:rPr>
                <w:szCs w:val="24"/>
              </w:rPr>
              <w:t>68.02±1.67</w:t>
            </w:r>
          </w:p>
        </w:tc>
        <w:tc>
          <w:tcPr>
            <w:tcW w:w="2209" w:type="dxa"/>
            <w:vAlign w:val="center"/>
          </w:tcPr>
          <w:p w14:paraId="6F27AA1A" w14:textId="77777777" w:rsidR="003C7918" w:rsidRPr="00D63BA2" w:rsidRDefault="00000000" w:rsidP="00D000C5">
            <w:pPr>
              <w:spacing w:line="276" w:lineRule="auto"/>
              <w:jc w:val="both"/>
              <w:rPr>
                <w:szCs w:val="24"/>
              </w:rPr>
            </w:pPr>
            <w:r w:rsidRPr="00D63BA2">
              <w:rPr>
                <w:szCs w:val="24"/>
              </w:rPr>
              <w:t>32.01±24.71</w:t>
            </w:r>
          </w:p>
        </w:tc>
        <w:tc>
          <w:tcPr>
            <w:tcW w:w="2209" w:type="dxa"/>
            <w:vAlign w:val="center"/>
          </w:tcPr>
          <w:p w14:paraId="5FB594C4" w14:textId="77777777" w:rsidR="003C7918" w:rsidRPr="00D63BA2" w:rsidRDefault="00000000" w:rsidP="00D000C5">
            <w:pPr>
              <w:spacing w:line="276" w:lineRule="auto"/>
              <w:jc w:val="both"/>
              <w:rPr>
                <w:szCs w:val="24"/>
              </w:rPr>
            </w:pPr>
            <w:r w:rsidRPr="00D63BA2">
              <w:rPr>
                <w:szCs w:val="24"/>
              </w:rPr>
              <w:t>52.09±14.03</w:t>
            </w:r>
          </w:p>
        </w:tc>
      </w:tr>
    </w:tbl>
    <w:p w14:paraId="5DC75FA2" w14:textId="77777777" w:rsidR="003C7918" w:rsidRPr="00D63BA2" w:rsidRDefault="00000000" w:rsidP="00D000C5">
      <w:pPr>
        <w:jc w:val="both"/>
        <w:rPr>
          <w:szCs w:val="24"/>
        </w:rPr>
      </w:pPr>
      <w:r w:rsidRPr="00D63BA2">
        <w:rPr>
          <w:szCs w:val="24"/>
        </w:rPr>
        <w:t>Note. Values are presented as mean±standard deviation. Week 5 indicates the end of the five-week gingival Porphyromonas gingivalis exposure phase. Week 9 indicates the end of the four-week hyperbaric oxygen therapy phase.</w:t>
      </w:r>
    </w:p>
    <w:p w14:paraId="36FB752A" w14:textId="77777777" w:rsidR="00D63BA2" w:rsidRDefault="00D63BA2" w:rsidP="00D63BA2">
      <w:pPr>
        <w:jc w:val="both"/>
        <w:rPr>
          <w:szCs w:val="24"/>
        </w:rPr>
      </w:pPr>
    </w:p>
    <w:p w14:paraId="61C93BFB" w14:textId="77777777" w:rsidR="00D63BA2" w:rsidRDefault="00D63BA2" w:rsidP="00D63BA2">
      <w:pPr>
        <w:jc w:val="both"/>
        <w:rPr>
          <w:b/>
          <w:szCs w:val="24"/>
        </w:rPr>
      </w:pPr>
    </w:p>
    <w:p w14:paraId="58223443" w14:textId="77777777" w:rsidR="00D63BA2" w:rsidRDefault="00D63BA2" w:rsidP="00D63BA2">
      <w:pPr>
        <w:jc w:val="both"/>
        <w:rPr>
          <w:b/>
          <w:szCs w:val="24"/>
        </w:rPr>
      </w:pPr>
    </w:p>
    <w:p w14:paraId="2ECE4670" w14:textId="000EF038" w:rsidR="003C7918" w:rsidRPr="00D63BA2" w:rsidRDefault="00000000" w:rsidP="00D63BA2">
      <w:pPr>
        <w:jc w:val="both"/>
        <w:rPr>
          <w:szCs w:val="24"/>
        </w:rPr>
      </w:pPr>
      <w:r w:rsidRPr="00D63BA2">
        <w:rPr>
          <w:b/>
          <w:szCs w:val="24"/>
        </w:rPr>
        <w:lastRenderedPageBreak/>
        <w:t>Table 2. Pairwise Comparisons of Y-Maze Spontaneous Alternation Scores in the Control Group.</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419"/>
        <w:gridCol w:w="4419"/>
      </w:tblGrid>
      <w:tr w:rsidR="003C7918" w:rsidRPr="00D63BA2" w14:paraId="4339AF8E" w14:textId="77777777">
        <w:trPr>
          <w:tblHeader/>
          <w:jc w:val="center"/>
        </w:trPr>
        <w:tc>
          <w:tcPr>
            <w:tcW w:w="4419" w:type="dxa"/>
            <w:vAlign w:val="center"/>
          </w:tcPr>
          <w:p w14:paraId="3A710CA2" w14:textId="77777777" w:rsidR="003C7918" w:rsidRPr="00D63BA2" w:rsidRDefault="00000000" w:rsidP="00D000C5">
            <w:pPr>
              <w:spacing w:line="276" w:lineRule="auto"/>
              <w:jc w:val="both"/>
              <w:rPr>
                <w:szCs w:val="24"/>
              </w:rPr>
            </w:pPr>
            <w:r w:rsidRPr="00D63BA2">
              <w:rPr>
                <w:b/>
                <w:szCs w:val="24"/>
              </w:rPr>
              <w:t>Comparison</w:t>
            </w:r>
          </w:p>
        </w:tc>
        <w:tc>
          <w:tcPr>
            <w:tcW w:w="4419" w:type="dxa"/>
            <w:vAlign w:val="center"/>
          </w:tcPr>
          <w:p w14:paraId="1DFE6371" w14:textId="77777777" w:rsidR="003C7918" w:rsidRPr="00D63BA2" w:rsidRDefault="00000000" w:rsidP="00D000C5">
            <w:pPr>
              <w:spacing w:line="276" w:lineRule="auto"/>
              <w:jc w:val="both"/>
              <w:rPr>
                <w:szCs w:val="24"/>
              </w:rPr>
            </w:pPr>
            <w:r w:rsidRPr="00D63BA2">
              <w:rPr>
                <w:b/>
                <w:szCs w:val="24"/>
              </w:rPr>
              <w:t>P value</w:t>
            </w:r>
          </w:p>
        </w:tc>
      </w:tr>
      <w:tr w:rsidR="003C7918" w:rsidRPr="00D63BA2" w14:paraId="4E27CEDA" w14:textId="77777777">
        <w:trPr>
          <w:jc w:val="center"/>
        </w:trPr>
        <w:tc>
          <w:tcPr>
            <w:tcW w:w="4419" w:type="dxa"/>
            <w:vAlign w:val="center"/>
          </w:tcPr>
          <w:p w14:paraId="1710BBB2" w14:textId="77777777" w:rsidR="003C7918" w:rsidRPr="00D63BA2" w:rsidRDefault="00000000" w:rsidP="00D000C5">
            <w:pPr>
              <w:spacing w:line="276" w:lineRule="auto"/>
              <w:jc w:val="both"/>
              <w:rPr>
                <w:szCs w:val="24"/>
              </w:rPr>
            </w:pPr>
            <w:r w:rsidRPr="00D63BA2">
              <w:rPr>
                <w:szCs w:val="24"/>
              </w:rPr>
              <w:t>Baseline versus week 5</w:t>
            </w:r>
          </w:p>
        </w:tc>
        <w:tc>
          <w:tcPr>
            <w:tcW w:w="4419" w:type="dxa"/>
            <w:vAlign w:val="center"/>
          </w:tcPr>
          <w:p w14:paraId="77FD5EB9" w14:textId="77777777" w:rsidR="003C7918" w:rsidRPr="00D63BA2" w:rsidRDefault="00000000" w:rsidP="00D000C5">
            <w:pPr>
              <w:spacing w:line="276" w:lineRule="auto"/>
              <w:jc w:val="both"/>
              <w:rPr>
                <w:szCs w:val="24"/>
              </w:rPr>
            </w:pPr>
            <w:r w:rsidRPr="00D63BA2">
              <w:rPr>
                <w:szCs w:val="24"/>
              </w:rPr>
              <w:t>0.063</w:t>
            </w:r>
          </w:p>
        </w:tc>
      </w:tr>
      <w:tr w:rsidR="003C7918" w:rsidRPr="00D63BA2" w14:paraId="16B537A0" w14:textId="77777777">
        <w:trPr>
          <w:jc w:val="center"/>
        </w:trPr>
        <w:tc>
          <w:tcPr>
            <w:tcW w:w="4419" w:type="dxa"/>
            <w:vAlign w:val="center"/>
          </w:tcPr>
          <w:p w14:paraId="68374D8C" w14:textId="77777777" w:rsidR="003C7918" w:rsidRPr="00D63BA2" w:rsidRDefault="00000000" w:rsidP="00D000C5">
            <w:pPr>
              <w:spacing w:line="276" w:lineRule="auto"/>
              <w:jc w:val="both"/>
              <w:rPr>
                <w:szCs w:val="24"/>
              </w:rPr>
            </w:pPr>
            <w:r w:rsidRPr="00D63BA2">
              <w:rPr>
                <w:szCs w:val="24"/>
              </w:rPr>
              <w:t>Baseline versus week 9</w:t>
            </w:r>
          </w:p>
        </w:tc>
        <w:tc>
          <w:tcPr>
            <w:tcW w:w="4419" w:type="dxa"/>
            <w:vAlign w:val="center"/>
          </w:tcPr>
          <w:p w14:paraId="2CA6D139" w14:textId="77777777" w:rsidR="003C7918" w:rsidRPr="00D63BA2" w:rsidRDefault="00000000" w:rsidP="00D000C5">
            <w:pPr>
              <w:spacing w:line="276" w:lineRule="auto"/>
              <w:jc w:val="both"/>
              <w:rPr>
                <w:szCs w:val="24"/>
              </w:rPr>
            </w:pPr>
            <w:r w:rsidRPr="00D63BA2">
              <w:rPr>
                <w:szCs w:val="24"/>
              </w:rPr>
              <w:t>0.069</w:t>
            </w:r>
          </w:p>
        </w:tc>
      </w:tr>
      <w:tr w:rsidR="003C7918" w:rsidRPr="00D63BA2" w14:paraId="40ACCD2D" w14:textId="77777777">
        <w:trPr>
          <w:jc w:val="center"/>
        </w:trPr>
        <w:tc>
          <w:tcPr>
            <w:tcW w:w="4419" w:type="dxa"/>
            <w:vAlign w:val="center"/>
          </w:tcPr>
          <w:p w14:paraId="4123A647" w14:textId="77777777" w:rsidR="003C7918" w:rsidRPr="00D63BA2" w:rsidRDefault="00000000" w:rsidP="00D000C5">
            <w:pPr>
              <w:spacing w:line="276" w:lineRule="auto"/>
              <w:jc w:val="both"/>
              <w:rPr>
                <w:szCs w:val="24"/>
              </w:rPr>
            </w:pPr>
            <w:r w:rsidRPr="00D63BA2">
              <w:rPr>
                <w:szCs w:val="24"/>
              </w:rPr>
              <w:t>Week 5 versus week 9</w:t>
            </w:r>
          </w:p>
        </w:tc>
        <w:tc>
          <w:tcPr>
            <w:tcW w:w="4419" w:type="dxa"/>
            <w:vAlign w:val="center"/>
          </w:tcPr>
          <w:p w14:paraId="0FAED1A1" w14:textId="77777777" w:rsidR="003C7918" w:rsidRPr="00D63BA2" w:rsidRDefault="00000000" w:rsidP="00D000C5">
            <w:pPr>
              <w:spacing w:line="276" w:lineRule="auto"/>
              <w:jc w:val="both"/>
              <w:rPr>
                <w:szCs w:val="24"/>
              </w:rPr>
            </w:pPr>
            <w:r w:rsidRPr="00D63BA2">
              <w:rPr>
                <w:szCs w:val="24"/>
              </w:rPr>
              <w:t>0.231</w:t>
            </w:r>
          </w:p>
        </w:tc>
      </w:tr>
    </w:tbl>
    <w:p w14:paraId="40482053" w14:textId="77777777" w:rsidR="003C7918" w:rsidRPr="00D63BA2" w:rsidRDefault="00000000" w:rsidP="00D000C5">
      <w:pPr>
        <w:jc w:val="both"/>
        <w:rPr>
          <w:szCs w:val="24"/>
        </w:rPr>
      </w:pPr>
      <w:r w:rsidRPr="00D63BA2">
        <w:rPr>
          <w:szCs w:val="24"/>
        </w:rPr>
        <w:t>Note. Pairwise comparisons were performed with paired t-tests. Statistical significance was set at P&lt;0.05.</w:t>
      </w:r>
    </w:p>
    <w:p w14:paraId="7F4AC3B9" w14:textId="77777777" w:rsidR="00D63BA2" w:rsidRDefault="00D63BA2" w:rsidP="00D63BA2">
      <w:pPr>
        <w:jc w:val="both"/>
        <w:rPr>
          <w:szCs w:val="24"/>
        </w:rPr>
      </w:pPr>
    </w:p>
    <w:p w14:paraId="497A097A" w14:textId="0344BE72" w:rsidR="003C7918" w:rsidRPr="00D63BA2" w:rsidRDefault="00000000" w:rsidP="00D63BA2">
      <w:pPr>
        <w:jc w:val="both"/>
        <w:rPr>
          <w:szCs w:val="24"/>
        </w:rPr>
      </w:pPr>
      <w:r w:rsidRPr="00D63BA2">
        <w:rPr>
          <w:b/>
          <w:szCs w:val="24"/>
        </w:rPr>
        <w:t>Table 3. Pairwise Comparisons of Y-Maze Spontaneous Alternation Scores in the Porphyromonas gingivalis Exposure Followed by Hyperbaric Oxygen Therapy Group.</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419"/>
        <w:gridCol w:w="4419"/>
      </w:tblGrid>
      <w:tr w:rsidR="003C7918" w:rsidRPr="00D63BA2" w14:paraId="4C03E98B" w14:textId="77777777">
        <w:trPr>
          <w:tblHeader/>
          <w:jc w:val="center"/>
        </w:trPr>
        <w:tc>
          <w:tcPr>
            <w:tcW w:w="4419" w:type="dxa"/>
            <w:vAlign w:val="center"/>
          </w:tcPr>
          <w:p w14:paraId="69CA5A7F" w14:textId="77777777" w:rsidR="003C7918" w:rsidRPr="00D63BA2" w:rsidRDefault="00000000" w:rsidP="00D000C5">
            <w:pPr>
              <w:spacing w:line="276" w:lineRule="auto"/>
              <w:jc w:val="both"/>
              <w:rPr>
                <w:szCs w:val="24"/>
              </w:rPr>
            </w:pPr>
            <w:r w:rsidRPr="00D63BA2">
              <w:rPr>
                <w:b/>
                <w:szCs w:val="24"/>
              </w:rPr>
              <w:t>Comparison</w:t>
            </w:r>
          </w:p>
        </w:tc>
        <w:tc>
          <w:tcPr>
            <w:tcW w:w="4419" w:type="dxa"/>
            <w:vAlign w:val="center"/>
          </w:tcPr>
          <w:p w14:paraId="12FE976D" w14:textId="77777777" w:rsidR="003C7918" w:rsidRPr="00D63BA2" w:rsidRDefault="00000000" w:rsidP="00D000C5">
            <w:pPr>
              <w:spacing w:line="276" w:lineRule="auto"/>
              <w:jc w:val="both"/>
              <w:rPr>
                <w:szCs w:val="24"/>
              </w:rPr>
            </w:pPr>
            <w:r w:rsidRPr="00D63BA2">
              <w:rPr>
                <w:b/>
                <w:szCs w:val="24"/>
              </w:rPr>
              <w:t>P value</w:t>
            </w:r>
          </w:p>
        </w:tc>
      </w:tr>
      <w:tr w:rsidR="003C7918" w:rsidRPr="00D63BA2" w14:paraId="2CDB66C6" w14:textId="77777777">
        <w:trPr>
          <w:jc w:val="center"/>
        </w:trPr>
        <w:tc>
          <w:tcPr>
            <w:tcW w:w="4419" w:type="dxa"/>
            <w:vAlign w:val="center"/>
          </w:tcPr>
          <w:p w14:paraId="4D235522" w14:textId="77777777" w:rsidR="003C7918" w:rsidRPr="00D63BA2" w:rsidRDefault="00000000" w:rsidP="00D000C5">
            <w:pPr>
              <w:spacing w:line="276" w:lineRule="auto"/>
              <w:jc w:val="both"/>
              <w:rPr>
                <w:szCs w:val="24"/>
              </w:rPr>
            </w:pPr>
            <w:r w:rsidRPr="00D63BA2">
              <w:rPr>
                <w:szCs w:val="24"/>
              </w:rPr>
              <w:t>Baseline versus week 5</w:t>
            </w:r>
          </w:p>
        </w:tc>
        <w:tc>
          <w:tcPr>
            <w:tcW w:w="4419" w:type="dxa"/>
            <w:vAlign w:val="center"/>
          </w:tcPr>
          <w:p w14:paraId="5F85D8CF" w14:textId="77777777" w:rsidR="003C7918" w:rsidRPr="00D63BA2" w:rsidRDefault="00000000" w:rsidP="00D000C5">
            <w:pPr>
              <w:spacing w:line="276" w:lineRule="auto"/>
              <w:jc w:val="both"/>
              <w:rPr>
                <w:szCs w:val="24"/>
              </w:rPr>
            </w:pPr>
            <w:r w:rsidRPr="00D63BA2">
              <w:rPr>
                <w:szCs w:val="24"/>
              </w:rPr>
              <w:t>&lt;0.005</w:t>
            </w:r>
          </w:p>
        </w:tc>
      </w:tr>
      <w:tr w:rsidR="003C7918" w:rsidRPr="00D63BA2" w14:paraId="7C4D8973" w14:textId="77777777">
        <w:trPr>
          <w:jc w:val="center"/>
        </w:trPr>
        <w:tc>
          <w:tcPr>
            <w:tcW w:w="4419" w:type="dxa"/>
            <w:vAlign w:val="center"/>
          </w:tcPr>
          <w:p w14:paraId="78029125" w14:textId="77777777" w:rsidR="003C7918" w:rsidRPr="00D63BA2" w:rsidRDefault="00000000" w:rsidP="00D000C5">
            <w:pPr>
              <w:spacing w:line="276" w:lineRule="auto"/>
              <w:jc w:val="both"/>
              <w:rPr>
                <w:szCs w:val="24"/>
              </w:rPr>
            </w:pPr>
            <w:r w:rsidRPr="00D63BA2">
              <w:rPr>
                <w:szCs w:val="24"/>
              </w:rPr>
              <w:t>Baseline versus week 9</w:t>
            </w:r>
          </w:p>
        </w:tc>
        <w:tc>
          <w:tcPr>
            <w:tcW w:w="4419" w:type="dxa"/>
            <w:vAlign w:val="center"/>
          </w:tcPr>
          <w:p w14:paraId="158722C4" w14:textId="77777777" w:rsidR="003C7918" w:rsidRPr="00D63BA2" w:rsidRDefault="00000000" w:rsidP="00D000C5">
            <w:pPr>
              <w:spacing w:line="276" w:lineRule="auto"/>
              <w:jc w:val="both"/>
              <w:rPr>
                <w:szCs w:val="24"/>
              </w:rPr>
            </w:pPr>
            <w:r w:rsidRPr="00D63BA2">
              <w:rPr>
                <w:szCs w:val="24"/>
              </w:rPr>
              <w:t>&lt;0.010</w:t>
            </w:r>
          </w:p>
        </w:tc>
      </w:tr>
      <w:tr w:rsidR="003C7918" w:rsidRPr="00D63BA2" w14:paraId="6E80589A" w14:textId="77777777">
        <w:trPr>
          <w:jc w:val="center"/>
        </w:trPr>
        <w:tc>
          <w:tcPr>
            <w:tcW w:w="4419" w:type="dxa"/>
            <w:vAlign w:val="center"/>
          </w:tcPr>
          <w:p w14:paraId="459EEF39" w14:textId="77777777" w:rsidR="003C7918" w:rsidRPr="00D63BA2" w:rsidRDefault="00000000" w:rsidP="00D000C5">
            <w:pPr>
              <w:spacing w:line="276" w:lineRule="auto"/>
              <w:jc w:val="both"/>
              <w:rPr>
                <w:szCs w:val="24"/>
              </w:rPr>
            </w:pPr>
            <w:r w:rsidRPr="00D63BA2">
              <w:rPr>
                <w:szCs w:val="24"/>
              </w:rPr>
              <w:t>Week 5 versus week 9</w:t>
            </w:r>
          </w:p>
        </w:tc>
        <w:tc>
          <w:tcPr>
            <w:tcW w:w="4419" w:type="dxa"/>
            <w:vAlign w:val="center"/>
          </w:tcPr>
          <w:p w14:paraId="7D4C2DA7" w14:textId="77777777" w:rsidR="003C7918" w:rsidRPr="00D63BA2" w:rsidRDefault="00000000" w:rsidP="00D000C5">
            <w:pPr>
              <w:spacing w:line="276" w:lineRule="auto"/>
              <w:jc w:val="both"/>
              <w:rPr>
                <w:szCs w:val="24"/>
              </w:rPr>
            </w:pPr>
            <w:r w:rsidRPr="00D63BA2">
              <w:rPr>
                <w:szCs w:val="24"/>
              </w:rPr>
              <w:t>0.041</w:t>
            </w:r>
          </w:p>
        </w:tc>
      </w:tr>
    </w:tbl>
    <w:p w14:paraId="4CD3EC61" w14:textId="77777777" w:rsidR="003C7918" w:rsidRPr="00D63BA2" w:rsidRDefault="00000000" w:rsidP="00D000C5">
      <w:pPr>
        <w:jc w:val="both"/>
        <w:rPr>
          <w:szCs w:val="24"/>
        </w:rPr>
      </w:pPr>
      <w:r w:rsidRPr="00D63BA2">
        <w:rPr>
          <w:szCs w:val="24"/>
        </w:rPr>
        <w:t>Note. Pairwise comparisons were performed with Wilcoxon signed-rank tests. Statistical significance was set at P&lt;0.05.</w:t>
      </w:r>
    </w:p>
    <w:sectPr w:rsidR="003C7918" w:rsidRPr="00D63BA2" w:rsidSect="00034616">
      <w:footerReference w:type="default" r:id="rId8"/>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51FF3" w14:textId="77777777" w:rsidR="00181EEF" w:rsidRDefault="00181EEF">
      <w:pPr>
        <w:spacing w:line="240" w:lineRule="auto"/>
      </w:pPr>
      <w:r>
        <w:separator/>
      </w:r>
    </w:p>
  </w:endnote>
  <w:endnote w:type="continuationSeparator" w:id="0">
    <w:p w14:paraId="0A0E713E" w14:textId="77777777" w:rsidR="00181EEF" w:rsidRDefault="00181E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96C62" w14:textId="77777777" w:rsidR="003C7918" w:rsidRDefault="00000000">
    <w:pPr>
      <w:pStyle w:val="Footer"/>
      <w:jc w:val="center"/>
    </w:pPr>
    <w:r>
      <w:fldChar w:fldCharType="begin"/>
    </w:r>
    <w:r>
      <w:instrText>PAGE</w:instrText>
    </w:r>
    <w:r w:rsidR="00D000C5">
      <w:fldChar w:fldCharType="separate"/>
    </w:r>
    <w:r w:rsidR="00D000C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4EDE8" w14:textId="77777777" w:rsidR="00181EEF" w:rsidRDefault="00181EEF">
      <w:pPr>
        <w:spacing w:line="240" w:lineRule="auto"/>
      </w:pPr>
      <w:r>
        <w:separator/>
      </w:r>
    </w:p>
  </w:footnote>
  <w:footnote w:type="continuationSeparator" w:id="0">
    <w:p w14:paraId="521D5BE5" w14:textId="77777777" w:rsidR="00181EEF" w:rsidRDefault="00181E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2614979">
    <w:abstractNumId w:val="8"/>
  </w:num>
  <w:num w:numId="2" w16cid:durableId="376273691">
    <w:abstractNumId w:val="6"/>
  </w:num>
  <w:num w:numId="3" w16cid:durableId="703288718">
    <w:abstractNumId w:val="5"/>
  </w:num>
  <w:num w:numId="4" w16cid:durableId="2021276218">
    <w:abstractNumId w:val="4"/>
  </w:num>
  <w:num w:numId="5" w16cid:durableId="1549027657">
    <w:abstractNumId w:val="7"/>
  </w:num>
  <w:num w:numId="6" w16cid:durableId="1278486602">
    <w:abstractNumId w:val="3"/>
  </w:num>
  <w:num w:numId="7" w16cid:durableId="355498567">
    <w:abstractNumId w:val="2"/>
  </w:num>
  <w:num w:numId="8" w16cid:durableId="868496314">
    <w:abstractNumId w:val="1"/>
  </w:num>
  <w:num w:numId="9" w16cid:durableId="1157845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EEF"/>
    <w:rsid w:val="0029639D"/>
    <w:rsid w:val="00326F90"/>
    <w:rsid w:val="003C7918"/>
    <w:rsid w:val="004A3B80"/>
    <w:rsid w:val="00AA1D8D"/>
    <w:rsid w:val="00B47730"/>
    <w:rsid w:val="00CB0664"/>
    <w:rsid w:val="00D000C5"/>
    <w:rsid w:val="00D63BA2"/>
    <w:rsid w:val="00E948D3"/>
    <w:rsid w:val="00F37A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1A886"/>
  <w14:defaultImageDpi w14:val="300"/>
  <w15:docId w15:val="{5E2D6AF0-AFE6-4540-ADB2-552AB34FB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2849</Words>
  <Characters>16244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Revised Main Manuscript</vt:lpstr>
    </vt:vector>
  </TitlesOfParts>
  <Manager/>
  <Company/>
  <LinksUpToDate>false</LinksUpToDate>
  <CharactersWithSpaces>19055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Main Manuscript</dc:title>
  <dc:subject/>
  <dc:creator/>
  <cp:keywords/>
  <dc:description/>
  <cp:lastModifiedBy>.</cp:lastModifiedBy>
  <cp:revision>1</cp:revision>
  <dcterms:created xsi:type="dcterms:W3CDTF">2013-12-23T23:15:00Z</dcterms:created>
  <dcterms:modified xsi:type="dcterms:W3CDTF">2026-08-22T10:11:00Z</dcterms:modified>
  <cp:category/>
</cp:coreProperties>
</file>