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0"/>
        </w:rPr>
        <w:t>ANALISIS LENGKAP JURNAL DAN KESIAPAN MANUSKRIP</w:t>
      </w:r>
    </w:p>
    <w:p>
      <w:pPr>
        <w:jc w:val="center"/>
      </w:pPr>
      <w:r>
        <w:rPr>
          <w:rFonts w:ascii="Times New Roman" w:hAnsi="Times New Roman" w:eastAsia="Times New Roman"/>
          <w:b/>
          <w:color w:val="000000"/>
          <w:sz w:val="26"/>
        </w:rPr>
        <w:t>Target: Iranian Biomedical Journal (IBJ)</w:t>
      </w:r>
    </w:p>
    <w:p>
      <w:pPr>
        <w:jc w:val="center"/>
      </w:pPr>
      <w:r>
        <w:rPr>
          <w:rFonts w:ascii="Times New Roman" w:hAnsi="Times New Roman" w:eastAsia="Times New Roman"/>
          <w:i/>
          <w:color w:val="000000"/>
          <w:sz w:val="20"/>
        </w:rPr>
        <w:t>Pemeriksaan berdasarkan situs dan panduan resmi yang diakses 5 Agustus 2026</w:t>
      </w:r>
    </w:p>
    <w:p>
      <w:pPr>
        <w:pStyle w:val="Heading1"/>
        <w:jc w:val="left"/>
      </w:pPr>
      <w:r>
        <w:rPr>
          <w:rFonts w:ascii="Times New Roman" w:hAnsi="Times New Roman" w:eastAsia="Times New Roman"/>
          <w:b/>
          <w:color w:val="000000"/>
          <w:sz w:val="24"/>
        </w:rPr>
        <w:t>1. Identitas, penerbit, akses, dan posisi jurnal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9"/>
              </w:rPr>
              <w:t>Komponen</w:t>
            </w:r>
          </w:p>
        </w:tc>
        <w:tc>
          <w:tcPr>
            <w:tcW w:type="dxa" w:w="7143"/>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9"/>
              </w:rPr>
              <w:t>Informasi resmi</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Penerbit</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Pasteur Institute of Iran</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Frekuensi</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Bimonthly/enam nomor per tahun</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Model akses</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Open access; artikel sejak Januari 2020 menggunakan lisensi CC BY-ND 4.0</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Biaya</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Tidak ada membership, submission fee, processing fee, maupun publication fee</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Indeks yang ditampilkan jurnal</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Scopus, PubMed, dan PubMed Central, selain basis data lain yang tercantum pada situs</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Editor-in-Chief</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Professor Mona Salimi, Pharm.D., Ph.D.</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Informasi waktu pada situs</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Situs menampilkan first decision sekitar 10 hari, proses review 2-3 bulan, dan fast-track sekitar dua minggu; angka ini merupakan informasi jurnal, bukan jaminan keputusan</w:t>
            </w:r>
          </w:p>
        </w:tc>
      </w:tr>
      <w:tr>
        <w:tc>
          <w:tcPr>
            <w:tcW w:type="dxa" w:w="2381"/>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Jenis peer review</w:t>
            </w:r>
          </w:p>
        </w:tc>
        <w:tc>
          <w:tcPr>
            <w:tcW w:type="dxa" w:w="7143"/>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Initial editorial screening, kemudian penilaian oleh sedikitnya dua external reviewers; identitas dan isi review diperlakukan rahasia</w:t>
            </w:r>
          </w:p>
        </w:tc>
      </w:tr>
    </w:tbl>
    <w:p>
      <w:pPr>
        <w:pStyle w:val="Heading1"/>
        <w:jc w:val="left"/>
      </w:pPr>
      <w:r>
        <w:rPr>
          <w:rFonts w:ascii="Times New Roman" w:hAnsi="Times New Roman" w:eastAsia="Times New Roman"/>
          <w:b/>
          <w:color w:val="000000"/>
          <w:sz w:val="24"/>
        </w:rPr>
        <w:t>2. Aims, scope, jenis artikel, dan kesesuaian naskah</w:t>
      </w:r>
    </w:p>
    <w:p>
      <w:pPr>
        <w:keepNext w:val="0"/>
        <w:spacing w:before="0" w:after="0" w:line="480" w:lineRule="auto"/>
        <w:jc w:val="both"/>
      </w:pPr>
      <w:r>
        <w:rPr>
          <w:rFonts w:ascii="Times New Roman" w:hAnsi="Times New Roman" w:eastAsia="Times New Roman"/>
          <w:color w:val="000000"/>
          <w:sz w:val="24"/>
        </w:rPr>
        <w:t>IBJ menerima editorial, case report, letter to the editor, original research berupa full-length paper atau short communication, serta descriptive review dan systematic review. Scope yang dinyatakan mencakup Molecular Microbiology; Molecular Genetics and Genomics; Molecular Immunology and Vaccines; Cancer Biology; Pharmaceutical Biotechnology; Medical Biotechnology; Enzymology and Protein Chemistry; Tissue Engineering and Cell Biology; serta bidang terkait.</w:t>
      </w:r>
    </w:p>
    <w:p>
      <w:pPr>
        <w:keepNext w:val="0"/>
        <w:spacing w:before="0" w:after="0" w:line="480" w:lineRule="auto"/>
        <w:jc w:val="both"/>
      </w:pPr>
      <w:r>
        <w:rPr>
          <w:rFonts w:ascii="Times New Roman" w:hAnsi="Times New Roman" w:eastAsia="Times New Roman"/>
          <w:color w:val="000000"/>
          <w:sz w:val="24"/>
        </w:rPr>
        <w:t>Naskah ini paling dekat dengan Medical Biotechnology dan Pharmaceutical Biotechnology karena membandingkan preparasi biological nanoscale dari darah, urine, dan madu serta metode analisis yang diperlukan sebelum pemanfaatan biomedis. Kesesuaian scope dinilai cukup baik, tetapi peluang editorial tetap moderat karena penelitian bersifat descriptive characterization pada pooled source-level preparations, tanpa absolute particle concentration, panel identitas/kemurnian lengkap, biological replicate statistics, dan functional assay.</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9"/>
              </w:rPr>
              <w:t>Aspek</w:t>
            </w:r>
          </w:p>
        </w:tc>
        <w:tc>
          <w:tcPr>
            <w:tcW w:type="dxa" w:w="7257"/>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9"/>
              </w:rPr>
              <w:t>Penilaian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Kesesuaian kuat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Extracellular-vesicle research; biological nanoparticles; ultracentrifugation; DLS; flow cytometry; cryoelectron microscopy; biomedical characterization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Risiko editorial</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Tiga matriks sangat berbeda; honey bukan sumber manusia; anti-human CD9/CD81 tidak dapat memvalidasi honey VLNs; n kecil dan dipooling; novelty terutama komparatif/metodologis</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9"/>
              </w:rPr>
              <w:t>Strategi revisi</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9"/>
              </w:rPr>
              <w:t>Memakai istilah EV-enriched preparations; membatasi klaim; memisahkan evidence of membrane structures dari evidence of EV identity/purity; menonjolkan matrix-aware analytical comparison</w:t>
            </w:r>
          </w:p>
        </w:tc>
      </w:tr>
    </w:tbl>
    <w:p>
      <w:pPr>
        <w:pStyle w:val="Heading1"/>
        <w:jc w:val="left"/>
      </w:pPr>
      <w:r>
        <w:rPr>
          <w:rFonts w:ascii="Times New Roman" w:hAnsi="Times New Roman" w:eastAsia="Times New Roman"/>
          <w:b/>
          <w:color w:val="000000"/>
          <w:sz w:val="24"/>
        </w:rPr>
        <w:t>3. Ketentuan teknis manuskrip IBJ</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Komponen</w:t>
            </w:r>
          </w:p>
        </w:tc>
        <w:tc>
          <w:tcPr>
            <w:tcW w:type="dxa" w:w="7257"/>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Ketentuan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Bahasa</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American English. Hasil penelitian ditulis dalam past tense; published knowledge dapat menggunakan present tense. Naskah dengan bahasa lemah dapat dikembalikan sebelum scientific review.</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Jenis naskah yang dipilih</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Full-length original research paper.</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Batas panjang</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Maksimal 6,000 kata termasuk tables, figures, dan references. Short communication 3,000 kata; review 9,000 kata.</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Font dan spasi</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Times New Roman 12 pt, double-spaced untuk seluruh manuskrip termasuk tables, figures, dan references.</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Margin dan halaman</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Margin kiri-kanan 2.5 cm; seluruh halaman dinomori berurutan di bawah-tengah mulai title page.</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Judul</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Harus ringkas dan informatif.</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Author details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Full first, middle, dan last names; affiliation dengan superscript Arabic numbers; ORCID seluruh penulis; corresponding author lengkap dengan postal address, telephone/fax, dan e-mail.</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Running title</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Maksimal 50 karakter termasuk spasi.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Abbreviations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Daftar non-standard abbreviations yang dipakai tiga kali atau lebih, termasuk pada table/figure.</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Abstract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Halaman kedua tanpa nama penulis; structured: Background, Methods, Results, Conclusion; maksimal 250 kata; tanpa referensi.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MeSH</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Tiga sampai lima istilah MeSH dan dilabeli “MeSH Headings”, bukan entry terms.</w:t>
            </w:r>
          </w:p>
        </w:tc>
      </w:tr>
    </w:tbl>
    <w:p>
      <w:pPr>
        <w:pStyle w:val="Heading1"/>
        <w:jc w:val="left"/>
      </w:pPr>
      <w:r>
        <w:rPr>
          <w:rFonts w:ascii="Times New Roman" w:hAnsi="Times New Roman" w:eastAsia="Times New Roman"/>
          <w:b/>
          <w:color w:val="000000"/>
          <w:sz w:val="24"/>
        </w:rPr>
        <w:t>4. Susunan ilmiah dan isi setiap bagian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Bagian</w:t>
            </w:r>
          </w:p>
        </w:tc>
        <w:tc>
          <w:tcPr>
            <w:tcW w:type="dxa" w:w="7257"/>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Ketentuan utama</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Introduction</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Masalah penelitian, ringkasan literatur yang relevan, dan ditutup tujuan studi.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Materials and Methods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Detail cukup untuk reproduksi; nama lengkap bahan/organisme, manufacturer, city dan country; gunakan SI units serta simbol internasional.</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Results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Laporan hasil secara ringkas; data tidak diulang penuh antara text, tables, dan figures.</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Discussion</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Hubungkan hasil dengan studi terdahulu, berikan interpretasi, implikasi, keterbatasan, dan rekomendasi.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Acknowledgments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Kontributor non-author dan bantuan institusi/teknis.</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References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Bernomor menurut urutan sitasi. Panduan menyebut APA untuk penyusunan manual tetapi contoh dan EndNote style mengikuti World Journal of Gastroenterology; versi revisi mengikuti format bernomor seperti contoh IBJ.</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Tables/Figures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Bernomor menurut kemunculan; diletakkan di akhir manuskrip pada halaman terpisah bersama legends. Table dibuat sederhana dan left-to-right. Figure minimal 300 dpi, ukuran publikasi tidak melebihi 9 × 12 cm, JPG disukai; EPS/PPT/PSD/TIFF/PNG juga diterima.</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Illustration ownership</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Semua ilustrasi harus dinyatakan dibuat penulis atau digunakan dengan izin dan sumber yang jelas.</w:t>
            </w:r>
          </w:p>
        </w:tc>
      </w:tr>
    </w:tbl>
    <w:p>
      <w:pPr>
        <w:pStyle w:val="Heading1"/>
        <w:jc w:val="left"/>
      </w:pPr>
      <w:r>
        <w:rPr>
          <w:rFonts w:ascii="Times New Roman" w:hAnsi="Times New Roman" w:eastAsia="Times New Roman"/>
          <w:b/>
          <w:color w:val="000000"/>
          <w:sz w:val="24"/>
        </w:rPr>
        <w:t>5. Etika, integritas publikasi, dan deklarasi</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Aspek</w:t>
            </w:r>
          </w:p>
        </w:tc>
        <w:tc>
          <w:tcPr>
            <w:tcW w:type="dxa" w:w="7257"/>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18"/>
              </w:rPr>
              <w:t>Kewajiban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Conflict of interest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Semua konflik personal, finansial, komersial, politik, dan akademik harus diungkap.</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Funding/support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Seluruh grant, institusi, commercial support, dan contributor funding harus disebut.</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Human subjects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Ethics committee approval dan ethical code wajib; sesuai Declaration of Helsinki; written informed consent ditandatangani dan disimpan oleh penulis/institusi serta tersedia atas permintaan editor.</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Data availability</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Minimal dataset harus dapat diminta oleh qualified researchers; pembatasan legal, etika, atau privacy harus dijelaskan beserta prosedur permintaan.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Author contributions</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Wajib; nama ditulis dengan initial tanpa titik dan kontribusi setiap penulis dinyatakan. Perubahan author list tidak diterima setelah acceptance.</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Originality</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Tidak boleh telah diterbitkan atau sedang dinilai jurnal lain, seluruhnya maupun sebagian.</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Preprint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IBJ tidak menerima manuskrip yang pernah diposting ke preprint server dan melarang posting selama proses publikasi.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Similarity screening</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CrossCheck/iThenticate dilakukan sebelum review dan kembali sebelum acceptance letter.</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Data/image integrity</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Fabrication, falsification, deceptive image manipulation, dan perubahan fitur tertentu dilarang. Brightness/contrast/color balance hanya boleh diterapkan pada seluruh pixel tanpa menghilangkan atau menyesatkan informasi.</w:t>
            </w:r>
          </w:p>
        </w:tc>
      </w:tr>
      <w:tr>
        <w:tc>
          <w:tcPr>
            <w:tcW w:type="dxa" w:w="2268"/>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18"/>
              </w:rPr>
              <w:t>Copyright</w:t>
            </w:r>
          </w:p>
        </w:tc>
        <w:tc>
          <w:tcPr>
            <w:tcW w:type="dxa" w:w="725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18"/>
              </w:rPr>
              <w:t>Semua penulis harus menandatangani Copyright Transfer Agreement sebelum artikel diproses. Form resmi juga menegaskan ORCID seluruh penulis wajib.</w:t>
            </w:r>
          </w:p>
        </w:tc>
      </w:tr>
    </w:tbl>
    <w:p>
      <w:pPr>
        <w:pStyle w:val="Heading1"/>
        <w:jc w:val="left"/>
      </w:pPr>
      <w:r>
        <w:rPr>
          <w:rFonts w:ascii="Times New Roman" w:hAnsi="Times New Roman" w:eastAsia="Times New Roman"/>
          <w:b/>
          <w:color w:val="000000"/>
          <w:sz w:val="24"/>
        </w:rPr>
        <w:t>6. Prosedur submit, review, revisi, dan proof</w:t>
      </w:r>
    </w:p>
    <w:p>
      <w:pPr>
        <w:pStyle w:val="ListBullet"/>
        <w:spacing w:line="252" w:lineRule="auto"/>
      </w:pPr>
      <w:r>
        <w:rPr>
          <w:rFonts w:ascii="Times New Roman" w:hAnsi="Times New Roman" w:eastAsia="Times New Roman"/>
          <w:color w:val="000000"/>
          <w:sz w:val="20"/>
        </w:rPr>
        <w:t>Submit dilakukan melalui online submission platform dan dapat dilacak dari akun corresponding author.</w:t>
      </w:r>
    </w:p>
    <w:p>
      <w:pPr>
        <w:pStyle w:val="ListBullet"/>
        <w:spacing w:line="252" w:lineRule="auto"/>
      </w:pPr>
      <w:r>
        <w:rPr>
          <w:rFonts w:ascii="Times New Roman" w:hAnsi="Times New Roman" w:eastAsia="Times New Roman"/>
          <w:color w:val="000000"/>
          <w:sz w:val="20"/>
        </w:rPr>
        <w:t>Paket awal harus memuat complete manuscript termasuk tables dan figures, cover letter kepada Editor-in-Chief yang menjelaskan novelty/significance, Submission Form, dan Copyright Form.</w:t>
      </w:r>
    </w:p>
    <w:p>
      <w:pPr>
        <w:pStyle w:val="ListBullet"/>
        <w:spacing w:line="252" w:lineRule="auto"/>
      </w:pPr>
      <w:r>
        <w:rPr>
          <w:rFonts w:ascii="Times New Roman" w:hAnsi="Times New Roman" w:eastAsia="Times New Roman"/>
          <w:color w:val="000000"/>
          <w:sz w:val="20"/>
        </w:rPr>
        <w:t>Editor-in-Chief melakukan initial screening. Manuskrip yang lolos dikirim kepada sedikitnya dua external reviewers. Penulis dianjurkan mengusulkan 3-5 reviewer dan boleh meminta reviewer tertentu dikecualikan; keputusan reviewer tetap pada Editor-in-Chief.</w:t>
      </w:r>
    </w:p>
    <w:p>
      <w:pPr>
        <w:pStyle w:val="ListBullet"/>
        <w:spacing w:line="252" w:lineRule="auto"/>
      </w:pPr>
      <w:r>
        <w:rPr>
          <w:rFonts w:ascii="Times New Roman" w:hAnsi="Times New Roman" w:eastAsia="Times New Roman"/>
          <w:color w:val="000000"/>
          <w:sz w:val="20"/>
        </w:rPr>
        <w:t>Revisi harus disertai revised manuscript dan point-by-point response. Lewat tenggat tanpa persetujuan dapat dianggap withdrawn. Resubmission setelah rejection harus menyertakan naskah awal dan surat perubahan rinci.</w:t>
      </w:r>
    </w:p>
    <w:p>
      <w:pPr>
        <w:pStyle w:val="ListBullet"/>
        <w:spacing w:line="252" w:lineRule="auto"/>
      </w:pPr>
      <w:r>
        <w:rPr>
          <w:rFonts w:ascii="Times New Roman" w:hAnsi="Times New Roman" w:eastAsia="Times New Roman"/>
          <w:color w:val="000000"/>
          <w:sz w:val="20"/>
        </w:rPr>
        <w:t>Proof dikirim kepada corresponding author dan harus dikembalikan dalam satu minggu; hanya typographical errors dan perubahan minor yang dibenarkan.</w:t>
      </w:r>
    </w:p>
    <w:p>
      <w:pPr>
        <w:pStyle w:val="Heading1"/>
        <w:jc w:val="left"/>
      </w:pPr>
      <w:r>
        <w:rPr>
          <w:rFonts w:ascii="Times New Roman" w:hAnsi="Times New Roman" w:eastAsia="Times New Roman"/>
          <w:b/>
          <w:color w:val="000000"/>
          <w:sz w:val="24"/>
        </w:rPr>
        <w:t>7. Audit rinci manuskrip awal dan perbaikan yang dilakukan</w:t>
      </w:r>
    </w:p>
    <w:p>
      <w:pPr>
        <w:pStyle w:val="ListBullet"/>
        <w:spacing w:line="247" w:lineRule="auto"/>
      </w:pPr>
      <w:r>
        <w:rPr>
          <w:rFonts w:ascii="Times New Roman" w:hAnsi="Times New Roman" w:eastAsia="Times New Roman"/>
          <w:b/>
          <w:color w:val="000000"/>
          <w:sz w:val="19"/>
        </w:rPr>
        <w:t xml:space="preserve">Abstract terlalu panjang dan tidak sepenuhnya sesuai struktur: </w:t>
      </w:r>
      <w:r>
        <w:rPr>
          <w:rFonts w:ascii="Times New Roman" w:hAnsi="Times New Roman" w:eastAsia="Times New Roman"/>
          <w:color w:val="000000"/>
          <w:sz w:val="19"/>
        </w:rPr>
        <w:t>Sekitar 303 kata dipadatkan menjadi 226 kata dengan Background, Methods, Results, dan Conclusion; tidak ada sitasi.</w:t>
      </w:r>
    </w:p>
    <w:p>
      <w:pPr>
        <w:pStyle w:val="ListBullet"/>
        <w:spacing w:line="247" w:lineRule="auto"/>
      </w:pPr>
      <w:r>
        <w:rPr>
          <w:rFonts w:ascii="Times New Roman" w:hAnsi="Times New Roman" w:eastAsia="Times New Roman"/>
          <w:b/>
          <w:color w:val="000000"/>
          <w:sz w:val="19"/>
        </w:rPr>
        <w:t xml:space="preserve">Keywords berjumlah delapan dan tidak seluruhnya MeSH: </w:t>
      </w:r>
      <w:r>
        <w:rPr>
          <w:rFonts w:ascii="Times New Roman" w:hAnsi="Times New Roman" w:eastAsia="Times New Roman"/>
          <w:color w:val="000000"/>
          <w:sz w:val="19"/>
        </w:rPr>
        <w:t>Diubah menjadi lima MeSH Headings: Blood; Cryoelectron Microscopy; Extracellular Vesicles; Honey; Urine.</w:t>
      </w:r>
    </w:p>
    <w:p>
      <w:pPr>
        <w:pStyle w:val="ListBullet"/>
        <w:spacing w:line="247" w:lineRule="auto"/>
      </w:pPr>
      <w:r>
        <w:rPr>
          <w:rFonts w:ascii="Times New Roman" w:hAnsi="Times New Roman" w:eastAsia="Times New Roman"/>
          <w:b/>
          <w:color w:val="000000"/>
          <w:sz w:val="19"/>
        </w:rPr>
        <w:t xml:space="preserve">Results and Discussion digabung: </w:t>
      </w:r>
      <w:r>
        <w:rPr>
          <w:rFonts w:ascii="Times New Roman" w:hAnsi="Times New Roman" w:eastAsia="Times New Roman"/>
          <w:color w:val="000000"/>
          <w:sz w:val="19"/>
        </w:rPr>
        <w:t>Dipisahkan sepenuhnya agar data dan interpretasi tidak bercampur.</w:t>
      </w:r>
    </w:p>
    <w:p>
      <w:pPr>
        <w:pStyle w:val="ListBullet"/>
        <w:spacing w:line="247" w:lineRule="auto"/>
      </w:pPr>
      <w:r>
        <w:rPr>
          <w:rFonts w:ascii="Times New Roman" w:hAnsi="Times New Roman" w:eastAsia="Times New Roman"/>
          <w:b/>
          <w:color w:val="000000"/>
          <w:sz w:val="19"/>
        </w:rPr>
        <w:t xml:space="preserve">Istilah EV/exosome terlalu pasti: </w:t>
      </w:r>
      <w:r>
        <w:rPr>
          <w:rFonts w:ascii="Times New Roman" w:hAnsi="Times New Roman" w:eastAsia="Times New Roman"/>
          <w:color w:val="000000"/>
          <w:sz w:val="19"/>
        </w:rPr>
        <w:t>Diseragamkan menjadi EV-enriched preparations atau vesicle-like material kecuali saat merujuk nomenklatur studi terdahulu.</w:t>
      </w:r>
    </w:p>
    <w:p>
      <w:pPr>
        <w:pStyle w:val="ListBullet"/>
        <w:spacing w:line="247" w:lineRule="auto"/>
      </w:pPr>
      <w:r>
        <w:rPr>
          <w:rFonts w:ascii="Times New Roman" w:hAnsi="Times New Roman" w:eastAsia="Times New Roman"/>
          <w:b/>
          <w:color w:val="000000"/>
          <w:sz w:val="19"/>
        </w:rPr>
        <w:t xml:space="preserve">Blood disebut positive control: </w:t>
      </w:r>
      <w:r>
        <w:rPr>
          <w:rFonts w:ascii="Times New Roman" w:hAnsi="Times New Roman" w:eastAsia="Times New Roman"/>
          <w:color w:val="000000"/>
          <w:sz w:val="19"/>
        </w:rPr>
        <w:t>Diubah menjadi reference biofluid karena preparasi darah bukan positive control analitik yang tervalidasi.</w:t>
      </w:r>
    </w:p>
    <w:p>
      <w:pPr>
        <w:pStyle w:val="ListBullet"/>
        <w:spacing w:line="247" w:lineRule="auto"/>
      </w:pPr>
      <w:r>
        <w:rPr>
          <w:rFonts w:ascii="Times New Roman" w:hAnsi="Times New Roman" w:eastAsia="Times New Roman"/>
          <w:b/>
          <w:color w:val="000000"/>
          <w:sz w:val="19"/>
        </w:rPr>
        <w:t xml:space="preserve">Pooled sample tidak dijelaskan tegas: </w:t>
      </w:r>
      <w:r>
        <w:rPr>
          <w:rFonts w:ascii="Times New Roman" w:hAnsi="Times New Roman" w:eastAsia="Times New Roman"/>
          <w:color w:val="000000"/>
          <w:sz w:val="19"/>
        </w:rPr>
        <w:t>Metode kini menjelaskan aliquot donor/batch digabung per matriks sebelum characterization; hanya satu pooled preparation per sumber sehingga technical runs bukan biological replicates.</w:t>
      </w:r>
    </w:p>
    <w:p>
      <w:pPr>
        <w:pStyle w:val="ListBullet"/>
        <w:spacing w:line="247" w:lineRule="auto"/>
      </w:pPr>
      <w:r>
        <w:rPr>
          <w:rFonts w:ascii="Times New Roman" w:hAnsi="Times New Roman" w:eastAsia="Times New Roman"/>
          <w:b/>
          <w:color w:val="000000"/>
          <w:sz w:val="19"/>
        </w:rPr>
        <w:t xml:space="preserve">Analisis statistik berpotensi menyesatkan: </w:t>
      </w:r>
      <w:r>
        <w:rPr>
          <w:rFonts w:ascii="Times New Roman" w:hAnsi="Times New Roman" w:eastAsia="Times New Roman"/>
          <w:color w:val="000000"/>
          <w:sz w:val="19"/>
        </w:rPr>
        <w:t>Ditambahkan Data analysis: descriptive only; tidak ada inferential comparison antar sumber.</w:t>
      </w:r>
    </w:p>
    <w:p>
      <w:pPr>
        <w:pStyle w:val="ListBullet"/>
        <w:spacing w:line="247" w:lineRule="auto"/>
      </w:pPr>
      <w:r>
        <w:rPr>
          <w:rFonts w:ascii="Times New Roman" w:hAnsi="Times New Roman" w:eastAsia="Times New Roman"/>
          <w:b/>
          <w:color w:val="000000"/>
          <w:sz w:val="19"/>
        </w:rPr>
        <w:t xml:space="preserve">Final suspension volume disebut recovery/yield: </w:t>
      </w:r>
      <w:r>
        <w:rPr>
          <w:rFonts w:ascii="Times New Roman" w:hAnsi="Times New Roman" w:eastAsia="Times New Roman"/>
          <w:color w:val="000000"/>
          <w:sz w:val="19"/>
        </w:rPr>
        <w:t>Diubah menjadi cumulative final suspension volume dan initial-to-final volume ratio; ditegaskan tidak mengukur particle yield.</w:t>
      </w:r>
    </w:p>
    <w:p>
      <w:pPr>
        <w:pStyle w:val="ListBullet"/>
        <w:spacing w:line="247" w:lineRule="auto"/>
      </w:pPr>
      <w:r>
        <w:rPr>
          <w:rFonts w:ascii="Times New Roman" w:hAnsi="Times New Roman" w:eastAsia="Times New Roman"/>
          <w:b/>
          <w:color w:val="000000"/>
          <w:sz w:val="19"/>
        </w:rPr>
        <w:t xml:space="preserve">Rentang DLS urine tidak konsisten: </w:t>
      </w:r>
      <w:r>
        <w:rPr>
          <w:rFonts w:ascii="Times New Roman" w:hAnsi="Times New Roman" w:eastAsia="Times New Roman"/>
          <w:color w:val="000000"/>
          <w:sz w:val="19"/>
        </w:rPr>
        <w:t>Diseragamkan menjadi 111.9-324.9 nm sesuai seluruh nilai yang dilaporkan.</w:t>
      </w:r>
    </w:p>
    <w:p>
      <w:pPr>
        <w:pStyle w:val="ListBullet"/>
        <w:spacing w:line="247" w:lineRule="auto"/>
      </w:pPr>
      <w:r>
        <w:rPr>
          <w:rFonts w:ascii="Times New Roman" w:hAnsi="Times New Roman" w:eastAsia="Times New Roman"/>
          <w:b/>
          <w:color w:val="000000"/>
          <w:sz w:val="19"/>
        </w:rPr>
        <w:t xml:space="preserve">DLS dan PDI ditafsirkan terlalu kuat: </w:t>
      </w:r>
      <w:r>
        <w:rPr>
          <w:rFonts w:ascii="Times New Roman" w:hAnsi="Times New Roman" w:eastAsia="Times New Roman"/>
          <w:color w:val="000000"/>
          <w:sz w:val="19"/>
        </w:rPr>
        <w:t>Dijelaskan intensity weighting dan bias d⁶ terhadap partikel besar; PDI honey 1.698 dipakai sebagai indikator heterogenitas, bukan distribusi EV yang pasti.</w:t>
      </w:r>
    </w:p>
    <w:p>
      <w:pPr>
        <w:pStyle w:val="ListBullet"/>
        <w:spacing w:line="247" w:lineRule="auto"/>
      </w:pPr>
      <w:r>
        <w:rPr>
          <w:rFonts w:ascii="Times New Roman" w:hAnsi="Times New Roman" w:eastAsia="Times New Roman"/>
          <w:b/>
          <w:color w:val="000000"/>
          <w:sz w:val="19"/>
        </w:rPr>
        <w:t xml:space="preserve">Zeta potential di PBS tinggi konduktivitas: </w:t>
      </w:r>
      <w:r>
        <w:rPr>
          <w:rFonts w:ascii="Times New Roman" w:hAnsi="Times New Roman" w:eastAsia="Times New Roman"/>
          <w:color w:val="000000"/>
          <w:sz w:val="19"/>
        </w:rPr>
        <w:t>Dilaporkan sebagai apparent zeta potential; tidak digunakan untuk menyimpulkan intrinsic surface charge.</w:t>
      </w:r>
    </w:p>
    <w:p>
      <w:pPr>
        <w:pStyle w:val="ListBullet"/>
        <w:spacing w:line="247" w:lineRule="auto"/>
      </w:pPr>
      <w:r>
        <w:rPr>
          <w:rFonts w:ascii="Times New Roman" w:hAnsi="Times New Roman" w:eastAsia="Times New Roman"/>
          <w:b/>
          <w:color w:val="000000"/>
          <w:sz w:val="19"/>
        </w:rPr>
        <w:t xml:space="preserve">Protein disebut EV protein: </w:t>
      </w:r>
      <w:r>
        <w:rPr>
          <w:rFonts w:ascii="Times New Roman" w:hAnsi="Times New Roman" w:eastAsia="Times New Roman"/>
          <w:color w:val="000000"/>
          <w:sz w:val="19"/>
        </w:rPr>
        <w:t>Diubah menjadi total protein in the EV-enriched suspension; tidak digunakan sebagai surrogate particle number atau purity.</w:t>
      </w:r>
    </w:p>
    <w:p>
      <w:pPr>
        <w:pStyle w:val="ListBullet"/>
        <w:spacing w:line="247" w:lineRule="auto"/>
      </w:pPr>
      <w:r>
        <w:rPr>
          <w:rFonts w:ascii="Times New Roman" w:hAnsi="Times New Roman" w:eastAsia="Times New Roman"/>
          <w:b/>
          <w:color w:val="000000"/>
          <w:sz w:val="19"/>
        </w:rPr>
        <w:t xml:space="preserve">Anti-human CD9/CD81 pada honey: </w:t>
      </w:r>
      <w:r>
        <w:rPr>
          <w:rFonts w:ascii="Times New Roman" w:hAnsi="Times New Roman" w:eastAsia="Times New Roman"/>
          <w:color w:val="000000"/>
          <w:sz w:val="19"/>
        </w:rPr>
        <w:t>Hasil 0.3% diposisikan sebagai exploratory assay-compatibility observation dan bukan honey-VLN identity result.</w:t>
      </w:r>
    </w:p>
    <w:p>
      <w:pPr>
        <w:pStyle w:val="ListBullet"/>
        <w:spacing w:line="247" w:lineRule="auto"/>
      </w:pPr>
      <w:r>
        <w:rPr>
          <w:rFonts w:ascii="Times New Roman" w:hAnsi="Times New Roman" w:eastAsia="Times New Roman"/>
          <w:b/>
          <w:color w:val="000000"/>
          <w:sz w:val="19"/>
        </w:rPr>
        <w:t xml:space="preserve">Kontrol flow cytometry tidak lengkap: </w:t>
      </w:r>
      <w:r>
        <w:rPr>
          <w:rFonts w:ascii="Times New Roman" w:hAnsi="Times New Roman" w:eastAsia="Times New Roman"/>
          <w:color w:val="000000"/>
          <w:sz w:val="19"/>
        </w:rPr>
        <w:t>Ketiadaan isotype, bead-only, dan detergent-lysis controls ditulis eksplisit sebagai limitation.</w:t>
      </w:r>
    </w:p>
    <w:p>
      <w:pPr>
        <w:pStyle w:val="ListBullet"/>
        <w:spacing w:line="247" w:lineRule="auto"/>
      </w:pPr>
      <w:r>
        <w:rPr>
          <w:rFonts w:ascii="Times New Roman" w:hAnsi="Times New Roman" w:eastAsia="Times New Roman"/>
          <w:b/>
          <w:color w:val="000000"/>
          <w:sz w:val="19"/>
        </w:rPr>
        <w:t xml:space="preserve">Cryo-EM dianggap mengonfirmasi EV: </w:t>
      </w:r>
      <w:r>
        <w:rPr>
          <w:rFonts w:ascii="Times New Roman" w:hAnsi="Times New Roman" w:eastAsia="Times New Roman"/>
          <w:color w:val="000000"/>
          <w:sz w:val="19"/>
        </w:rPr>
        <w:t>Dibatasi menjadi bukti membrane-enclosed structures; tidak menetapkan biogenesis, purity, concentration, atau population-level size.</w:t>
      </w:r>
    </w:p>
    <w:p>
      <w:pPr>
        <w:pStyle w:val="ListBullet"/>
        <w:spacing w:line="247" w:lineRule="auto"/>
      </w:pPr>
      <w:r>
        <w:rPr>
          <w:rFonts w:ascii="Times New Roman" w:hAnsi="Times New Roman" w:eastAsia="Times New Roman"/>
          <w:b/>
          <w:color w:val="000000"/>
          <w:sz w:val="19"/>
        </w:rPr>
        <w:t xml:space="preserve">Klaim drug-delivery/therapy terlalu jauh: </w:t>
      </w:r>
      <w:r>
        <w:rPr>
          <w:rFonts w:ascii="Times New Roman" w:hAnsi="Times New Roman" w:eastAsia="Times New Roman"/>
          <w:color w:val="000000"/>
          <w:sz w:val="19"/>
        </w:rPr>
        <w:t>Diturunkan karena belum ada loading, release, uptake, stability, toxicity, dan bioactivity assays.</w:t>
      </w:r>
    </w:p>
    <w:p>
      <w:pPr>
        <w:pStyle w:val="ListBullet"/>
        <w:spacing w:line="247" w:lineRule="auto"/>
      </w:pPr>
      <w:r>
        <w:rPr>
          <w:rFonts w:ascii="Times New Roman" w:hAnsi="Times New Roman" w:eastAsia="Times New Roman"/>
          <w:b/>
          <w:color w:val="000000"/>
          <w:sz w:val="19"/>
        </w:rPr>
        <w:t xml:space="preserve">Nomenklatur MISEV salah: </w:t>
      </w:r>
      <w:r>
        <w:rPr>
          <w:rFonts w:ascii="Times New Roman" w:hAnsi="Times New Roman" w:eastAsia="Times New Roman"/>
          <w:color w:val="000000"/>
          <w:sz w:val="19"/>
        </w:rPr>
        <w:t>Dibetulkan menjadi MISEV2023, yaitu nama guideline yang terbit pada 2024.</w:t>
      </w:r>
    </w:p>
    <w:p>
      <w:pPr>
        <w:pStyle w:val="ListBullet"/>
        <w:spacing w:line="247" w:lineRule="auto"/>
      </w:pPr>
      <w:r>
        <w:rPr>
          <w:rFonts w:ascii="Times New Roman" w:hAnsi="Times New Roman" w:eastAsia="Times New Roman"/>
          <w:b/>
          <w:color w:val="000000"/>
          <w:sz w:val="19"/>
        </w:rPr>
        <w:t xml:space="preserve">Referensi metode kurang relevan: </w:t>
      </w:r>
      <w:r>
        <w:rPr>
          <w:rFonts w:ascii="Times New Roman" w:hAnsi="Times New Roman" w:eastAsia="Times New Roman"/>
          <w:color w:val="000000"/>
          <w:sz w:val="19"/>
        </w:rPr>
        <w:t>Referensi geoscience untuk DLS diganti dengan practical biomedical DLS guide; referensi wheat-protein Bradford diganti dengan artikel metode Bradford asli.</w:t>
      </w:r>
    </w:p>
    <w:p>
      <w:pPr>
        <w:pStyle w:val="ListBullet"/>
        <w:spacing w:line="247" w:lineRule="auto"/>
      </w:pPr>
      <w:r>
        <w:rPr>
          <w:rFonts w:ascii="Times New Roman" w:hAnsi="Times New Roman" w:eastAsia="Times New Roman"/>
          <w:b/>
          <w:color w:val="000000"/>
          <w:sz w:val="19"/>
        </w:rPr>
        <w:t xml:space="preserve">Deklarasi tidak lengkap: </w:t>
      </w:r>
      <w:r>
        <w:rPr>
          <w:rFonts w:ascii="Times New Roman" w:hAnsi="Times New Roman" w:eastAsia="Times New Roman"/>
          <w:color w:val="000000"/>
          <w:sz w:val="19"/>
        </w:rPr>
        <w:t>Ditambahkan Ethical statement, Consent to participate, Consent for publication, Authors’ contributions, Data availability, Competing interests, Funding, AI use, Illustration ownership, dan Supplementary information.</w:t>
      </w:r>
    </w:p>
    <w:p>
      <w:pPr>
        <w:pStyle w:val="ListBullet"/>
        <w:spacing w:line="247" w:lineRule="auto"/>
      </w:pPr>
      <w:r>
        <w:rPr>
          <w:rFonts w:ascii="Times New Roman" w:hAnsi="Times New Roman" w:eastAsia="Times New Roman"/>
          <w:b/>
          <w:color w:val="000000"/>
          <w:sz w:val="19"/>
        </w:rPr>
        <w:t xml:space="preserve">Format figure tidak sesuai: </w:t>
      </w:r>
      <w:r>
        <w:rPr>
          <w:rFonts w:ascii="Times New Roman" w:hAnsi="Times New Roman" w:eastAsia="Times New Roman"/>
          <w:color w:val="000000"/>
          <w:sz w:val="19"/>
        </w:rPr>
        <w:t>Figure dipindahkan ke akhir, satu panel per halaman, maksimal 12 cm dalam manuskrip, dan file terpisah disimpan ≥300 dpi.</w:t>
      </w:r>
    </w:p>
    <w:p>
      <w:pPr>
        <w:pStyle w:val="ListBullet"/>
        <w:spacing w:line="247" w:lineRule="auto"/>
      </w:pPr>
      <w:r>
        <w:rPr>
          <w:rFonts w:ascii="Times New Roman" w:hAnsi="Times New Roman" w:eastAsia="Times New Roman"/>
          <w:b/>
          <w:color w:val="000000"/>
          <w:sz w:val="19"/>
        </w:rPr>
        <w:t xml:space="preserve">Format umum belum IBJ: </w:t>
      </w:r>
      <w:r>
        <w:rPr>
          <w:rFonts w:ascii="Times New Roman" w:hAnsi="Times New Roman" w:eastAsia="Times New Roman"/>
          <w:color w:val="000000"/>
          <w:sz w:val="19"/>
        </w:rPr>
        <w:t>Diterapkan Times New Roman 12 pt, double spacing, margin 2.5 cm, page number bottom-center, running title, abbreviations, dan title-page contact details.</w:t>
      </w:r>
    </w:p>
    <w:p>
      <w:pPr>
        <w:pStyle w:val="Heading1"/>
        <w:jc w:val="left"/>
      </w:pPr>
      <w:r>
        <w:rPr>
          <w:rFonts w:ascii="Times New Roman" w:hAnsi="Times New Roman" w:eastAsia="Times New Roman"/>
          <w:b/>
          <w:color w:val="000000"/>
          <w:sz w:val="24"/>
        </w:rPr>
        <w:t>8. Keterbatasan ilmiah yang tidak dapat diperbaiki hanya dengan editing</w:t>
      </w:r>
    </w:p>
    <w:p>
      <w:pPr>
        <w:pStyle w:val="ListBullet"/>
        <w:spacing w:line="252" w:lineRule="auto"/>
      </w:pPr>
      <w:r>
        <w:rPr>
          <w:rFonts w:ascii="Times New Roman" w:hAnsi="Times New Roman" w:eastAsia="Times New Roman"/>
          <w:color w:val="000000"/>
          <w:sz w:val="20"/>
        </w:rPr>
        <w:t>Tidak ada absolute particle concentration dengan NTA, nano-flow cytometry, single-particle interferometric imaging, atau metode single-particle lain.</w:t>
      </w:r>
    </w:p>
    <w:p>
      <w:pPr>
        <w:pStyle w:val="ListBullet"/>
        <w:spacing w:line="252" w:lineRule="auto"/>
      </w:pPr>
      <w:r>
        <w:rPr>
          <w:rFonts w:ascii="Times New Roman" w:hAnsi="Times New Roman" w:eastAsia="Times New Roman"/>
          <w:color w:val="000000"/>
          <w:sz w:val="20"/>
        </w:rPr>
        <w:t>Tidak tersedia biological replicate-level characterization dan statistik antar donor/batch; hasil utama berasal dari satu pooled preparation per matriks.</w:t>
      </w:r>
    </w:p>
    <w:p>
      <w:pPr>
        <w:pStyle w:val="ListBullet"/>
        <w:spacing w:line="252" w:lineRule="auto"/>
      </w:pPr>
      <w:r>
        <w:rPr>
          <w:rFonts w:ascii="Times New Roman" w:hAnsi="Times New Roman" w:eastAsia="Times New Roman"/>
          <w:color w:val="000000"/>
          <w:sz w:val="20"/>
        </w:rPr>
        <w:t>Panel EV identity dan purity belum memenuhi pendekatan orthogonal yang kuat: belum ada transmembrane marker tambahan, cytosolic marker, dan negative/non-EV markers.</w:t>
      </w:r>
    </w:p>
    <w:p>
      <w:pPr>
        <w:pStyle w:val="ListBullet"/>
        <w:spacing w:line="252" w:lineRule="auto"/>
      </w:pPr>
      <w:r>
        <w:rPr>
          <w:rFonts w:ascii="Times New Roman" w:hAnsi="Times New Roman" w:eastAsia="Times New Roman"/>
          <w:color w:val="000000"/>
          <w:sz w:val="20"/>
        </w:rPr>
        <w:t>Kontaminan spesifik matriks tidak diukur, misalnya albumin/apolipoprotein untuk plasma dan uromodulin untuk urine.</w:t>
      </w:r>
    </w:p>
    <w:p>
      <w:pPr>
        <w:pStyle w:val="ListBullet"/>
        <w:spacing w:line="252" w:lineRule="auto"/>
      </w:pPr>
      <w:r>
        <w:rPr>
          <w:rFonts w:ascii="Times New Roman" w:hAnsi="Times New Roman" w:eastAsia="Times New Roman"/>
          <w:color w:val="000000"/>
          <w:sz w:val="20"/>
        </w:rPr>
        <w:t>Human CD9/CD81 reagents tidak sesuai untuk mengidentifikasi honey-derived vesicle-like nanoparticles; source-appropriate markers/cargo diperlukan.</w:t>
      </w:r>
    </w:p>
    <w:p>
      <w:pPr>
        <w:pStyle w:val="ListBullet"/>
        <w:spacing w:line="252" w:lineRule="auto"/>
      </w:pPr>
      <w:r>
        <w:rPr>
          <w:rFonts w:ascii="Times New Roman" w:hAnsi="Times New Roman" w:eastAsia="Times New Roman"/>
          <w:color w:val="000000"/>
          <w:sz w:val="20"/>
        </w:rPr>
        <w:t>Cryo-EM belum memiliki quantitative morphometry dari field selection yang prespecified dan jumlah vesikel memadai.</w:t>
      </w:r>
    </w:p>
    <w:p>
      <w:pPr>
        <w:pStyle w:val="ListBullet"/>
        <w:spacing w:line="252" w:lineRule="auto"/>
      </w:pPr>
      <w:r>
        <w:rPr>
          <w:rFonts w:ascii="Times New Roman" w:hAnsi="Times New Roman" w:eastAsia="Times New Roman"/>
          <w:color w:val="000000"/>
          <w:sz w:val="20"/>
        </w:rPr>
        <w:t>Tidak ada functional validation untuk delivery suitability atau bioactivity.</w:t>
      </w:r>
    </w:p>
    <w:p>
      <w:pPr>
        <w:keepNext w:val="0"/>
        <w:spacing w:before="0" w:after="0" w:line="480" w:lineRule="auto"/>
        <w:jc w:val="both"/>
      </w:pPr>
      <w:r>
        <w:rPr>
          <w:rFonts w:ascii="Times New Roman" w:hAnsi="Times New Roman" w:eastAsia="Times New Roman"/>
          <w:color w:val="000000"/>
          <w:sz w:val="24"/>
        </w:rPr>
        <w:t>Naskah tetap dapat disubmit sebagai descriptive comparative characterization, tetapi keterbatasan di atas meningkatkan risiko desk rejection atau permintaan eksperimen tambahan. Kesimpulan versi revisi sengaja dibuat konservatif agar tidak melampaui data.</w:t>
      </w:r>
    </w:p>
    <w:p>
      <w:pPr>
        <w:pStyle w:val="Heading1"/>
        <w:jc w:val="left"/>
      </w:pPr>
      <w:r>
        <w:rPr>
          <w:rFonts w:ascii="Times New Roman" w:hAnsi="Times New Roman" w:eastAsia="Times New Roman"/>
          <w:b/>
          <w:color w:val="000000"/>
          <w:sz w:val="24"/>
        </w:rPr>
        <w:t>9. Tindakan yang masih wajib dilakukan penulis sebelum menekan Submit</w:t>
      </w:r>
    </w:p>
    <w:p>
      <w:pPr>
        <w:pStyle w:val="ListNumber"/>
        <w:spacing w:line="252" w:lineRule="auto"/>
      </w:pPr>
      <w:r>
        <w:rPr>
          <w:rFonts w:ascii="Times New Roman" w:hAnsi="Times New Roman" w:eastAsia="Times New Roman"/>
          <w:color w:val="000000"/>
          <w:sz w:val="20"/>
        </w:rPr>
        <w:t>Lengkapi ORCID iD Glenn Marchelinno Souissa, Bryan Christopher Wiraputra, Deby Deby, Purnamawati, Eden Steven, Ahmad Novi Muslimin, dan Agus Limanto. Hanya ORCID Yudhi Nugraha (0000-0003-1186-4093) yang dapat diverifikasi dari sumber publik yang andal. Form copyright menyatakan semua penulis wajib mempunyai ORCID.</w:t>
      </w:r>
    </w:p>
    <w:p>
      <w:pPr>
        <w:pStyle w:val="ListNumber"/>
        <w:spacing w:line="252" w:lineRule="auto"/>
      </w:pPr>
      <w:r>
        <w:rPr>
          <w:rFonts w:ascii="Times New Roman" w:hAnsi="Times New Roman" w:eastAsia="Times New Roman"/>
          <w:color w:val="000000"/>
          <w:sz w:val="20"/>
        </w:rPr>
        <w:t>Pastikan seluruh nama, urutan penulis, affiliation, CRediT/contribution, nomor telepon/faks, dan corresponding-author details telah disetujui semua penulis.</w:t>
      </w:r>
    </w:p>
    <w:p>
      <w:pPr>
        <w:pStyle w:val="ListNumber"/>
        <w:spacing w:line="252" w:lineRule="auto"/>
      </w:pPr>
      <w:r>
        <w:rPr>
          <w:rFonts w:ascii="Times New Roman" w:hAnsi="Times New Roman" w:eastAsia="Times New Roman"/>
          <w:color w:val="000000"/>
          <w:sz w:val="20"/>
        </w:rPr>
        <w:t>Konfirmasi bahwa naskah belum pernah dipublikasikan, tidak sedang diproses jurnal lain, tidak pernah diposting sebagai preprint, dan tidak akan diposting selama proses IBJ.</w:t>
      </w:r>
    </w:p>
    <w:p>
      <w:pPr>
        <w:pStyle w:val="ListNumber"/>
        <w:spacing w:line="252" w:lineRule="auto"/>
      </w:pPr>
      <w:r>
        <w:rPr>
          <w:rFonts w:ascii="Times New Roman" w:hAnsi="Times New Roman" w:eastAsia="Times New Roman"/>
          <w:color w:val="000000"/>
          <w:sz w:val="20"/>
        </w:rPr>
        <w:t>Konfirmasi no competing interests, data-availability wording, ownership of illustrations, ethics code, informed consent, funding number, serta penggunaan Grammarly.</w:t>
      </w:r>
    </w:p>
    <w:p>
      <w:pPr>
        <w:pStyle w:val="ListNumber"/>
        <w:spacing w:line="252" w:lineRule="auto"/>
      </w:pPr>
      <w:r>
        <w:rPr>
          <w:rFonts w:ascii="Times New Roman" w:hAnsi="Times New Roman" w:eastAsia="Times New Roman"/>
          <w:color w:val="000000"/>
          <w:sz w:val="20"/>
        </w:rPr>
        <w:t>Tandatangani official Submission Form oleh corresponding author dan official Copyright Form oleh seluruh delapan penulis. Karena form copyright hanya menyediakan enam baris, gunakan continuation sheet dalam paket dan konfirmasikan penerimaannya kepada editorial office bila diperlukan.</w:t>
      </w:r>
    </w:p>
    <w:p>
      <w:pPr>
        <w:pStyle w:val="ListNumber"/>
        <w:spacing w:line="252" w:lineRule="auto"/>
      </w:pPr>
      <w:r>
        <w:rPr>
          <w:rFonts w:ascii="Times New Roman" w:hAnsi="Times New Roman" w:eastAsia="Times New Roman"/>
          <w:color w:val="000000"/>
          <w:sz w:val="20"/>
        </w:rPr>
        <w:t>Sediakan 3-5 suggested reviewers dengan institutional e-mail dan lakukan pemeriksaan konflik berdasarkan hubungan pribadi, shared institution, recent coauthorship, supervision, funding, dan collaboration. Worksheet tersedia tetapi tidak diisi otomatis karena konflik hanya dapat diverifikasi oleh para penulis.</w:t>
      </w:r>
    </w:p>
    <w:p>
      <w:pPr>
        <w:pStyle w:val="ListNumber"/>
        <w:spacing w:line="252" w:lineRule="auto"/>
      </w:pPr>
      <w:r>
        <w:rPr>
          <w:rFonts w:ascii="Times New Roman" w:hAnsi="Times New Roman" w:eastAsia="Times New Roman"/>
          <w:color w:val="000000"/>
          <w:sz w:val="20"/>
        </w:rPr>
        <w:t>Portal registrasi menampilkan kolom Full Address in Persian. Karena penulis beralamat di Indonesia dan panduan tidak menjelaskan translasi untuk penulis asing, gunakan transliterasi alamat hanya bila portal menerima atau minta petunjuk editorial office.</w:t>
      </w:r>
    </w:p>
    <w:p>
      <w:pPr>
        <w:pStyle w:val="ListNumber"/>
        <w:spacing w:line="252" w:lineRule="auto"/>
      </w:pPr>
      <w:r>
        <w:rPr>
          <w:rFonts w:ascii="Times New Roman" w:hAnsi="Times New Roman" w:eastAsia="Times New Roman"/>
          <w:color w:val="000000"/>
          <w:sz w:val="20"/>
        </w:rPr>
        <w:t>Periksa source/raw data dan seluruh angka satu kali lagi karena editing tidak dapat memvalidasi akurasi laboratorium maupun ketepatan label FCM/FCD/FCU.</w:t>
      </w:r>
    </w:p>
    <w:p>
      <w:pPr>
        <w:pStyle w:val="Heading1"/>
        <w:jc w:val="left"/>
      </w:pPr>
      <w:r>
        <w:rPr>
          <w:rFonts w:ascii="Times New Roman" w:hAnsi="Times New Roman" w:eastAsia="Times New Roman"/>
          <w:b/>
          <w:color w:val="000000"/>
          <w:sz w:val="24"/>
        </w:rPr>
        <w:t>10. Isi paket submit yang disiapkan</w:t>
      </w:r>
    </w:p>
    <w:p>
      <w:pPr>
        <w:pStyle w:val="ListBullet"/>
        <w:spacing w:line="252" w:lineRule="auto"/>
      </w:pPr>
      <w:r>
        <w:rPr>
          <w:rFonts w:ascii="Times New Roman" w:hAnsi="Times New Roman" w:eastAsia="Times New Roman"/>
          <w:color w:val="000000"/>
          <w:sz w:val="20"/>
        </w:rPr>
        <w:t>IBJ_Main_Manuscript_EV_Ready.docx — manuskrip utama revisi sesuai format IBJ.</w:t>
      </w:r>
    </w:p>
    <w:p>
      <w:pPr>
        <w:pStyle w:val="ListBullet"/>
        <w:spacing w:line="252" w:lineRule="auto"/>
      </w:pPr>
      <w:r>
        <w:rPr>
          <w:rFonts w:ascii="Times New Roman" w:hAnsi="Times New Roman" w:eastAsia="Times New Roman"/>
          <w:color w:val="000000"/>
          <w:sz w:val="20"/>
        </w:rPr>
        <w:t>IBJ_Cover_Letter_EV.docx — cover letter satu halaman untuk Editor-in-Chief.</w:t>
      </w:r>
    </w:p>
    <w:p>
      <w:pPr>
        <w:pStyle w:val="ListBullet"/>
        <w:spacing w:line="252" w:lineRule="auto"/>
      </w:pPr>
      <w:r>
        <w:rPr>
          <w:rFonts w:ascii="Times New Roman" w:hAnsi="Times New Roman" w:eastAsia="Times New Roman"/>
          <w:color w:val="000000"/>
          <w:sz w:val="20"/>
        </w:rPr>
        <w:t>Figures_300dpi — 14 file panel figure beresolusi tinggi dalam JPG/PNG/TIFF.</w:t>
      </w:r>
    </w:p>
    <w:p>
      <w:pPr>
        <w:pStyle w:val="ListBullet"/>
        <w:spacing w:line="252" w:lineRule="auto"/>
      </w:pPr>
      <w:r>
        <w:rPr>
          <w:rFonts w:ascii="Times New Roman" w:hAnsi="Times New Roman" w:eastAsia="Times New Roman"/>
          <w:color w:val="000000"/>
          <w:sz w:val="20"/>
        </w:rPr>
        <w:t>IBJ_Author_ORCID_and_Signature_Continuation.docx — lembar lanjutan untuk delapan penulis.</w:t>
      </w:r>
    </w:p>
    <w:p>
      <w:pPr>
        <w:pStyle w:val="ListBullet"/>
        <w:spacing w:line="252" w:lineRule="auto"/>
      </w:pPr>
      <w:r>
        <w:rPr>
          <w:rFonts w:ascii="Times New Roman" w:hAnsi="Times New Roman" w:eastAsia="Times New Roman"/>
          <w:color w:val="000000"/>
          <w:sz w:val="20"/>
        </w:rPr>
        <w:t>IBJ_Suggested_Reviewer_Worksheet.docx — format pemeriksaan 3-5 reviewer.</w:t>
      </w:r>
    </w:p>
    <w:p>
      <w:pPr>
        <w:pStyle w:val="ListBullet"/>
        <w:spacing w:line="252" w:lineRule="auto"/>
      </w:pPr>
      <w:r>
        <w:rPr>
          <w:rFonts w:ascii="Times New Roman" w:hAnsi="Times New Roman" w:eastAsia="Times New Roman"/>
          <w:color w:val="000000"/>
          <w:sz w:val="20"/>
        </w:rPr>
        <w:t>IBJ_Official_Submission_Form.pdf — form resmi IBJ.</w:t>
      </w:r>
    </w:p>
    <w:p>
      <w:pPr>
        <w:pStyle w:val="ListBullet"/>
        <w:spacing w:line="252" w:lineRule="auto"/>
      </w:pPr>
      <w:r>
        <w:rPr>
          <w:rFonts w:ascii="Times New Roman" w:hAnsi="Times New Roman" w:eastAsia="Times New Roman"/>
          <w:color w:val="000000"/>
          <w:sz w:val="20"/>
        </w:rPr>
        <w:t>IBJ_Official_Copyright_Assignment.pdf — form copyright/authorship resmi.</w:t>
      </w:r>
    </w:p>
    <w:p>
      <w:pPr>
        <w:pStyle w:val="ListBullet"/>
        <w:spacing w:line="252" w:lineRule="auto"/>
      </w:pPr>
      <w:r>
        <w:rPr>
          <w:rFonts w:ascii="Times New Roman" w:hAnsi="Times New Roman" w:eastAsia="Times New Roman"/>
          <w:color w:val="000000"/>
          <w:sz w:val="20"/>
        </w:rPr>
        <w:t>IBJ_Official_Guide_for_Authors.pdf — panduan resmi yang digunakan.</w:t>
      </w:r>
    </w:p>
    <w:p>
      <w:pPr>
        <w:pStyle w:val="Heading1"/>
        <w:jc w:val="left"/>
      </w:pPr>
      <w:r>
        <w:rPr>
          <w:rFonts w:ascii="Times New Roman" w:hAnsi="Times New Roman" w:eastAsia="Times New Roman"/>
          <w:b/>
          <w:color w:val="000000"/>
          <w:sz w:val="24"/>
        </w:rPr>
        <w:t>11. Penilaian akhir</w:t>
      </w:r>
    </w:p>
    <w:p>
      <w:pPr>
        <w:keepNext w:val="0"/>
        <w:spacing w:before="0" w:after="0" w:line="480" w:lineRule="auto"/>
        <w:jc w:val="both"/>
      </w:pPr>
      <w:r>
        <w:rPr>
          <w:rFonts w:ascii="Times New Roman" w:hAnsi="Times New Roman" w:eastAsia="Times New Roman"/>
          <w:color w:val="000000"/>
          <w:sz w:val="24"/>
        </w:rPr>
        <w:t>Berdasarkan materi yang tersedia, manuskrip telah dibuat format-ready dan content-ready untuk target IBJ: struktur, panjang, gaya, abstract, MeSH, nomenklatur, interpretasi, declarations, references, tables, dan figures telah diperbaiki. Manuskrip belum dapat disebut administratively complete sampai ORCID seluruh penulis, signatures, reviewer suggestions, dan author-only confirmations dilengkapi. Secara ilmiah, risiko utama bukan lagi format, melainkan keterbatasan desain pooled descriptive characterization dan belum adanya quantitative particle count, expanded marker panel, serta functional validation.</w:t>
      </w:r>
    </w:p>
    <w:p>
      <w:pPr>
        <w:pStyle w:val="Heading1"/>
        <w:jc w:val="left"/>
      </w:pPr>
      <w:r>
        <w:rPr>
          <w:rFonts w:ascii="Times New Roman" w:hAnsi="Times New Roman" w:eastAsia="Times New Roman"/>
          <w:b/>
          <w:color w:val="000000"/>
          <w:sz w:val="24"/>
        </w:rPr>
        <w:t>12. Sumber resmi yang diperiksa</w:t>
      </w:r>
    </w:p>
    <w:p>
      <w:pPr>
        <w:pStyle w:val="ListBullet"/>
        <w:spacing w:line="252" w:lineRule="auto"/>
      </w:pPr>
      <w:r>
        <w:rPr>
          <w:rFonts w:ascii="Times New Roman" w:hAnsi="Times New Roman" w:eastAsia="Times New Roman"/>
          <w:color w:val="000000"/>
          <w:sz w:val="20"/>
        </w:rPr>
        <w:t>IBJ homepage dan current issue.</w:t>
      </w:r>
    </w:p>
    <w:p>
      <w:pPr>
        <w:pStyle w:val="ListBullet"/>
        <w:spacing w:line="252" w:lineRule="auto"/>
      </w:pPr>
      <w:r>
        <w:rPr>
          <w:rFonts w:ascii="Times New Roman" w:hAnsi="Times New Roman" w:eastAsia="Times New Roman"/>
          <w:color w:val="000000"/>
          <w:sz w:val="20"/>
        </w:rPr>
        <w:t>IBJ Aims and Scope.</w:t>
      </w:r>
    </w:p>
    <w:p>
      <w:pPr>
        <w:pStyle w:val="ListBullet"/>
        <w:spacing w:line="252" w:lineRule="auto"/>
      </w:pPr>
      <w:r>
        <w:rPr>
          <w:rFonts w:ascii="Times New Roman" w:hAnsi="Times New Roman" w:eastAsia="Times New Roman"/>
          <w:color w:val="000000"/>
          <w:sz w:val="20"/>
        </w:rPr>
        <w:t>IBJ Guide for Authors.</w:t>
      </w:r>
    </w:p>
    <w:p>
      <w:pPr>
        <w:pStyle w:val="ListBullet"/>
        <w:spacing w:line="252" w:lineRule="auto"/>
      </w:pPr>
      <w:r>
        <w:rPr>
          <w:rFonts w:ascii="Times New Roman" w:hAnsi="Times New Roman" w:eastAsia="Times New Roman"/>
          <w:color w:val="000000"/>
          <w:sz w:val="20"/>
        </w:rPr>
        <w:t>IBJ Publication Ethics dan Review Process.</w:t>
      </w:r>
    </w:p>
    <w:p>
      <w:pPr>
        <w:pStyle w:val="ListBullet"/>
        <w:spacing w:line="252" w:lineRule="auto"/>
      </w:pPr>
      <w:r>
        <w:rPr>
          <w:rFonts w:ascii="Times New Roman" w:hAnsi="Times New Roman" w:eastAsia="Times New Roman"/>
          <w:color w:val="000000"/>
          <w:sz w:val="20"/>
        </w:rPr>
        <w:t>IBJ online submission/registration pages.</w:t>
      </w:r>
    </w:p>
    <w:p>
      <w:pPr>
        <w:pStyle w:val="ListBullet"/>
        <w:spacing w:line="252" w:lineRule="auto"/>
      </w:pPr>
      <w:r>
        <w:rPr>
          <w:rFonts w:ascii="Times New Roman" w:hAnsi="Times New Roman" w:eastAsia="Times New Roman"/>
          <w:color w:val="000000"/>
          <w:sz w:val="20"/>
        </w:rPr>
        <w:t>Official Submission Form dan Assignment of Copyright and Authorship Responsibilities form.</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Prepared for the authors</dc:creator>
  <cp:keywords/>
  <dc:description>generated by python-docx</dc:description>
  <cp:lastModifiedBy>Prepared for the authors</cp:lastModifiedBy>
  <cp:revision>1</cp:revision>
  <dcterms:created xsi:type="dcterms:W3CDTF">2013-12-23T23:15:00Z</dcterms:created>
  <dcterms:modified xsi:type="dcterms:W3CDTF">2013-12-23T23:15:00Z</dcterms:modified>
  <cp:category/>
</cp:coreProperties>
</file>