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AB8E" w14:textId="77777777" w:rsidR="0014684E" w:rsidRPr="0014684E" w:rsidRDefault="0014684E" w:rsidP="0014684E">
      <w:pPr>
        <w:pStyle w:val="Heading1"/>
        <w:spacing w:line="480" w:lineRule="auto"/>
        <w:jc w:val="center"/>
        <w:rPr>
          <w:rFonts w:ascii="Times New Roman" w:hAnsi="Times New Roman" w:cs="Times New Roman"/>
          <w:b/>
          <w:bCs/>
          <w:color w:val="auto"/>
        </w:rPr>
      </w:pPr>
      <w:r w:rsidRPr="0014684E">
        <w:rPr>
          <w:rFonts w:ascii="Times New Roman" w:hAnsi="Times New Roman" w:cs="Times New Roman"/>
          <w:b/>
          <w:bCs/>
          <w:color w:val="auto"/>
          <w:sz w:val="24"/>
        </w:rPr>
        <w:t xml:space="preserve">Molecular Confirmation and Phylogenetic Analysis of Human </w:t>
      </w:r>
      <w:r w:rsidRPr="0014684E">
        <w:rPr>
          <w:rFonts w:ascii="Times New Roman" w:hAnsi="Times New Roman" w:cs="Times New Roman"/>
          <w:b/>
          <w:bCs/>
          <w:i/>
          <w:color w:val="auto"/>
          <w:sz w:val="24"/>
        </w:rPr>
        <w:t>BGN</w:t>
      </w:r>
      <w:r w:rsidRPr="0014684E">
        <w:rPr>
          <w:rFonts w:ascii="Times New Roman" w:hAnsi="Times New Roman" w:cs="Times New Roman"/>
          <w:b/>
          <w:bCs/>
          <w:color w:val="auto"/>
          <w:sz w:val="24"/>
        </w:rPr>
        <w:t xml:space="preserve"> and </w:t>
      </w:r>
      <w:r w:rsidRPr="0014684E">
        <w:rPr>
          <w:rFonts w:ascii="Times New Roman" w:hAnsi="Times New Roman" w:cs="Times New Roman"/>
          <w:b/>
          <w:bCs/>
          <w:i/>
          <w:color w:val="auto"/>
          <w:sz w:val="24"/>
        </w:rPr>
        <w:t>G6PD</w:t>
      </w:r>
      <w:r w:rsidRPr="0014684E">
        <w:rPr>
          <w:rFonts w:ascii="Times New Roman" w:hAnsi="Times New Roman" w:cs="Times New Roman"/>
          <w:b/>
          <w:bCs/>
          <w:color w:val="auto"/>
          <w:sz w:val="24"/>
        </w:rPr>
        <w:t xml:space="preserve"> Gene Fragments Using Sanger Sequencing</w:t>
      </w:r>
    </w:p>
    <w:p w14:paraId="6A664D9C" w14:textId="77777777" w:rsidR="0014684E" w:rsidRPr="0014684E" w:rsidRDefault="0014684E" w:rsidP="0014684E">
      <w:pPr>
        <w:pStyle w:val="BodyText"/>
        <w:spacing w:line="480" w:lineRule="auto"/>
      </w:pPr>
    </w:p>
    <w:p w14:paraId="71BC5081" w14:textId="77777777" w:rsidR="0014684E" w:rsidRPr="0014684E" w:rsidRDefault="0014684E" w:rsidP="0014684E">
      <w:pPr>
        <w:pStyle w:val="BodyText"/>
        <w:spacing w:line="480" w:lineRule="auto"/>
        <w:jc w:val="center"/>
      </w:pPr>
      <w:r w:rsidRPr="0014684E">
        <w:rPr>
          <w:b/>
        </w:rPr>
        <w:t>ABSTRACT</w:t>
      </w:r>
    </w:p>
    <w:p w14:paraId="60696836" w14:textId="77777777" w:rsidR="0014684E" w:rsidRPr="0014684E" w:rsidRDefault="0014684E" w:rsidP="0014684E">
      <w:pPr>
        <w:pStyle w:val="BodyText"/>
        <w:spacing w:line="480" w:lineRule="auto"/>
        <w:jc w:val="both"/>
      </w:pPr>
      <w:r w:rsidRPr="0014684E">
        <w:t xml:space="preserve">Background: Targeted molecular confirmation is required when amplified human gene fragments are intended for downstream genetic, biomedical, or population-based studies. This study confirmed human </w:t>
      </w:r>
      <w:r w:rsidRPr="0014684E">
        <w:rPr>
          <w:i/>
        </w:rPr>
        <w:t>BGN</w:t>
      </w:r>
      <w:r w:rsidRPr="0014684E">
        <w:t xml:space="preserve"> and </w:t>
      </w:r>
      <w:r w:rsidRPr="0014684E">
        <w:rPr>
          <w:i/>
        </w:rPr>
        <w:t>G6PD</w:t>
      </w:r>
      <w:r w:rsidRPr="0014684E">
        <w:t xml:space="preserve"> gene fragments using PCR, bidirectional Sanger sequencing, and bioinformatics analysis.</w:t>
      </w:r>
    </w:p>
    <w:p w14:paraId="46CFC97E" w14:textId="77777777" w:rsidR="0014684E" w:rsidRPr="0014684E" w:rsidRDefault="0014684E" w:rsidP="0014684E">
      <w:pPr>
        <w:pStyle w:val="BodyText"/>
        <w:spacing w:line="480" w:lineRule="auto"/>
        <w:jc w:val="both"/>
      </w:pPr>
      <w:r w:rsidRPr="0014684E">
        <w:t xml:space="preserve">Methods: Thirteen human blood samples were subjected to genomic DNA extraction, PCR amplification of an approximately 700-bp region, agarose gel electrophoresis, bidirectional Sanger sequencing, consensus sequence assembly, </w:t>
      </w:r>
      <w:proofErr w:type="spellStart"/>
      <w:r w:rsidRPr="0014684E">
        <w:t>BLASTn</w:t>
      </w:r>
      <w:proofErr w:type="spellEnd"/>
      <w:r w:rsidRPr="0014684E">
        <w:t xml:space="preserve"> analysis, multiple sequence alignment, and Neighbor-Joining phylogenetic reconstruction.</w:t>
      </w:r>
    </w:p>
    <w:p w14:paraId="2C71B380" w14:textId="77777777" w:rsidR="0014684E" w:rsidRPr="0014684E" w:rsidRDefault="0014684E" w:rsidP="0014684E">
      <w:pPr>
        <w:pStyle w:val="BodyText"/>
        <w:spacing w:line="480" w:lineRule="auto"/>
        <w:jc w:val="both"/>
      </w:pPr>
      <w:r w:rsidRPr="0014684E">
        <w:t xml:space="preserve">Results: All samples yielded sufficient genomic DNA for amplification and sequencing. PCR produced a single visible band at the expected size in all samples. Sanger sequencing was successful for all samples, and </w:t>
      </w:r>
      <w:proofErr w:type="spellStart"/>
      <w:r w:rsidRPr="0014684E">
        <w:t>BLASTn</w:t>
      </w:r>
      <w:proofErr w:type="spellEnd"/>
      <w:r w:rsidRPr="0014684E">
        <w:t xml:space="preserve"> analysis showed 99.64-100% identity and 99-100% query coverage with Homo sapiens </w:t>
      </w:r>
      <w:r w:rsidRPr="0014684E">
        <w:rPr>
          <w:i/>
        </w:rPr>
        <w:t>BGN</w:t>
      </w:r>
      <w:r w:rsidRPr="0014684E">
        <w:t xml:space="preserve"> and </w:t>
      </w:r>
      <w:r w:rsidRPr="0014684E">
        <w:rPr>
          <w:i/>
        </w:rPr>
        <w:t>G6PD</w:t>
      </w:r>
      <w:r w:rsidRPr="0014684E">
        <w:t xml:space="preserve"> reference sequences, with E-values of 0. Multiple sequence alignment showed high conservation, and phylogenetic analysis placed all study sequences within Homo sapiens reference clades.</w:t>
      </w:r>
    </w:p>
    <w:p w14:paraId="21000F57" w14:textId="77777777" w:rsidR="0014684E" w:rsidRPr="0014684E" w:rsidRDefault="0014684E" w:rsidP="0014684E">
      <w:pPr>
        <w:pStyle w:val="BodyText"/>
        <w:spacing w:line="480" w:lineRule="auto"/>
        <w:jc w:val="both"/>
      </w:pPr>
      <w:r w:rsidRPr="0014684E">
        <w:t xml:space="preserve">Conclusion: The combined PCR-Sanger sequencing-bioinformatics workflow reliably confirmed amplified human </w:t>
      </w:r>
      <w:r w:rsidRPr="0014684E">
        <w:rPr>
          <w:i/>
        </w:rPr>
        <w:t>BGN</w:t>
      </w:r>
      <w:r w:rsidRPr="0014684E">
        <w:t xml:space="preserve"> and </w:t>
      </w:r>
      <w:r w:rsidRPr="0014684E">
        <w:rPr>
          <w:i/>
        </w:rPr>
        <w:t>G6PD</w:t>
      </w:r>
      <w:r w:rsidRPr="0014684E">
        <w:t xml:space="preserve"> gene fragments and provides a practical basis for further targeted genetic and biomedical investigations.</w:t>
      </w:r>
    </w:p>
    <w:p w14:paraId="1A594E48" w14:textId="77777777" w:rsidR="0014684E" w:rsidRPr="0014684E" w:rsidRDefault="0014684E" w:rsidP="0014684E">
      <w:pPr>
        <w:pStyle w:val="BodyText"/>
        <w:spacing w:line="480" w:lineRule="auto"/>
        <w:jc w:val="both"/>
      </w:pPr>
    </w:p>
    <w:p w14:paraId="6F1CD32E" w14:textId="77777777" w:rsidR="0014684E" w:rsidRPr="0014684E" w:rsidRDefault="0014684E" w:rsidP="0014684E">
      <w:pPr>
        <w:spacing w:line="480" w:lineRule="auto"/>
        <w:jc w:val="both"/>
      </w:pPr>
      <w:r w:rsidRPr="0014684E">
        <w:t xml:space="preserve">Keywords: Sequence Analysis, DNA; Molecular Sequence Data; </w:t>
      </w:r>
      <w:proofErr w:type="spellStart"/>
      <w:r w:rsidRPr="0014684E">
        <w:t>Glucosephosphate</w:t>
      </w:r>
      <w:proofErr w:type="spellEnd"/>
      <w:r w:rsidRPr="0014684E">
        <w:t xml:space="preserve"> Dehydrogenase; Proteoglycans; Phylogeny</w:t>
      </w:r>
    </w:p>
    <w:p w14:paraId="3FDE804D" w14:textId="77777777" w:rsidR="0014684E" w:rsidRPr="0014684E" w:rsidRDefault="0014684E" w:rsidP="0014684E">
      <w:pPr>
        <w:pStyle w:val="BodyText"/>
        <w:spacing w:line="480" w:lineRule="auto"/>
        <w:jc w:val="both"/>
      </w:pPr>
    </w:p>
    <w:p w14:paraId="55ECD5B9" w14:textId="77777777" w:rsidR="0014684E" w:rsidRPr="0014684E" w:rsidRDefault="0014684E" w:rsidP="0014684E">
      <w:pPr>
        <w:pStyle w:val="BodyText"/>
        <w:spacing w:line="480" w:lineRule="auto"/>
        <w:jc w:val="both"/>
      </w:pPr>
    </w:p>
    <w:p w14:paraId="79D00C8B" w14:textId="77777777" w:rsidR="0014684E" w:rsidRPr="0014684E" w:rsidRDefault="0014684E" w:rsidP="0014684E">
      <w:pPr>
        <w:pStyle w:val="ListParagraph"/>
        <w:numPr>
          <w:ilvl w:val="0"/>
          <w:numId w:val="1"/>
        </w:numPr>
        <w:spacing w:line="480" w:lineRule="auto"/>
        <w:ind w:left="284" w:hanging="284"/>
        <w:contextualSpacing w:val="0"/>
        <w:jc w:val="both"/>
      </w:pPr>
      <w:r w:rsidRPr="0014684E">
        <w:rPr>
          <w:b/>
        </w:rPr>
        <w:t>INTRODUCTION</w:t>
      </w:r>
    </w:p>
    <w:p w14:paraId="3D7E37BE" w14:textId="77777777" w:rsidR="0014684E" w:rsidRPr="0014684E" w:rsidRDefault="0014684E" w:rsidP="0014684E">
      <w:pPr>
        <w:pStyle w:val="BodyText"/>
        <w:spacing w:line="480" w:lineRule="auto"/>
        <w:jc w:val="both"/>
      </w:pPr>
      <w:r w:rsidRPr="0014684E">
        <w:t>Accurate molecular confirmation of targeted human gene fragments is an essential step in biomedical research, especially when amplified products will be used for diagnostic interpretation, variant screening, or population genetic analysis. Although high-throughput sequencing has transformed genomics, Sanger sequencing remains a reliable approach for confirming targeted DNA fragments because it provides direct base-level readout and is widely used for sequence validation [1-5]. In clinical and research settings, Sanger sequencing continues to complement broader sequencing technologies when a specific locus or amplicon requires verification [6,7].</w:t>
      </w:r>
    </w:p>
    <w:p w14:paraId="2E2D489E" w14:textId="77777777" w:rsidR="0014684E" w:rsidRPr="0014684E" w:rsidRDefault="0014684E" w:rsidP="0014684E">
      <w:pPr>
        <w:pStyle w:val="BodyText"/>
        <w:spacing w:line="480" w:lineRule="auto"/>
        <w:jc w:val="both"/>
      </w:pPr>
      <w:r w:rsidRPr="0014684E">
        <w:t xml:space="preserve">The </w:t>
      </w:r>
      <w:r w:rsidRPr="0014684E">
        <w:rPr>
          <w:i/>
        </w:rPr>
        <w:t>BGN</w:t>
      </w:r>
      <w:r w:rsidRPr="0014684E">
        <w:t xml:space="preserve"> gene encodes </w:t>
      </w:r>
      <w:proofErr w:type="spellStart"/>
      <w:r w:rsidRPr="0014684E">
        <w:t>biglycan</w:t>
      </w:r>
      <w:proofErr w:type="spellEnd"/>
      <w:r w:rsidRPr="0014684E">
        <w:t xml:space="preserve">, a small leucine-rich proteoglycan that contributes to extracellular matrix organization, tissue remodeling, inflammation, and cell signaling [8-11]. The </w:t>
      </w:r>
      <w:r w:rsidRPr="0014684E">
        <w:rPr>
          <w:i/>
        </w:rPr>
        <w:t>G6PD</w:t>
      </w:r>
      <w:r w:rsidRPr="0014684E">
        <w:t xml:space="preserve"> gene encodes glucose-6-phosphate dehydrogenase, a key enzyme in the pentose phosphate pathway that protects cells from oxidative stress. Genetic variation affecting </w:t>
      </w:r>
      <w:r w:rsidRPr="0014684E">
        <w:rPr>
          <w:i/>
        </w:rPr>
        <w:t>G6PD</w:t>
      </w:r>
      <w:r w:rsidRPr="0014684E">
        <w:t xml:space="preserve"> activity is clinically relevant because it is associated with hemolytic anemia and varies across populations [12,13]. For both genes, reliable molecular confirmation of amplified fragments is therefore important before the generated sequence data are used for downstream interpretation.</w:t>
      </w:r>
    </w:p>
    <w:p w14:paraId="1A47B203" w14:textId="77777777" w:rsidR="0014684E" w:rsidRPr="0014684E" w:rsidRDefault="0014684E" w:rsidP="0014684E">
      <w:pPr>
        <w:pStyle w:val="BodyText"/>
        <w:spacing w:line="480" w:lineRule="auto"/>
        <w:jc w:val="both"/>
      </w:pPr>
      <w:r w:rsidRPr="0014684E">
        <w:t>Bioinformatics analysis strengthens targeted sequencing by confirming sequence identity and evolutionary placement. BLAST-based similarity searches are commonly used to compare unknown sequences with nucleotide databases [14,15], while multiple sequence alignment and phylogenetic reconstruction help determine whether study sequences are congruent with expected reference sequences [16-20]. These approaches provide complementary evidence for sequence identity, conservation, and taxonomic placement.</w:t>
      </w:r>
    </w:p>
    <w:p w14:paraId="4B84E40C" w14:textId="77777777" w:rsidR="0014684E" w:rsidRPr="0014684E" w:rsidRDefault="0014684E" w:rsidP="0014684E">
      <w:pPr>
        <w:pStyle w:val="BodyText"/>
        <w:spacing w:line="480" w:lineRule="auto"/>
        <w:jc w:val="both"/>
      </w:pPr>
      <w:r w:rsidRPr="0014684E">
        <w:t xml:space="preserve">This study aimed to confirm amplified human </w:t>
      </w:r>
      <w:r w:rsidRPr="0014684E">
        <w:rPr>
          <w:i/>
        </w:rPr>
        <w:t>BGN</w:t>
      </w:r>
      <w:r w:rsidRPr="0014684E">
        <w:t xml:space="preserve"> and </w:t>
      </w:r>
      <w:r w:rsidRPr="0014684E">
        <w:rPr>
          <w:i/>
        </w:rPr>
        <w:t>G6PD</w:t>
      </w:r>
      <w:r w:rsidRPr="0014684E">
        <w:t xml:space="preserve"> gene fragments obtained from blood-derived genomic DNA using bidirectional Sanger sequencing, </w:t>
      </w:r>
      <w:proofErr w:type="spellStart"/>
      <w:r w:rsidRPr="0014684E">
        <w:t>BLASTn</w:t>
      </w:r>
      <w:proofErr w:type="spellEnd"/>
      <w:r w:rsidRPr="0014684E">
        <w:t xml:space="preserve"> identification, </w:t>
      </w:r>
      <w:r w:rsidRPr="0014684E">
        <w:lastRenderedPageBreak/>
        <w:t>multiple sequence alignment, and Neighbor-Joining phylogenetic analysis. The work was designed as an experimental molecular confirmation workflow for supporting subsequent genetic and biomedical applications.</w:t>
      </w:r>
    </w:p>
    <w:p w14:paraId="442D7AB9" w14:textId="77777777" w:rsidR="0014684E" w:rsidRPr="0014684E" w:rsidRDefault="0014684E" w:rsidP="0014684E">
      <w:pPr>
        <w:pStyle w:val="ListParagraph"/>
        <w:numPr>
          <w:ilvl w:val="0"/>
          <w:numId w:val="1"/>
        </w:numPr>
        <w:spacing w:line="480" w:lineRule="auto"/>
        <w:ind w:left="284" w:hanging="284"/>
        <w:contextualSpacing w:val="0"/>
        <w:jc w:val="both"/>
      </w:pPr>
      <w:r w:rsidRPr="0014684E">
        <w:rPr>
          <w:b/>
        </w:rPr>
        <w:t>MATERIALS AND METHODS</w:t>
      </w:r>
    </w:p>
    <w:p w14:paraId="1FC9E74C" w14:textId="77777777" w:rsidR="0014684E" w:rsidRPr="0014684E" w:rsidRDefault="0014684E" w:rsidP="0014684E">
      <w:pPr>
        <w:spacing w:line="480" w:lineRule="auto"/>
        <w:jc w:val="both"/>
      </w:pPr>
      <w:r w:rsidRPr="0014684E">
        <w:rPr>
          <w:b/>
        </w:rPr>
        <w:t>Sample collection and ethical considerations</w:t>
      </w:r>
    </w:p>
    <w:p w14:paraId="1FBB0B27" w14:textId="77777777" w:rsidR="0014684E" w:rsidRPr="0014684E" w:rsidRDefault="0014684E" w:rsidP="0014684E">
      <w:pPr>
        <w:pStyle w:val="BodyText"/>
        <w:spacing w:line="480" w:lineRule="auto"/>
        <w:jc w:val="both"/>
      </w:pPr>
      <w:r w:rsidRPr="0014684E">
        <w:t>Thirteen human blood samples, coded 511.S.3 to 511.S.16, were included in this molecular confirmation study. Genomic DNA was extracted from blood samples and used for PCR amplification and Sanger sequencing. The study protocol was approved by the Ethics Committee of the Faculty of Medicine, Universitas Indonesia-</w:t>
      </w:r>
      <w:proofErr w:type="spellStart"/>
      <w:r w:rsidRPr="0014684E">
        <w:t>Cipto</w:t>
      </w:r>
      <w:proofErr w:type="spellEnd"/>
      <w:r w:rsidRPr="0014684E">
        <w:t xml:space="preserve"> </w:t>
      </w:r>
      <w:proofErr w:type="spellStart"/>
      <w:r w:rsidRPr="0014684E">
        <w:t>Mangunkusumo</w:t>
      </w:r>
      <w:proofErr w:type="spellEnd"/>
      <w:r w:rsidRPr="0014684E">
        <w:t xml:space="preserve"> Hospital, Jakarta, Indonesia (ethical code: KET-933/UN2.F1/ETIK/PPM.00.02/2026; protocol number: 26-04-0499; approval date: July 06, 2026). Written informed consent was obtained from the participants or their legal guardians before sample collection.</w:t>
      </w:r>
    </w:p>
    <w:p w14:paraId="65A7A803" w14:textId="77777777" w:rsidR="0014684E" w:rsidRPr="0014684E" w:rsidRDefault="0014684E" w:rsidP="0014684E">
      <w:pPr>
        <w:spacing w:line="480" w:lineRule="auto"/>
        <w:jc w:val="both"/>
      </w:pPr>
      <w:r w:rsidRPr="0014684E">
        <w:rPr>
          <w:b/>
        </w:rPr>
        <w:t>DNA extraction</w:t>
      </w:r>
    </w:p>
    <w:p w14:paraId="6BE57AEA" w14:textId="77777777" w:rsidR="0014684E" w:rsidRPr="0014684E" w:rsidRDefault="0014684E" w:rsidP="0014684E">
      <w:pPr>
        <w:pStyle w:val="BodyText"/>
        <w:spacing w:line="480" w:lineRule="auto"/>
        <w:jc w:val="both"/>
      </w:pPr>
      <w:r w:rsidRPr="0014684E">
        <w:t>Genomic DNA was isolated using the Quick-DNA Miniprep Plus Kit according to the manufacturer's protocol. The DNA concentrations obtained from the samples ranged from 4.51 to 57.97 ng/µL, which was sufficient for downstream PCR amplification and sequencing.</w:t>
      </w:r>
    </w:p>
    <w:p w14:paraId="5DA95E90" w14:textId="77777777" w:rsidR="0014684E" w:rsidRPr="0014684E" w:rsidRDefault="0014684E" w:rsidP="0014684E">
      <w:pPr>
        <w:spacing w:line="480" w:lineRule="auto"/>
        <w:jc w:val="both"/>
      </w:pPr>
      <w:r w:rsidRPr="0014684E">
        <w:rPr>
          <w:b/>
        </w:rPr>
        <w:t>PCR amplification</w:t>
      </w:r>
    </w:p>
    <w:p w14:paraId="459DA862" w14:textId="77777777" w:rsidR="0014684E" w:rsidRPr="0014684E" w:rsidRDefault="0014684E" w:rsidP="0014684E">
      <w:pPr>
        <w:pStyle w:val="BodyText"/>
        <w:spacing w:line="480" w:lineRule="auto"/>
        <w:jc w:val="both"/>
      </w:pPr>
      <w:r w:rsidRPr="0014684E">
        <w:t>PCR amplification was performed using the primer pair 4_144_F (5'-TTCAGCCCCATCTTAGCAGC-3') and 4_833_R (5'-GTCCCCAGCCACTTCTAACC-3'), which amplified an approximately 700-bp target region. The thermocycling conditions consisted of initial denaturation at 98 °C for 1 min, followed by 35 cycles of denaturation at 98 °C for 10 s, annealing at 62.3 °C for 5 s, and extension at 68 °C for 18 s, with a final extension at 68 °C for 5 min.</w:t>
      </w:r>
    </w:p>
    <w:p w14:paraId="4C518AEC" w14:textId="77777777" w:rsidR="0014684E" w:rsidRPr="0014684E" w:rsidRDefault="0014684E" w:rsidP="0014684E">
      <w:pPr>
        <w:spacing w:line="480" w:lineRule="auto"/>
        <w:jc w:val="both"/>
      </w:pPr>
      <w:r w:rsidRPr="0014684E">
        <w:rPr>
          <w:b/>
        </w:rPr>
        <w:t>Agarose gel electrophoresis</w:t>
      </w:r>
    </w:p>
    <w:p w14:paraId="6F4B58F9" w14:textId="77777777" w:rsidR="0014684E" w:rsidRPr="0014684E" w:rsidRDefault="0014684E" w:rsidP="0014684E">
      <w:pPr>
        <w:pStyle w:val="BodyText"/>
        <w:spacing w:line="480" w:lineRule="auto"/>
        <w:jc w:val="both"/>
      </w:pPr>
      <w:r w:rsidRPr="0014684E">
        <w:t xml:space="preserve">PCR products were separated on an agarose gel using a 1-kb DNA ladder to estimate amplicon </w:t>
      </w:r>
      <w:r w:rsidRPr="0014684E">
        <w:lastRenderedPageBreak/>
        <w:t>size. Amplification success and specificity were evaluated based on the presence of a single visible band at the expected fragment size.</w:t>
      </w:r>
    </w:p>
    <w:p w14:paraId="38A12F1C" w14:textId="77777777" w:rsidR="0014684E" w:rsidRPr="0014684E" w:rsidRDefault="0014684E" w:rsidP="0014684E">
      <w:pPr>
        <w:spacing w:line="480" w:lineRule="auto"/>
        <w:jc w:val="both"/>
      </w:pPr>
      <w:r w:rsidRPr="0014684E">
        <w:rPr>
          <w:b/>
        </w:rPr>
        <w:t>Sanger sequencing and consensus sequence assembly</w:t>
      </w:r>
    </w:p>
    <w:p w14:paraId="1A991952" w14:textId="77777777" w:rsidR="0014684E" w:rsidRPr="0014684E" w:rsidRDefault="0014684E" w:rsidP="0014684E">
      <w:pPr>
        <w:pStyle w:val="BodyText"/>
        <w:spacing w:line="480" w:lineRule="auto"/>
        <w:jc w:val="both"/>
      </w:pPr>
      <w:r w:rsidRPr="0014684E">
        <w:t xml:space="preserve">PCR products were subjected to bidirectional Sanger sequencing using forward and reverse primers and </w:t>
      </w:r>
      <w:proofErr w:type="spellStart"/>
      <w:r w:rsidRPr="0014684E">
        <w:t>BigDye</w:t>
      </w:r>
      <w:proofErr w:type="spellEnd"/>
      <w:r w:rsidRPr="0014684E">
        <w:t xml:space="preserve"> Terminator v3.0 sequencing chemistry. Sequencing chromatograms were inspected for read quality. Forward and reverse reads were aligned and assembled into consensus sequences using DNA Baser Assembler software. Consensus sequences were used for subsequent </w:t>
      </w:r>
      <w:proofErr w:type="spellStart"/>
      <w:r w:rsidRPr="0014684E">
        <w:t>BLASTn</w:t>
      </w:r>
      <w:proofErr w:type="spellEnd"/>
      <w:r w:rsidRPr="0014684E">
        <w:t xml:space="preserve"> analysis, multiple sequence alignment, and phylogenetic reconstruction.</w:t>
      </w:r>
    </w:p>
    <w:p w14:paraId="7E6D1196" w14:textId="77777777" w:rsidR="0014684E" w:rsidRPr="0014684E" w:rsidRDefault="0014684E" w:rsidP="0014684E">
      <w:pPr>
        <w:spacing w:line="480" w:lineRule="auto"/>
        <w:jc w:val="both"/>
      </w:pPr>
      <w:proofErr w:type="spellStart"/>
      <w:r w:rsidRPr="0014684E">
        <w:rPr>
          <w:b/>
        </w:rPr>
        <w:t>BLASTn</w:t>
      </w:r>
      <w:proofErr w:type="spellEnd"/>
      <w:r w:rsidRPr="0014684E">
        <w:rPr>
          <w:b/>
        </w:rPr>
        <w:t xml:space="preserve"> identification</w:t>
      </w:r>
    </w:p>
    <w:p w14:paraId="3948AD8A" w14:textId="77777777" w:rsidR="0014684E" w:rsidRPr="0014684E" w:rsidRDefault="0014684E" w:rsidP="0014684E">
      <w:pPr>
        <w:pStyle w:val="BodyText"/>
        <w:spacing w:line="480" w:lineRule="auto"/>
        <w:jc w:val="both"/>
      </w:pPr>
      <w:r w:rsidRPr="0014684E">
        <w:t xml:space="preserve">Consensus sequences were compared with entries in the NCBI nucleotide database using </w:t>
      </w:r>
      <w:proofErr w:type="spellStart"/>
      <w:r w:rsidRPr="0014684E">
        <w:t>BLASTn</w:t>
      </w:r>
      <w:proofErr w:type="spellEnd"/>
      <w:r w:rsidRPr="0014684E">
        <w:t xml:space="preserve"> with the </w:t>
      </w:r>
      <w:proofErr w:type="spellStart"/>
      <w:r w:rsidRPr="0014684E">
        <w:t>megablast</w:t>
      </w:r>
      <w:proofErr w:type="spellEnd"/>
      <w:r w:rsidRPr="0014684E">
        <w:t xml:space="preserve"> option. The top database matches were evaluated according to query coverage, E-value, percentage identity, and accession number. Sequence identity with Homo sapiens </w:t>
      </w:r>
      <w:r w:rsidRPr="0014684E">
        <w:rPr>
          <w:i/>
        </w:rPr>
        <w:t>BGN</w:t>
      </w:r>
      <w:r w:rsidRPr="0014684E">
        <w:t xml:space="preserve"> and </w:t>
      </w:r>
      <w:r w:rsidRPr="0014684E">
        <w:rPr>
          <w:i/>
        </w:rPr>
        <w:t>G6PD</w:t>
      </w:r>
      <w:r w:rsidRPr="0014684E">
        <w:t xml:space="preserve"> reference sequences was used as the primary criterion for molecular confirmation [14,15].</w:t>
      </w:r>
    </w:p>
    <w:p w14:paraId="34365F53" w14:textId="77777777" w:rsidR="0014684E" w:rsidRPr="0014684E" w:rsidRDefault="0014684E" w:rsidP="0014684E">
      <w:pPr>
        <w:spacing w:line="480" w:lineRule="auto"/>
        <w:jc w:val="both"/>
      </w:pPr>
      <w:r w:rsidRPr="0014684E">
        <w:rPr>
          <w:b/>
        </w:rPr>
        <w:t>Multiple sequence alignment</w:t>
      </w:r>
    </w:p>
    <w:p w14:paraId="24F3C4FA" w14:textId="77777777" w:rsidR="0014684E" w:rsidRPr="0014684E" w:rsidRDefault="0014684E" w:rsidP="0014684E">
      <w:pPr>
        <w:pStyle w:val="BodyText"/>
        <w:spacing w:line="480" w:lineRule="auto"/>
        <w:jc w:val="both"/>
      </w:pPr>
      <w:r w:rsidRPr="0014684E">
        <w:t xml:space="preserve">Study sequences and reference sequences were aligned using the </w:t>
      </w:r>
      <w:proofErr w:type="spellStart"/>
      <w:r w:rsidRPr="0014684E">
        <w:t>ClustalW</w:t>
      </w:r>
      <w:proofErr w:type="spellEnd"/>
      <w:r w:rsidRPr="0014684E">
        <w:t xml:space="preserve"> algorithm implemented in MEGA software. The alignment was used to evaluate sequence conservation and to identify minor nucleotide differences between the study sequences and reference sequences [19-22].</w:t>
      </w:r>
    </w:p>
    <w:p w14:paraId="36D86BC9" w14:textId="77777777" w:rsidR="0014684E" w:rsidRPr="0014684E" w:rsidRDefault="0014684E" w:rsidP="0014684E">
      <w:pPr>
        <w:spacing w:line="480" w:lineRule="auto"/>
        <w:jc w:val="both"/>
      </w:pPr>
      <w:r w:rsidRPr="0014684E">
        <w:rPr>
          <w:b/>
        </w:rPr>
        <w:t>Phylogenetic analysis</w:t>
      </w:r>
    </w:p>
    <w:p w14:paraId="27ABC401" w14:textId="77777777" w:rsidR="0014684E" w:rsidRPr="0014684E" w:rsidRDefault="0014684E" w:rsidP="0014684E">
      <w:pPr>
        <w:pStyle w:val="BodyText"/>
        <w:spacing w:line="480" w:lineRule="auto"/>
        <w:jc w:val="both"/>
      </w:pPr>
      <w:r w:rsidRPr="0014684E">
        <w:t xml:space="preserve">Phylogenetic trees were reconstructed using the Neighbor-Joining method based on the Tamura-Nei substitution model in MEGA software. Bootstrap analysis was performed to evaluate support for the inferred tree topology [17,18,20,21]. The placement of study sequences within Homo sapiens reference clades was interpreted as evidence supporting the molecular </w:t>
      </w:r>
      <w:r w:rsidRPr="0014684E">
        <w:lastRenderedPageBreak/>
        <w:t>identity of the amplified gene fragments.</w:t>
      </w:r>
    </w:p>
    <w:p w14:paraId="038B26DE" w14:textId="77777777" w:rsidR="0014684E" w:rsidRPr="0014684E" w:rsidRDefault="0014684E" w:rsidP="0014684E">
      <w:pPr>
        <w:pStyle w:val="ListParagraph"/>
        <w:numPr>
          <w:ilvl w:val="0"/>
          <w:numId w:val="1"/>
        </w:numPr>
        <w:spacing w:line="480" w:lineRule="auto"/>
        <w:ind w:left="284" w:hanging="284"/>
        <w:contextualSpacing w:val="0"/>
        <w:jc w:val="both"/>
      </w:pPr>
      <w:r w:rsidRPr="0014684E">
        <w:rPr>
          <w:b/>
        </w:rPr>
        <w:t>RESULTS</w:t>
      </w:r>
    </w:p>
    <w:p w14:paraId="0C5ED796" w14:textId="77777777" w:rsidR="0014684E" w:rsidRPr="0014684E" w:rsidRDefault="0014684E" w:rsidP="0014684E">
      <w:pPr>
        <w:spacing w:line="480" w:lineRule="auto"/>
        <w:jc w:val="both"/>
      </w:pPr>
      <w:r w:rsidRPr="0014684E">
        <w:rPr>
          <w:b/>
        </w:rPr>
        <w:t>DNA quality and PCR amplification</w:t>
      </w:r>
    </w:p>
    <w:p w14:paraId="2D814D2A" w14:textId="77777777" w:rsidR="0014684E" w:rsidRPr="0014684E" w:rsidRDefault="0014684E" w:rsidP="0014684E">
      <w:pPr>
        <w:pStyle w:val="BodyText"/>
        <w:spacing w:line="480" w:lineRule="auto"/>
        <w:jc w:val="both"/>
      </w:pPr>
      <w:r w:rsidRPr="0014684E">
        <w:t>All extracted genomic DNA samples yielded sufficient DNA concentration for PCR amplification and sequencing. PCR amplification produced a single visible band of the expected size in all samples, indicating successful amplification and supporting primer specificity for the target region.</w:t>
      </w:r>
    </w:p>
    <w:p w14:paraId="547A1C86" w14:textId="77777777" w:rsidR="0014684E" w:rsidRPr="0014684E" w:rsidRDefault="0014684E" w:rsidP="0014684E">
      <w:pPr>
        <w:spacing w:line="480" w:lineRule="auto"/>
        <w:jc w:val="both"/>
      </w:pPr>
      <w:r w:rsidRPr="0014684E">
        <w:rPr>
          <w:b/>
        </w:rPr>
        <w:t>Sequencing performance</w:t>
      </w:r>
    </w:p>
    <w:p w14:paraId="6BA51978" w14:textId="77777777" w:rsidR="0014684E" w:rsidRPr="0014684E" w:rsidRDefault="0014684E" w:rsidP="0014684E">
      <w:pPr>
        <w:pStyle w:val="BodyText"/>
        <w:spacing w:line="480" w:lineRule="auto"/>
        <w:jc w:val="both"/>
      </w:pPr>
      <w:r w:rsidRPr="0014684E">
        <w:t>Bidirectional Sanger sequencing was successful for all thirteen samples. Inspection of chromatograms and assembly of forward and reverse reads produced high-quality consensus sequences. No sample failed during sequence assembly, and no unresolved ambiguous base calls were retained in the final consensus sequences.</w:t>
      </w:r>
    </w:p>
    <w:p w14:paraId="37CEF3CD" w14:textId="77777777" w:rsidR="0014684E" w:rsidRPr="0014684E" w:rsidRDefault="0014684E" w:rsidP="0014684E">
      <w:pPr>
        <w:spacing w:line="480" w:lineRule="auto"/>
        <w:jc w:val="both"/>
      </w:pPr>
      <w:proofErr w:type="spellStart"/>
      <w:r w:rsidRPr="0014684E">
        <w:rPr>
          <w:b/>
        </w:rPr>
        <w:t>BLASTn</w:t>
      </w:r>
      <w:proofErr w:type="spellEnd"/>
      <w:r w:rsidRPr="0014684E">
        <w:rPr>
          <w:b/>
        </w:rPr>
        <w:t>-based molecular identification</w:t>
      </w:r>
    </w:p>
    <w:p w14:paraId="196BC5D5" w14:textId="77777777" w:rsidR="0014684E" w:rsidRPr="0014684E" w:rsidRDefault="0014684E" w:rsidP="0014684E">
      <w:pPr>
        <w:pStyle w:val="BodyText"/>
        <w:spacing w:line="480" w:lineRule="auto"/>
        <w:jc w:val="both"/>
      </w:pPr>
      <w:proofErr w:type="spellStart"/>
      <w:r w:rsidRPr="0014684E">
        <w:t>BLASTn</w:t>
      </w:r>
      <w:proofErr w:type="spellEnd"/>
      <w:r w:rsidRPr="0014684E">
        <w:t xml:space="preserve"> analysis showed that all consensus sequences had high-similarity matches with Homo sapiens reference sequences. Percentage identity ranged from 99.64% to 100%, query coverage ranged from 99% to 100%, and E-values were 0. The highest-scoring matches corresponded to </w:t>
      </w:r>
      <w:r w:rsidRPr="0014684E">
        <w:rPr>
          <w:i/>
        </w:rPr>
        <w:t>BGN</w:t>
      </w:r>
      <w:r w:rsidRPr="0014684E">
        <w:t xml:space="preserve"> and </w:t>
      </w:r>
      <w:r w:rsidRPr="0014684E">
        <w:rPr>
          <w:i/>
        </w:rPr>
        <w:t>G6PD</w:t>
      </w:r>
      <w:r w:rsidRPr="0014684E">
        <w:t xml:space="preserve"> gene sequences, supporting the identity of the amplified fragments.</w:t>
      </w:r>
    </w:p>
    <w:p w14:paraId="5691455C" w14:textId="77777777" w:rsidR="0014684E" w:rsidRPr="0014684E" w:rsidRDefault="0014684E" w:rsidP="0014684E">
      <w:pPr>
        <w:spacing w:line="480" w:lineRule="auto"/>
        <w:jc w:val="both"/>
      </w:pPr>
      <w:r w:rsidRPr="0014684E">
        <w:rPr>
          <w:b/>
        </w:rPr>
        <w:t>Multiple sequence alignment</w:t>
      </w:r>
    </w:p>
    <w:p w14:paraId="1E1EB11E" w14:textId="77777777" w:rsidR="0014684E" w:rsidRPr="0014684E" w:rsidRDefault="0014684E" w:rsidP="0014684E">
      <w:pPr>
        <w:pStyle w:val="BodyText"/>
        <w:spacing w:line="480" w:lineRule="auto"/>
        <w:jc w:val="both"/>
      </w:pPr>
      <w:r w:rsidRPr="0014684E">
        <w:t>Multiple sequence alignment demonstrated high conservation between the study sequences and Homo sapiens reference sequences. Minor nucleotide differences were observed in some sequences, but these differences did not disrupt the overall alignment pattern and were consistent with successful targeting of the intended human gene fragments.</w:t>
      </w:r>
    </w:p>
    <w:p w14:paraId="1A7D8572" w14:textId="77777777" w:rsidR="0014684E" w:rsidRPr="0014684E" w:rsidRDefault="0014684E" w:rsidP="0014684E">
      <w:pPr>
        <w:spacing w:line="480" w:lineRule="auto"/>
        <w:jc w:val="both"/>
      </w:pPr>
      <w:r w:rsidRPr="0014684E">
        <w:rPr>
          <w:b/>
        </w:rPr>
        <w:t>Phylogenetic reconstruction</w:t>
      </w:r>
    </w:p>
    <w:p w14:paraId="5C752D12" w14:textId="77777777" w:rsidR="0014684E" w:rsidRPr="0014684E" w:rsidRDefault="0014684E" w:rsidP="0014684E">
      <w:pPr>
        <w:pStyle w:val="BodyText"/>
        <w:spacing w:line="480" w:lineRule="auto"/>
        <w:jc w:val="both"/>
      </w:pPr>
      <w:r w:rsidRPr="0014684E">
        <w:t xml:space="preserve">Neighbor-Joining phylogenetic analysis placed all study sequences within Homo sapiens reference clades for the </w:t>
      </w:r>
      <w:r w:rsidRPr="0014684E">
        <w:rPr>
          <w:i/>
        </w:rPr>
        <w:t>BGN</w:t>
      </w:r>
      <w:r w:rsidRPr="0014684E">
        <w:t xml:space="preserve"> and </w:t>
      </w:r>
      <w:r w:rsidRPr="0014684E">
        <w:rPr>
          <w:i/>
        </w:rPr>
        <w:t>G6PD</w:t>
      </w:r>
      <w:r w:rsidRPr="0014684E">
        <w:t xml:space="preserve"> gene fragments. Major nodes showed supportive </w:t>
      </w:r>
      <w:r w:rsidRPr="0014684E">
        <w:lastRenderedPageBreak/>
        <w:t xml:space="preserve">bootstrap values, indicating that the inferred clustering pattern was stable. The combined phylogenetic interpretation was consistent with the </w:t>
      </w:r>
      <w:proofErr w:type="spellStart"/>
      <w:r w:rsidRPr="0014684E">
        <w:t>BLASTn</w:t>
      </w:r>
      <w:proofErr w:type="spellEnd"/>
      <w:r w:rsidRPr="0014684E">
        <w:t xml:space="preserve"> and alignment results. A summary of the molecular confirmation results is provided in Table 1.</w:t>
      </w:r>
    </w:p>
    <w:p w14:paraId="164EF065" w14:textId="77777777" w:rsidR="0014684E" w:rsidRPr="0014684E" w:rsidRDefault="0014684E" w:rsidP="0014684E">
      <w:pPr>
        <w:pStyle w:val="ListParagraph"/>
        <w:numPr>
          <w:ilvl w:val="0"/>
          <w:numId w:val="1"/>
        </w:numPr>
        <w:spacing w:line="480" w:lineRule="auto"/>
        <w:ind w:left="284" w:hanging="284"/>
        <w:contextualSpacing w:val="0"/>
        <w:jc w:val="both"/>
      </w:pPr>
      <w:r w:rsidRPr="0014684E">
        <w:rPr>
          <w:b/>
        </w:rPr>
        <w:t>DISCUSSION</w:t>
      </w:r>
    </w:p>
    <w:p w14:paraId="6D6918E6" w14:textId="77777777" w:rsidR="0014684E" w:rsidRPr="0014684E" w:rsidRDefault="0014684E" w:rsidP="0014684E">
      <w:pPr>
        <w:pStyle w:val="BodyText"/>
        <w:spacing w:line="480" w:lineRule="auto"/>
        <w:jc w:val="both"/>
      </w:pPr>
      <w:r w:rsidRPr="0014684E">
        <w:t xml:space="preserve">This study showed that a combined laboratory and bioinformatics workflow can confirm human </w:t>
      </w:r>
      <w:r w:rsidRPr="0014684E">
        <w:rPr>
          <w:i/>
        </w:rPr>
        <w:t>BGN</w:t>
      </w:r>
      <w:r w:rsidRPr="0014684E">
        <w:t xml:space="preserve"> and </w:t>
      </w:r>
      <w:r w:rsidRPr="0014684E">
        <w:rPr>
          <w:i/>
        </w:rPr>
        <w:t>G6PD</w:t>
      </w:r>
      <w:r w:rsidRPr="0014684E">
        <w:t xml:space="preserve"> gene fragments with high sequence identity and consistent phylogenetic placement. The successful amplification of a single expected PCR product across all samples suggests that the primer set performed consistently under the applied PCR conditions. This finding supports the value of conventional PCR and Sanger sequencing as a focused validation approach for targeted genetic studies [1-7].</w:t>
      </w:r>
    </w:p>
    <w:p w14:paraId="73ED10F5" w14:textId="77777777" w:rsidR="0014684E" w:rsidRPr="0014684E" w:rsidRDefault="0014684E" w:rsidP="0014684E">
      <w:pPr>
        <w:pStyle w:val="BodyText"/>
        <w:spacing w:line="480" w:lineRule="auto"/>
        <w:jc w:val="both"/>
      </w:pPr>
      <w:r w:rsidRPr="0014684E">
        <w:t xml:space="preserve">The </w:t>
      </w:r>
      <w:proofErr w:type="spellStart"/>
      <w:r w:rsidRPr="0014684E">
        <w:t>BLASTn</w:t>
      </w:r>
      <w:proofErr w:type="spellEnd"/>
      <w:r w:rsidRPr="0014684E">
        <w:t xml:space="preserve"> results provided the primary evidence for molecular identity. All consensus sequences showed 99.64% to 100% identity and 99% to 100% query coverage with Homo sapiens reference sequences, with E-values of 0. These findings indicate that the amplified fragments were highly consistent with the intended human gene targets and were unlikely to represent non-specific amplification products. BLAST-based confirmation remains useful in this context because it provides rapid comparison against reference nucleotide databases [14,15].</w:t>
      </w:r>
    </w:p>
    <w:p w14:paraId="68B08C4D" w14:textId="77777777" w:rsidR="0014684E" w:rsidRPr="0014684E" w:rsidRDefault="0014684E" w:rsidP="0014684E">
      <w:pPr>
        <w:pStyle w:val="BodyText"/>
        <w:spacing w:line="480" w:lineRule="auto"/>
        <w:jc w:val="both"/>
      </w:pPr>
      <w:r w:rsidRPr="0014684E">
        <w:t xml:space="preserve">The alignment results also supported the reliability of the sequence data. The high conservation observed across samples and reference sequences is biologically plausible because the evaluated fragments belong to human genes with established functional relevance. </w:t>
      </w:r>
      <w:proofErr w:type="spellStart"/>
      <w:r w:rsidRPr="0014684E">
        <w:t>Biglycan</w:t>
      </w:r>
      <w:proofErr w:type="spellEnd"/>
      <w:r w:rsidRPr="0014684E">
        <w:t xml:space="preserve"> has important structural and signaling functions in the extracellular matrix and inflammatory pathways [8-11], while </w:t>
      </w:r>
      <w:r w:rsidRPr="0014684E">
        <w:rPr>
          <w:i/>
        </w:rPr>
        <w:t>G6PD</w:t>
      </w:r>
      <w:r w:rsidRPr="0014684E">
        <w:t xml:space="preserve"> has a central role in maintaining cellular redox balance [12,13]. Minor nucleotide differences did not alter the overall alignment pattern and may reflect expected sequence variation or residual sequencing-level differences that did not compromise molecular identification.</w:t>
      </w:r>
    </w:p>
    <w:p w14:paraId="58034535" w14:textId="77777777" w:rsidR="0014684E" w:rsidRPr="0014684E" w:rsidRDefault="0014684E" w:rsidP="0014684E">
      <w:pPr>
        <w:pStyle w:val="BodyText"/>
        <w:spacing w:line="480" w:lineRule="auto"/>
        <w:jc w:val="both"/>
      </w:pPr>
      <w:r w:rsidRPr="0014684E">
        <w:lastRenderedPageBreak/>
        <w:t xml:space="preserve">Phylogenetic reconstruction provided an additional validation layer by placing all study sequences within Homo sapiens reference clades. This result was consistent with the </w:t>
      </w:r>
      <w:proofErr w:type="spellStart"/>
      <w:r w:rsidRPr="0014684E">
        <w:t>BLASTn</w:t>
      </w:r>
      <w:proofErr w:type="spellEnd"/>
      <w:r w:rsidRPr="0014684E">
        <w:t xml:space="preserve"> identification and reduced the likelihood that the sequences represented unrelated amplification products. Although phylogenetic reconstruction does not replace variant-level clinical interpretation, it is useful for demonstrating evolutionary congruence and sequence identity in targeted sequencing workflows [17-21].</w:t>
      </w:r>
    </w:p>
    <w:p w14:paraId="1082D6ED" w14:textId="77777777" w:rsidR="0014684E" w:rsidRPr="0014684E" w:rsidRDefault="0014684E" w:rsidP="0014684E">
      <w:pPr>
        <w:pStyle w:val="BodyText"/>
        <w:spacing w:line="480" w:lineRule="auto"/>
        <w:jc w:val="both"/>
      </w:pPr>
      <w:r w:rsidRPr="0014684E">
        <w:t xml:space="preserve">The main strength of this study is the use of multiple complementary confirmation steps, including PCR specificity assessment, bidirectional Sanger sequencing, consensus assembly, </w:t>
      </w:r>
      <w:proofErr w:type="spellStart"/>
      <w:r w:rsidRPr="0014684E">
        <w:t>BLASTn</w:t>
      </w:r>
      <w:proofErr w:type="spellEnd"/>
      <w:r w:rsidRPr="0014684E">
        <w:t xml:space="preserve"> identification, multiple sequence alignment, and phylogenetic reconstruction. This layered approach is practical for laboratories that rely on targeted sequencing for molecular verification before downstream biomedical interpretation.</w:t>
      </w:r>
    </w:p>
    <w:p w14:paraId="067BFF51" w14:textId="77777777" w:rsidR="0014684E" w:rsidRPr="0014684E" w:rsidRDefault="0014684E" w:rsidP="0014684E">
      <w:pPr>
        <w:pStyle w:val="BodyText"/>
        <w:spacing w:line="480" w:lineRule="auto"/>
        <w:jc w:val="both"/>
      </w:pPr>
      <w:r w:rsidRPr="0014684E">
        <w:t>This study also has limitations. The sample size was limited, and the analysis was restricted to targeted gene fragments rather than full-length genes or whole-genome data. Functional assays and variant pathogenicity interpretation were not performed. Therefore, the findings should be interpreted as molecular confirmation of amplified BGN and G6PD fragments, not as evidence for clinical genotype-phenotype associations. Future studies should include larger samples, public deposition of raw sequence files, and integrated variant analysis when clinical interpretation is intended [7,17,26].</w:t>
      </w:r>
    </w:p>
    <w:p w14:paraId="5DFE8943" w14:textId="77777777" w:rsidR="0014684E" w:rsidRPr="0014684E" w:rsidRDefault="0014684E" w:rsidP="0014684E">
      <w:pPr>
        <w:pStyle w:val="ListParagraph"/>
        <w:numPr>
          <w:ilvl w:val="0"/>
          <w:numId w:val="1"/>
        </w:numPr>
        <w:spacing w:line="480" w:lineRule="auto"/>
        <w:ind w:left="284" w:hanging="284"/>
        <w:contextualSpacing w:val="0"/>
        <w:jc w:val="both"/>
      </w:pPr>
      <w:r w:rsidRPr="0014684E">
        <w:rPr>
          <w:b/>
        </w:rPr>
        <w:t>CONCLUSION</w:t>
      </w:r>
    </w:p>
    <w:p w14:paraId="08E4AA15" w14:textId="77777777" w:rsidR="0014684E" w:rsidRPr="0014684E" w:rsidRDefault="0014684E" w:rsidP="0014684E">
      <w:pPr>
        <w:pStyle w:val="BodyText"/>
        <w:spacing w:line="480" w:lineRule="auto"/>
        <w:jc w:val="both"/>
      </w:pPr>
      <w:r w:rsidRPr="0014684E">
        <w:t xml:space="preserve">The combined PCR, bidirectional Sanger sequencing, </w:t>
      </w:r>
      <w:proofErr w:type="spellStart"/>
      <w:r w:rsidRPr="0014684E">
        <w:t>BLASTn</w:t>
      </w:r>
      <w:proofErr w:type="spellEnd"/>
      <w:r w:rsidRPr="0014684E">
        <w:t xml:space="preserve">, multiple sequence alignment, and phylogenetic reconstruction workflow reliably confirmed amplified human </w:t>
      </w:r>
      <w:r w:rsidRPr="0014684E">
        <w:rPr>
          <w:i/>
        </w:rPr>
        <w:t>BGN</w:t>
      </w:r>
      <w:r w:rsidRPr="0014684E">
        <w:t xml:space="preserve"> and </w:t>
      </w:r>
      <w:r w:rsidRPr="0014684E">
        <w:rPr>
          <w:i/>
        </w:rPr>
        <w:t>G6PD</w:t>
      </w:r>
      <w:r w:rsidRPr="0014684E">
        <w:t xml:space="preserve"> gene fragments. The high sequence identity, conserved alignment pattern, and clustering within Homo sapiens reference clades support the molecular identity of the generated sequences. This workflow may be useful for targeted genetic confirmation and for preparing sequence data for subsequent biomedical and population-based studies.</w:t>
      </w:r>
    </w:p>
    <w:p w14:paraId="475D99D5" w14:textId="77777777" w:rsidR="0014684E" w:rsidRPr="0014684E" w:rsidRDefault="0014684E" w:rsidP="0014684E">
      <w:pPr>
        <w:pStyle w:val="BodyText"/>
        <w:spacing w:line="480" w:lineRule="auto"/>
        <w:jc w:val="both"/>
      </w:pPr>
    </w:p>
    <w:p w14:paraId="6CE34EAD" w14:textId="77777777" w:rsidR="0014684E" w:rsidRPr="0014684E" w:rsidRDefault="0014684E" w:rsidP="0014684E">
      <w:pPr>
        <w:spacing w:line="480" w:lineRule="auto"/>
        <w:jc w:val="center"/>
      </w:pPr>
      <w:r w:rsidRPr="0014684E">
        <w:rPr>
          <w:b/>
        </w:rPr>
        <w:t>REFERENCES</w:t>
      </w:r>
    </w:p>
    <w:p w14:paraId="674E3BEE"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Crossley BM, Bai J, Glaser A, Maes R, Porter E, Killian ML, et al. Guidelines for Sanger sequencing and molecular assay monitoring. J Vet </w:t>
      </w:r>
      <w:proofErr w:type="spellStart"/>
      <w:r w:rsidRPr="0014684E">
        <w:t>Diagn</w:t>
      </w:r>
      <w:proofErr w:type="spellEnd"/>
      <w:r w:rsidRPr="0014684E">
        <w:t xml:space="preserve"> Invest. 2020;32(6):767-775. doi:10.1177/1040638720905833.</w:t>
      </w:r>
    </w:p>
    <w:p w14:paraId="3F5E07AE"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Mu W, Lu HM, Chen J, Li S, Elliott AM. Sanger validation of high-throughput sequencing in genetic diagnosis: still the best practice? Front Genet. </w:t>
      </w:r>
      <w:proofErr w:type="gramStart"/>
      <w:r w:rsidRPr="0014684E">
        <w:t>2020;11:592588</w:t>
      </w:r>
      <w:proofErr w:type="gramEnd"/>
      <w:r w:rsidRPr="0014684E">
        <w:t>. doi:10.3389/fgene.2020.592588.</w:t>
      </w:r>
    </w:p>
    <w:p w14:paraId="15597F79" w14:textId="77777777" w:rsidR="0014684E" w:rsidRPr="0014684E" w:rsidRDefault="0014684E" w:rsidP="00B53AC2">
      <w:pPr>
        <w:pStyle w:val="ListParagraph"/>
        <w:numPr>
          <w:ilvl w:val="0"/>
          <w:numId w:val="2"/>
        </w:numPr>
        <w:spacing w:line="480" w:lineRule="auto"/>
        <w:ind w:left="426" w:hanging="426"/>
        <w:contextualSpacing w:val="0"/>
        <w:jc w:val="both"/>
      </w:pPr>
      <w:proofErr w:type="spellStart"/>
      <w:r w:rsidRPr="0014684E">
        <w:t>Koboldt</w:t>
      </w:r>
      <w:proofErr w:type="spellEnd"/>
      <w:r w:rsidRPr="0014684E">
        <w:t xml:space="preserve"> DC. Best practices for variant calling in clinical sequencing. Genome Med. </w:t>
      </w:r>
      <w:proofErr w:type="gramStart"/>
      <w:r w:rsidRPr="0014684E">
        <w:t>2020;12:91</w:t>
      </w:r>
      <w:proofErr w:type="gramEnd"/>
      <w:r w:rsidRPr="0014684E">
        <w:t>. doi:10.1186/s13073-020-00791-w.</w:t>
      </w:r>
    </w:p>
    <w:p w14:paraId="257BEF98"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Logsdon GA, </w:t>
      </w:r>
      <w:proofErr w:type="spellStart"/>
      <w:r w:rsidRPr="0014684E">
        <w:t>Vollger</w:t>
      </w:r>
      <w:proofErr w:type="spellEnd"/>
      <w:r w:rsidRPr="0014684E">
        <w:t xml:space="preserve"> MR, Eichler EE. Long-read human genome sequencing and its applications. Nat Rev Genet. 2020;21(10):597-614. doi:10.1038/s41576-020-0236-x.</w:t>
      </w:r>
    </w:p>
    <w:p w14:paraId="1EA35B42"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Mantere T, Kersten S, </w:t>
      </w:r>
      <w:proofErr w:type="spellStart"/>
      <w:r w:rsidRPr="0014684E">
        <w:t>Hoischen</w:t>
      </w:r>
      <w:proofErr w:type="spellEnd"/>
      <w:r w:rsidRPr="0014684E">
        <w:t xml:space="preserve"> A. Long-read sequencing emerging in medical genetics. Front Genet. </w:t>
      </w:r>
      <w:proofErr w:type="gramStart"/>
      <w:r w:rsidRPr="0014684E">
        <w:t>2019;10:426</w:t>
      </w:r>
      <w:proofErr w:type="gramEnd"/>
      <w:r w:rsidRPr="0014684E">
        <w:t>. doi:10.3389/fgene.2019.00426.</w:t>
      </w:r>
    </w:p>
    <w:p w14:paraId="7BF0BFED"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Wenger AM, Peluso P, Rowell WJ, Chang PC, Hall RJ, Concepcion GT, et al. Accurate circular consensus long-read sequencing improves variant detection and assembly of a human genome. Nat </w:t>
      </w:r>
      <w:proofErr w:type="spellStart"/>
      <w:r w:rsidRPr="0014684E">
        <w:t>Biotechnol</w:t>
      </w:r>
      <w:proofErr w:type="spellEnd"/>
      <w:r w:rsidRPr="0014684E">
        <w:t>. 2019;37(10):1155-1162. doi:10.1038/s41587-019-0217-9.</w:t>
      </w:r>
    </w:p>
    <w:p w14:paraId="5DFFD5D7"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Austin-Tse CA, Jobanputra V, Perry DL, Bick D, Taft RJ, Venner E, et al. </w:t>
      </w:r>
      <w:proofErr w:type="gramStart"/>
      <w:r w:rsidRPr="0014684E">
        <w:t>Best</w:t>
      </w:r>
      <w:proofErr w:type="gramEnd"/>
      <w:r w:rsidRPr="0014684E">
        <w:t xml:space="preserve"> practices for the interpretation and reporting of clinical whole genome sequencing. NPJ </w:t>
      </w:r>
      <w:proofErr w:type="spellStart"/>
      <w:r w:rsidRPr="0014684E">
        <w:t>Genom</w:t>
      </w:r>
      <w:proofErr w:type="spellEnd"/>
      <w:r w:rsidRPr="0014684E">
        <w:t xml:space="preserve"> Med. 2022;7(1):27. doi:10.1038/s41525-022-00295-z.</w:t>
      </w:r>
    </w:p>
    <w:p w14:paraId="3ABB84EE" w14:textId="77777777" w:rsidR="0014684E" w:rsidRPr="0014684E" w:rsidRDefault="0014684E" w:rsidP="00B53AC2">
      <w:pPr>
        <w:pStyle w:val="ListParagraph"/>
        <w:numPr>
          <w:ilvl w:val="0"/>
          <w:numId w:val="2"/>
        </w:numPr>
        <w:spacing w:line="480" w:lineRule="auto"/>
        <w:ind w:left="426" w:hanging="426"/>
        <w:contextualSpacing w:val="0"/>
        <w:jc w:val="both"/>
      </w:pPr>
      <w:proofErr w:type="spellStart"/>
      <w:r w:rsidRPr="0014684E">
        <w:t>Appunni</w:t>
      </w:r>
      <w:proofErr w:type="spellEnd"/>
      <w:r w:rsidRPr="0014684E">
        <w:t xml:space="preserve"> S, Rubens M, Ramamoorthy V, Anand V, Khandelwal M, Sharma A. </w:t>
      </w:r>
      <w:proofErr w:type="spellStart"/>
      <w:r w:rsidRPr="0014684E">
        <w:t>Biglycan</w:t>
      </w:r>
      <w:proofErr w:type="spellEnd"/>
      <w:r w:rsidRPr="0014684E">
        <w:t xml:space="preserve">: an emerging small leucine-rich proteoglycan marker and its clinicopathological significance. Mol Cell </w:t>
      </w:r>
      <w:proofErr w:type="spellStart"/>
      <w:r w:rsidRPr="0014684E">
        <w:t>Biochem</w:t>
      </w:r>
      <w:proofErr w:type="spellEnd"/>
      <w:r w:rsidRPr="0014684E">
        <w:t>. 2021;476(11):3935-3950. doi:10.1007/s11010-021-04216-z.</w:t>
      </w:r>
    </w:p>
    <w:p w14:paraId="46E7608C"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lastRenderedPageBreak/>
        <w:t xml:space="preserve">Roedig H, Nastase MV, </w:t>
      </w:r>
      <w:proofErr w:type="spellStart"/>
      <w:r w:rsidRPr="0014684E">
        <w:t>Wygrecka</w:t>
      </w:r>
      <w:proofErr w:type="spellEnd"/>
      <w:r w:rsidRPr="0014684E">
        <w:t xml:space="preserve"> M, Schaefer L. Breaking down chronic inflammatory diseases: the role of </w:t>
      </w:r>
      <w:proofErr w:type="spellStart"/>
      <w:r w:rsidRPr="0014684E">
        <w:t>biglycan</w:t>
      </w:r>
      <w:proofErr w:type="spellEnd"/>
      <w:r w:rsidRPr="0014684E">
        <w:t xml:space="preserve"> in promoting a switch between inflammation and autophagy. FEBS J. 2019;286(15):2965-2979. doi:10.1111/febs.14791.</w:t>
      </w:r>
    </w:p>
    <w:p w14:paraId="356FBCA4"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Kram V, </w:t>
      </w:r>
      <w:proofErr w:type="spellStart"/>
      <w:r w:rsidRPr="0014684E">
        <w:t>Shainer</w:t>
      </w:r>
      <w:proofErr w:type="spellEnd"/>
      <w:r w:rsidRPr="0014684E">
        <w:t xml:space="preserve"> R, Jani P, Meester JAN, </w:t>
      </w:r>
      <w:proofErr w:type="spellStart"/>
      <w:r w:rsidRPr="0014684E">
        <w:t>Loeys</w:t>
      </w:r>
      <w:proofErr w:type="spellEnd"/>
      <w:r w:rsidRPr="0014684E">
        <w:t xml:space="preserve"> B, Young MF. </w:t>
      </w:r>
      <w:proofErr w:type="spellStart"/>
      <w:r w:rsidRPr="0014684E">
        <w:t>Biglycan</w:t>
      </w:r>
      <w:proofErr w:type="spellEnd"/>
      <w:r w:rsidRPr="0014684E">
        <w:t xml:space="preserve"> in the skeleton. J </w:t>
      </w:r>
      <w:proofErr w:type="spellStart"/>
      <w:r w:rsidRPr="0014684E">
        <w:t>Histochem</w:t>
      </w:r>
      <w:proofErr w:type="spellEnd"/>
      <w:r w:rsidRPr="0014684E">
        <w:t xml:space="preserve"> </w:t>
      </w:r>
      <w:proofErr w:type="spellStart"/>
      <w:r w:rsidRPr="0014684E">
        <w:t>Cytochem</w:t>
      </w:r>
      <w:proofErr w:type="spellEnd"/>
      <w:r w:rsidRPr="0014684E">
        <w:t>. 2020;68(10):747-762. doi:10.1369/0022155420937371.</w:t>
      </w:r>
    </w:p>
    <w:p w14:paraId="1AA4BAFE"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Roedig H, Nastase MV, </w:t>
      </w:r>
      <w:proofErr w:type="spellStart"/>
      <w:r w:rsidRPr="0014684E">
        <w:t>Wygrecka</w:t>
      </w:r>
      <w:proofErr w:type="spellEnd"/>
      <w:r w:rsidRPr="0014684E">
        <w:t xml:space="preserve"> M, Schaefer L. </w:t>
      </w:r>
      <w:proofErr w:type="spellStart"/>
      <w:r w:rsidRPr="0014684E">
        <w:t>Biglycan</w:t>
      </w:r>
      <w:proofErr w:type="spellEnd"/>
      <w:r w:rsidRPr="0014684E">
        <w:t xml:space="preserve"> is a new high-affinity ligand for CD14 in macrophages. Matrix Biol. </w:t>
      </w:r>
      <w:proofErr w:type="gramStart"/>
      <w:r w:rsidRPr="0014684E">
        <w:t>2019;77:4</w:t>
      </w:r>
      <w:proofErr w:type="gramEnd"/>
      <w:r w:rsidRPr="0014684E">
        <w:t xml:space="preserve">-22. </w:t>
      </w:r>
      <w:proofErr w:type="gramStart"/>
      <w:r w:rsidRPr="0014684E">
        <w:t>doi:10.1016/j.matbio</w:t>
      </w:r>
      <w:proofErr w:type="gramEnd"/>
      <w:r w:rsidRPr="0014684E">
        <w:t>.2018.05.006.</w:t>
      </w:r>
    </w:p>
    <w:p w14:paraId="3CA66CD4"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Luzzatto L, Ally M, Notaro R. Glucose-6-phosphate dehydrogenase deficiency. Blood. 2020;136(11):1225-1240. doi:10.1182/blood.2019000944.</w:t>
      </w:r>
    </w:p>
    <w:p w14:paraId="57A9D097" w14:textId="77777777" w:rsidR="0014684E" w:rsidRPr="0014684E" w:rsidRDefault="0014684E" w:rsidP="00B53AC2">
      <w:pPr>
        <w:pStyle w:val="ListParagraph"/>
        <w:numPr>
          <w:ilvl w:val="0"/>
          <w:numId w:val="2"/>
        </w:numPr>
        <w:spacing w:line="480" w:lineRule="auto"/>
        <w:ind w:left="426" w:hanging="426"/>
        <w:contextualSpacing w:val="0"/>
        <w:jc w:val="both"/>
      </w:pPr>
      <w:proofErr w:type="spellStart"/>
      <w:r w:rsidRPr="0014684E">
        <w:t>Tantular</w:t>
      </w:r>
      <w:proofErr w:type="spellEnd"/>
      <w:r w:rsidRPr="0014684E">
        <w:t xml:space="preserve"> IS, Kawamoto F, Matsuoka H, </w:t>
      </w:r>
      <w:proofErr w:type="spellStart"/>
      <w:r w:rsidRPr="0014684E">
        <w:t>Sumitro</w:t>
      </w:r>
      <w:proofErr w:type="spellEnd"/>
      <w:r w:rsidRPr="0014684E">
        <w:t xml:space="preserve"> SB, Dwi S, et al. Distribution of G6PD deficiency genotypes among Southeast Asian populations. Trop Med Health. 2021;49(1):97. doi:10.1186/s41182-021-00387-z.</w:t>
      </w:r>
    </w:p>
    <w:p w14:paraId="28B406F3"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Chu CS, </w:t>
      </w:r>
      <w:proofErr w:type="spellStart"/>
      <w:r w:rsidRPr="0014684E">
        <w:t>Bancone</w:t>
      </w:r>
      <w:proofErr w:type="spellEnd"/>
      <w:r w:rsidRPr="0014684E">
        <w:t xml:space="preserve"> G, </w:t>
      </w:r>
      <w:proofErr w:type="spellStart"/>
      <w:r w:rsidRPr="0014684E">
        <w:t>Nosten</w:t>
      </w:r>
      <w:proofErr w:type="spellEnd"/>
      <w:r w:rsidRPr="0014684E">
        <w:t xml:space="preserve"> F, White NJ, Luzzatto L. Primaquine-induced </w:t>
      </w:r>
      <w:proofErr w:type="spellStart"/>
      <w:r w:rsidRPr="0014684E">
        <w:t>haemolysis</w:t>
      </w:r>
      <w:proofErr w:type="spellEnd"/>
      <w:r w:rsidRPr="0014684E">
        <w:t xml:space="preserve"> in females heterozygous for G6PD deficiency. Malar J. 2020;19(1):256. doi:10.1186/s12936-020-03303-y.</w:t>
      </w:r>
    </w:p>
    <w:p w14:paraId="1D7B66CE" w14:textId="77777777" w:rsidR="0014684E" w:rsidRPr="0014684E" w:rsidRDefault="0014684E" w:rsidP="00B53AC2">
      <w:pPr>
        <w:pStyle w:val="ListParagraph"/>
        <w:numPr>
          <w:ilvl w:val="0"/>
          <w:numId w:val="2"/>
        </w:numPr>
        <w:spacing w:line="480" w:lineRule="auto"/>
        <w:ind w:left="426" w:hanging="426"/>
        <w:contextualSpacing w:val="0"/>
        <w:jc w:val="both"/>
      </w:pPr>
      <w:proofErr w:type="spellStart"/>
      <w:r w:rsidRPr="0014684E">
        <w:t>Bancone</w:t>
      </w:r>
      <w:proofErr w:type="spellEnd"/>
      <w:r w:rsidRPr="0014684E">
        <w:t xml:space="preserve"> G, Chu CS. G6PD variants and </w:t>
      </w:r>
      <w:proofErr w:type="spellStart"/>
      <w:r w:rsidRPr="0014684E">
        <w:t>haemolytic</w:t>
      </w:r>
      <w:proofErr w:type="spellEnd"/>
      <w:r w:rsidRPr="0014684E">
        <w:t xml:space="preserve"> sensitivity to primaquine and other drugs. Front </w:t>
      </w:r>
      <w:proofErr w:type="spellStart"/>
      <w:r w:rsidRPr="0014684E">
        <w:t>Pharmacol</w:t>
      </w:r>
      <w:proofErr w:type="spellEnd"/>
      <w:r w:rsidRPr="0014684E">
        <w:t xml:space="preserve">. </w:t>
      </w:r>
      <w:proofErr w:type="gramStart"/>
      <w:r w:rsidRPr="0014684E">
        <w:t>2021;12:638885</w:t>
      </w:r>
      <w:proofErr w:type="gramEnd"/>
      <w:r w:rsidRPr="0014684E">
        <w:t>. doi:10.3389/fphar.2021.638885.</w:t>
      </w:r>
    </w:p>
    <w:p w14:paraId="2223AE1A"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Lee HY, </w:t>
      </w:r>
      <w:proofErr w:type="spellStart"/>
      <w:r w:rsidRPr="0014684E">
        <w:t>Ithnin</w:t>
      </w:r>
      <w:proofErr w:type="spellEnd"/>
      <w:r w:rsidRPr="0014684E">
        <w:t xml:space="preserve"> A, Azma RZ, Othman A, Salvador A, Cheah FC. Glucose-6-phosphate dehydrogenase deficiency and neonatal hyperbilirubinemia: insights on pathophysiology, diagnosis, and gene variants in disease heterogeneity. Front </w:t>
      </w:r>
      <w:proofErr w:type="spellStart"/>
      <w:r w:rsidRPr="0014684E">
        <w:t>Pediatr</w:t>
      </w:r>
      <w:proofErr w:type="spellEnd"/>
      <w:r w:rsidRPr="0014684E">
        <w:t xml:space="preserve">. </w:t>
      </w:r>
      <w:proofErr w:type="gramStart"/>
      <w:r w:rsidRPr="0014684E">
        <w:t>2022;10:875877</w:t>
      </w:r>
      <w:proofErr w:type="gramEnd"/>
      <w:r w:rsidRPr="0014684E">
        <w:t>. doi:10.3389/fped.2022.875877.</w:t>
      </w:r>
    </w:p>
    <w:p w14:paraId="4DDAD6F0"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The NCBI Resource Coordinators. Database resources of the National Center for Biotechnology Information. Nucleic Acids Res. 2024;52(D1</w:t>
      </w:r>
      <w:proofErr w:type="gramStart"/>
      <w:r w:rsidRPr="0014684E">
        <w:t>):D</w:t>
      </w:r>
      <w:proofErr w:type="gramEnd"/>
      <w:r w:rsidRPr="0014684E">
        <w:t>33-D43. doi:10.1093/</w:t>
      </w:r>
      <w:proofErr w:type="spellStart"/>
      <w:r w:rsidRPr="0014684E">
        <w:t>nar</w:t>
      </w:r>
      <w:proofErr w:type="spellEnd"/>
      <w:r w:rsidRPr="0014684E">
        <w:t>/gkad1044.</w:t>
      </w:r>
    </w:p>
    <w:p w14:paraId="5F749791" w14:textId="77777777" w:rsidR="0014684E" w:rsidRPr="0014684E" w:rsidRDefault="0014684E" w:rsidP="00B53AC2">
      <w:pPr>
        <w:pStyle w:val="ListParagraph"/>
        <w:numPr>
          <w:ilvl w:val="0"/>
          <w:numId w:val="2"/>
        </w:numPr>
        <w:spacing w:line="480" w:lineRule="auto"/>
        <w:ind w:left="426" w:hanging="426"/>
        <w:contextualSpacing w:val="0"/>
        <w:jc w:val="both"/>
      </w:pPr>
      <w:proofErr w:type="spellStart"/>
      <w:r w:rsidRPr="0014684E">
        <w:t>Boratyn</w:t>
      </w:r>
      <w:proofErr w:type="spellEnd"/>
      <w:r w:rsidRPr="0014684E">
        <w:t xml:space="preserve"> GM, Thierry-</w:t>
      </w:r>
      <w:proofErr w:type="spellStart"/>
      <w:r w:rsidRPr="0014684E">
        <w:t>Mieg</w:t>
      </w:r>
      <w:proofErr w:type="spellEnd"/>
      <w:r w:rsidRPr="0014684E">
        <w:t xml:space="preserve"> J, Thierry-</w:t>
      </w:r>
      <w:proofErr w:type="spellStart"/>
      <w:r w:rsidRPr="0014684E">
        <w:t>Mieg</w:t>
      </w:r>
      <w:proofErr w:type="spellEnd"/>
      <w:r w:rsidRPr="0014684E">
        <w:t xml:space="preserve"> D, Busby B, Madden TL. Magic-BLAST, an </w:t>
      </w:r>
      <w:r w:rsidRPr="0014684E">
        <w:lastRenderedPageBreak/>
        <w:t>accurate RNA-seq aligner for long and short reads. BMC Bioinformatics. 2019;20(1):405. doi:10.1186/s12859-019-2996-x.</w:t>
      </w:r>
    </w:p>
    <w:p w14:paraId="16E78279"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Edgar RC. Muscle5: high-accuracy alignment ensembles enable unbiased assessments of sequence homology and phylogeny. Nat Commun. 2022;13(1):6968. doi:10.1038/s41467-022-34630-w.</w:t>
      </w:r>
    </w:p>
    <w:p w14:paraId="4A852BE8"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Katoh K, </w:t>
      </w:r>
      <w:proofErr w:type="spellStart"/>
      <w:r w:rsidRPr="0014684E">
        <w:t>Rozewicki</w:t>
      </w:r>
      <w:proofErr w:type="spellEnd"/>
      <w:r w:rsidRPr="0014684E">
        <w:t xml:space="preserve"> J, Yamada KD. MAFFT online service: multiple sequence alignment, interactive sequence choice and visualization. Brief </w:t>
      </w:r>
      <w:proofErr w:type="spellStart"/>
      <w:r w:rsidRPr="0014684E">
        <w:t>Bioinform</w:t>
      </w:r>
      <w:proofErr w:type="spellEnd"/>
      <w:r w:rsidRPr="0014684E">
        <w:t>. 2019;20(4):1160-1166. doi:10.1093/bib/bbx108.</w:t>
      </w:r>
    </w:p>
    <w:p w14:paraId="71F235D9"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Tamura K, Stecher G, Kumar S. MEGA11: Molecular Evolutionary Genetics Analysis Version 11. Mol Biol Evol. 2021;38(7):3022-3027. doi:10.1093/</w:t>
      </w:r>
      <w:proofErr w:type="spellStart"/>
      <w:r w:rsidRPr="0014684E">
        <w:t>molbev</w:t>
      </w:r>
      <w:proofErr w:type="spellEnd"/>
      <w:r w:rsidRPr="0014684E">
        <w:t>/msab120.</w:t>
      </w:r>
    </w:p>
    <w:p w14:paraId="7408CC7A"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Kumar S, Stecher G, Suleski M, Sanderford M, Sharma S, Tamura K. MEGA12: Molecular Evolutionary Genetic Analysis Version 12 for Adaptive and Green Computing. Mol Biol Evol. 2024;41(12</w:t>
      </w:r>
      <w:proofErr w:type="gramStart"/>
      <w:r w:rsidRPr="0014684E">
        <w:t>):msae</w:t>
      </w:r>
      <w:proofErr w:type="gramEnd"/>
      <w:r w:rsidRPr="0014684E">
        <w:t>263. doi:10.1093/</w:t>
      </w:r>
      <w:proofErr w:type="spellStart"/>
      <w:r w:rsidRPr="0014684E">
        <w:t>molbev</w:t>
      </w:r>
      <w:proofErr w:type="spellEnd"/>
      <w:r w:rsidRPr="0014684E">
        <w:t>/msae263.</w:t>
      </w:r>
    </w:p>
    <w:p w14:paraId="10994DE6"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Minh BQ, Schmidt HA, </w:t>
      </w:r>
      <w:proofErr w:type="spellStart"/>
      <w:r w:rsidRPr="0014684E">
        <w:t>Chernomor</w:t>
      </w:r>
      <w:proofErr w:type="spellEnd"/>
      <w:r w:rsidRPr="0014684E">
        <w:t xml:space="preserve"> O, Schrempf D, Woodhams MD, von Haeseler A, et al. IQ-TREE 2: new models and efficient methods for phylogenetic inference in the genomic era. Mol Biol Evol. 2020;37(5):1530-1534. doi:10.1093/</w:t>
      </w:r>
      <w:proofErr w:type="spellStart"/>
      <w:r w:rsidRPr="0014684E">
        <w:t>molbev</w:t>
      </w:r>
      <w:proofErr w:type="spellEnd"/>
      <w:r w:rsidRPr="0014684E">
        <w:t>/msaa015.</w:t>
      </w:r>
    </w:p>
    <w:p w14:paraId="644E217B"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 xml:space="preserve">Kozlov AM, </w:t>
      </w:r>
      <w:proofErr w:type="spellStart"/>
      <w:r w:rsidRPr="0014684E">
        <w:t>Darriba</w:t>
      </w:r>
      <w:proofErr w:type="spellEnd"/>
      <w:r w:rsidRPr="0014684E">
        <w:t xml:space="preserve"> D, </w:t>
      </w:r>
      <w:proofErr w:type="spellStart"/>
      <w:r w:rsidRPr="0014684E">
        <w:t>Flouri</w:t>
      </w:r>
      <w:proofErr w:type="spellEnd"/>
      <w:r w:rsidRPr="0014684E">
        <w:t xml:space="preserve"> T, Morel B, Stamatakis A. </w:t>
      </w:r>
      <w:proofErr w:type="spellStart"/>
      <w:r w:rsidRPr="0014684E">
        <w:t>RAxML</w:t>
      </w:r>
      <w:proofErr w:type="spellEnd"/>
      <w:r w:rsidRPr="0014684E">
        <w:t>-NG: a fast, scalable and user-friendly tool for maximum likelihood phylogenetic inference. Bioinformatics. 2019;35(21):4453-4455. doi:10.1093/bioinformatics/btz305.</w:t>
      </w:r>
    </w:p>
    <w:p w14:paraId="24675CFA" w14:textId="77777777" w:rsidR="0014684E" w:rsidRPr="0014684E" w:rsidRDefault="0014684E" w:rsidP="00B53AC2">
      <w:pPr>
        <w:pStyle w:val="ListParagraph"/>
        <w:numPr>
          <w:ilvl w:val="0"/>
          <w:numId w:val="2"/>
        </w:numPr>
        <w:spacing w:line="480" w:lineRule="auto"/>
        <w:ind w:left="426" w:hanging="426"/>
        <w:contextualSpacing w:val="0"/>
        <w:jc w:val="both"/>
      </w:pPr>
      <w:proofErr w:type="spellStart"/>
      <w:r w:rsidRPr="0014684E">
        <w:t>Letunic</w:t>
      </w:r>
      <w:proofErr w:type="spellEnd"/>
      <w:r w:rsidRPr="0014684E">
        <w:t xml:space="preserve"> I, Bork P. Interactive Tree </w:t>
      </w:r>
      <w:proofErr w:type="gramStart"/>
      <w:r w:rsidRPr="0014684E">
        <w:t>Of</w:t>
      </w:r>
      <w:proofErr w:type="gramEnd"/>
      <w:r w:rsidRPr="0014684E">
        <w:t xml:space="preserve"> Life (</w:t>
      </w:r>
      <w:proofErr w:type="spellStart"/>
      <w:r w:rsidRPr="0014684E">
        <w:t>iTOL</w:t>
      </w:r>
      <w:proofErr w:type="spellEnd"/>
      <w:r w:rsidRPr="0014684E">
        <w:t>) v5: an online tool for phylogenetic tree display and annotation. Nucleic Acids Res. 2021;49(W1</w:t>
      </w:r>
      <w:proofErr w:type="gramStart"/>
      <w:r w:rsidRPr="0014684E">
        <w:t>):W</w:t>
      </w:r>
      <w:proofErr w:type="gramEnd"/>
      <w:r w:rsidRPr="0014684E">
        <w:t>293-W296. doi:10.1093/</w:t>
      </w:r>
      <w:proofErr w:type="spellStart"/>
      <w:r w:rsidRPr="0014684E">
        <w:t>nar</w:t>
      </w:r>
      <w:proofErr w:type="spellEnd"/>
      <w:r w:rsidRPr="0014684E">
        <w:t>/gkab301.</w:t>
      </w:r>
    </w:p>
    <w:p w14:paraId="2C66AEE0" w14:textId="77777777" w:rsidR="0014684E" w:rsidRPr="0014684E" w:rsidRDefault="0014684E" w:rsidP="00B53AC2">
      <w:pPr>
        <w:pStyle w:val="ListParagraph"/>
        <w:numPr>
          <w:ilvl w:val="0"/>
          <w:numId w:val="2"/>
        </w:numPr>
        <w:spacing w:line="480" w:lineRule="auto"/>
        <w:ind w:left="426" w:hanging="426"/>
        <w:contextualSpacing w:val="0"/>
        <w:jc w:val="both"/>
      </w:pPr>
      <w:r w:rsidRPr="0014684E">
        <w:t>Sayers EW, Cavanaugh M, Clark K, Ostell J, Pruitt KD, Karsch-Mizrachi I. GenBank. Nucleic Acids Res. 2020;48(D1</w:t>
      </w:r>
      <w:proofErr w:type="gramStart"/>
      <w:r w:rsidRPr="0014684E">
        <w:t>):D</w:t>
      </w:r>
      <w:proofErr w:type="gramEnd"/>
      <w:r w:rsidRPr="0014684E">
        <w:t>84-D86. doi:10.1093/</w:t>
      </w:r>
      <w:proofErr w:type="spellStart"/>
      <w:r w:rsidRPr="0014684E">
        <w:t>nar</w:t>
      </w:r>
      <w:proofErr w:type="spellEnd"/>
      <w:r w:rsidRPr="0014684E">
        <w:t>/gkz956.</w:t>
      </w:r>
    </w:p>
    <w:p w14:paraId="6851DFCB" w14:textId="77777777" w:rsidR="0014684E" w:rsidRDefault="0014684E" w:rsidP="00E9118F">
      <w:pPr>
        <w:spacing w:line="480" w:lineRule="auto"/>
        <w:rPr>
          <w:b/>
        </w:rPr>
      </w:pPr>
    </w:p>
    <w:p w14:paraId="584256AF" w14:textId="3E79F8FD" w:rsidR="0014684E" w:rsidRPr="0014684E" w:rsidRDefault="0014684E" w:rsidP="0014684E">
      <w:pPr>
        <w:spacing w:line="480" w:lineRule="auto"/>
        <w:jc w:val="center"/>
      </w:pPr>
      <w:r w:rsidRPr="0014684E">
        <w:rPr>
          <w:b/>
        </w:rPr>
        <w:lastRenderedPageBreak/>
        <w:t>TABLES</w:t>
      </w:r>
    </w:p>
    <w:p w14:paraId="04044DAC" w14:textId="77777777" w:rsidR="0014684E" w:rsidRPr="0014684E" w:rsidRDefault="0014684E" w:rsidP="0014684E">
      <w:pPr>
        <w:spacing w:line="480" w:lineRule="auto"/>
        <w:jc w:val="both"/>
      </w:pPr>
      <w:r w:rsidRPr="0014684E">
        <w:rPr>
          <w:b/>
        </w:rPr>
        <w:t>Table 1. Summary of molecular confirmation results</w:t>
      </w:r>
    </w:p>
    <w:tbl>
      <w:tblPr>
        <w:tblW w:w="0" w:type="auto"/>
        <w:jc w:val="center"/>
        <w:tblLook w:val="04A0" w:firstRow="1" w:lastRow="0" w:firstColumn="1" w:lastColumn="0" w:noHBand="0" w:noVBand="1"/>
      </w:tblPr>
      <w:tblGrid>
        <w:gridCol w:w="4391"/>
        <w:gridCol w:w="4651"/>
      </w:tblGrid>
      <w:tr w:rsidR="0014684E" w:rsidRPr="0014684E" w14:paraId="3753F888"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342467A6" w14:textId="77777777" w:rsidR="0014684E" w:rsidRPr="0014684E" w:rsidRDefault="0014684E" w:rsidP="0014684E">
            <w:pPr>
              <w:spacing w:line="480" w:lineRule="auto"/>
              <w:jc w:val="both"/>
            </w:pPr>
            <w:r w:rsidRPr="0014684E">
              <w:rPr>
                <w:b/>
                <w:sz w:val="20"/>
              </w:rPr>
              <w:t>Parameter</w:t>
            </w:r>
          </w:p>
        </w:tc>
        <w:tc>
          <w:tcPr>
            <w:tcW w:w="4651" w:type="dxa"/>
            <w:tcBorders>
              <w:top w:val="single" w:sz="4" w:space="0" w:color="000000"/>
              <w:left w:val="single" w:sz="4" w:space="0" w:color="000000"/>
              <w:bottom w:val="single" w:sz="4" w:space="0" w:color="000000"/>
              <w:right w:val="single" w:sz="4" w:space="0" w:color="000000"/>
            </w:tcBorders>
            <w:vAlign w:val="center"/>
          </w:tcPr>
          <w:p w14:paraId="73A90C90" w14:textId="77777777" w:rsidR="0014684E" w:rsidRPr="0014684E" w:rsidRDefault="0014684E" w:rsidP="0014684E">
            <w:pPr>
              <w:spacing w:line="480" w:lineRule="auto"/>
              <w:jc w:val="both"/>
            </w:pPr>
            <w:r w:rsidRPr="0014684E">
              <w:rPr>
                <w:b/>
                <w:sz w:val="20"/>
              </w:rPr>
              <w:t>Result</w:t>
            </w:r>
          </w:p>
        </w:tc>
      </w:tr>
      <w:tr w:rsidR="0014684E" w:rsidRPr="0014684E" w14:paraId="28F667A8"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2B725BF0" w14:textId="77777777" w:rsidR="0014684E" w:rsidRPr="0014684E" w:rsidRDefault="0014684E" w:rsidP="0014684E">
            <w:pPr>
              <w:spacing w:line="480" w:lineRule="auto"/>
              <w:jc w:val="both"/>
            </w:pPr>
            <w:r w:rsidRPr="0014684E">
              <w:rPr>
                <w:sz w:val="20"/>
              </w:rPr>
              <w:t>Number of blood samples</w:t>
            </w:r>
          </w:p>
        </w:tc>
        <w:tc>
          <w:tcPr>
            <w:tcW w:w="4651" w:type="dxa"/>
            <w:tcBorders>
              <w:top w:val="single" w:sz="4" w:space="0" w:color="000000"/>
              <w:left w:val="single" w:sz="4" w:space="0" w:color="000000"/>
              <w:bottom w:val="single" w:sz="4" w:space="0" w:color="000000"/>
              <w:right w:val="single" w:sz="4" w:space="0" w:color="000000"/>
            </w:tcBorders>
            <w:vAlign w:val="center"/>
          </w:tcPr>
          <w:p w14:paraId="5D3DDA8E" w14:textId="77777777" w:rsidR="0014684E" w:rsidRPr="0014684E" w:rsidRDefault="0014684E" w:rsidP="0014684E">
            <w:pPr>
              <w:spacing w:line="480" w:lineRule="auto"/>
              <w:jc w:val="both"/>
            </w:pPr>
            <w:r w:rsidRPr="0014684E">
              <w:rPr>
                <w:sz w:val="20"/>
              </w:rPr>
              <w:t>13</w:t>
            </w:r>
          </w:p>
        </w:tc>
      </w:tr>
      <w:tr w:rsidR="0014684E" w:rsidRPr="0014684E" w14:paraId="6D7D9B79"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FF36B5B" w14:textId="77777777" w:rsidR="0014684E" w:rsidRPr="0014684E" w:rsidRDefault="0014684E" w:rsidP="0014684E">
            <w:pPr>
              <w:spacing w:line="480" w:lineRule="auto"/>
              <w:jc w:val="both"/>
            </w:pPr>
            <w:r w:rsidRPr="0014684E">
              <w:rPr>
                <w:sz w:val="20"/>
              </w:rPr>
              <w:t>Sample codes</w:t>
            </w:r>
          </w:p>
        </w:tc>
        <w:tc>
          <w:tcPr>
            <w:tcW w:w="4651" w:type="dxa"/>
            <w:tcBorders>
              <w:top w:val="single" w:sz="4" w:space="0" w:color="000000"/>
              <w:left w:val="single" w:sz="4" w:space="0" w:color="000000"/>
              <w:bottom w:val="single" w:sz="4" w:space="0" w:color="000000"/>
              <w:right w:val="single" w:sz="4" w:space="0" w:color="000000"/>
            </w:tcBorders>
            <w:vAlign w:val="center"/>
          </w:tcPr>
          <w:p w14:paraId="086A34F0" w14:textId="77777777" w:rsidR="0014684E" w:rsidRPr="0014684E" w:rsidRDefault="0014684E" w:rsidP="0014684E">
            <w:pPr>
              <w:spacing w:line="480" w:lineRule="auto"/>
              <w:jc w:val="both"/>
            </w:pPr>
            <w:r w:rsidRPr="0014684E">
              <w:rPr>
                <w:sz w:val="20"/>
              </w:rPr>
              <w:t xml:space="preserve">511.S.3 to </w:t>
            </w:r>
            <w:proofErr w:type="gramStart"/>
            <w:r w:rsidRPr="0014684E">
              <w:rPr>
                <w:sz w:val="20"/>
              </w:rPr>
              <w:t>511.S.</w:t>
            </w:r>
            <w:proofErr w:type="gramEnd"/>
            <w:r w:rsidRPr="0014684E">
              <w:rPr>
                <w:sz w:val="20"/>
              </w:rPr>
              <w:t>16</w:t>
            </w:r>
          </w:p>
        </w:tc>
      </w:tr>
      <w:tr w:rsidR="0014684E" w:rsidRPr="0014684E" w14:paraId="53304777"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6C26B52" w14:textId="77777777" w:rsidR="0014684E" w:rsidRPr="0014684E" w:rsidRDefault="0014684E" w:rsidP="0014684E">
            <w:pPr>
              <w:spacing w:line="480" w:lineRule="auto"/>
              <w:jc w:val="both"/>
            </w:pPr>
            <w:r w:rsidRPr="0014684E">
              <w:rPr>
                <w:sz w:val="20"/>
              </w:rPr>
              <w:t>DNA concentration range</w:t>
            </w:r>
          </w:p>
        </w:tc>
        <w:tc>
          <w:tcPr>
            <w:tcW w:w="4651" w:type="dxa"/>
            <w:tcBorders>
              <w:top w:val="single" w:sz="4" w:space="0" w:color="000000"/>
              <w:left w:val="single" w:sz="4" w:space="0" w:color="000000"/>
              <w:bottom w:val="single" w:sz="4" w:space="0" w:color="000000"/>
              <w:right w:val="single" w:sz="4" w:space="0" w:color="000000"/>
            </w:tcBorders>
            <w:vAlign w:val="center"/>
          </w:tcPr>
          <w:p w14:paraId="6B9BCDBA" w14:textId="77777777" w:rsidR="0014684E" w:rsidRPr="0014684E" w:rsidRDefault="0014684E" w:rsidP="0014684E">
            <w:pPr>
              <w:spacing w:line="480" w:lineRule="auto"/>
              <w:jc w:val="both"/>
            </w:pPr>
            <w:r w:rsidRPr="0014684E">
              <w:rPr>
                <w:sz w:val="20"/>
              </w:rPr>
              <w:t>4.51-57.97 ng/µL</w:t>
            </w:r>
          </w:p>
        </w:tc>
      </w:tr>
      <w:tr w:rsidR="0014684E" w:rsidRPr="0014684E" w14:paraId="34CF48C7"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7E327379" w14:textId="77777777" w:rsidR="0014684E" w:rsidRPr="0014684E" w:rsidRDefault="0014684E" w:rsidP="0014684E">
            <w:pPr>
              <w:spacing w:line="480" w:lineRule="auto"/>
              <w:jc w:val="both"/>
            </w:pPr>
            <w:r w:rsidRPr="0014684E">
              <w:rPr>
                <w:sz w:val="20"/>
              </w:rPr>
              <w:t>Target amplicon size</w:t>
            </w:r>
          </w:p>
        </w:tc>
        <w:tc>
          <w:tcPr>
            <w:tcW w:w="4651" w:type="dxa"/>
            <w:tcBorders>
              <w:top w:val="single" w:sz="4" w:space="0" w:color="000000"/>
              <w:left w:val="single" w:sz="4" w:space="0" w:color="000000"/>
              <w:bottom w:val="single" w:sz="4" w:space="0" w:color="000000"/>
              <w:right w:val="single" w:sz="4" w:space="0" w:color="000000"/>
            </w:tcBorders>
            <w:vAlign w:val="center"/>
          </w:tcPr>
          <w:p w14:paraId="7084E197" w14:textId="77777777" w:rsidR="0014684E" w:rsidRPr="0014684E" w:rsidRDefault="0014684E" w:rsidP="0014684E">
            <w:pPr>
              <w:spacing w:line="480" w:lineRule="auto"/>
              <w:jc w:val="both"/>
            </w:pPr>
            <w:r w:rsidRPr="0014684E">
              <w:rPr>
                <w:sz w:val="20"/>
              </w:rPr>
              <w:t>Approximately 700 bp</w:t>
            </w:r>
          </w:p>
        </w:tc>
      </w:tr>
      <w:tr w:rsidR="0014684E" w:rsidRPr="0014684E" w14:paraId="5FB03A32"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F27DBEE" w14:textId="77777777" w:rsidR="0014684E" w:rsidRPr="0014684E" w:rsidRDefault="0014684E" w:rsidP="0014684E">
            <w:pPr>
              <w:spacing w:line="480" w:lineRule="auto"/>
              <w:jc w:val="both"/>
            </w:pPr>
            <w:r w:rsidRPr="0014684E">
              <w:rPr>
                <w:sz w:val="20"/>
              </w:rPr>
              <w:t>PCR amplification outcome</w:t>
            </w:r>
          </w:p>
        </w:tc>
        <w:tc>
          <w:tcPr>
            <w:tcW w:w="4651" w:type="dxa"/>
            <w:tcBorders>
              <w:top w:val="single" w:sz="4" w:space="0" w:color="000000"/>
              <w:left w:val="single" w:sz="4" w:space="0" w:color="000000"/>
              <w:bottom w:val="single" w:sz="4" w:space="0" w:color="000000"/>
              <w:right w:val="single" w:sz="4" w:space="0" w:color="000000"/>
            </w:tcBorders>
            <w:vAlign w:val="center"/>
          </w:tcPr>
          <w:p w14:paraId="072CE094" w14:textId="77777777" w:rsidR="0014684E" w:rsidRPr="0014684E" w:rsidRDefault="0014684E" w:rsidP="0014684E">
            <w:pPr>
              <w:spacing w:line="480" w:lineRule="auto"/>
              <w:jc w:val="both"/>
            </w:pPr>
            <w:r w:rsidRPr="0014684E">
              <w:rPr>
                <w:sz w:val="20"/>
              </w:rPr>
              <w:t>Single expected band in all samples</w:t>
            </w:r>
          </w:p>
        </w:tc>
      </w:tr>
      <w:tr w:rsidR="0014684E" w:rsidRPr="0014684E" w14:paraId="5FAB7EC0"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6B5855B" w14:textId="77777777" w:rsidR="0014684E" w:rsidRPr="0014684E" w:rsidRDefault="0014684E" w:rsidP="0014684E">
            <w:pPr>
              <w:spacing w:line="480" w:lineRule="auto"/>
              <w:jc w:val="both"/>
            </w:pPr>
            <w:r w:rsidRPr="0014684E">
              <w:rPr>
                <w:sz w:val="20"/>
              </w:rPr>
              <w:t>Sequencing outcome</w:t>
            </w:r>
          </w:p>
        </w:tc>
        <w:tc>
          <w:tcPr>
            <w:tcW w:w="4651" w:type="dxa"/>
            <w:tcBorders>
              <w:top w:val="single" w:sz="4" w:space="0" w:color="000000"/>
              <w:left w:val="single" w:sz="4" w:space="0" w:color="000000"/>
              <w:bottom w:val="single" w:sz="4" w:space="0" w:color="000000"/>
              <w:right w:val="single" w:sz="4" w:space="0" w:color="000000"/>
            </w:tcBorders>
            <w:vAlign w:val="center"/>
          </w:tcPr>
          <w:p w14:paraId="7CC9AAD4" w14:textId="77777777" w:rsidR="0014684E" w:rsidRPr="0014684E" w:rsidRDefault="0014684E" w:rsidP="0014684E">
            <w:pPr>
              <w:spacing w:line="480" w:lineRule="auto"/>
              <w:jc w:val="both"/>
            </w:pPr>
            <w:r w:rsidRPr="0014684E">
              <w:rPr>
                <w:sz w:val="20"/>
              </w:rPr>
              <w:t>Bidirectional Sanger sequencing successful in all samples</w:t>
            </w:r>
          </w:p>
        </w:tc>
      </w:tr>
      <w:tr w:rsidR="0014684E" w:rsidRPr="0014684E" w14:paraId="31300C90"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512A6FC7" w14:textId="77777777" w:rsidR="0014684E" w:rsidRPr="0014684E" w:rsidRDefault="0014684E" w:rsidP="0014684E">
            <w:pPr>
              <w:spacing w:line="480" w:lineRule="auto"/>
              <w:jc w:val="both"/>
            </w:pPr>
            <w:proofErr w:type="spellStart"/>
            <w:r w:rsidRPr="0014684E">
              <w:rPr>
                <w:sz w:val="20"/>
              </w:rPr>
              <w:t>BLASTn</w:t>
            </w:r>
            <w:proofErr w:type="spellEnd"/>
            <w:r w:rsidRPr="0014684E">
              <w:rPr>
                <w:sz w:val="20"/>
              </w:rPr>
              <w:t xml:space="preserve"> percentage identity</w:t>
            </w:r>
          </w:p>
        </w:tc>
        <w:tc>
          <w:tcPr>
            <w:tcW w:w="4651" w:type="dxa"/>
            <w:tcBorders>
              <w:top w:val="single" w:sz="4" w:space="0" w:color="000000"/>
              <w:left w:val="single" w:sz="4" w:space="0" w:color="000000"/>
              <w:bottom w:val="single" w:sz="4" w:space="0" w:color="000000"/>
              <w:right w:val="single" w:sz="4" w:space="0" w:color="000000"/>
            </w:tcBorders>
            <w:vAlign w:val="center"/>
          </w:tcPr>
          <w:p w14:paraId="640F11F0" w14:textId="77777777" w:rsidR="0014684E" w:rsidRPr="0014684E" w:rsidRDefault="0014684E" w:rsidP="0014684E">
            <w:pPr>
              <w:spacing w:line="480" w:lineRule="auto"/>
              <w:jc w:val="both"/>
            </w:pPr>
            <w:r w:rsidRPr="0014684E">
              <w:rPr>
                <w:sz w:val="20"/>
              </w:rPr>
              <w:t>99.64%-100%</w:t>
            </w:r>
          </w:p>
        </w:tc>
      </w:tr>
      <w:tr w:rsidR="0014684E" w:rsidRPr="0014684E" w14:paraId="7E2C7112"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1B5ECB21" w14:textId="77777777" w:rsidR="0014684E" w:rsidRPr="0014684E" w:rsidRDefault="0014684E" w:rsidP="0014684E">
            <w:pPr>
              <w:spacing w:line="480" w:lineRule="auto"/>
              <w:jc w:val="both"/>
            </w:pPr>
            <w:proofErr w:type="spellStart"/>
            <w:r w:rsidRPr="0014684E">
              <w:rPr>
                <w:sz w:val="20"/>
              </w:rPr>
              <w:t>BLASTn</w:t>
            </w:r>
            <w:proofErr w:type="spellEnd"/>
            <w:r w:rsidRPr="0014684E">
              <w:rPr>
                <w:sz w:val="20"/>
              </w:rPr>
              <w:t xml:space="preserve"> query coverage</w:t>
            </w:r>
          </w:p>
        </w:tc>
        <w:tc>
          <w:tcPr>
            <w:tcW w:w="4651" w:type="dxa"/>
            <w:tcBorders>
              <w:top w:val="single" w:sz="4" w:space="0" w:color="000000"/>
              <w:left w:val="single" w:sz="4" w:space="0" w:color="000000"/>
              <w:bottom w:val="single" w:sz="4" w:space="0" w:color="000000"/>
              <w:right w:val="single" w:sz="4" w:space="0" w:color="000000"/>
            </w:tcBorders>
            <w:vAlign w:val="center"/>
          </w:tcPr>
          <w:p w14:paraId="1EA36A29" w14:textId="77777777" w:rsidR="0014684E" w:rsidRPr="0014684E" w:rsidRDefault="0014684E" w:rsidP="0014684E">
            <w:pPr>
              <w:spacing w:line="480" w:lineRule="auto"/>
              <w:jc w:val="both"/>
            </w:pPr>
            <w:r w:rsidRPr="0014684E">
              <w:rPr>
                <w:sz w:val="20"/>
              </w:rPr>
              <w:t>99%-100%</w:t>
            </w:r>
          </w:p>
        </w:tc>
      </w:tr>
      <w:tr w:rsidR="0014684E" w:rsidRPr="0014684E" w14:paraId="4B4804C4"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09FAB900" w14:textId="77777777" w:rsidR="0014684E" w:rsidRPr="0014684E" w:rsidRDefault="0014684E" w:rsidP="0014684E">
            <w:pPr>
              <w:spacing w:line="480" w:lineRule="auto"/>
              <w:jc w:val="both"/>
            </w:pPr>
            <w:proofErr w:type="spellStart"/>
            <w:r w:rsidRPr="0014684E">
              <w:rPr>
                <w:sz w:val="20"/>
              </w:rPr>
              <w:t>BLASTn</w:t>
            </w:r>
            <w:proofErr w:type="spellEnd"/>
            <w:r w:rsidRPr="0014684E">
              <w:rPr>
                <w:sz w:val="20"/>
              </w:rPr>
              <w:t xml:space="preserve"> E-value</w:t>
            </w:r>
          </w:p>
        </w:tc>
        <w:tc>
          <w:tcPr>
            <w:tcW w:w="4651" w:type="dxa"/>
            <w:tcBorders>
              <w:top w:val="single" w:sz="4" w:space="0" w:color="000000"/>
              <w:left w:val="single" w:sz="4" w:space="0" w:color="000000"/>
              <w:bottom w:val="single" w:sz="4" w:space="0" w:color="000000"/>
              <w:right w:val="single" w:sz="4" w:space="0" w:color="000000"/>
            </w:tcBorders>
            <w:vAlign w:val="center"/>
          </w:tcPr>
          <w:p w14:paraId="7297F968" w14:textId="77777777" w:rsidR="0014684E" w:rsidRPr="0014684E" w:rsidRDefault="0014684E" w:rsidP="0014684E">
            <w:pPr>
              <w:spacing w:line="480" w:lineRule="auto"/>
              <w:jc w:val="both"/>
            </w:pPr>
            <w:r w:rsidRPr="0014684E">
              <w:rPr>
                <w:sz w:val="20"/>
              </w:rPr>
              <w:t>0</w:t>
            </w:r>
          </w:p>
        </w:tc>
      </w:tr>
      <w:tr w:rsidR="0014684E" w:rsidRPr="0014684E" w14:paraId="632051B1" w14:textId="77777777" w:rsidTr="004209D5">
        <w:trPr>
          <w:jc w:val="center"/>
        </w:trPr>
        <w:tc>
          <w:tcPr>
            <w:tcW w:w="4391" w:type="dxa"/>
            <w:tcBorders>
              <w:top w:val="single" w:sz="4" w:space="0" w:color="000000"/>
              <w:left w:val="single" w:sz="4" w:space="0" w:color="000000"/>
              <w:bottom w:val="single" w:sz="4" w:space="0" w:color="000000"/>
              <w:right w:val="single" w:sz="4" w:space="0" w:color="000000"/>
            </w:tcBorders>
            <w:vAlign w:val="center"/>
          </w:tcPr>
          <w:p w14:paraId="24EBA1F4" w14:textId="77777777" w:rsidR="0014684E" w:rsidRPr="0014684E" w:rsidRDefault="0014684E" w:rsidP="0014684E">
            <w:pPr>
              <w:spacing w:line="480" w:lineRule="auto"/>
              <w:jc w:val="both"/>
            </w:pPr>
            <w:r w:rsidRPr="0014684E">
              <w:rPr>
                <w:sz w:val="20"/>
              </w:rPr>
              <w:t>Phylogenetic placement</w:t>
            </w:r>
          </w:p>
        </w:tc>
        <w:tc>
          <w:tcPr>
            <w:tcW w:w="4651" w:type="dxa"/>
            <w:tcBorders>
              <w:top w:val="single" w:sz="4" w:space="0" w:color="000000"/>
              <w:left w:val="single" w:sz="4" w:space="0" w:color="000000"/>
              <w:bottom w:val="single" w:sz="4" w:space="0" w:color="000000"/>
              <w:right w:val="single" w:sz="4" w:space="0" w:color="000000"/>
            </w:tcBorders>
            <w:vAlign w:val="center"/>
          </w:tcPr>
          <w:p w14:paraId="7EB0E3CE" w14:textId="77777777" w:rsidR="0014684E" w:rsidRPr="0014684E" w:rsidRDefault="0014684E" w:rsidP="0014684E">
            <w:pPr>
              <w:spacing w:line="480" w:lineRule="auto"/>
              <w:jc w:val="both"/>
            </w:pPr>
            <w:r w:rsidRPr="0014684E">
              <w:rPr>
                <w:sz w:val="20"/>
              </w:rPr>
              <w:t>All study sequences clustered within Homo sapiens reference clades</w:t>
            </w:r>
          </w:p>
        </w:tc>
      </w:tr>
    </w:tbl>
    <w:p w14:paraId="69EAD6E1" w14:textId="77777777" w:rsidR="0014684E" w:rsidRPr="0014684E" w:rsidRDefault="0014684E" w:rsidP="0014684E">
      <w:pPr>
        <w:spacing w:line="480" w:lineRule="auto"/>
        <w:jc w:val="both"/>
      </w:pPr>
    </w:p>
    <w:p w14:paraId="384B3D7D" w14:textId="77777777" w:rsidR="00F150B2" w:rsidRPr="0014684E" w:rsidRDefault="00F150B2" w:rsidP="0014684E">
      <w:pPr>
        <w:spacing w:line="480" w:lineRule="auto"/>
      </w:pPr>
    </w:p>
    <w:sectPr w:rsidR="00F150B2" w:rsidRPr="0014684E" w:rsidSect="0014684E">
      <w:footerReference w:type="default" r:id="rId5"/>
      <w:pgSz w:w="11910" w:h="1685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5EEF" w14:textId="77777777" w:rsidR="0014684E" w:rsidRDefault="0014684E">
    <w:pPr>
      <w:jc w:val="center"/>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4792"/>
    <w:multiLevelType w:val="hybridMultilevel"/>
    <w:tmpl w:val="A30EE1FA"/>
    <w:lvl w:ilvl="0" w:tplc="C1A2FD5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543168A"/>
    <w:multiLevelType w:val="hybridMultilevel"/>
    <w:tmpl w:val="C42C88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98282447">
    <w:abstractNumId w:val="0"/>
  </w:num>
  <w:num w:numId="2" w16cid:durableId="16602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4E"/>
    <w:rsid w:val="00000F1E"/>
    <w:rsid w:val="0014684E"/>
    <w:rsid w:val="004C5FDF"/>
    <w:rsid w:val="00B515E0"/>
    <w:rsid w:val="00B53AC2"/>
    <w:rsid w:val="00E9118F"/>
    <w:rsid w:val="00F150B2"/>
    <w:rsid w:val="00F60C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83DC"/>
  <w15:chartTrackingRefBased/>
  <w15:docId w15:val="{0E12B459-93C7-4DA2-BB1B-6BB1C880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84E"/>
    <w:pPr>
      <w:widowControl w:val="0"/>
      <w:autoSpaceDE w:val="0"/>
      <w:autoSpaceDN w:val="0"/>
      <w:spacing w:after="0" w:line="240" w:lineRule="auto"/>
    </w:pPr>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146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8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8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8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8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84E"/>
    <w:rPr>
      <w:rFonts w:eastAsiaTheme="majorEastAsia" w:cstheme="majorBidi"/>
      <w:color w:val="272727" w:themeColor="text1" w:themeTint="D8"/>
    </w:rPr>
  </w:style>
  <w:style w:type="paragraph" w:styleId="Title">
    <w:name w:val="Title"/>
    <w:basedOn w:val="Normal"/>
    <w:next w:val="Normal"/>
    <w:link w:val="TitleChar"/>
    <w:uiPriority w:val="10"/>
    <w:qFormat/>
    <w:rsid w:val="001468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84E"/>
    <w:pPr>
      <w:spacing w:before="160"/>
      <w:jc w:val="center"/>
    </w:pPr>
    <w:rPr>
      <w:i/>
      <w:iCs/>
      <w:color w:val="404040" w:themeColor="text1" w:themeTint="BF"/>
    </w:rPr>
  </w:style>
  <w:style w:type="character" w:customStyle="1" w:styleId="QuoteChar">
    <w:name w:val="Quote Char"/>
    <w:basedOn w:val="DefaultParagraphFont"/>
    <w:link w:val="Quote"/>
    <w:uiPriority w:val="29"/>
    <w:rsid w:val="0014684E"/>
    <w:rPr>
      <w:i/>
      <w:iCs/>
      <w:color w:val="404040" w:themeColor="text1" w:themeTint="BF"/>
    </w:rPr>
  </w:style>
  <w:style w:type="paragraph" w:styleId="ListParagraph">
    <w:name w:val="List Paragraph"/>
    <w:basedOn w:val="Normal"/>
    <w:uiPriority w:val="1"/>
    <w:qFormat/>
    <w:rsid w:val="0014684E"/>
    <w:pPr>
      <w:ind w:left="720"/>
      <w:contextualSpacing/>
    </w:pPr>
  </w:style>
  <w:style w:type="character" w:styleId="IntenseEmphasis">
    <w:name w:val="Intense Emphasis"/>
    <w:basedOn w:val="DefaultParagraphFont"/>
    <w:uiPriority w:val="21"/>
    <w:qFormat/>
    <w:rsid w:val="0014684E"/>
    <w:rPr>
      <w:i/>
      <w:iCs/>
      <w:color w:val="2F5496" w:themeColor="accent1" w:themeShade="BF"/>
    </w:rPr>
  </w:style>
  <w:style w:type="paragraph" w:styleId="IntenseQuote">
    <w:name w:val="Intense Quote"/>
    <w:basedOn w:val="Normal"/>
    <w:next w:val="Normal"/>
    <w:link w:val="IntenseQuoteChar"/>
    <w:uiPriority w:val="30"/>
    <w:qFormat/>
    <w:rsid w:val="00146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84E"/>
    <w:rPr>
      <w:i/>
      <w:iCs/>
      <w:color w:val="2F5496" w:themeColor="accent1" w:themeShade="BF"/>
    </w:rPr>
  </w:style>
  <w:style w:type="character" w:styleId="IntenseReference">
    <w:name w:val="Intense Reference"/>
    <w:basedOn w:val="DefaultParagraphFont"/>
    <w:uiPriority w:val="32"/>
    <w:qFormat/>
    <w:rsid w:val="0014684E"/>
    <w:rPr>
      <w:b/>
      <w:bCs/>
      <w:smallCaps/>
      <w:color w:val="2F5496" w:themeColor="accent1" w:themeShade="BF"/>
      <w:spacing w:val="5"/>
    </w:rPr>
  </w:style>
  <w:style w:type="paragraph" w:styleId="BodyText">
    <w:name w:val="Body Text"/>
    <w:basedOn w:val="Normal"/>
    <w:link w:val="BodyTextChar"/>
    <w:uiPriority w:val="1"/>
    <w:qFormat/>
    <w:rsid w:val="0014684E"/>
    <w:rPr>
      <w:szCs w:val="21"/>
    </w:rPr>
  </w:style>
  <w:style w:type="character" w:customStyle="1" w:styleId="BodyTextChar">
    <w:name w:val="Body Text Char"/>
    <w:basedOn w:val="DefaultParagraphFont"/>
    <w:link w:val="BodyText"/>
    <w:uiPriority w:val="1"/>
    <w:rsid w:val="0014684E"/>
    <w:rPr>
      <w:rFonts w:ascii="Times New Roman" w:eastAsia="Times New Roman" w:hAnsi="Times New Roman" w:cs="Times New Roman"/>
      <w:kern w:val="0"/>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2713</Words>
  <Characters>15466</Characters>
  <Application>Microsoft Office Word</Application>
  <DocSecurity>0</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3</cp:revision>
  <dcterms:created xsi:type="dcterms:W3CDTF">2026-07-29T08:05:00Z</dcterms:created>
  <dcterms:modified xsi:type="dcterms:W3CDTF">2026-07-29T08:08:00Z</dcterms:modified>
</cp:coreProperties>
</file>