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60"/>
        <w:jc w:val="center"/>
      </w:pPr>
      <w:r>
        <w:rPr>
          <w:rFonts w:ascii="Times New Roman" w:hAnsi="Times New Roman" w:eastAsia="Times New Roman"/>
          <w:b w:val="0"/>
          <w:i w:val="0"/>
          <w:sz w:val="28"/>
        </w:rPr>
        <w:t>Rational Emotive Behavior Therapy for Pregnancy Anxiety and Adaptive Coping</w:t>
      </w:r>
    </w:p>
    <w:p>
      <w:pPr>
        <w:keepNext/>
        <w:spacing w:before="120" w:after="60"/>
        <w:jc w:val="center"/>
      </w:pPr>
      <w:r>
        <w:rPr>
          <w:rFonts w:ascii="Times New Roman" w:hAnsi="Times New Roman" w:eastAsia="Times New Roman"/>
          <w:b/>
          <w:i w:val="0"/>
          <w:sz w:val="24"/>
        </w:rPr>
        <w:t>ABSTRACT</w:t>
      </w:r>
    </w:p>
    <w:p>
      <w:pPr>
        <w:spacing w:before="0" w:after="60" w:line="240" w:lineRule="auto"/>
        <w:ind w:firstLine="0"/>
        <w:jc w:val="both"/>
      </w:pPr>
      <w:r>
        <w:rPr>
          <w:rFonts w:ascii="Times New Roman" w:hAnsi="Times New Roman" w:eastAsia="Times New Roman"/>
          <w:b w:val="0"/>
          <w:i/>
          <w:sz w:val="20"/>
        </w:rPr>
        <w:t>Anxiety during pregnancy can interfere with emotional adaptation and coping, while structured psychological support remains limited in many antenatal settings. This study examined changes in pregnancy-related anxiety and coping following Rational Emotive Behavior Therapy (REBT). A non-randomized one-group quasi-experimental repeated-measures design was conducted with 16 pregnant women at 24–34 weeks of gestation who had moderate-to-very-high anxiety in the Nilam Sari Community Health Center catchment area, Bukittinggi, Indonesia, in 2015. Participants received six structured REBT sessions. Anxiety was assessed using the Pregnancy Anxiety Scale (PSA) and Pregnancy-Related Anxiety Scale (PRAS), while coping was assessed using the revised Ways of Coping instrument. Friedman and paired non-parametric tests were used. Median PSA scores declined from 47.5 at baseline to 24.0 after the intervention, and median PRAS scores declined from 28.0 to 21.0 (both p&lt;.001). Adaptive coping increased from 0/16 before REBT to 14/16 after REBT (p&lt;.001). These findings show marked pre-post improvement after REBT, although the absence of a control group prevents definitive causal inference.</w:t>
      </w:r>
    </w:p>
    <w:p>
      <w:pPr>
        <w:spacing w:after="120"/>
        <w:jc w:val="both"/>
      </w:pPr>
      <w:r>
        <w:rPr>
          <w:rFonts w:ascii="Times New Roman" w:hAnsi="Times New Roman" w:eastAsia="Times New Roman"/>
          <w:b/>
          <w:i/>
          <w:sz w:val="20"/>
        </w:rPr>
        <w:t xml:space="preserve">Keywords: </w:t>
      </w:r>
      <w:r>
        <w:rPr>
          <w:rFonts w:ascii="Times New Roman" w:hAnsi="Times New Roman" w:eastAsia="Times New Roman"/>
          <w:b w:val="0"/>
          <w:i/>
          <w:sz w:val="20"/>
        </w:rPr>
        <w:t>antenatal care; coping; maternal mental health; pregnancy anxiety; pregnant women; rational emotive behavior therapy</w:t>
      </w:r>
    </w:p>
    <w:p>
      <w:pPr>
        <w:keepNext/>
        <w:spacing w:before="120" w:after="60"/>
        <w:jc w:val="center"/>
      </w:pPr>
      <w:r>
        <w:rPr>
          <w:rFonts w:ascii="Times New Roman" w:hAnsi="Times New Roman" w:eastAsia="Times New Roman"/>
          <w:b/>
          <w:i w:val="0"/>
          <w:sz w:val="24"/>
        </w:rPr>
        <w:t>ABSTRAK</w:t>
      </w:r>
    </w:p>
    <w:p>
      <w:pPr>
        <w:spacing w:before="0" w:after="60" w:line="240" w:lineRule="auto"/>
        <w:ind w:firstLine="0"/>
        <w:jc w:val="both"/>
      </w:pPr>
      <w:r>
        <w:rPr>
          <w:rFonts w:ascii="Times New Roman" w:hAnsi="Times New Roman" w:eastAsia="Times New Roman"/>
          <w:b w:val="0"/>
          <w:i/>
          <w:sz w:val="20"/>
        </w:rPr>
        <w:t>Kecemasan selama kehamilan dapat mengganggu adaptasi emosional dan kemampuan coping, sedangkan dukungan psikologis terstruktur masih terbatas pada banyak layanan antenatal. Penelitian ini menilai perubahan kecemasan terkait kehamilan dan coping setelah Rational Emotive Behavior Therapy (REBT). Penelitian menggunakan desain kuasi-eksperimental nonrandomized one-group dengan pengukuran berulang pada 16 ibu hamil usia kehamilan 24–34 minggu yang memiliki kecemasan sedang hingga sangat tinggi di wilayah kerja Puskesmas Nilam Sari, Bukittinggi, pada 2015. Peserta mengikuti enam sesi REBT terstruktur. Kecemasan diukur menggunakan Pregnancy Anxiety Scale (PSA) dan Pregnancy-Related Anxiety Scale (PRAS), sedangkan coping diukur menggunakan instrumen Ways of Coping yang direvisi. Analisis menggunakan uji Friedman dan uji nonparametrik berpasangan. Median PSA menurun dari 47,5 menjadi 24,0 dan median PRAS dari 28,0 menjadi 21,0 (keduanya p&lt;0,001). Coping adaptif meningkat dari 0/16 sebelum REBT menjadi 14/16 setelah REBT (p&lt;0,001). Hasil menunjukkan perbaikan pre-post yang nyata, tetapi ketiadaan kelompok kontrol membatasi kesimpulan kausal.</w:t>
      </w:r>
    </w:p>
    <w:p>
      <w:pPr>
        <w:spacing w:after="160"/>
        <w:jc w:val="both"/>
      </w:pPr>
      <w:r>
        <w:rPr>
          <w:rFonts w:ascii="Times New Roman" w:hAnsi="Times New Roman" w:eastAsia="Times New Roman"/>
          <w:b/>
          <w:i/>
          <w:sz w:val="20"/>
        </w:rPr>
        <w:t xml:space="preserve">Kata kunci: </w:t>
      </w:r>
      <w:r>
        <w:rPr>
          <w:rFonts w:ascii="Times New Roman" w:hAnsi="Times New Roman" w:eastAsia="Times New Roman"/>
          <w:b w:val="0"/>
          <w:i/>
          <w:sz w:val="20"/>
        </w:rPr>
        <w:t>coping; ibu hamil; kecemasan kehamilan; kesehatan mental maternal; layanan antenatal; rational emotive behavior therapy</w:t>
      </w:r>
    </w:p>
    <w:p>
      <w:pPr>
        <w:sectPr>
          <w:type w:val="continuous"/>
          <w:pgSz w:w="11906" w:h="16838" w:code="9"/>
          <w:pgMar w:top="1701" w:right="1134" w:bottom="1134" w:left="1701" w:header="720" w:footer="720" w:gutter="0"/>
          <w:cols w:space="566" w:num="1"/>
          <w:docGrid w:linePitch="360"/>
        </w:sectPr>
      </w:pPr>
    </w:p>
    <w:p>
      <w:pPr>
        <w:keepNext/>
        <w:spacing w:before="120" w:after="60"/>
        <w:jc w:val="left"/>
      </w:pPr>
      <w:r>
        <w:rPr>
          <w:rFonts w:ascii="Times New Roman" w:hAnsi="Times New Roman" w:eastAsia="Times New Roman"/>
          <w:b/>
          <w:i w:val="0"/>
          <w:sz w:val="24"/>
        </w:rPr>
        <w:t>1. INTRODUCTION</w:t>
      </w:r>
    </w:p>
    <w:p>
      <w:pPr>
        <w:spacing w:before="0" w:after="60" w:line="240" w:lineRule="auto"/>
        <w:ind w:firstLine="283"/>
        <w:jc w:val="both"/>
      </w:pPr>
      <w:r>
        <w:rPr>
          <w:rFonts w:ascii="Times New Roman" w:hAnsi="Times New Roman" w:eastAsia="Times New Roman"/>
          <w:b w:val="0"/>
          <w:i w:val="0"/>
          <w:sz w:val="24"/>
        </w:rPr>
        <w:t>Pregnancy is a major life transition that combines physiological change with uncertainty about childbirth, fetal health, parenting, relationships, and social roles. Anxiety symptoms are therefore common during the antenatal period, but clinically meaningful anxiety is not simply an expected feature of pregnancy. A systematic review estimated that anxiety symptoms and disorders affect a substantial proportion of women during pregnancy and after birth, and risk is higher in the presence of previous psychological problems, limited support, socioeconomic strain, adverse reproductive experiences, and pregnancy complications (Biaggi et al., 2016; Dennis et al., 2017). More recent observational evidence also links perinatal mental-health problems with obstetric and neonatal complications, reinforcing the importance of early identification and appropriate support within routine maternal care (Runkle et al., 2023).</w:t>
      </w:r>
    </w:p>
    <w:p>
      <w:pPr>
        <w:spacing w:before="0" w:after="60" w:line="240" w:lineRule="auto"/>
        <w:ind w:firstLine="283"/>
        <w:jc w:val="both"/>
      </w:pPr>
      <w:r>
        <w:rPr>
          <w:rFonts w:ascii="Times New Roman" w:hAnsi="Times New Roman" w:eastAsia="Times New Roman"/>
          <w:b w:val="0"/>
          <w:i w:val="0"/>
          <w:sz w:val="24"/>
        </w:rPr>
        <w:t>Pregnancy-specific anxiety is conceptually distinct from general anxiety because its content centers on childbirth, fetal health, bodily changes, and the maternal role. Prospective studies have associated pregnancy-specific anxiety with adverse outcomes such as preterm birth, while validated pregnancy-focused instruments have been developed to capture these concerns more directly than general anxiety measures (Khalesi &amp; Bokaie, 2018; Mudra et al., 2019; Ravid et al., 2018). These concerns also interact with coping. Women may use problem-focused, emotion-focused, avoidant, spiritual, interpersonal, or meaning-based strategies, and qualitative research from low- and middle-income settings shows that autonomy, family support, and sociocultural context influence both anxiety and the way women respond to it (Rowther et al., 2020).</w:t>
      </w:r>
    </w:p>
    <w:p>
      <w:pPr>
        <w:spacing w:before="0" w:after="60" w:line="240" w:lineRule="auto"/>
        <w:ind w:firstLine="283"/>
        <w:jc w:val="both"/>
      </w:pPr>
      <w:r>
        <w:rPr>
          <w:rFonts w:ascii="Times New Roman" w:hAnsi="Times New Roman" w:eastAsia="Times New Roman"/>
          <w:b w:val="0"/>
          <w:i w:val="0"/>
          <w:sz w:val="24"/>
        </w:rPr>
        <w:t>Psychological interventions that target maladaptive appraisals and coping responses are relevant to antenatal care because anxiety is maintained not only by external stressors but also by the interpretation of those stressors. Rational Emotive Behavior Therapy (REBT), a cognitive-behavioral approach, proposes that rigid or irrational beliefs about activating events contribute to unhealthy negative emotions and unhelpful behavior. Contemporary evidence supports the relationship between irrational beliefs and psychological distress, while REBT and related cognitive-behavioral approaches have demonstrated benefits across anxiety and emotional problems (David et al., 2018; Oltean &amp; David, 2018; Stefan et al., 2019; Turner, 2016; Vîslă et al., 2016). REBT emphasizes identifying irrational beliefs, actively disputing them, and developing more flexible and rational alternatives that can support healthier emotional and behavioral responses.</w:t>
      </w:r>
    </w:p>
    <w:p>
      <w:pPr>
        <w:spacing w:before="0" w:after="60" w:line="240" w:lineRule="auto"/>
        <w:ind w:firstLine="283"/>
        <w:jc w:val="both"/>
      </w:pPr>
      <w:r>
        <w:rPr>
          <w:rFonts w:ascii="Times New Roman" w:hAnsi="Times New Roman" w:eastAsia="Times New Roman"/>
          <w:b w:val="0"/>
          <w:i w:val="0"/>
          <w:sz w:val="24"/>
        </w:rPr>
        <w:t>The relevance of cognitive-behavioral approaches to perinatal mental health has become increasingly clear. Randomized trials have reported improvements in perinatal anxiety following cognitive behavioral therapy, while other structured antenatal interventions—including mindfulness, psychoeducation, and cognitive-behavioral counseling—have reduced anxiety, stress, or fear of childbirth in pregnant women (Çankaya &amp; Şimşek, 2021; Gökbulut et al., 2024; Golshani et al., 2021; Green et al., 2020; Loughnan et al., 2019; Van der Meulen et al., 2023). Importantly, a 2025 randomized study specifically applying rational emotive therapy to anxious primiparous women reported lower post-intervention anxiety and improved delivery outcomes compared with routine care, providing contemporary support for the clinical relevance of REBT in pregnancy (Xiao et al., 2025). A recent Indonesian study likewise found lower third-trimester anxiety after a structured non-pharmacological intervention in primigravidas, providing additional context for psychologically informed antenatal support (Noorlinda &amp; Sartika, 2025).</w:t>
      </w:r>
    </w:p>
    <w:p>
      <w:pPr>
        <w:spacing w:before="0" w:after="60" w:line="240" w:lineRule="auto"/>
        <w:ind w:firstLine="283"/>
        <w:jc w:val="both"/>
      </w:pPr>
      <w:r>
        <w:rPr>
          <w:rFonts w:ascii="Times New Roman" w:hAnsi="Times New Roman" w:eastAsia="Times New Roman"/>
          <w:b w:val="0"/>
          <w:i w:val="0"/>
          <w:sz w:val="24"/>
        </w:rPr>
        <w:t>In Indonesia, midwives and primary-care teams are often the first health professionals to encounter psychological distress during pregnancy. Yet routine antenatal contacts may prioritize physical and obstetric assessment, while systematic management of anxiety and maladaptive coping remains inconsistent. At the time the present study was conducted in 2015, observations in the Nilam Sari Community Health Center catchment area indicated frequent pregnancy-related worry and a lack of structured psychological intervention. The historical dataset remains relevant because it evaluates a structured REBT program in a community antenatal setting and reports both anxiety and coping outcomes—two interrelated targets that are not always assessed together.</w:t>
      </w:r>
    </w:p>
    <w:p>
      <w:pPr>
        <w:spacing w:before="0" w:after="60" w:line="240" w:lineRule="auto"/>
        <w:ind w:firstLine="283"/>
        <w:jc w:val="both"/>
      </w:pPr>
      <w:r>
        <w:rPr>
          <w:rFonts w:ascii="Times New Roman" w:hAnsi="Times New Roman" w:eastAsia="Times New Roman"/>
          <w:b w:val="0"/>
          <w:i w:val="0"/>
          <w:sz w:val="24"/>
        </w:rPr>
        <w:t>This study therefore aimed to examine changes in pregnancy-related anxiety and coping among pregnant women before and after a structured REBT intervention. The study hypothesis was that anxiety scores would decrease and coping would shift toward a more adaptive pattern following the intervention. Because the design did not include a concurrent control group, the analysis is interpreted as within-group change rather than definitive evidence of causal effectiveness.</w:t>
      </w:r>
    </w:p>
    <w:p>
      <w:pPr>
        <w:keepNext/>
        <w:spacing w:before="120" w:after="60"/>
        <w:jc w:val="left"/>
      </w:pPr>
      <w:r>
        <w:rPr>
          <w:rFonts w:ascii="Times New Roman" w:hAnsi="Times New Roman" w:eastAsia="Times New Roman"/>
          <w:b/>
          <w:i w:val="0"/>
          <w:sz w:val="24"/>
        </w:rPr>
        <w:t>2. METHOD</w:t>
      </w:r>
    </w:p>
    <w:p>
      <w:pPr>
        <w:keepNext/>
        <w:spacing w:before="60" w:after="60"/>
        <w:jc w:val="left"/>
      </w:pPr>
      <w:r>
        <w:rPr>
          <w:rFonts w:ascii="Times New Roman" w:hAnsi="Times New Roman" w:eastAsia="Times New Roman"/>
          <w:b w:val="0"/>
          <w:i/>
          <w:sz w:val="24"/>
        </w:rPr>
        <w:t>2.1. Participant characteristics and research design</w:t>
      </w:r>
    </w:p>
    <w:p>
      <w:pPr>
        <w:spacing w:before="0" w:after="60" w:line="240" w:lineRule="auto"/>
        <w:ind w:firstLine="283"/>
        <w:jc w:val="both"/>
      </w:pPr>
      <w:r>
        <w:rPr>
          <w:rFonts w:ascii="Times New Roman" w:hAnsi="Times New Roman" w:eastAsia="Times New Roman"/>
          <w:b w:val="0"/>
          <w:i w:val="0"/>
          <w:sz w:val="24"/>
        </w:rPr>
        <w:t>This study used a non-randomized, one-group quasi-experimental repeated-measures design. The research was conducted in the catchment area of Nilam Sari Community Health Center, Bukittinggi City, West Sumatra, Indonesia. Recruitment began on October 22, 2015. Baseline assessment was conducted from October 23 to November 6, 2015, and the REBT intervention was implemented from November 17 to December 8, 2015. Participants were pregnant women at 24–34 weeks of gestation who screened in the moderate-to-very-high anxiety range according to the study protocol. The final analytic sample comprised 16 women.</w:t>
      </w:r>
    </w:p>
    <w:p>
      <w:pPr>
        <w:spacing w:before="0" w:after="60" w:line="240" w:lineRule="auto"/>
        <w:ind w:firstLine="283"/>
        <w:jc w:val="both"/>
      </w:pPr>
      <w:r>
        <w:rPr>
          <w:rFonts w:ascii="Times New Roman" w:hAnsi="Times New Roman" w:eastAsia="Times New Roman"/>
          <w:b w:val="0"/>
          <w:i w:val="0"/>
          <w:sz w:val="24"/>
        </w:rPr>
        <w:t>No additional exclusion criteria beyond failure to meet the inclusion criteria were documented. No control group was enrolled, and treatment allocation was not randomized.</w:t>
      </w:r>
    </w:p>
    <w:p>
      <w:pPr>
        <w:keepNext/>
        <w:spacing w:before="60" w:after="60"/>
        <w:jc w:val="left"/>
      </w:pPr>
      <w:r>
        <w:rPr>
          <w:rFonts w:ascii="Times New Roman" w:hAnsi="Times New Roman" w:eastAsia="Times New Roman"/>
          <w:b w:val="0"/>
          <w:i/>
          <w:sz w:val="24"/>
        </w:rPr>
        <w:t>2.2. Sampling procedures and setting</w:t>
      </w:r>
    </w:p>
    <w:p>
      <w:pPr>
        <w:spacing w:before="0" w:after="60" w:line="240" w:lineRule="auto"/>
        <w:ind w:firstLine="283"/>
        <w:jc w:val="both"/>
      </w:pPr>
      <w:r>
        <w:rPr>
          <w:rFonts w:ascii="Times New Roman" w:hAnsi="Times New Roman" w:eastAsia="Times New Roman"/>
          <w:b w:val="0"/>
          <w:i w:val="0"/>
          <w:sz w:val="24"/>
        </w:rPr>
        <w:t>Participants were recruited from the health-center catchment area based on the study eligibility criteria. The available recruitment records did not identify a probability sampling frame or provide the total number of women approached before the final sample of 16 was obtained; therefore, a response rate could not be calculated. The intervention was delivered through direct contact with participants, including home-based visits when needed. This community-based delivery was intended to reduce access barriers and allow the intervention to be individualized to each participant’s anxiety-related concerns.</w:t>
      </w:r>
    </w:p>
    <w:p>
      <w:pPr>
        <w:spacing w:before="0" w:after="60" w:line="240" w:lineRule="auto"/>
        <w:ind w:firstLine="283"/>
        <w:jc w:val="both"/>
      </w:pPr>
      <w:r>
        <w:rPr>
          <w:rFonts w:ascii="Times New Roman" w:hAnsi="Times New Roman" w:eastAsia="Times New Roman"/>
          <w:b w:val="0"/>
          <w:i w:val="0"/>
          <w:sz w:val="24"/>
        </w:rPr>
        <w:t xml:space="preserve">Ethical approval was obtained from the Medical and Health Research Ethics Committee, Faculty of Medicine, Public Health, and Nursing, Universitas Padjadjaran (Approval No. 281/UN6.C1.2.4/PP/2015). </w:t>
      </w:r>
    </w:p>
    <w:p>
      <w:pPr>
        <w:keepNext/>
        <w:spacing w:before="60" w:after="60"/>
        <w:jc w:val="left"/>
      </w:pPr>
      <w:r>
        <w:rPr>
          <w:rFonts w:ascii="Times New Roman" w:hAnsi="Times New Roman" w:eastAsia="Times New Roman"/>
          <w:b w:val="0"/>
          <w:i/>
          <w:sz w:val="24"/>
        </w:rPr>
        <w:t>2.3. Sample size, power, and precision</w:t>
      </w:r>
    </w:p>
    <w:p>
      <w:pPr>
        <w:spacing w:before="0" w:after="60" w:line="240" w:lineRule="auto"/>
        <w:ind w:firstLine="283"/>
        <w:jc w:val="both"/>
      </w:pPr>
      <w:r>
        <w:rPr>
          <w:rFonts w:ascii="Times New Roman" w:hAnsi="Times New Roman" w:eastAsia="Times New Roman"/>
          <w:b w:val="0"/>
          <w:i w:val="0"/>
          <w:sz w:val="24"/>
        </w:rPr>
        <w:t>The study analyzed all 16 participants represented in the original dataset. No a priori power calculation was documented in the original study report. Given the small sample and lack of a concurrent control group, inferential results are interpreted cautiously and are presented together with the observed direction and magnitude of within-participant change rather than as definitive causal estimates.</w:t>
      </w:r>
    </w:p>
    <w:p>
      <w:pPr>
        <w:keepNext/>
        <w:spacing w:before="60" w:after="60"/>
        <w:jc w:val="left"/>
      </w:pPr>
      <w:r>
        <w:rPr>
          <w:rFonts w:ascii="Times New Roman" w:hAnsi="Times New Roman" w:eastAsia="Times New Roman"/>
          <w:b w:val="0"/>
          <w:i/>
          <w:sz w:val="24"/>
        </w:rPr>
        <w:t>2.4. Intervention</w:t>
      </w:r>
    </w:p>
    <w:p>
      <w:pPr>
        <w:spacing w:before="0" w:after="60" w:line="240" w:lineRule="auto"/>
        <w:ind w:firstLine="283"/>
        <w:jc w:val="both"/>
      </w:pPr>
      <w:r>
        <w:rPr>
          <w:rFonts w:ascii="Times New Roman" w:hAnsi="Times New Roman" w:eastAsia="Times New Roman"/>
          <w:b w:val="0"/>
          <w:i w:val="0"/>
          <w:sz w:val="24"/>
        </w:rPr>
        <w:t>The intervention consisted of six structured REBT sessions based on the cognitive-emotive-behavioral framework. The program and therapist preparation were supervised by a psychologist. The sessions progressively introduced the relationship among activating events, beliefs, and emotional or behavioral consequences; identified pregnancy-related irrational beliefs; disputed those beliefs; and strengthened alternative rational beliefs and adaptive responses.</w:t>
      </w:r>
    </w:p>
    <w:p>
      <w:pPr>
        <w:spacing w:before="0" w:after="60" w:line="240" w:lineRule="auto"/>
        <w:ind w:firstLine="283"/>
        <w:jc w:val="both"/>
      </w:pPr>
      <w:r>
        <w:rPr>
          <w:rFonts w:ascii="Times New Roman" w:hAnsi="Times New Roman" w:eastAsia="Times New Roman"/>
          <w:b w:val="0"/>
          <w:i w:val="0"/>
          <w:sz w:val="24"/>
        </w:rPr>
        <w:t>In Session I, participants were introduced to the REBT A-B-C model and the connection between pregnancy-related events, beliefs, and emotional responses. Session II focused on identifying personal irrational beliefs associated with excessive worry. Session III emphasized active disputation of irrational beliefs and development of more realistic alternatives. Session IV strengthened rational beliefs through emotive techniques and rehearsal. Session V focused on applying rational thinking to interpersonal and social functioning, and Session VI consolidated skills for continued self-management. Anxiety was monitored repeatedly across baseline and treatment measurements, while coping quality was compared before and after the intervention.</w:t>
      </w:r>
    </w:p>
    <w:p>
      <w:pPr>
        <w:keepNext/>
        <w:spacing w:before="60" w:after="60"/>
        <w:jc w:val="left"/>
      </w:pPr>
      <w:r>
        <w:rPr>
          <w:rFonts w:ascii="Times New Roman" w:hAnsi="Times New Roman" w:eastAsia="Times New Roman"/>
          <w:b w:val="0"/>
          <w:i/>
          <w:sz w:val="24"/>
        </w:rPr>
        <w:t>2.5. Measures and covariates</w:t>
      </w:r>
    </w:p>
    <w:p>
      <w:pPr>
        <w:spacing w:before="0" w:after="60" w:line="240" w:lineRule="auto"/>
        <w:ind w:firstLine="283"/>
        <w:jc w:val="both"/>
      </w:pPr>
      <w:r>
        <w:rPr>
          <w:rFonts w:ascii="Times New Roman" w:hAnsi="Times New Roman" w:eastAsia="Times New Roman"/>
          <w:b w:val="0"/>
          <w:i w:val="0"/>
          <w:sz w:val="24"/>
        </w:rPr>
        <w:t>Anxiety was assessed with two pregnancy-focused measures reported in the original protocol: the Pregnancy Anxiety Scale (PSA) and the Pregnancy-Related Anxiety Scale (PRAS). The PSA was used to quantify the frequency or intensity of pregnancy-related anxious responses, while the PRAS assessed pregnancy-specific concerns. The original dataset contains repeated PSA and PRAS scores from baseline through the intervention phase. Contemporary research supports pregnancy-specific assessment and has demonstrated acceptable psychometric performance for instruments including the Prenatal Distress Questionnaire, PRAQ-R2, and PrAS; these later validation studies provide context but did not alter the measures used in the present study (Caparros-Gonzalez et al., 2019; Mudra et al., 2019; Weigl et al., 2023).</w:t>
      </w:r>
    </w:p>
    <w:p>
      <w:pPr>
        <w:spacing w:before="0" w:after="60" w:line="240" w:lineRule="auto"/>
        <w:ind w:firstLine="283"/>
        <w:jc w:val="both"/>
      </w:pPr>
      <w:r>
        <w:rPr>
          <w:rFonts w:ascii="Times New Roman" w:hAnsi="Times New Roman" w:eastAsia="Times New Roman"/>
          <w:b w:val="0"/>
          <w:i w:val="0"/>
          <w:sz w:val="24"/>
        </w:rPr>
        <w:t>Coping was assessed using the revised Ways of Coping instrument (reported in the original study as WCQR). Following the original scoring approach, coping was classified as adaptive or maladaptive for the pre-intervention and post-intervention comparison. Internal-consistency coefficients for PSA, PRAS, and WCQR were not reported for this 16-participant sample.</w:t>
      </w:r>
    </w:p>
    <w:p>
      <w:pPr>
        <w:spacing w:before="0" w:after="60" w:line="240" w:lineRule="auto"/>
        <w:ind w:firstLine="283"/>
        <w:jc w:val="both"/>
      </w:pPr>
      <w:r>
        <w:rPr>
          <w:rFonts w:ascii="Times New Roman" w:hAnsi="Times New Roman" w:eastAsia="Times New Roman"/>
          <w:b w:val="0"/>
          <w:i w:val="0"/>
          <w:sz w:val="24"/>
        </w:rPr>
        <w:t>Demographic and contextual variables available in the original dataset included maternal age, parity, employment, household income relative to the regional minimum wage, previous or current unpleasant pregnancy experiences, and reported cultural influence. These variables are described to characterize the sample; the small sample does not support reliable multivariable adjustment.</w:t>
      </w:r>
    </w:p>
    <w:p>
      <w:pPr>
        <w:keepNext/>
        <w:spacing w:before="60" w:after="60"/>
        <w:jc w:val="left"/>
      </w:pPr>
      <w:r>
        <w:rPr>
          <w:rFonts w:ascii="Times New Roman" w:hAnsi="Times New Roman" w:eastAsia="Times New Roman"/>
          <w:b w:val="0"/>
          <w:i/>
          <w:sz w:val="24"/>
        </w:rPr>
        <w:t>2.6. Data analysis</w:t>
      </w:r>
    </w:p>
    <w:p>
      <w:pPr>
        <w:spacing w:before="0" w:after="60" w:line="240" w:lineRule="auto"/>
        <w:ind w:firstLine="283"/>
        <w:jc w:val="both"/>
      </w:pPr>
      <w:r>
        <w:rPr>
          <w:rFonts w:ascii="Times New Roman" w:hAnsi="Times New Roman" w:eastAsia="Times New Roman"/>
          <w:b w:val="0"/>
          <w:i w:val="0"/>
          <w:sz w:val="24"/>
        </w:rPr>
        <w:t>Descriptive statistics were used to summarize participant characteristics and outcome distributions. Repeated PSA and PRAS scores were evaluated with the Friedman test, followed by paired non-parametric comparisons as reported in the original analysis. Changes in categorical coping status before and after REBT were evaluated using the Marginal Homogeneity test. Because the pre-post coping table contained sparse cells, interpretation focused on the paired categorical comparison rather than an odds-ratio estimate. Exact p values are reported when available; results reported as p&lt;.001 in the source tables are retained as such.</w:t>
      </w:r>
    </w:p>
    <w:p>
      <w:pPr>
        <w:keepNext/>
        <w:spacing w:before="120" w:after="60"/>
        <w:jc w:val="left"/>
      </w:pPr>
      <w:r>
        <w:rPr>
          <w:rFonts w:ascii="Times New Roman" w:hAnsi="Times New Roman" w:eastAsia="Times New Roman"/>
          <w:b/>
          <w:i w:val="0"/>
          <w:sz w:val="24"/>
        </w:rPr>
        <w:t>3. RESULTS OF STUDY</w:t>
      </w:r>
    </w:p>
    <w:p>
      <w:pPr>
        <w:spacing w:before="0" w:after="60" w:line="240" w:lineRule="auto"/>
        <w:ind w:firstLine="283"/>
        <w:jc w:val="both"/>
      </w:pPr>
      <w:r>
        <w:rPr>
          <w:rFonts w:ascii="Times New Roman" w:hAnsi="Times New Roman" w:eastAsia="Times New Roman"/>
          <w:b w:val="0"/>
          <w:i w:val="0"/>
          <w:sz w:val="24"/>
        </w:rPr>
        <w:t>All analyses were based on 16 pregnant women. Eleven participants (68.8%) were 20–35 years old and five (31.3%) were older than 35 years. Eight participants were multiparous, six primiparous, and two grand multiparous. Eleven were not employed and 14 reported household income at or above the regional minimum wage. Twelve participants reported an unpleasant experience during the current or a previous pregnancy. No participant reported cultural influence as a source of anxiety in the recorded dataset (Table 1).</w:t>
      </w:r>
    </w:p>
    <w:p>
      <w:pPr>
        <w:spacing w:before="0" w:after="60" w:line="240" w:lineRule="auto"/>
        <w:ind w:firstLine="283"/>
        <w:jc w:val="both"/>
      </w:pPr>
      <w:r>
        <w:rPr>
          <w:rFonts w:ascii="Times New Roman" w:hAnsi="Times New Roman" w:eastAsia="Times New Roman"/>
          <w:b w:val="0"/>
          <w:i w:val="0"/>
          <w:sz w:val="24"/>
        </w:rPr>
        <w:t>Pregnancy-related anxiety decreased across the repeated measurements (Table 2). For PSA, the median score was 47.5 at the first baseline measurement and 24.0 at the final recorded session. Mean PSA scores decreased from 46.4 (SD 9.1) to 26.4 (SD 5.7). For PRAS, the median score decreased from 28.0 to 21.0, with mean scores decreasing from 29.5 (SD 3.4) to 21.3 (SD 1.6). The overall repeated-measures Friedman tests were significant for both scales (p&lt;.001).</w:t>
      </w:r>
    </w:p>
    <w:p>
      <w:pPr>
        <w:spacing w:before="0" w:after="60" w:line="240" w:lineRule="auto"/>
        <w:ind w:firstLine="283"/>
        <w:jc w:val="both"/>
      </w:pPr>
      <w:r>
        <w:rPr>
          <w:rFonts w:ascii="Times New Roman" w:hAnsi="Times New Roman" w:eastAsia="Times New Roman"/>
          <w:b w:val="0"/>
          <w:i w:val="0"/>
          <w:sz w:val="24"/>
        </w:rPr>
        <w:t>The categorical distributions showed the same direction of change. On the PSA classification, the pre-intervention distribution included six participants with moderate anxiety, eight with high anxiety, and two with extremely high anxiety; after the intervention, 15 participants were classified as low anxiety and one as moderate. On the PRAS classification, nine participants had moderate, six high, and one extremely high anxiety before the intervention; afterward, 14 were in the low category and two were moderate (Table 3).</w:t>
      </w:r>
    </w:p>
    <w:p>
      <w:pPr>
        <w:spacing w:before="0" w:after="60" w:line="240" w:lineRule="auto"/>
        <w:ind w:firstLine="283"/>
        <w:jc w:val="both"/>
      </w:pPr>
      <w:r>
        <w:rPr>
          <w:rFonts w:ascii="Times New Roman" w:hAnsi="Times New Roman" w:eastAsia="Times New Roman"/>
          <w:b w:val="0"/>
          <w:i w:val="0"/>
          <w:sz w:val="24"/>
        </w:rPr>
        <w:t>Coping also shifted markedly after REBT. Before the intervention, all 16 participants were classified as having maladaptive coping. After the intervention, 14 (87.5%) were classified as adaptive and two (12.5%) remained maladaptive. The Marginal Homogeneity test indicated a statistically significant pre-post change (p&lt;.001) (Table 4).</w:t>
      </w:r>
    </w:p>
    <w:p>
      <w:pPr>
        <w:keepNext/>
        <w:spacing w:before="120" w:after="60"/>
        <w:jc w:val="left"/>
      </w:pPr>
      <w:r>
        <w:rPr>
          <w:rFonts w:ascii="Times New Roman" w:hAnsi="Times New Roman" w:eastAsia="Times New Roman"/>
          <w:b/>
          <w:i w:val="0"/>
          <w:sz w:val="24"/>
        </w:rPr>
        <w:t>4. DISCUSSION</w:t>
      </w:r>
    </w:p>
    <w:p>
      <w:pPr>
        <w:spacing w:before="0" w:after="60" w:line="240" w:lineRule="auto"/>
        <w:ind w:firstLine="283"/>
        <w:jc w:val="both"/>
      </w:pPr>
      <w:r>
        <w:rPr>
          <w:rFonts w:ascii="Times New Roman" w:hAnsi="Times New Roman" w:eastAsia="Times New Roman"/>
          <w:b w:val="0"/>
          <w:i w:val="0"/>
          <w:sz w:val="24"/>
        </w:rPr>
        <w:t>The principal finding was a consistent reduction in pregnancy-related anxiety scores across repeated measurements, accompanied by a shift from uniformly maladaptive coping before REBT to adaptive coping in most participants after the intervention. The direction of change was concordant across two anxiety measures, which strengthens the internal descriptive consistency of the findings. Nevertheless, because this was a one-group study, the results demonstrate temporal improvement after REBT rather than a definitive treatment effect relative to usual care or another intervention.</w:t>
      </w:r>
    </w:p>
    <w:p>
      <w:pPr>
        <w:spacing w:before="0" w:after="60" w:line="240" w:lineRule="auto"/>
        <w:ind w:firstLine="283"/>
        <w:jc w:val="both"/>
      </w:pPr>
      <w:r>
        <w:rPr>
          <w:rFonts w:ascii="Times New Roman" w:hAnsi="Times New Roman" w:eastAsia="Times New Roman"/>
          <w:b w:val="0"/>
          <w:i w:val="0"/>
          <w:sz w:val="24"/>
        </w:rPr>
        <w:t>The observed anxiety reduction is theoretically compatible with the REBT model. REBT proposes that distress is intensified by rigid, absolutistic, catastrophizing, or self-defeating beliefs rather than by activating events alone. Meta-analytic evidence has shown a robust association between irrational beliefs and psychological distress, while rational beliefs are inversely associated with distress (Oltean &amp; David, 2018; Vîslă et al., 2016). Broader evidence also supports REBT as an empirically grounded cognitive-behavioral approach across emotional problems (David et al., 2018; Turner, 2016). In the present intervention, participants were taught to identify and dispute irrational pregnancy-related beliefs and to rehearse more flexible alternatives. This mechanism is therefore plausible, although the study did not directly quantify change in irrational beliefs and cannot establish mediation.</w:t>
      </w:r>
    </w:p>
    <w:p>
      <w:pPr>
        <w:spacing w:before="0" w:after="60" w:line="240" w:lineRule="auto"/>
        <w:ind w:firstLine="283"/>
        <w:jc w:val="both"/>
      </w:pPr>
      <w:r>
        <w:rPr>
          <w:rFonts w:ascii="Times New Roman" w:hAnsi="Times New Roman" w:eastAsia="Times New Roman"/>
          <w:b w:val="0"/>
          <w:i w:val="0"/>
          <w:sz w:val="24"/>
        </w:rPr>
        <w:t>The findings are also consistent with contemporary cognitive-behavioral research in the perinatal period. Green et al. (2020) reported that cognitive behavioral group therapy improved anxiety and related symptoms among women with perinatal anxiety disorders. Loughnan et al. (2019) similarly found benefits from an internet-delivered CBT program for antenatal anxiety and depression, while Golshani et al. (2021) reported reduced stress and anxiety following CBT-based counseling during pregnancy. These trials used stronger controlled designs than the present study, but their results support the clinical rationale for targeting cognition and coping in antenatal mental-health interventions.</w:t>
      </w:r>
    </w:p>
    <w:p>
      <w:pPr>
        <w:spacing w:before="0" w:after="60" w:line="240" w:lineRule="auto"/>
        <w:ind w:firstLine="283"/>
        <w:jc w:val="both"/>
      </w:pPr>
      <w:r>
        <w:rPr>
          <w:rFonts w:ascii="Times New Roman" w:hAnsi="Times New Roman" w:eastAsia="Times New Roman"/>
          <w:b w:val="0"/>
          <w:i w:val="0"/>
          <w:sz w:val="24"/>
        </w:rPr>
        <w:t>Of particular relevance, Xiao et al. (2025) evaluated rational emotive therapy in anxious primiparous women using a randomized controlled design and found lower anxiety after the intervention than after routine prenatal care. That study was conducted a decade after the data in the present report and used a different intervention schedule and measurement tool, but it provides recent, pregnancy-specific corroboration that REBT principles can be applied within prenatal care. The convergence is important because direct REBT evidence in pregnant populations remains much more limited than the broader CBT literature.</w:t>
      </w:r>
    </w:p>
    <w:p>
      <w:pPr>
        <w:spacing w:before="0" w:after="60" w:line="240" w:lineRule="auto"/>
        <w:ind w:firstLine="283"/>
        <w:jc w:val="both"/>
      </w:pPr>
      <w:r>
        <w:rPr>
          <w:rFonts w:ascii="Times New Roman" w:hAnsi="Times New Roman" w:eastAsia="Times New Roman"/>
          <w:b w:val="0"/>
          <w:i w:val="0"/>
          <w:sz w:val="24"/>
        </w:rPr>
        <w:t>Other structured non-pharmacological interventions also show that antenatal anxiety is modifiable. Mindfulness-based stress reduction and mindfulness-oriented counseling have reduced pregnancy-related anxiety or improved psychological well-being in randomized studies (Akca et al., 2024; Feli et al., 2024; Gökbulut et al., 2024; Lönnberg et al., 2020; Pan et al., 2019; Van der Meulen et al., 2023). Other antenatal approaches, including spiritual intervention and therapeutic journaling, have also reported psychological or related maternal-infant benefits (Montazeri et al., 2020; Sanaeinasab et al., 2021). Antenatal education has been associated with lower anxiety, depression, stress, and fear of birth (Çankaya &amp; Şimşek, 2021). In Indonesia, Noorlinda and Sartika (2025) reported lower third-trimester anxiety after a structured hypnobirthing intervention. Collectively, these findings support integration of psychologically informed, non-pharmacological support into maternity care while also indicating that the specific active components and comparative effectiveness of different approaches require stronger trials.</w:t>
      </w:r>
    </w:p>
    <w:p>
      <w:pPr>
        <w:spacing w:before="0" w:after="60" w:line="240" w:lineRule="auto"/>
        <w:ind w:firstLine="283"/>
        <w:jc w:val="both"/>
      </w:pPr>
      <w:r>
        <w:rPr>
          <w:rFonts w:ascii="Times New Roman" w:hAnsi="Times New Roman" w:eastAsia="Times New Roman"/>
          <w:b w:val="0"/>
          <w:i w:val="0"/>
          <w:sz w:val="24"/>
        </w:rPr>
        <w:t>The coping findings add a second clinically relevant dimension. Anxiety during pregnancy is shaped by both threat appraisal and the resources women use to respond to stress. Qualitative work among symptomatic pregnant women in Pakistan documented the roles of decision-making autonomy, social support, problem solving, avoidance, religious practices, and interpersonal strategies in the lived experience of prenatal anxiety (Rowther et al., 2020). In the present study, the shift from maladaptive to adaptive coping after REBT is consistent with the intervention’s goal of replacing rigid and unhelpful responses with more flexible appraisal and problem management. However, coping was classified dichotomously and no independent long-term behavioral outcome was measured, so the durability and clinical significance of this change remain uncertain.</w:t>
      </w:r>
    </w:p>
    <w:p>
      <w:pPr>
        <w:spacing w:before="0" w:after="60" w:line="240" w:lineRule="auto"/>
        <w:ind w:firstLine="283"/>
        <w:jc w:val="both"/>
      </w:pPr>
      <w:r>
        <w:rPr>
          <w:rFonts w:ascii="Times New Roman" w:hAnsi="Times New Roman" w:eastAsia="Times New Roman"/>
          <w:b w:val="0"/>
          <w:i w:val="0"/>
          <w:sz w:val="24"/>
        </w:rPr>
        <w:t>The pregnancy-specific nature of the anxiety outcomes is also important. Pregnancy-related anxiety is not fully interchangeable with general anxiety and can focus on childbirth, fetal health, maternal competence, and appearance. Studies using pregnancy-specific instruments have demonstrated distinct psychometric properties, and prospective evidence has linked higher pregnancy-specific anxiety with preterm birth or other adverse outcomes (Khalesi &amp; Bokaie, 2018; Mudra et al., 2019; Ravid et al., 2018). The reduction observed in both PSA and PRAS therefore suggests that the intervention reached concerns directly relevant to pregnancy rather than only general emotional distress.</w:t>
      </w:r>
    </w:p>
    <w:p>
      <w:pPr>
        <w:spacing w:before="0" w:after="60" w:line="240" w:lineRule="auto"/>
        <w:ind w:firstLine="283"/>
        <w:jc w:val="both"/>
      </w:pPr>
      <w:r>
        <w:rPr>
          <w:rFonts w:ascii="Times New Roman" w:hAnsi="Times New Roman" w:eastAsia="Times New Roman"/>
          <w:b w:val="0"/>
          <w:i w:val="0"/>
          <w:sz w:val="24"/>
        </w:rPr>
        <w:t>From a service perspective, the study illustrates the feasibility of delivering a structured cognitive-behavioral intervention in a community antenatal setting. Participants were reached through the health-center catchment area and could be seen at home when needed. Such flexibility may be useful in settings where access to specialist perinatal mental-health care is limited. Psychological nursing and midwifery interventions delivered around childbirth have shown benefits in other settings, while work in Pakistan has demonstrated the feasibility of designing antenatal cognitive-behavioral interventions for delivery by non-specialist providers in routine prenatal services (Liu &amp; Yang, 2021; Noorlinda &amp; Sartika, 2025; Surkan et al., 2020). Implementation, however, should include clear training standards, referral pathways for severe symptoms, and supervision by qualified mental-health professionals.</w:t>
      </w:r>
    </w:p>
    <w:p>
      <w:pPr>
        <w:spacing w:before="0" w:after="60" w:line="240" w:lineRule="auto"/>
        <w:ind w:firstLine="283"/>
        <w:jc w:val="both"/>
      </w:pPr>
      <w:r>
        <w:rPr>
          <w:rFonts w:ascii="Times New Roman" w:hAnsi="Times New Roman" w:eastAsia="Times New Roman"/>
          <w:b w:val="0"/>
          <w:i w:val="0"/>
          <w:sz w:val="24"/>
        </w:rPr>
        <w:t>The historical timing of data collection requires explicit consideration. The study was conducted in 2015, and service organization, diagnostic practice, and the evidence base for perinatal mental-health interventions have developed since then. Accordingly, the dataset should not be interpreted as a description of current prevalence or current service coverage. Its value lies in the within-participant intervention data and in documenting an early application of REBT to pregnancy anxiety in an Indonesian primary-care context. Current literature provides contemporary context for the original findings.</w:t>
      </w:r>
    </w:p>
    <w:p>
      <w:pPr>
        <w:spacing w:before="0" w:after="60" w:line="240" w:lineRule="auto"/>
        <w:ind w:firstLine="283"/>
        <w:jc w:val="both"/>
      </w:pPr>
      <w:r>
        <w:rPr>
          <w:rFonts w:ascii="Times New Roman" w:hAnsi="Times New Roman" w:eastAsia="Times New Roman"/>
          <w:b w:val="0"/>
          <w:i w:val="0"/>
          <w:sz w:val="24"/>
        </w:rPr>
        <w:t>This study has several limitations. First, the absence of a concurrent control group means that maturation, repeated testing, regression to the mean, attention from the therapist, expectancy, and other time-related factors could contribute to improvement. Second, the sample was small and recruited from a single health-center catchment area, limiting precision and generalizability. Third, the study records did not provide a documented a priori power calculation, the number of women approached, or study-sample reliability coefficients for the instruments. Fourth, anxiety and coping were primarily self-reported and no blinded outcome assessment or long-term follow-up was documented. Fifth, intervention fidelity was not quantified with an independent fidelity measure. Sixth, the pre-post coping categories produced sparse cells, making an odds-ratio estimate unstable; interpretation therefore emphasizes the paired distribution and non-parametric result. Future studies should use adequately powered randomized or controlled designs, validated pregnancy-specific measures, explicit intervention-fidelity procedures, longer follow-up, and clinically meaningful functional outcomes.</w:t>
      </w:r>
    </w:p>
    <w:p>
      <w:pPr>
        <w:keepNext/>
        <w:spacing w:before="120" w:after="60"/>
        <w:jc w:val="left"/>
      </w:pPr>
      <w:r>
        <w:rPr>
          <w:rFonts w:ascii="Times New Roman" w:hAnsi="Times New Roman" w:eastAsia="Times New Roman"/>
          <w:b/>
          <w:i w:val="0"/>
          <w:sz w:val="24"/>
        </w:rPr>
        <w:t>5. CONCLUSIONS AND RECOMMENDATION</w:t>
      </w:r>
    </w:p>
    <w:p>
      <w:pPr>
        <w:spacing w:before="0" w:after="60" w:line="240" w:lineRule="auto"/>
        <w:ind w:firstLine="283"/>
        <w:jc w:val="both"/>
      </w:pPr>
      <w:r>
        <w:rPr>
          <w:rFonts w:ascii="Times New Roman" w:hAnsi="Times New Roman" w:eastAsia="Times New Roman"/>
          <w:b w:val="0"/>
          <w:i w:val="0"/>
          <w:sz w:val="24"/>
        </w:rPr>
        <w:t>Within this small one-group quasi-experimental study, pregnancy-related anxiety scores decreased across repeated measurements and coping shifted from maladaptive to adaptive patterns after six REBT sessions. The consistency of change across PSA, PRAS, and coping outcomes suggests that REBT may be a promising psychologically informed adjunct to antenatal support for pregnant women experiencing elevated anxiety. Because there was no control group, the findings should not be interpreted as definitive evidence that REBT alone caused the observed changes.</w:t>
      </w:r>
    </w:p>
    <w:p>
      <w:pPr>
        <w:spacing w:before="0" w:after="60" w:line="240" w:lineRule="auto"/>
        <w:ind w:firstLine="283"/>
        <w:jc w:val="both"/>
      </w:pPr>
      <w:r>
        <w:rPr>
          <w:rFonts w:ascii="Times New Roman" w:hAnsi="Times New Roman" w:eastAsia="Times New Roman"/>
          <w:b w:val="0"/>
          <w:i w:val="0"/>
          <w:sz w:val="24"/>
        </w:rPr>
        <w:t>Future research should evaluate REBT in larger randomized or controlled samples, document instrument reliability and intervention fidelity, include longer follow-up, and compare REBT with routine antenatal counseling or other evidence-based psychological approaches. In practice, pregnancy-anxiety screening and structured psychosocial support may be integrated into antenatal services when delivered by appropriately trained personnel with access to referral and mental-health supervision.</w:t>
      </w:r>
    </w:p>
    <w:p>
      <w:pPr>
        <w:keepNext/>
        <w:spacing w:before="120" w:after="60"/>
        <w:jc w:val="left"/>
      </w:pPr>
      <w:r>
        <w:rPr>
          <w:rFonts w:ascii="Times New Roman" w:hAnsi="Times New Roman" w:eastAsia="Times New Roman"/>
          <w:b/>
          <w:i w:val="0"/>
          <w:sz w:val="24"/>
        </w:rPr>
        <w:t>REFERENCES</w:t>
      </w:r>
    </w:p>
    <w:p>
      <w:pPr>
        <w:spacing w:after="0" w:line="240" w:lineRule="auto"/>
        <w:ind w:left="283" w:hanging="283"/>
        <w:jc w:val="left"/>
      </w:pPr>
      <w:r>
        <w:rPr>
          <w:rFonts w:ascii="Times New Roman" w:hAnsi="Times New Roman" w:eastAsia="Times New Roman"/>
          <w:b w:val="0"/>
          <w:i w:val="0"/>
          <w:sz w:val="20"/>
        </w:rPr>
        <w:t>Akca, E. İ., Gökbulut, N., &amp; Cengizhan, S. O. (2024). The effects of MBSR programme on prenatal comfort and fetal health anxiety in pregnant women. Journal of Reproductive and Infant Psychology, 42(3), 449–463. https://doi.org/10.1080/02646838.2023.2227219</w:t>
      </w:r>
    </w:p>
    <w:p>
      <w:pPr>
        <w:spacing w:after="0" w:line="240" w:lineRule="auto"/>
        <w:ind w:left="283" w:hanging="283"/>
        <w:jc w:val="left"/>
      </w:pPr>
      <w:r>
        <w:rPr>
          <w:rFonts w:ascii="Times New Roman" w:hAnsi="Times New Roman" w:eastAsia="Times New Roman"/>
          <w:b w:val="0"/>
          <w:i w:val="0"/>
          <w:sz w:val="20"/>
        </w:rPr>
        <w:t>Biaggi, A., Conroy, S., Pawlby, S., &amp; Pariante, C. M. (2016). Identifying the women at risk of antenatal anxiety and depression: A systematic review. Journal of Affective Disorders, 191, 62–77. https://doi.org/10.1016/j.jad.2015.11.014</w:t>
      </w:r>
    </w:p>
    <w:p>
      <w:pPr>
        <w:spacing w:after="0" w:line="240" w:lineRule="auto"/>
        <w:ind w:left="283" w:hanging="283"/>
        <w:jc w:val="left"/>
      </w:pPr>
      <w:r>
        <w:rPr>
          <w:rFonts w:ascii="Times New Roman" w:hAnsi="Times New Roman" w:eastAsia="Times New Roman"/>
          <w:b w:val="0"/>
          <w:i w:val="0"/>
          <w:sz w:val="20"/>
        </w:rPr>
        <w:t>Çankaya, S., &amp; Şimşek, B. (2021). Effects of antenatal education on fear of birth, depression, anxiety, stress, childbirth self-efficacy, and mode of delivery in primiparous pregnant women: A prospective randomized controlled study. Clinical Nursing Research, 30(6), 818–829. https://doi.org/10.1177/1054773820916984</w:t>
      </w:r>
    </w:p>
    <w:p>
      <w:pPr>
        <w:spacing w:after="0" w:line="240" w:lineRule="auto"/>
        <w:ind w:left="283" w:hanging="283"/>
        <w:jc w:val="left"/>
      </w:pPr>
      <w:r>
        <w:rPr>
          <w:rFonts w:ascii="Times New Roman" w:hAnsi="Times New Roman" w:eastAsia="Times New Roman"/>
          <w:b w:val="0"/>
          <w:i w:val="0"/>
          <w:sz w:val="20"/>
        </w:rPr>
        <w:t>Caparros-Gonzalez, R. A., Perra, O., Alderdice, F., Lynn, F., Lobel, M., García-García, I., &amp; Peralta-Ramírez, M. I. (2019). Psychometric validation of the Prenatal Distress Questionnaire (PDQ) in pregnant women in Spain. Women &amp; Health, 59(8), 937–952. https://doi.org/10.1080/03630242.2019.1584143</w:t>
      </w:r>
    </w:p>
    <w:p>
      <w:pPr>
        <w:spacing w:after="0" w:line="240" w:lineRule="auto"/>
        <w:ind w:left="283" w:hanging="283"/>
        <w:jc w:val="left"/>
      </w:pPr>
      <w:r>
        <w:rPr>
          <w:rFonts w:ascii="Times New Roman" w:hAnsi="Times New Roman" w:eastAsia="Times New Roman"/>
          <w:b w:val="0"/>
          <w:i w:val="0"/>
          <w:sz w:val="20"/>
        </w:rPr>
        <w:t>David, D., Cotet, C., Matu, S., Mogoase, C., &amp; Stefan, S. (2018). 50 years of rational-emotive and cognitive-behavioral therapy: A systematic review and meta-analysis. Journal of Clinical Psychology, 74(3), 304–318. https://doi.org/10.1002/jclp.22514</w:t>
      </w:r>
    </w:p>
    <w:p>
      <w:pPr>
        <w:spacing w:after="0" w:line="240" w:lineRule="auto"/>
        <w:ind w:left="283" w:hanging="283"/>
        <w:jc w:val="left"/>
      </w:pPr>
      <w:r>
        <w:rPr>
          <w:rFonts w:ascii="Times New Roman" w:hAnsi="Times New Roman" w:eastAsia="Times New Roman"/>
          <w:b w:val="0"/>
          <w:i w:val="0"/>
          <w:sz w:val="20"/>
        </w:rPr>
        <w:t>Dennis, C.-L., Falah-Hassani, K., &amp; Shiri, R. (2017). Prevalence of antenatal and postnatal anxiety: Systematic review and meta-analysis. The British Journal of Psychiatry, 210(5), 315–323. https://doi.org/10.1192/bjp.bp.116.187179</w:t>
      </w:r>
    </w:p>
    <w:p>
      <w:pPr>
        <w:spacing w:after="0" w:line="240" w:lineRule="auto"/>
        <w:ind w:left="283" w:hanging="283"/>
        <w:jc w:val="left"/>
      </w:pPr>
      <w:r>
        <w:rPr>
          <w:rFonts w:ascii="Times New Roman" w:hAnsi="Times New Roman" w:eastAsia="Times New Roman"/>
          <w:b w:val="0"/>
          <w:i w:val="0"/>
          <w:sz w:val="20"/>
        </w:rPr>
        <w:t>Feli, R., Heydarpour, S., Yazdanbakhsh, K., &amp; Heydarpour, F. (2024). The effect of mindfulness-based counselling on anxiety levels and childbirth satisfaction among primiparous pregnant women: A randomized controlled trial. BMC Psychiatry, 24, 964. https://doi.org/10.1186/s12888-024-06442-3</w:t>
      </w:r>
    </w:p>
    <w:p>
      <w:pPr>
        <w:spacing w:after="0" w:line="240" w:lineRule="auto"/>
        <w:ind w:left="283" w:hanging="283"/>
        <w:jc w:val="left"/>
      </w:pPr>
      <w:r>
        <w:rPr>
          <w:rFonts w:ascii="Times New Roman" w:hAnsi="Times New Roman" w:eastAsia="Times New Roman"/>
          <w:b w:val="0"/>
          <w:i w:val="0"/>
          <w:sz w:val="20"/>
        </w:rPr>
        <w:t>Gökbulut, N., Cengizhan, S. O., Akça, E. İ., &amp; Ceran, E. (2024). The effects of a mindfulness-based stress reduction program and deep relaxation exercises on pregnancy-related anxiety levels: A randomized controlled trial. International Journal of Nursing Practice, 30(5), e13238. https://doi.org/10.1111/ijn.13238</w:t>
      </w:r>
    </w:p>
    <w:p>
      <w:pPr>
        <w:spacing w:after="0" w:line="240" w:lineRule="auto"/>
        <w:ind w:left="283" w:hanging="283"/>
        <w:jc w:val="left"/>
      </w:pPr>
      <w:r>
        <w:rPr>
          <w:rFonts w:ascii="Times New Roman" w:hAnsi="Times New Roman" w:eastAsia="Times New Roman"/>
          <w:b w:val="0"/>
          <w:i w:val="0"/>
          <w:sz w:val="20"/>
        </w:rPr>
        <w:t>Golshani, F., Hasanpour, S., Mirghafourvand, M., &amp; Esmaeilpour, K. (2021). Effect of cognitive behavioral therapy-based counseling on perceived stress in pregnant women with history of primary infertility: A controlled randomized clinical trial. BMC Psychiatry, 21, 278. https://doi.org/10.1186/s12888-021-03283-2</w:t>
      </w:r>
    </w:p>
    <w:p>
      <w:pPr>
        <w:spacing w:after="0" w:line="240" w:lineRule="auto"/>
        <w:ind w:left="283" w:hanging="283"/>
        <w:jc w:val="left"/>
      </w:pPr>
      <w:r>
        <w:rPr>
          <w:rFonts w:ascii="Times New Roman" w:hAnsi="Times New Roman" w:eastAsia="Times New Roman"/>
          <w:b w:val="0"/>
          <w:i w:val="0"/>
          <w:sz w:val="20"/>
        </w:rPr>
        <w:t>Green, S. M., Donegan, E., McCabe, R. E., Streiner, D. L., Agako, A., &amp; Frey, B. N. (2020). Cognitive behavioral therapy for perinatal anxiety: A randomized controlled trial. Australian &amp; New Zealand Journal of Psychiatry, 54(4), 423–432. https://doi.org/10.1177/0004867419898528</w:t>
      </w:r>
    </w:p>
    <w:p>
      <w:pPr>
        <w:spacing w:after="0" w:line="240" w:lineRule="auto"/>
        <w:ind w:left="283" w:hanging="283"/>
        <w:jc w:val="left"/>
      </w:pPr>
      <w:r>
        <w:rPr>
          <w:rFonts w:ascii="Times New Roman" w:hAnsi="Times New Roman" w:eastAsia="Times New Roman"/>
          <w:b w:val="0"/>
          <w:i w:val="0"/>
          <w:sz w:val="20"/>
        </w:rPr>
        <w:t>Khalesi, Z. B., &amp; Bokaie, M. (2018). The association between pregnancy-specific anxiety and preterm birth: A cohort study. African Health Sciences, 18(3), 569–575. https://doi.org/10.4314/ahs.v18i3.14</w:t>
      </w:r>
    </w:p>
    <w:p>
      <w:pPr>
        <w:spacing w:after="0" w:line="240" w:lineRule="auto"/>
        <w:ind w:left="283" w:hanging="283"/>
        <w:jc w:val="left"/>
      </w:pPr>
      <w:r>
        <w:rPr>
          <w:rFonts w:ascii="Times New Roman" w:hAnsi="Times New Roman" w:eastAsia="Times New Roman"/>
          <w:b w:val="0"/>
          <w:i w:val="0"/>
          <w:sz w:val="20"/>
        </w:rPr>
        <w:t>Liu, H., &amp; Yang, Y. (2021). Effects of a psychological nursing intervention on prevention of anxiety and depression in the postpartum period: A randomized controlled trial. Annals of General Psychiatry, 20, 2. https://doi.org/10.1186/s12991-020-00320-4</w:t>
      </w:r>
    </w:p>
    <w:p>
      <w:pPr>
        <w:spacing w:after="0" w:line="240" w:lineRule="auto"/>
        <w:ind w:left="283" w:hanging="283"/>
        <w:jc w:val="left"/>
      </w:pPr>
      <w:r>
        <w:rPr>
          <w:rFonts w:ascii="Times New Roman" w:hAnsi="Times New Roman" w:eastAsia="Times New Roman"/>
          <w:b w:val="0"/>
          <w:i w:val="0"/>
          <w:sz w:val="20"/>
        </w:rPr>
        <w:t>Lönnberg, G., Jonas, W., Unternaehrer, E., Bränström, R., Nissen, E., &amp; Niemi, M. (2020). Effects of a mindfulness-based childbirth and parenting program on pregnant women’s perceived stress and risk of perinatal depression: Results from a randomized controlled trial. Journal of Affective Disorders, 262, 133–142. https://doi.org/10.1016/j.jad.2019.10.048</w:t>
      </w:r>
    </w:p>
    <w:p>
      <w:pPr>
        <w:spacing w:after="0" w:line="240" w:lineRule="auto"/>
        <w:ind w:left="283" w:hanging="283"/>
        <w:jc w:val="left"/>
      </w:pPr>
      <w:r>
        <w:rPr>
          <w:rFonts w:ascii="Times New Roman" w:hAnsi="Times New Roman" w:eastAsia="Times New Roman"/>
          <w:b w:val="0"/>
          <w:i w:val="0"/>
          <w:sz w:val="20"/>
        </w:rPr>
        <w:t>Loughnan, S. A., Sie, A., Hobbs, M. J., Joubert, A. E., Smith, J., Haskelberg, H., Mahoney, A. E. J., Kladnitski, N., Holt, C. J., Milgrom, J., Austin, M.-P., Andrews, G., &amp; Newby, J. M. (2019). A randomized controlled trial of MUMentum Pregnancy: Internet-delivered cognitive behavioral therapy program for antenatal anxiety and depression. Journal of Affective Disorders, 243, 381–390. https://doi.org/10.1016/j.jad.2018.09.057</w:t>
      </w:r>
    </w:p>
    <w:p>
      <w:pPr>
        <w:spacing w:after="0" w:line="240" w:lineRule="auto"/>
        <w:ind w:left="283" w:hanging="283"/>
        <w:jc w:val="left"/>
      </w:pPr>
      <w:r>
        <w:rPr>
          <w:rFonts w:ascii="Times New Roman" w:hAnsi="Times New Roman" w:eastAsia="Times New Roman"/>
          <w:b w:val="0"/>
          <w:i w:val="0"/>
          <w:sz w:val="20"/>
        </w:rPr>
        <w:t>Montazeri, M., Mirghafourvand, M., Esmaeilpour, K., Mohammad-Alizadeh-Charandabi, S., &amp; Amiri, P. (2020). Effects of journal therapy counseling with anxious pregnant women on their infants’ sleep quality: A randomized controlled clinical trial. BMC Pediatrics, 20, 229. https://doi.org/10.1186/s12887-020-02132-7</w:t>
      </w:r>
    </w:p>
    <w:p>
      <w:pPr>
        <w:spacing w:after="0" w:line="240" w:lineRule="auto"/>
        <w:ind w:left="283" w:hanging="283"/>
        <w:jc w:val="left"/>
      </w:pPr>
      <w:r>
        <w:rPr>
          <w:rFonts w:ascii="Times New Roman" w:hAnsi="Times New Roman" w:eastAsia="Times New Roman"/>
          <w:b w:val="0"/>
          <w:i w:val="0"/>
          <w:sz w:val="20"/>
        </w:rPr>
        <w:t>Mudra, S., Göbel, A., Barthel, D., Hecher, K., Schulte-Markwort, M., Goletzke, J., Arck, P., &amp; Diemert, A. (2019). Psychometric properties of the German version of the Pregnancy-Related Anxiety Questionnaire-Revised 2 (PRAQ-R2) in the third trimester of pregnancy. BMC Pregnancy and Childbirth, 19, 242. https://doi.org/10.1186/s12884-019-2368-6</w:t>
      </w:r>
    </w:p>
    <w:p>
      <w:pPr>
        <w:spacing w:after="0" w:line="240" w:lineRule="auto"/>
        <w:ind w:left="283" w:hanging="283"/>
        <w:jc w:val="left"/>
      </w:pPr>
      <w:r>
        <w:rPr>
          <w:rFonts w:ascii="Times New Roman" w:hAnsi="Times New Roman" w:eastAsia="Times New Roman"/>
          <w:b w:val="0"/>
          <w:i w:val="0"/>
          <w:sz w:val="20"/>
        </w:rPr>
        <w:t>Noorlinda, N., &amp; Sartika, S. (2025). Effectiveness of hypnobirthing for reducing anxiety before childbirth in third trimester primigravida: A quantitative study in Indonesia. Journal of Current Health Sciences, 5(2), 123–130. https://doi.org/10.47679/jchs.2025124</w:t>
      </w:r>
    </w:p>
    <w:p>
      <w:pPr>
        <w:spacing w:after="0" w:line="240" w:lineRule="auto"/>
        <w:ind w:left="283" w:hanging="283"/>
        <w:jc w:val="left"/>
      </w:pPr>
      <w:r>
        <w:rPr>
          <w:rFonts w:ascii="Times New Roman" w:hAnsi="Times New Roman" w:eastAsia="Times New Roman"/>
          <w:b w:val="0"/>
          <w:i w:val="0"/>
          <w:sz w:val="20"/>
        </w:rPr>
        <w:t>Oltean, H. R., &amp; David, D. O. (2018). A meta-analysis of the relationship between rational beliefs and psychological distress. Journal of Clinical Psychology, 74(6), 883–895. https://doi.org/10.1002/jclp.22562</w:t>
      </w:r>
    </w:p>
    <w:p>
      <w:pPr>
        <w:spacing w:after="0" w:line="240" w:lineRule="auto"/>
        <w:ind w:left="283" w:hanging="283"/>
        <w:jc w:val="left"/>
      </w:pPr>
      <w:r>
        <w:rPr>
          <w:rFonts w:ascii="Times New Roman" w:hAnsi="Times New Roman" w:eastAsia="Times New Roman"/>
          <w:b w:val="0"/>
          <w:i w:val="0"/>
          <w:sz w:val="20"/>
        </w:rPr>
        <w:t>Pan, W.-L., Gau, M.-L., Lee, T.-Y., Jou, H.-J., Liu, C.-Y., &amp; Wen, T.-K. (2019). Mindfulness-based programme on the psychological health of pregnant women. Women and Birth, 32(1), e102–e109. https://doi.org/10.1016/j.wombi.2018.04.018</w:t>
      </w:r>
    </w:p>
    <w:p>
      <w:pPr>
        <w:spacing w:after="0" w:line="240" w:lineRule="auto"/>
        <w:ind w:left="283" w:hanging="283"/>
        <w:jc w:val="left"/>
      </w:pPr>
      <w:r>
        <w:rPr>
          <w:rFonts w:ascii="Times New Roman" w:hAnsi="Times New Roman" w:eastAsia="Times New Roman"/>
          <w:b w:val="0"/>
          <w:i w:val="0"/>
          <w:sz w:val="20"/>
        </w:rPr>
        <w:t>Ravid, E., Salzer, L., Arnon, L., Eisner, M., Wiznitzer, A., Weller, A., Koren, L., &amp; Hadar, E. (2018). Is there an association between maternal anxiety propensity and pregnancy outcomes? BMC Pregnancy and Childbirth, 18, 287. https://doi.org/10.1186/s12884-018-1925-8</w:t>
      </w:r>
    </w:p>
    <w:p>
      <w:pPr>
        <w:spacing w:after="0" w:line="240" w:lineRule="auto"/>
        <w:ind w:left="283" w:hanging="283"/>
        <w:jc w:val="left"/>
      </w:pPr>
      <w:r>
        <w:rPr>
          <w:rFonts w:ascii="Times New Roman" w:hAnsi="Times New Roman" w:eastAsia="Times New Roman"/>
          <w:b w:val="0"/>
          <w:i w:val="0"/>
          <w:sz w:val="20"/>
        </w:rPr>
        <w:t>Rowther, A. A., Kazi, A. K., Nazir, H., Atiq, M., Atif, N., Rauf, N., Malik, A., &amp; Surkan, P. J. (2020). “A woman is a puppet.” Women’s disempowerment and prenatal anxiety in Pakistan: A qualitative study of sources, mitigators, and coping strategies for anxiety in pregnancy. International Journal of Environmental Research and Public Health, 17(14), 4926. https://doi.org/10.3390/ijerph17144926</w:t>
      </w:r>
    </w:p>
    <w:p>
      <w:pPr>
        <w:spacing w:after="0" w:line="240" w:lineRule="auto"/>
        <w:ind w:left="283" w:hanging="283"/>
        <w:jc w:val="left"/>
      </w:pPr>
      <w:r>
        <w:rPr>
          <w:rFonts w:ascii="Times New Roman" w:hAnsi="Times New Roman" w:eastAsia="Times New Roman"/>
          <w:b w:val="0"/>
          <w:i w:val="0"/>
          <w:sz w:val="20"/>
        </w:rPr>
        <w:t>Runkle, J. D., Risley, K., Roy, M., &amp; Sugg, M. M. (2023). Association between perinatal mental health and pregnancy and neonatal complications: A retrospective birth cohort study. Women’s Health Issues, 33(3), 289–299. https://doi.org/10.1016/j.whi.2022.12.001</w:t>
      </w:r>
    </w:p>
    <w:p>
      <w:pPr>
        <w:spacing w:after="0" w:line="240" w:lineRule="auto"/>
        <w:ind w:left="283" w:hanging="283"/>
        <w:jc w:val="left"/>
      </w:pPr>
      <w:r>
        <w:rPr>
          <w:rFonts w:ascii="Times New Roman" w:hAnsi="Times New Roman" w:eastAsia="Times New Roman"/>
          <w:b w:val="0"/>
          <w:i w:val="0"/>
          <w:sz w:val="20"/>
        </w:rPr>
        <w:t>Sanaeinasab, H., Saffari, M., Sheykh-Oliya, Z., Khalaji, K., Laluie, A., Al Zaben, F., &amp; Koenig, H. G. (2021). A spiritual intervention to reduce stress, anxiety and depression in pregnant women: Randomized controlled trial. Health Care for Women International, 42(12), 1340–1357. https://doi.org/10.1080/07399332.2020.1836643</w:t>
      </w:r>
    </w:p>
    <w:p>
      <w:pPr>
        <w:spacing w:after="0" w:line="240" w:lineRule="auto"/>
        <w:ind w:left="283" w:hanging="283"/>
        <w:jc w:val="left"/>
      </w:pPr>
      <w:r>
        <w:rPr>
          <w:rFonts w:ascii="Times New Roman" w:hAnsi="Times New Roman" w:eastAsia="Times New Roman"/>
          <w:b w:val="0"/>
          <w:i w:val="0"/>
          <w:sz w:val="20"/>
        </w:rPr>
        <w:t>Stefan, S., Cristea, I. A., Szentagotai Tatar, A., &amp; David, D. (2019). Cognitive-behavioral therapy (CBT) for generalized anxiety disorder: Contrasting various CBT approaches in a randomized clinical trial. Journal of Clinical Psychology, 75(7), 1188–1202. https://doi.org/10.1002/jclp.22779</w:t>
      </w:r>
    </w:p>
    <w:p>
      <w:pPr>
        <w:spacing w:after="0" w:line="240" w:lineRule="auto"/>
        <w:ind w:left="283" w:hanging="283"/>
        <w:jc w:val="left"/>
      </w:pPr>
      <w:r>
        <w:rPr>
          <w:rFonts w:ascii="Times New Roman" w:hAnsi="Times New Roman" w:eastAsia="Times New Roman"/>
          <w:b w:val="0"/>
          <w:i w:val="0"/>
          <w:sz w:val="20"/>
        </w:rPr>
        <w:t>Surkan, P. J., Hamdani, S. U., Huma, Z.-E., Nazir, H., Atif, N., Rowther, A. A., Chaudhri, R., Zafar, S., Mullany, L. C., Malik, A., &amp; Rahman, A. (2020). Cognitive-behavioral therapy-based intervention to treat symptoms of anxiety in pregnancy in a prenatal clinic using non-specialist providers in Pakistan: Design of a randomised trial. BMJ Open, 10(4), e037590. https://doi.org/10.1136/bmjopen-2020-037590</w:t>
      </w:r>
    </w:p>
    <w:p>
      <w:pPr>
        <w:spacing w:after="0" w:line="240" w:lineRule="auto"/>
        <w:ind w:left="283" w:hanging="283"/>
        <w:jc w:val="left"/>
      </w:pPr>
      <w:r>
        <w:rPr>
          <w:rFonts w:ascii="Times New Roman" w:hAnsi="Times New Roman" w:eastAsia="Times New Roman"/>
          <w:b w:val="0"/>
          <w:i w:val="0"/>
          <w:sz w:val="20"/>
        </w:rPr>
        <w:t>Turner, M. J. (2016). Rational emotive behavior therapy (REBT), irrational and rational beliefs, and the mental health of athletes. Frontiers in Psychology, 7, 1423. https://doi.org/10.3389/fpsyg.2016.01423</w:t>
      </w:r>
    </w:p>
    <w:p>
      <w:pPr>
        <w:spacing w:after="0" w:line="240" w:lineRule="auto"/>
        <w:ind w:left="283" w:hanging="283"/>
        <w:jc w:val="left"/>
      </w:pPr>
      <w:r>
        <w:rPr>
          <w:rFonts w:ascii="Times New Roman" w:hAnsi="Times New Roman" w:eastAsia="Times New Roman"/>
          <w:b w:val="0"/>
          <w:i w:val="0"/>
          <w:sz w:val="20"/>
        </w:rPr>
        <w:t>Van der Meulen, R. T., Veringa-Skiba, I. K., Van Steensel, F. J. A., Bögels, S. M., &amp; De Bruin, E. I. (2023). Mindfulness-based childbirth and parenting for pregnant women with high fear of childbirth and their partners: Outcomes of a randomized controlled trial assessing short- and longer-term effects on psychological well-being, birth and pregnancy experience. Midwifery, 116, 103545. https://doi.org/10.1016/j.midw.2022.103545</w:t>
      </w:r>
    </w:p>
    <w:p>
      <w:pPr>
        <w:spacing w:after="0" w:line="240" w:lineRule="auto"/>
        <w:ind w:left="283" w:hanging="283"/>
        <w:jc w:val="left"/>
      </w:pPr>
      <w:r>
        <w:rPr>
          <w:rFonts w:ascii="Times New Roman" w:hAnsi="Times New Roman" w:eastAsia="Times New Roman"/>
          <w:b w:val="0"/>
          <w:i w:val="0"/>
          <w:sz w:val="20"/>
        </w:rPr>
        <w:t>Vîslă, A., Flückiger, C., Grosse Holtforth, M., &amp; David, D. (2016). Irrational beliefs and psychological distress: A meta-analysis. Psychotherapy and Psychosomatics, 85(1), 8–15. https://doi.org/10.1159/000441231</w:t>
      </w:r>
    </w:p>
    <w:p>
      <w:pPr>
        <w:spacing w:after="0" w:line="240" w:lineRule="auto"/>
        <w:ind w:left="283" w:hanging="283"/>
        <w:jc w:val="left"/>
      </w:pPr>
      <w:r>
        <w:rPr>
          <w:rFonts w:ascii="Times New Roman" w:hAnsi="Times New Roman" w:eastAsia="Times New Roman"/>
          <w:b w:val="0"/>
          <w:i w:val="0"/>
          <w:sz w:val="20"/>
        </w:rPr>
        <w:t>Weigl, T., Garthus-Niegel, S., Riedel-Heller, S. G., &amp; Junge-Hoffmeister, J. (2023). Validation of the German version of the pregnancy-related anxiety scale (PrAS): Psychometric properties across all trimesters of pregnancy. BMC Pregnancy and Childbirth, 23, 449. https://doi.org/10.1186/s12884-023-05787-z</w:t>
      </w:r>
    </w:p>
    <w:p>
      <w:pPr>
        <w:spacing w:after="0" w:line="240" w:lineRule="auto"/>
        <w:ind w:left="283" w:hanging="283"/>
        <w:jc w:val="left"/>
      </w:pPr>
      <w:r>
        <w:rPr>
          <w:rFonts w:ascii="Times New Roman" w:hAnsi="Times New Roman" w:eastAsia="Times New Roman"/>
          <w:b w:val="0"/>
          <w:i w:val="0"/>
          <w:sz w:val="20"/>
        </w:rPr>
        <w:t>Xiao, L., Zhang, G., Liu, G., &amp; Zhu, S. (2025). Effects of rational emotional therapy on anxiety and delivery outcome of pregnant women. International Journal of Women’s Health, 17, 5797–5806. https://doi.org/10.2147/IJWH.S552114</w:t>
      </w:r>
    </w:p>
    <w:p>
      <w:pPr>
        <w:sectPr>
          <w:type w:val="continuous"/>
          <w:pgSz w:w="11906" w:h="16838" w:code="9"/>
          <w:pgMar w:top="1701" w:right="1134" w:bottom="1134" w:left="1701" w:header="720" w:footer="720" w:gutter="0"/>
          <w:cols w:space="566" w:num="2"/>
          <w:docGrid w:linePitch="360"/>
        </w:sectPr>
      </w:pPr>
    </w:p>
    <w:p>
      <w:pPr>
        <w:keepNext/>
        <w:spacing w:after="40"/>
        <w:jc w:val="left"/>
      </w:pPr>
      <w:r>
        <w:rPr>
          <w:rFonts w:ascii="Times New Roman" w:hAnsi="Times New Roman" w:eastAsia="Times New Roman"/>
          <w:b/>
          <w:i w:val="0"/>
          <w:sz w:val="20"/>
        </w:rPr>
        <w:t>Table 1</w:t>
        <w:br/>
        <w:t>Participant characteristics (n = 16)</w:t>
      </w:r>
    </w:p>
    <w:tbl>
      <w:tblPr>
        <w:tblW w:type="auto" w:w="0"/>
        <w:jc w:val="center"/>
        <w:tblLayout w:type="autofit"/>
        <w:tblLook w:firstColumn="1" w:firstRow="1" w:lastColumn="0" w:lastRow="0" w:noHBand="0" w:noVBand="1" w:val="04A0"/>
        <w:tblBorders>
          <w:left w:val="nil"/>
          <w:right w:val="nil"/>
          <w:insideV w:val="nil"/>
          <w:insideH w:val="nil"/>
          <w:top w:val="single" w:sz="8" w:space="0" w:color="000000"/>
          <w:bottom w:val="single" w:sz="8" w:space="0" w:color="000000"/>
        </w:tblBorders>
      </w:tblPr>
      <w:tblGrid>
        <w:gridCol w:w="2268"/>
        <w:gridCol w:w="2268"/>
        <w:gridCol w:w="2268"/>
        <w:gridCol w:w="2268"/>
      </w:tblGrid>
      <w:tr>
        <w:trPr>
          <w:trBorders>
            <w:bottom w:val="single" w:sz="8" w:color="000000"/>
          </w:trBorders>
        </w:trPr>
        <w:tc>
          <w:tcPr>
            <w:tcW w:type="dxa" w:w="2268"/>
            <w:vAlign w:val="center"/>
            <w:tcMar>
              <w:top w:w="40" w:type="dxa"/>
              <w:start w:w="60" w:type="dxa"/>
              <w:bottom w:w="40" w:type="dxa"/>
              <w:end w:w="60" w:type="dxa"/>
            </w:tcMar>
          </w:tcPr>
          <w:p>
            <w:pPr>
              <w:spacing w:after="0" w:line="240" w:lineRule="auto"/>
              <w:jc w:val="left"/>
            </w:pPr>
            <w:r>
              <w:rPr>
                <w:rFonts w:ascii="Times New Roman" w:hAnsi="Times New Roman" w:eastAsia="Times New Roman"/>
                <w:b/>
                <w:i w:val="0"/>
                <w:sz w:val="20"/>
              </w:rPr>
              <w:t>Characteristic</w:t>
            </w:r>
          </w:p>
        </w:tc>
        <w:tc>
          <w:tcPr>
            <w:tcW w:type="dxa" w:w="2268"/>
            <w:vAlign w:val="center"/>
            <w:tcMar>
              <w:top w:w="40" w:type="dxa"/>
              <w:start w:w="60" w:type="dxa"/>
              <w:bottom w:w="40" w:type="dxa"/>
              <w:end w:w="60" w:type="dxa"/>
            </w:tcMar>
          </w:tcPr>
          <w:p>
            <w:pPr>
              <w:spacing w:after="0" w:line="240" w:lineRule="auto"/>
              <w:jc w:val="left"/>
            </w:pPr>
            <w:r>
              <w:rPr>
                <w:rFonts w:ascii="Times New Roman" w:hAnsi="Times New Roman" w:eastAsia="Times New Roman"/>
                <w:b/>
                <w:i w:val="0"/>
                <w:sz w:val="20"/>
              </w:rPr>
              <w:t>Category</w:t>
            </w:r>
          </w:p>
        </w:tc>
        <w:tc>
          <w:tcPr>
            <w:tcW w:type="dxa" w:w="2268"/>
            <w:vAlign w:val="center"/>
            <w:tcMar>
              <w:top w:w="40" w:type="dxa"/>
              <w:start w:w="60" w:type="dxa"/>
              <w:bottom w:w="40" w:type="dxa"/>
              <w:end w:w="60" w:type="dxa"/>
            </w:tcMar>
          </w:tcPr>
          <w:p>
            <w:pPr>
              <w:spacing w:after="0" w:line="240" w:lineRule="auto"/>
              <w:jc w:val="center"/>
            </w:pPr>
            <w:r>
              <w:rPr>
                <w:rFonts w:ascii="Times New Roman" w:hAnsi="Times New Roman" w:eastAsia="Times New Roman"/>
                <w:b/>
                <w:i w:val="0"/>
                <w:sz w:val="20"/>
              </w:rPr>
              <w:t>n</w:t>
            </w:r>
          </w:p>
        </w:tc>
        <w:tc>
          <w:tcPr>
            <w:tcW w:type="dxa" w:w="2268"/>
            <w:vAlign w:val="center"/>
            <w:tcMar>
              <w:top w:w="40" w:type="dxa"/>
              <w:start w:w="60" w:type="dxa"/>
              <w:bottom w:w="40" w:type="dxa"/>
              <w:end w:w="60" w:type="dxa"/>
            </w:tcMar>
          </w:tcPr>
          <w:p>
            <w:pPr>
              <w:spacing w:after="0" w:line="240" w:lineRule="auto"/>
              <w:jc w:val="center"/>
            </w:pPr>
            <w:r>
              <w:rPr>
                <w:rFonts w:ascii="Times New Roman" w:hAnsi="Times New Roman" w:eastAsia="Times New Roman"/>
                <w:b/>
                <w:i w:val="0"/>
                <w:sz w:val="20"/>
              </w:rPr>
              <w:t>%</w:t>
            </w:r>
          </w:p>
        </w:tc>
      </w:tr>
      <w:tr>
        <w:tc>
          <w:tcPr>
            <w:tcW w:type="dxa" w:w="2268"/>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Age (years)</w:t>
            </w:r>
          </w:p>
        </w:tc>
        <w:tc>
          <w:tcPr>
            <w:tcW w:type="dxa" w:w="2268"/>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20–35</w:t>
            </w:r>
          </w:p>
        </w:tc>
        <w:tc>
          <w:tcPr>
            <w:tcW w:type="dxa" w:w="2268"/>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11</w:t>
            </w:r>
          </w:p>
        </w:tc>
        <w:tc>
          <w:tcPr>
            <w:tcW w:type="dxa" w:w="2268"/>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68.8</w:t>
            </w:r>
          </w:p>
        </w:tc>
      </w:tr>
      <w:tr>
        <w:tc>
          <w:tcPr>
            <w:tcW w:type="dxa" w:w="2268"/>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r>
          </w:p>
        </w:tc>
        <w:tc>
          <w:tcPr>
            <w:tcW w:type="dxa" w:w="2268"/>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&gt;35</w:t>
            </w:r>
          </w:p>
        </w:tc>
        <w:tc>
          <w:tcPr>
            <w:tcW w:type="dxa" w:w="2268"/>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5</w:t>
            </w:r>
          </w:p>
        </w:tc>
        <w:tc>
          <w:tcPr>
            <w:tcW w:type="dxa" w:w="2268"/>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31.3</w:t>
            </w:r>
          </w:p>
        </w:tc>
      </w:tr>
      <w:tr>
        <w:tc>
          <w:tcPr>
            <w:tcW w:type="dxa" w:w="2268"/>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Parity</w:t>
            </w:r>
          </w:p>
        </w:tc>
        <w:tc>
          <w:tcPr>
            <w:tcW w:type="dxa" w:w="2268"/>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Primipara</w:t>
            </w:r>
          </w:p>
        </w:tc>
        <w:tc>
          <w:tcPr>
            <w:tcW w:type="dxa" w:w="2268"/>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6</w:t>
            </w:r>
          </w:p>
        </w:tc>
        <w:tc>
          <w:tcPr>
            <w:tcW w:type="dxa" w:w="2268"/>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37.5</w:t>
            </w:r>
          </w:p>
        </w:tc>
      </w:tr>
      <w:tr>
        <w:tc>
          <w:tcPr>
            <w:tcW w:type="dxa" w:w="2268"/>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r>
          </w:p>
        </w:tc>
        <w:tc>
          <w:tcPr>
            <w:tcW w:type="dxa" w:w="2268"/>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Multipara</w:t>
            </w:r>
          </w:p>
        </w:tc>
        <w:tc>
          <w:tcPr>
            <w:tcW w:type="dxa" w:w="2268"/>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8</w:t>
            </w:r>
          </w:p>
        </w:tc>
        <w:tc>
          <w:tcPr>
            <w:tcW w:type="dxa" w:w="2268"/>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50.0</w:t>
            </w:r>
          </w:p>
        </w:tc>
      </w:tr>
      <w:tr>
        <w:tc>
          <w:tcPr>
            <w:tcW w:type="dxa" w:w="2268"/>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r>
          </w:p>
        </w:tc>
        <w:tc>
          <w:tcPr>
            <w:tcW w:type="dxa" w:w="2268"/>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Grand multipara</w:t>
            </w:r>
          </w:p>
        </w:tc>
        <w:tc>
          <w:tcPr>
            <w:tcW w:type="dxa" w:w="2268"/>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2</w:t>
            </w:r>
          </w:p>
        </w:tc>
        <w:tc>
          <w:tcPr>
            <w:tcW w:type="dxa" w:w="2268"/>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12.5</w:t>
            </w:r>
          </w:p>
        </w:tc>
      </w:tr>
      <w:tr>
        <w:tc>
          <w:tcPr>
            <w:tcW w:type="dxa" w:w="2268"/>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Employment</w:t>
            </w:r>
          </w:p>
        </w:tc>
        <w:tc>
          <w:tcPr>
            <w:tcW w:type="dxa" w:w="2268"/>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Employed</w:t>
            </w:r>
          </w:p>
        </w:tc>
        <w:tc>
          <w:tcPr>
            <w:tcW w:type="dxa" w:w="2268"/>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5</w:t>
            </w:r>
          </w:p>
        </w:tc>
        <w:tc>
          <w:tcPr>
            <w:tcW w:type="dxa" w:w="2268"/>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31.3</w:t>
            </w:r>
          </w:p>
        </w:tc>
      </w:tr>
      <w:tr>
        <w:tc>
          <w:tcPr>
            <w:tcW w:type="dxa" w:w="2268"/>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r>
          </w:p>
        </w:tc>
        <w:tc>
          <w:tcPr>
            <w:tcW w:type="dxa" w:w="2268"/>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Not employed</w:t>
            </w:r>
          </w:p>
        </w:tc>
        <w:tc>
          <w:tcPr>
            <w:tcW w:type="dxa" w:w="2268"/>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11</w:t>
            </w:r>
          </w:p>
        </w:tc>
        <w:tc>
          <w:tcPr>
            <w:tcW w:type="dxa" w:w="2268"/>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68.8</w:t>
            </w:r>
          </w:p>
        </w:tc>
      </w:tr>
      <w:tr>
        <w:tc>
          <w:tcPr>
            <w:tcW w:type="dxa" w:w="2268"/>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Household income</w:t>
            </w:r>
          </w:p>
        </w:tc>
        <w:tc>
          <w:tcPr>
            <w:tcW w:type="dxa" w:w="2268"/>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&lt; regional minimum wage</w:t>
            </w:r>
          </w:p>
        </w:tc>
        <w:tc>
          <w:tcPr>
            <w:tcW w:type="dxa" w:w="2268"/>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2</w:t>
            </w:r>
          </w:p>
        </w:tc>
        <w:tc>
          <w:tcPr>
            <w:tcW w:type="dxa" w:w="2268"/>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12.5</w:t>
            </w:r>
          </w:p>
        </w:tc>
      </w:tr>
      <w:tr>
        <w:tc>
          <w:tcPr>
            <w:tcW w:type="dxa" w:w="2268"/>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r>
          </w:p>
        </w:tc>
        <w:tc>
          <w:tcPr>
            <w:tcW w:type="dxa" w:w="2268"/>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 regional minimum wage</w:t>
            </w:r>
          </w:p>
        </w:tc>
        <w:tc>
          <w:tcPr>
            <w:tcW w:type="dxa" w:w="2268"/>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14</w:t>
            </w:r>
          </w:p>
        </w:tc>
        <w:tc>
          <w:tcPr>
            <w:tcW w:type="dxa" w:w="2268"/>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87.5</w:t>
            </w:r>
          </w:p>
        </w:tc>
      </w:tr>
      <w:tr>
        <w:tc>
          <w:tcPr>
            <w:tcW w:type="dxa" w:w="2268"/>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Unpleasant current/previous pregnancy experience</w:t>
            </w:r>
          </w:p>
        </w:tc>
        <w:tc>
          <w:tcPr>
            <w:tcW w:type="dxa" w:w="2268"/>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Yes</w:t>
            </w:r>
          </w:p>
        </w:tc>
        <w:tc>
          <w:tcPr>
            <w:tcW w:type="dxa" w:w="2268"/>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12</w:t>
            </w:r>
          </w:p>
        </w:tc>
        <w:tc>
          <w:tcPr>
            <w:tcW w:type="dxa" w:w="2268"/>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75.0</w:t>
            </w:r>
          </w:p>
        </w:tc>
      </w:tr>
      <w:tr>
        <w:tc>
          <w:tcPr>
            <w:tcW w:type="dxa" w:w="2268"/>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r>
          </w:p>
        </w:tc>
        <w:tc>
          <w:tcPr>
            <w:tcW w:type="dxa" w:w="2268"/>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No</w:t>
            </w:r>
          </w:p>
        </w:tc>
        <w:tc>
          <w:tcPr>
            <w:tcW w:type="dxa" w:w="2268"/>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4</w:t>
            </w:r>
          </w:p>
        </w:tc>
        <w:tc>
          <w:tcPr>
            <w:tcW w:type="dxa" w:w="2268"/>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25.0</w:t>
            </w:r>
          </w:p>
        </w:tc>
      </w:tr>
      <w:tr>
        <w:tc>
          <w:tcPr>
            <w:tcW w:type="dxa" w:w="2268"/>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Reported cultural influence</w:t>
            </w:r>
          </w:p>
        </w:tc>
        <w:tc>
          <w:tcPr>
            <w:tcW w:type="dxa" w:w="2268"/>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Yes</w:t>
            </w:r>
          </w:p>
        </w:tc>
        <w:tc>
          <w:tcPr>
            <w:tcW w:type="dxa" w:w="2268"/>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0</w:t>
            </w:r>
          </w:p>
        </w:tc>
        <w:tc>
          <w:tcPr>
            <w:tcW w:type="dxa" w:w="2268"/>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0.0</w:t>
            </w:r>
          </w:p>
        </w:tc>
      </w:tr>
      <w:tr>
        <w:tc>
          <w:tcPr>
            <w:tcW w:type="dxa" w:w="2268"/>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r>
          </w:p>
        </w:tc>
        <w:tc>
          <w:tcPr>
            <w:tcW w:type="dxa" w:w="2268"/>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No</w:t>
            </w:r>
          </w:p>
        </w:tc>
        <w:tc>
          <w:tcPr>
            <w:tcW w:type="dxa" w:w="2268"/>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16</w:t>
            </w:r>
          </w:p>
        </w:tc>
        <w:tc>
          <w:tcPr>
            <w:tcW w:type="dxa" w:w="2268"/>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100.0</w:t>
            </w:r>
          </w:p>
        </w:tc>
      </w:tr>
    </w:tbl>
    <w:p>
      <w:pPr>
        <w:spacing w:before="40" w:after="120"/>
        <w:jc w:val="left"/>
      </w:pPr>
      <w:r>
        <w:rPr>
          <w:rFonts w:ascii="Times New Roman" w:hAnsi="Times New Roman" w:eastAsia="Times New Roman"/>
          <w:b w:val="0"/>
          <w:i w:val="0"/>
          <w:sz w:val="20"/>
        </w:rPr>
        <w:t>Note. Percentages are based on n=16; minor discrepancies from 100% are due to rounding.</w:t>
      </w:r>
    </w:p>
    <w:p>
      <w:pPr>
        <w:keepNext/>
        <w:spacing w:after="40"/>
        <w:jc w:val="left"/>
      </w:pPr>
      <w:r>
        <w:rPr>
          <w:rFonts w:ascii="Times New Roman" w:hAnsi="Times New Roman" w:eastAsia="Times New Roman"/>
          <w:b/>
          <w:i w:val="0"/>
          <w:sz w:val="20"/>
        </w:rPr>
        <w:t>Table 2</w:t>
        <w:br/>
        <w:t>Repeated anxiety scores across baseline and REBT measurements</w:t>
      </w:r>
    </w:p>
    <w:tbl>
      <w:tblPr>
        <w:tblW w:type="auto" w:w="0"/>
        <w:jc w:val="center"/>
        <w:tblLayout w:type="autofit"/>
        <w:tblLook w:firstColumn="1" w:firstRow="1" w:lastColumn="0" w:lastRow="0" w:noHBand="0" w:noVBand="1" w:val="04A0"/>
        <w:tblBorders>
          <w:left w:val="nil"/>
          <w:right w:val="nil"/>
          <w:insideV w:val="nil"/>
          <w:insideH w:val="nil"/>
          <w:top w:val="single" w:sz="8" w:space="0" w:color="000000"/>
          <w:bottom w:val="single" w:sz="8" w:space="0" w:color="000000"/>
        </w:tblBorders>
      </w:tblPr>
      <w:tblGrid>
        <w:gridCol w:w="1814"/>
        <w:gridCol w:w="1814"/>
        <w:gridCol w:w="1814"/>
        <w:gridCol w:w="1814"/>
        <w:gridCol w:w="1814"/>
      </w:tblGrid>
      <w:tr>
        <w:trPr>
          <w:trBorders>
            <w:bottom w:val="single" w:sz="8" w:color="000000"/>
          </w:trBorders>
        </w:trPr>
        <w:tc>
          <w:tcPr>
            <w:tcW w:type="dxa" w:w="1814"/>
            <w:vAlign w:val="center"/>
            <w:tcMar>
              <w:top w:w="40" w:type="dxa"/>
              <w:start w:w="60" w:type="dxa"/>
              <w:bottom w:w="40" w:type="dxa"/>
              <w:end w:w="60" w:type="dxa"/>
            </w:tcMar>
          </w:tcPr>
          <w:p>
            <w:pPr>
              <w:spacing w:after="0" w:line="240" w:lineRule="auto"/>
              <w:jc w:val="left"/>
            </w:pPr>
            <w:r>
              <w:rPr>
                <w:rFonts w:ascii="Times New Roman" w:hAnsi="Times New Roman" w:eastAsia="Times New Roman"/>
                <w:b/>
                <w:i w:val="0"/>
                <w:sz w:val="20"/>
              </w:rPr>
              <w:t>Measure</w:t>
            </w:r>
          </w:p>
        </w:tc>
        <w:tc>
          <w:tcPr>
            <w:tcW w:type="dxa" w:w="1814"/>
            <w:vAlign w:val="center"/>
            <w:tcMar>
              <w:top w:w="40" w:type="dxa"/>
              <w:start w:w="60" w:type="dxa"/>
              <w:bottom w:w="40" w:type="dxa"/>
              <w:end w:w="60" w:type="dxa"/>
            </w:tcMar>
          </w:tcPr>
          <w:p>
            <w:pPr>
              <w:spacing w:after="0" w:line="240" w:lineRule="auto"/>
              <w:jc w:val="left"/>
            </w:pPr>
            <w:r>
              <w:rPr>
                <w:rFonts w:ascii="Times New Roman" w:hAnsi="Times New Roman" w:eastAsia="Times New Roman"/>
                <w:b/>
                <w:i w:val="0"/>
                <w:sz w:val="20"/>
              </w:rPr>
              <w:t>Time point</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i w:val="0"/>
                <w:sz w:val="20"/>
              </w:rPr>
              <w:t>Mean (SD)</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i w:val="0"/>
                <w:sz w:val="20"/>
              </w:rPr>
              <w:t>Median</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i w:val="0"/>
                <w:sz w:val="20"/>
              </w:rPr>
              <w:t>Range</w:t>
            </w:r>
          </w:p>
        </w:tc>
      </w:tr>
      <w:tr>
        <w:tc>
          <w:tcPr>
            <w:tcW w:type="dxa" w:w="1814"/>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PSA</w:t>
            </w:r>
          </w:p>
        </w:tc>
        <w:tc>
          <w:tcPr>
            <w:tcW w:type="dxa" w:w="1814"/>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Baseline I</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46.4 (9.1)</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47.5</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35–63</w:t>
            </w:r>
          </w:p>
        </w:tc>
      </w:tr>
      <w:tr>
        <w:tc>
          <w:tcPr>
            <w:tcW w:type="dxa" w:w="1814"/>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r>
          </w:p>
        </w:tc>
        <w:tc>
          <w:tcPr>
            <w:tcW w:type="dxa" w:w="1814"/>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Baseline II</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45.7 (9.1)</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47.5</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35–62</w:t>
            </w:r>
          </w:p>
        </w:tc>
      </w:tr>
      <w:tr>
        <w:tc>
          <w:tcPr>
            <w:tcW w:type="dxa" w:w="1814"/>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r>
          </w:p>
        </w:tc>
        <w:tc>
          <w:tcPr>
            <w:tcW w:type="dxa" w:w="1814"/>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Baseline III</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45.6 (9.0)</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46.5</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35–62</w:t>
            </w:r>
          </w:p>
        </w:tc>
      </w:tr>
      <w:tr>
        <w:tc>
          <w:tcPr>
            <w:tcW w:type="dxa" w:w="1814"/>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r>
          </w:p>
        </w:tc>
        <w:tc>
          <w:tcPr>
            <w:tcW w:type="dxa" w:w="1814"/>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Session III</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42.4 (9.0)</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42.5</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31–60</w:t>
            </w:r>
          </w:p>
        </w:tc>
      </w:tr>
      <w:tr>
        <w:tc>
          <w:tcPr>
            <w:tcW w:type="dxa" w:w="1814"/>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r>
          </w:p>
        </w:tc>
        <w:tc>
          <w:tcPr>
            <w:tcW w:type="dxa" w:w="1814"/>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Session IV</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36.6 (8.2)</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38.0</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28–52</w:t>
            </w:r>
          </w:p>
        </w:tc>
      </w:tr>
      <w:tr>
        <w:tc>
          <w:tcPr>
            <w:tcW w:type="dxa" w:w="1814"/>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r>
          </w:p>
        </w:tc>
        <w:tc>
          <w:tcPr>
            <w:tcW w:type="dxa" w:w="1814"/>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Session V</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30.9 (5.7)</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29.0</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25–47</w:t>
            </w:r>
          </w:p>
        </w:tc>
      </w:tr>
      <w:tr>
        <w:tc>
          <w:tcPr>
            <w:tcW w:type="dxa" w:w="1814"/>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r>
          </w:p>
        </w:tc>
        <w:tc>
          <w:tcPr>
            <w:tcW w:type="dxa" w:w="1814"/>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Session VI</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26.4 (5.7)</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24.0</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24–37</w:t>
            </w:r>
          </w:p>
        </w:tc>
      </w:tr>
      <w:tr>
        <w:tc>
          <w:tcPr>
            <w:tcW w:type="dxa" w:w="1814"/>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PRAS</w:t>
            </w:r>
          </w:p>
        </w:tc>
        <w:tc>
          <w:tcPr>
            <w:tcW w:type="dxa" w:w="1814"/>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Baseline I</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29.5 (3.4)</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28.0</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26–36</w:t>
            </w:r>
          </w:p>
        </w:tc>
      </w:tr>
      <w:tr>
        <w:tc>
          <w:tcPr>
            <w:tcW w:type="dxa" w:w="1814"/>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r>
          </w:p>
        </w:tc>
        <w:tc>
          <w:tcPr>
            <w:tcW w:type="dxa" w:w="1814"/>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Baseline II</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29.3 (3.3)</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28.0</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26–37</w:t>
            </w:r>
          </w:p>
        </w:tc>
      </w:tr>
      <w:tr>
        <w:tc>
          <w:tcPr>
            <w:tcW w:type="dxa" w:w="1814"/>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r>
          </w:p>
        </w:tc>
        <w:tc>
          <w:tcPr>
            <w:tcW w:type="dxa" w:w="1814"/>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Baseline III</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29.1 (3.0)</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28.0</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26–37</w:t>
            </w:r>
          </w:p>
        </w:tc>
      </w:tr>
      <w:tr>
        <w:tc>
          <w:tcPr>
            <w:tcW w:type="dxa" w:w="1814"/>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r>
          </w:p>
        </w:tc>
        <w:tc>
          <w:tcPr>
            <w:tcW w:type="dxa" w:w="1814"/>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Session III</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28.5 (2.8)</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28.0</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25–34</w:t>
            </w:r>
          </w:p>
        </w:tc>
      </w:tr>
      <w:tr>
        <w:tc>
          <w:tcPr>
            <w:tcW w:type="dxa" w:w="1814"/>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r>
          </w:p>
        </w:tc>
        <w:tc>
          <w:tcPr>
            <w:tcW w:type="dxa" w:w="1814"/>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Session IV</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27.3 (2.2)</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27.0</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24–32</w:t>
            </w:r>
          </w:p>
        </w:tc>
      </w:tr>
      <w:tr>
        <w:tc>
          <w:tcPr>
            <w:tcW w:type="dxa" w:w="1814"/>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r>
          </w:p>
        </w:tc>
        <w:tc>
          <w:tcPr>
            <w:tcW w:type="dxa" w:w="1814"/>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Session V</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25.1 (2.4)</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25.0</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21–31</w:t>
            </w:r>
          </w:p>
        </w:tc>
      </w:tr>
      <w:tr>
        <w:tc>
          <w:tcPr>
            <w:tcW w:type="dxa" w:w="1814"/>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r>
          </w:p>
        </w:tc>
        <w:tc>
          <w:tcPr>
            <w:tcW w:type="dxa" w:w="1814"/>
            <w:vAlign w:val="center"/>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Session VI</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21.3 (1.6)</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21.0</w:t>
            </w:r>
          </w:p>
        </w:tc>
        <w:tc>
          <w:tcPr>
            <w:tcW w:type="dxa" w:w="1814"/>
            <w:vAlign w:val="center"/>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20–26</w:t>
            </w:r>
          </w:p>
        </w:tc>
      </w:tr>
    </w:tbl>
    <w:p>
      <w:pPr>
        <w:spacing w:before="40" w:after="120"/>
        <w:jc w:val="left"/>
      </w:pPr>
      <w:r>
        <w:rPr>
          <w:rFonts w:ascii="Times New Roman" w:hAnsi="Times New Roman" w:eastAsia="Times New Roman"/>
          <w:b w:val="0"/>
          <w:i w:val="0"/>
          <w:sz w:val="20"/>
        </w:rPr>
        <w:t>Note. PSA = Pregnancy Anxiety Scale; PRAS = Pregnancy-Related Anxiety Scale. Friedman test for repeated measurements: p&lt;.001 for both PSA and PRAS.</w:t>
      </w:r>
    </w:p>
    <w:p>
      <w:r>
        <w:br w:type="page"/>
      </w:r>
    </w:p>
    <w:p>
      <w:pPr>
        <w:keepNext/>
        <w:spacing w:after="40"/>
        <w:jc w:val="left"/>
      </w:pPr>
      <w:r>
        <w:rPr>
          <w:rFonts w:ascii="Times New Roman" w:hAnsi="Times New Roman" w:eastAsia="Times New Roman"/>
          <w:b/>
          <w:i w:val="0"/>
          <w:sz w:val="20"/>
        </w:rPr>
        <w:t>Table 3</w:t>
        <w:br/>
        <w:t>Anxiety categories before and after REBT</w:t>
      </w:r>
    </w:p>
    <w:tbl>
      <w:tblPr>
        <w:tblW w:type="auto" w:w="0"/>
        <w:jc w:val="center"/>
        <w:tblLook w:firstColumn="1" w:firstRow="1" w:lastColumn="0" w:lastRow="0" w:noHBand="0" w:noVBand="1" w:val="04A0"/>
        <w:tblBorders>
          <w:left w:val="nil"/>
          <w:right w:val="nil"/>
          <w:insideV w:val="nil"/>
          <w:insideH w:val="nil"/>
          <w:top w:val="single" w:sz="8" w:space="0" w:color="000000"/>
          <w:bottom w:val="single" w:sz="8" w:space="0" w:color="000000"/>
        </w:tblBorders>
      </w:tblPr>
      <w:tblGrid>
        <w:gridCol w:w="2268"/>
        <w:gridCol w:w="2268"/>
        <w:gridCol w:w="2268"/>
        <w:gridCol w:w="2268"/>
      </w:tblGrid>
      <w:tr>
        <w:trPr>
          <w:trBorders>
            <w:bottom w:val="single" w:sz="8" w:color="000000"/>
          </w:trBorders>
        </w:trPr>
        <w:tc>
          <w:tcPr>
            <w:tcW w:type="dxa" w:w="2268"/>
            <w:tcMar>
              <w:top w:w="40" w:type="dxa"/>
              <w:start w:w="60" w:type="dxa"/>
              <w:bottom w:w="40" w:type="dxa"/>
              <w:end w:w="60" w:type="dxa"/>
            </w:tcMar>
          </w:tcPr>
          <w:p>
            <w:pPr>
              <w:spacing w:after="0" w:line="240" w:lineRule="auto"/>
              <w:jc w:val="left"/>
            </w:pPr>
            <w:r>
              <w:rPr>
                <w:rFonts w:ascii="Times New Roman" w:hAnsi="Times New Roman" w:eastAsia="Times New Roman"/>
                <w:b/>
                <w:i w:val="0"/>
                <w:sz w:val="20"/>
              </w:rPr>
              <w:t>Measure</w:t>
            </w:r>
          </w:p>
        </w:tc>
        <w:tc>
          <w:tcPr>
            <w:tcW w:type="dxa" w:w="2268"/>
            <w:tcMar>
              <w:top w:w="40" w:type="dxa"/>
              <w:start w:w="60" w:type="dxa"/>
              <w:bottom w:w="40" w:type="dxa"/>
              <w:end w:w="60" w:type="dxa"/>
            </w:tcMar>
          </w:tcPr>
          <w:p>
            <w:pPr>
              <w:spacing w:after="0" w:line="240" w:lineRule="auto"/>
              <w:jc w:val="left"/>
            </w:pPr>
            <w:r>
              <w:rPr>
                <w:rFonts w:ascii="Times New Roman" w:hAnsi="Times New Roman" w:eastAsia="Times New Roman"/>
                <w:b/>
                <w:i w:val="0"/>
                <w:sz w:val="20"/>
              </w:rPr>
              <w:t>Anxiety category</w:t>
            </w:r>
          </w:p>
        </w:tc>
        <w:tc>
          <w:tcPr>
            <w:tcW w:type="dxa" w:w="2268"/>
            <w:tcMar>
              <w:top w:w="40" w:type="dxa"/>
              <w:start w:w="60" w:type="dxa"/>
              <w:bottom w:w="40" w:type="dxa"/>
              <w:end w:w="60" w:type="dxa"/>
            </w:tcMar>
          </w:tcPr>
          <w:p>
            <w:pPr>
              <w:spacing w:after="0" w:line="240" w:lineRule="auto"/>
              <w:jc w:val="center"/>
            </w:pPr>
            <w:r>
              <w:rPr>
                <w:rFonts w:ascii="Times New Roman" w:hAnsi="Times New Roman" w:eastAsia="Times New Roman"/>
                <w:b/>
                <w:i w:val="0"/>
                <w:sz w:val="20"/>
              </w:rPr>
              <w:t>Pre, n (%)</w:t>
            </w:r>
          </w:p>
        </w:tc>
        <w:tc>
          <w:tcPr>
            <w:tcW w:type="dxa" w:w="2268"/>
            <w:tcMar>
              <w:top w:w="40" w:type="dxa"/>
              <w:start w:w="60" w:type="dxa"/>
              <w:bottom w:w="40" w:type="dxa"/>
              <w:end w:w="60" w:type="dxa"/>
            </w:tcMar>
          </w:tcPr>
          <w:p>
            <w:pPr>
              <w:spacing w:after="0" w:line="240" w:lineRule="auto"/>
              <w:jc w:val="center"/>
            </w:pPr>
            <w:r>
              <w:rPr>
                <w:rFonts w:ascii="Times New Roman" w:hAnsi="Times New Roman" w:eastAsia="Times New Roman"/>
                <w:b/>
                <w:i w:val="0"/>
                <w:sz w:val="20"/>
              </w:rPr>
              <w:t>Post, n (%)</w:t>
            </w:r>
          </w:p>
        </w:tc>
      </w:tr>
      <w:tr>
        <w:tc>
          <w:tcPr>
            <w:tcW w:type="dxa" w:w="2268"/>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PSA</w:t>
            </w:r>
          </w:p>
        </w:tc>
        <w:tc>
          <w:tcPr>
            <w:tcW w:type="dxa" w:w="2268"/>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Low</w:t>
            </w:r>
          </w:p>
        </w:tc>
        <w:tc>
          <w:tcPr>
            <w:tcW w:type="dxa" w:w="2268"/>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0 (0.0)</w:t>
            </w:r>
          </w:p>
        </w:tc>
        <w:tc>
          <w:tcPr>
            <w:tcW w:type="dxa" w:w="2268"/>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15 (93.8)</w:t>
            </w:r>
          </w:p>
        </w:tc>
      </w:tr>
      <w:tr>
        <w:tc>
          <w:tcPr>
            <w:tcW w:type="dxa" w:w="2268"/>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r>
          </w:p>
        </w:tc>
        <w:tc>
          <w:tcPr>
            <w:tcW w:type="dxa" w:w="2268"/>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Moderate</w:t>
            </w:r>
          </w:p>
        </w:tc>
        <w:tc>
          <w:tcPr>
            <w:tcW w:type="dxa" w:w="2268"/>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6 (37.5)</w:t>
            </w:r>
          </w:p>
        </w:tc>
        <w:tc>
          <w:tcPr>
            <w:tcW w:type="dxa" w:w="2268"/>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1 (6.3)</w:t>
            </w:r>
          </w:p>
        </w:tc>
      </w:tr>
      <w:tr>
        <w:tc>
          <w:tcPr>
            <w:tcW w:type="dxa" w:w="2268"/>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r>
          </w:p>
        </w:tc>
        <w:tc>
          <w:tcPr>
            <w:tcW w:type="dxa" w:w="2268"/>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High</w:t>
            </w:r>
          </w:p>
        </w:tc>
        <w:tc>
          <w:tcPr>
            <w:tcW w:type="dxa" w:w="2268"/>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8 (50.0)</w:t>
            </w:r>
          </w:p>
        </w:tc>
        <w:tc>
          <w:tcPr>
            <w:tcW w:type="dxa" w:w="2268"/>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0 (0.0)</w:t>
            </w:r>
          </w:p>
        </w:tc>
      </w:tr>
      <w:tr>
        <w:tc>
          <w:tcPr>
            <w:tcW w:type="dxa" w:w="2268"/>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r>
          </w:p>
        </w:tc>
        <w:tc>
          <w:tcPr>
            <w:tcW w:type="dxa" w:w="2268"/>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Extremely high</w:t>
            </w:r>
          </w:p>
        </w:tc>
        <w:tc>
          <w:tcPr>
            <w:tcW w:type="dxa" w:w="2268"/>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2 (12.5)</w:t>
            </w:r>
          </w:p>
        </w:tc>
        <w:tc>
          <w:tcPr>
            <w:tcW w:type="dxa" w:w="2268"/>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0 (0.0)</w:t>
            </w:r>
          </w:p>
        </w:tc>
      </w:tr>
      <w:tr>
        <w:tc>
          <w:tcPr>
            <w:tcW w:type="dxa" w:w="2268"/>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PRAS</w:t>
            </w:r>
          </w:p>
        </w:tc>
        <w:tc>
          <w:tcPr>
            <w:tcW w:type="dxa" w:w="2268"/>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Low</w:t>
            </w:r>
          </w:p>
        </w:tc>
        <w:tc>
          <w:tcPr>
            <w:tcW w:type="dxa" w:w="2268"/>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0 (0.0)</w:t>
            </w:r>
          </w:p>
        </w:tc>
        <w:tc>
          <w:tcPr>
            <w:tcW w:type="dxa" w:w="2268"/>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14 (87.5)</w:t>
            </w:r>
          </w:p>
        </w:tc>
      </w:tr>
      <w:tr>
        <w:tc>
          <w:tcPr>
            <w:tcW w:type="dxa" w:w="2268"/>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r>
          </w:p>
        </w:tc>
        <w:tc>
          <w:tcPr>
            <w:tcW w:type="dxa" w:w="2268"/>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Moderate</w:t>
            </w:r>
          </w:p>
        </w:tc>
        <w:tc>
          <w:tcPr>
            <w:tcW w:type="dxa" w:w="2268"/>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9 (56.3)</w:t>
            </w:r>
          </w:p>
        </w:tc>
        <w:tc>
          <w:tcPr>
            <w:tcW w:type="dxa" w:w="2268"/>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2 (12.5)</w:t>
            </w:r>
          </w:p>
        </w:tc>
      </w:tr>
      <w:tr>
        <w:tc>
          <w:tcPr>
            <w:tcW w:type="dxa" w:w="2268"/>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r>
          </w:p>
        </w:tc>
        <w:tc>
          <w:tcPr>
            <w:tcW w:type="dxa" w:w="2268"/>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High</w:t>
            </w:r>
          </w:p>
        </w:tc>
        <w:tc>
          <w:tcPr>
            <w:tcW w:type="dxa" w:w="2268"/>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6 (37.5)</w:t>
            </w:r>
          </w:p>
        </w:tc>
        <w:tc>
          <w:tcPr>
            <w:tcW w:type="dxa" w:w="2268"/>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0 (0.0)</w:t>
            </w:r>
          </w:p>
        </w:tc>
      </w:tr>
      <w:tr>
        <w:tc>
          <w:tcPr>
            <w:tcW w:type="dxa" w:w="2268"/>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r>
          </w:p>
        </w:tc>
        <w:tc>
          <w:tcPr>
            <w:tcW w:type="dxa" w:w="2268"/>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Extremely high</w:t>
            </w:r>
          </w:p>
        </w:tc>
        <w:tc>
          <w:tcPr>
            <w:tcW w:type="dxa" w:w="2268"/>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1 (6.3)</w:t>
            </w:r>
          </w:p>
        </w:tc>
        <w:tc>
          <w:tcPr>
            <w:tcW w:type="dxa" w:w="2268"/>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0 (0.0)</w:t>
            </w:r>
          </w:p>
        </w:tc>
      </w:tr>
    </w:tbl>
    <w:p>
      <w:pPr>
        <w:spacing w:before="40" w:after="120"/>
        <w:jc w:val="left"/>
      </w:pPr>
      <w:r>
        <w:rPr>
          <w:rFonts w:ascii="Times New Roman" w:hAnsi="Times New Roman" w:eastAsia="Times New Roman"/>
          <w:b w:val="0"/>
          <w:i w:val="0"/>
          <w:sz w:val="20"/>
        </w:rPr>
        <w:t>Note. Percentages may not sum to exactly 100% because of rounding.</w:t>
      </w:r>
    </w:p>
    <w:p>
      <w:pPr>
        <w:keepNext/>
        <w:spacing w:after="40"/>
        <w:jc w:val="left"/>
      </w:pPr>
      <w:r>
        <w:rPr>
          <w:rFonts w:ascii="Times New Roman" w:hAnsi="Times New Roman" w:eastAsia="Times New Roman"/>
          <w:b/>
          <w:i w:val="0"/>
          <w:sz w:val="20"/>
        </w:rPr>
        <w:t>Table 4</w:t>
        <w:br/>
        <w:t>Coping classification before and after REBT</w:t>
      </w:r>
    </w:p>
    <w:tbl>
      <w:tblPr>
        <w:tblW w:type="auto" w:w="0"/>
        <w:jc w:val="center"/>
        <w:tblLook w:firstColumn="1" w:firstRow="1" w:lastColumn="0" w:lastRow="0" w:noHBand="0" w:noVBand="1" w:val="04A0"/>
        <w:tblBorders>
          <w:left w:val="nil"/>
          <w:right w:val="nil"/>
          <w:insideV w:val="nil"/>
          <w:insideH w:val="nil"/>
          <w:top w:val="single" w:sz="8" w:space="0" w:color="000000"/>
          <w:bottom w:val="single" w:sz="8" w:space="0" w:color="000000"/>
        </w:tblBorders>
      </w:tblPr>
      <w:tblGrid>
        <w:gridCol w:w="3024"/>
        <w:gridCol w:w="3024"/>
        <w:gridCol w:w="3024"/>
      </w:tblGrid>
      <w:tr>
        <w:trPr>
          <w:trBorders>
            <w:bottom w:val="single" w:sz="8" w:color="000000"/>
          </w:trBorders>
        </w:trPr>
        <w:tc>
          <w:tcPr>
            <w:tcW w:type="dxa" w:w="3024"/>
            <w:tcMar>
              <w:top w:w="40" w:type="dxa"/>
              <w:start w:w="60" w:type="dxa"/>
              <w:bottom w:w="40" w:type="dxa"/>
              <w:end w:w="60" w:type="dxa"/>
            </w:tcMar>
          </w:tcPr>
          <w:p>
            <w:pPr>
              <w:spacing w:after="0" w:line="240" w:lineRule="auto"/>
              <w:jc w:val="left"/>
            </w:pPr>
            <w:r>
              <w:rPr>
                <w:rFonts w:ascii="Times New Roman" w:hAnsi="Times New Roman" w:eastAsia="Times New Roman"/>
                <w:b/>
                <w:i w:val="0"/>
                <w:sz w:val="20"/>
              </w:rPr>
              <w:t>Coping classification</w:t>
            </w:r>
          </w:p>
        </w:tc>
        <w:tc>
          <w:tcPr>
            <w:tcW w:type="dxa" w:w="3024"/>
            <w:tcMar>
              <w:top w:w="40" w:type="dxa"/>
              <w:start w:w="60" w:type="dxa"/>
              <w:bottom w:w="40" w:type="dxa"/>
              <w:end w:w="60" w:type="dxa"/>
            </w:tcMar>
          </w:tcPr>
          <w:p>
            <w:pPr>
              <w:spacing w:after="0" w:line="240" w:lineRule="auto"/>
              <w:jc w:val="center"/>
            </w:pPr>
            <w:r>
              <w:rPr>
                <w:rFonts w:ascii="Times New Roman" w:hAnsi="Times New Roman" w:eastAsia="Times New Roman"/>
                <w:b/>
                <w:i w:val="0"/>
                <w:sz w:val="20"/>
              </w:rPr>
              <w:t>Pre, n (%)</w:t>
            </w:r>
          </w:p>
        </w:tc>
        <w:tc>
          <w:tcPr>
            <w:tcW w:type="dxa" w:w="3024"/>
            <w:tcMar>
              <w:top w:w="40" w:type="dxa"/>
              <w:start w:w="60" w:type="dxa"/>
              <w:bottom w:w="40" w:type="dxa"/>
              <w:end w:w="60" w:type="dxa"/>
            </w:tcMar>
          </w:tcPr>
          <w:p>
            <w:pPr>
              <w:spacing w:after="0" w:line="240" w:lineRule="auto"/>
              <w:jc w:val="center"/>
            </w:pPr>
            <w:r>
              <w:rPr>
                <w:rFonts w:ascii="Times New Roman" w:hAnsi="Times New Roman" w:eastAsia="Times New Roman"/>
                <w:b/>
                <w:i w:val="0"/>
                <w:sz w:val="20"/>
              </w:rPr>
              <w:t>Post, n (%)</w:t>
            </w:r>
          </w:p>
        </w:tc>
      </w:tr>
      <w:tr>
        <w:tc>
          <w:tcPr>
            <w:tcW w:type="dxa" w:w="3024"/>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Adaptive</w:t>
            </w:r>
          </w:p>
        </w:tc>
        <w:tc>
          <w:tcPr>
            <w:tcW w:type="dxa" w:w="3024"/>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0 (0.0)</w:t>
            </w:r>
          </w:p>
        </w:tc>
        <w:tc>
          <w:tcPr>
            <w:tcW w:type="dxa" w:w="3024"/>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14 (87.5)</w:t>
            </w:r>
          </w:p>
        </w:tc>
      </w:tr>
      <w:tr>
        <w:tc>
          <w:tcPr>
            <w:tcW w:type="dxa" w:w="3024"/>
            <w:tcMar>
              <w:top w:w="40" w:type="dxa"/>
              <w:start w:w="60" w:type="dxa"/>
              <w:bottom w:w="40" w:type="dxa"/>
              <w:end w:w="60" w:type="dxa"/>
            </w:tcMar>
          </w:tcPr>
          <w:p>
            <w:pPr>
              <w:spacing w:after="0" w:line="240" w:lineRule="auto"/>
              <w:jc w:val="left"/>
            </w:pPr>
            <w:r>
              <w:rPr>
                <w:rFonts w:ascii="Times New Roman" w:hAnsi="Times New Roman" w:eastAsia="Times New Roman"/>
                <w:b w:val="0"/>
                <w:i w:val="0"/>
                <w:sz w:val="20"/>
              </w:rPr>
              <w:t>Maladaptive</w:t>
            </w:r>
          </w:p>
        </w:tc>
        <w:tc>
          <w:tcPr>
            <w:tcW w:type="dxa" w:w="3024"/>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16 (100.0)</w:t>
            </w:r>
          </w:p>
        </w:tc>
        <w:tc>
          <w:tcPr>
            <w:tcW w:type="dxa" w:w="3024"/>
            <w:tcMar>
              <w:top w:w="40" w:type="dxa"/>
              <w:start w:w="60" w:type="dxa"/>
              <w:bottom w:w="40" w:type="dxa"/>
              <w:end w:w="60" w:type="dxa"/>
            </w:tcMar>
          </w:tcPr>
          <w:p>
            <w:pPr>
              <w:spacing w:after="0" w:line="240" w:lineRule="auto"/>
              <w:jc w:val="center"/>
            </w:pPr>
            <w:r>
              <w:rPr>
                <w:rFonts w:ascii="Times New Roman" w:hAnsi="Times New Roman" w:eastAsia="Times New Roman"/>
                <w:b w:val="0"/>
                <w:i w:val="0"/>
                <w:sz w:val="20"/>
              </w:rPr>
              <w:t>2 (12.5)</w:t>
            </w:r>
          </w:p>
        </w:tc>
      </w:tr>
    </w:tbl>
    <w:p>
      <w:pPr>
        <w:spacing w:before="40" w:after="120"/>
        <w:jc w:val="left"/>
      </w:pPr>
      <w:r>
        <w:rPr>
          <w:rFonts w:ascii="Times New Roman" w:hAnsi="Times New Roman" w:eastAsia="Times New Roman"/>
          <w:b w:val="0"/>
          <w:i w:val="0"/>
          <w:sz w:val="20"/>
        </w:rPr>
        <w:t>Note. Marginal Homogeneity test: p&lt;.001.</w:t>
      </w:r>
    </w:p>
    <w:sectPr>
      <w:pgSz w:w="11906" w:h="16838" w:code="9"/>
      <w:pgMar w:top="1701" w:right="1134" w:bottom="1134" w:left="1701" w:header="720" w:footer="720" w:gutter="0"/>
      <w:cols w:space="566"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175C"/>
    <w:multiLevelType w:val="hybridMultilevel"/>
    <w:tmpl w:val="EE105F06"/>
    <w:lvl w:ilvl="0" w:tplc="A34C38F8">
      <w:start w:val="1"/>
      <w:numFmt w:val="decimal"/>
      <w:lvlText w:val="%1."/>
      <w:lvlJc w:val="left"/>
      <w:pPr>
        <w:ind w:left="720" w:hanging="360"/>
      </w:pPr>
      <w:rPr>
        <w:rFonts w:ascii="Calibri" w:hAnsi="Calibri" w:hint="default"/>
        <w:color w:val="000000"/>
        <w:sz w:val="20"/>
      </w:rPr>
    </w:lvl>
    <w:lvl w:ilvl="1" w:tplc="06A8BC7E" w:tentative="1">
      <w:start w:val="1"/>
      <w:numFmt w:val="lowerLetter"/>
      <w:lvlText w:val="%2."/>
      <w:lvlJc w:val="left"/>
      <w:pPr>
        <w:ind w:left="1440" w:hanging="360"/>
      </w:pPr>
    </w:lvl>
    <w:lvl w:ilvl="2" w:tplc="E78C7BFE" w:tentative="1">
      <w:start w:val="1"/>
      <w:numFmt w:val="lowerRoman"/>
      <w:lvlText w:val="%3."/>
      <w:lvlJc w:val="right"/>
      <w:pPr>
        <w:ind w:left="2160" w:hanging="180"/>
      </w:pPr>
    </w:lvl>
    <w:lvl w:ilvl="3" w:tplc="24BCB8A0" w:tentative="1">
      <w:start w:val="1"/>
      <w:numFmt w:val="decimal"/>
      <w:lvlText w:val="%4."/>
      <w:lvlJc w:val="left"/>
      <w:pPr>
        <w:ind w:left="2880" w:hanging="360"/>
      </w:pPr>
    </w:lvl>
    <w:lvl w:ilvl="4" w:tplc="4C748F96" w:tentative="1">
      <w:start w:val="1"/>
      <w:numFmt w:val="lowerLetter"/>
      <w:lvlText w:val="%5."/>
      <w:lvlJc w:val="left"/>
      <w:pPr>
        <w:ind w:left="3600" w:hanging="360"/>
      </w:pPr>
    </w:lvl>
    <w:lvl w:ilvl="5" w:tplc="EBC47CA0" w:tentative="1">
      <w:start w:val="1"/>
      <w:numFmt w:val="lowerRoman"/>
      <w:lvlText w:val="%6."/>
      <w:lvlJc w:val="right"/>
      <w:pPr>
        <w:ind w:left="4320" w:hanging="180"/>
      </w:pPr>
    </w:lvl>
    <w:lvl w:ilvl="6" w:tplc="8CE478D6" w:tentative="1">
      <w:start w:val="1"/>
      <w:numFmt w:val="decimal"/>
      <w:lvlText w:val="%7."/>
      <w:lvlJc w:val="left"/>
      <w:pPr>
        <w:ind w:left="5040" w:hanging="360"/>
      </w:pPr>
    </w:lvl>
    <w:lvl w:ilvl="7" w:tplc="4872BC98" w:tentative="1">
      <w:start w:val="1"/>
      <w:numFmt w:val="lowerLetter"/>
      <w:lvlText w:val="%8."/>
      <w:lvlJc w:val="left"/>
      <w:pPr>
        <w:ind w:left="5760" w:hanging="360"/>
      </w:pPr>
    </w:lvl>
    <w:lvl w:ilvl="8" w:tplc="B23A111C" w:tentative="1">
      <w:start w:val="1"/>
      <w:numFmt w:val="lowerRoman"/>
      <w:lvlText w:val="%9."/>
      <w:lvlJc w:val="right"/>
      <w:pPr>
        <w:ind w:left="6480" w:hanging="180"/>
      </w:pPr>
    </w:lvl>
  </w:abstractNum>
  <w:abstractNum w:abstractNumId="1" w15:restartNumberingAfterBreak="0">
    <w:nsid w:val="0D3D1361"/>
    <w:multiLevelType w:val="multilevel"/>
    <w:tmpl w:val="6322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64F37"/>
    <w:multiLevelType w:val="multilevel"/>
    <w:tmpl w:val="6250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F43FB"/>
    <w:multiLevelType w:val="hybridMultilevel"/>
    <w:tmpl w:val="40427174"/>
    <w:lvl w:ilvl="0" w:tplc="73E80184">
      <w:start w:val="1"/>
      <w:numFmt w:val="decimal"/>
      <w:lvlText w:val="%1."/>
      <w:lvlJc w:val="left"/>
      <w:pPr>
        <w:ind w:left="720" w:hanging="360"/>
      </w:pPr>
      <w:rPr>
        <w:rFonts w:hint="default"/>
        <w:b/>
      </w:rPr>
    </w:lvl>
    <w:lvl w:ilvl="1" w:tplc="6A1413C2" w:tentative="1">
      <w:start w:val="1"/>
      <w:numFmt w:val="lowerLetter"/>
      <w:lvlText w:val="%2."/>
      <w:lvlJc w:val="left"/>
      <w:pPr>
        <w:ind w:left="1440" w:hanging="360"/>
      </w:pPr>
    </w:lvl>
    <w:lvl w:ilvl="2" w:tplc="3E92EF98" w:tentative="1">
      <w:start w:val="1"/>
      <w:numFmt w:val="lowerRoman"/>
      <w:lvlText w:val="%3."/>
      <w:lvlJc w:val="right"/>
      <w:pPr>
        <w:ind w:left="2160" w:hanging="180"/>
      </w:pPr>
    </w:lvl>
    <w:lvl w:ilvl="3" w:tplc="3A9CBC50" w:tentative="1">
      <w:start w:val="1"/>
      <w:numFmt w:val="decimal"/>
      <w:lvlText w:val="%4."/>
      <w:lvlJc w:val="left"/>
      <w:pPr>
        <w:ind w:left="2880" w:hanging="360"/>
      </w:pPr>
    </w:lvl>
    <w:lvl w:ilvl="4" w:tplc="D13CAB28" w:tentative="1">
      <w:start w:val="1"/>
      <w:numFmt w:val="lowerLetter"/>
      <w:lvlText w:val="%5."/>
      <w:lvlJc w:val="left"/>
      <w:pPr>
        <w:ind w:left="3600" w:hanging="360"/>
      </w:pPr>
    </w:lvl>
    <w:lvl w:ilvl="5" w:tplc="B71E77C8" w:tentative="1">
      <w:start w:val="1"/>
      <w:numFmt w:val="lowerRoman"/>
      <w:lvlText w:val="%6."/>
      <w:lvlJc w:val="right"/>
      <w:pPr>
        <w:ind w:left="4320" w:hanging="180"/>
      </w:pPr>
    </w:lvl>
    <w:lvl w:ilvl="6" w:tplc="CD62B8F8" w:tentative="1">
      <w:start w:val="1"/>
      <w:numFmt w:val="decimal"/>
      <w:lvlText w:val="%7."/>
      <w:lvlJc w:val="left"/>
      <w:pPr>
        <w:ind w:left="5040" w:hanging="360"/>
      </w:pPr>
    </w:lvl>
    <w:lvl w:ilvl="7" w:tplc="B040F7D2" w:tentative="1">
      <w:start w:val="1"/>
      <w:numFmt w:val="lowerLetter"/>
      <w:lvlText w:val="%8."/>
      <w:lvlJc w:val="left"/>
      <w:pPr>
        <w:ind w:left="5760" w:hanging="360"/>
      </w:pPr>
    </w:lvl>
    <w:lvl w:ilvl="8" w:tplc="E07C918C" w:tentative="1">
      <w:start w:val="1"/>
      <w:numFmt w:val="lowerRoman"/>
      <w:lvlText w:val="%9."/>
      <w:lvlJc w:val="right"/>
      <w:pPr>
        <w:ind w:left="6480" w:hanging="180"/>
      </w:pPr>
    </w:lvl>
  </w:abstractNum>
  <w:abstractNum w:abstractNumId="4" w15:restartNumberingAfterBreak="0">
    <w:nsid w:val="2F191531"/>
    <w:multiLevelType w:val="hybridMultilevel"/>
    <w:tmpl w:val="2500C3B0"/>
    <w:lvl w:ilvl="0" w:tplc="E28EE892">
      <w:start w:val="1"/>
      <w:numFmt w:val="lowerLetter"/>
      <w:lvlText w:val="%1."/>
      <w:lvlJc w:val="left"/>
      <w:pPr>
        <w:ind w:left="720" w:hanging="360"/>
      </w:pPr>
      <w:rPr>
        <w:rFonts w:hint="default"/>
      </w:rPr>
    </w:lvl>
    <w:lvl w:ilvl="1" w:tplc="EB1C3930" w:tentative="1">
      <w:start w:val="1"/>
      <w:numFmt w:val="lowerLetter"/>
      <w:lvlText w:val="%2."/>
      <w:lvlJc w:val="left"/>
      <w:pPr>
        <w:ind w:left="1440" w:hanging="360"/>
      </w:pPr>
    </w:lvl>
    <w:lvl w:ilvl="2" w:tplc="5F2A346E" w:tentative="1">
      <w:start w:val="1"/>
      <w:numFmt w:val="lowerRoman"/>
      <w:lvlText w:val="%3."/>
      <w:lvlJc w:val="right"/>
      <w:pPr>
        <w:ind w:left="2160" w:hanging="180"/>
      </w:pPr>
    </w:lvl>
    <w:lvl w:ilvl="3" w:tplc="E244DEBA" w:tentative="1">
      <w:start w:val="1"/>
      <w:numFmt w:val="decimal"/>
      <w:lvlText w:val="%4."/>
      <w:lvlJc w:val="left"/>
      <w:pPr>
        <w:ind w:left="2880" w:hanging="360"/>
      </w:pPr>
    </w:lvl>
    <w:lvl w:ilvl="4" w:tplc="399C97B2" w:tentative="1">
      <w:start w:val="1"/>
      <w:numFmt w:val="lowerLetter"/>
      <w:lvlText w:val="%5."/>
      <w:lvlJc w:val="left"/>
      <w:pPr>
        <w:ind w:left="3600" w:hanging="360"/>
      </w:pPr>
    </w:lvl>
    <w:lvl w:ilvl="5" w:tplc="FFCA8A46" w:tentative="1">
      <w:start w:val="1"/>
      <w:numFmt w:val="lowerRoman"/>
      <w:lvlText w:val="%6."/>
      <w:lvlJc w:val="right"/>
      <w:pPr>
        <w:ind w:left="4320" w:hanging="180"/>
      </w:pPr>
    </w:lvl>
    <w:lvl w:ilvl="6" w:tplc="1C9E45B6" w:tentative="1">
      <w:start w:val="1"/>
      <w:numFmt w:val="decimal"/>
      <w:lvlText w:val="%7."/>
      <w:lvlJc w:val="left"/>
      <w:pPr>
        <w:ind w:left="5040" w:hanging="360"/>
      </w:pPr>
    </w:lvl>
    <w:lvl w:ilvl="7" w:tplc="A52613D2" w:tentative="1">
      <w:start w:val="1"/>
      <w:numFmt w:val="lowerLetter"/>
      <w:lvlText w:val="%8."/>
      <w:lvlJc w:val="left"/>
      <w:pPr>
        <w:ind w:left="5760" w:hanging="360"/>
      </w:pPr>
    </w:lvl>
    <w:lvl w:ilvl="8" w:tplc="E7007AF4" w:tentative="1">
      <w:start w:val="1"/>
      <w:numFmt w:val="lowerRoman"/>
      <w:lvlText w:val="%9."/>
      <w:lvlJc w:val="right"/>
      <w:pPr>
        <w:ind w:left="6480" w:hanging="180"/>
      </w:pPr>
    </w:lvl>
  </w:abstractNum>
  <w:abstractNum w:abstractNumId="5" w15:restartNumberingAfterBreak="0">
    <w:nsid w:val="6831770A"/>
    <w:multiLevelType w:val="multilevel"/>
    <w:tmpl w:val="FF28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986525"/>
    <w:multiLevelType w:val="hybridMultilevel"/>
    <w:tmpl w:val="001A3560"/>
    <w:lvl w:ilvl="0" w:tplc="2CEE255A">
      <w:start w:val="1"/>
      <w:numFmt w:val="bullet"/>
      <w:lvlText w:val="-"/>
      <w:lvlJc w:val="left"/>
      <w:pPr>
        <w:ind w:left="720" w:hanging="360"/>
      </w:pPr>
      <w:rPr>
        <w:rFonts w:ascii="SimSun" w:eastAsia="SimSun" w:hAnsi="SimSun" w:hint="eastAsia"/>
      </w:rPr>
    </w:lvl>
    <w:lvl w:ilvl="1" w:tplc="5D9A403E" w:tentative="1">
      <w:start w:val="1"/>
      <w:numFmt w:val="bullet"/>
      <w:lvlText w:val="o"/>
      <w:lvlJc w:val="left"/>
      <w:pPr>
        <w:ind w:left="1440" w:hanging="360"/>
      </w:pPr>
      <w:rPr>
        <w:rFonts w:ascii="Courier New" w:hAnsi="Courier New" w:cs="Courier New" w:hint="default"/>
      </w:rPr>
    </w:lvl>
    <w:lvl w:ilvl="2" w:tplc="E3AA78B0" w:tentative="1">
      <w:start w:val="1"/>
      <w:numFmt w:val="bullet"/>
      <w:lvlText w:val=""/>
      <w:lvlJc w:val="left"/>
      <w:pPr>
        <w:ind w:left="2160" w:hanging="360"/>
      </w:pPr>
      <w:rPr>
        <w:rFonts w:ascii="Wingdings" w:hAnsi="Wingdings" w:hint="default"/>
      </w:rPr>
    </w:lvl>
    <w:lvl w:ilvl="3" w:tplc="759EA214" w:tentative="1">
      <w:start w:val="1"/>
      <w:numFmt w:val="bullet"/>
      <w:lvlText w:val=""/>
      <w:lvlJc w:val="left"/>
      <w:pPr>
        <w:ind w:left="2880" w:hanging="360"/>
      </w:pPr>
      <w:rPr>
        <w:rFonts w:ascii="Symbol" w:hAnsi="Symbol" w:hint="default"/>
      </w:rPr>
    </w:lvl>
    <w:lvl w:ilvl="4" w:tplc="41E2EF0E" w:tentative="1">
      <w:start w:val="1"/>
      <w:numFmt w:val="bullet"/>
      <w:lvlText w:val="o"/>
      <w:lvlJc w:val="left"/>
      <w:pPr>
        <w:ind w:left="3600" w:hanging="360"/>
      </w:pPr>
      <w:rPr>
        <w:rFonts w:ascii="Courier New" w:hAnsi="Courier New" w:cs="Courier New" w:hint="default"/>
      </w:rPr>
    </w:lvl>
    <w:lvl w:ilvl="5" w:tplc="A3800502" w:tentative="1">
      <w:start w:val="1"/>
      <w:numFmt w:val="bullet"/>
      <w:lvlText w:val=""/>
      <w:lvlJc w:val="left"/>
      <w:pPr>
        <w:ind w:left="4320" w:hanging="360"/>
      </w:pPr>
      <w:rPr>
        <w:rFonts w:ascii="Wingdings" w:hAnsi="Wingdings" w:hint="default"/>
      </w:rPr>
    </w:lvl>
    <w:lvl w:ilvl="6" w:tplc="5902F404" w:tentative="1">
      <w:start w:val="1"/>
      <w:numFmt w:val="bullet"/>
      <w:lvlText w:val=""/>
      <w:lvlJc w:val="left"/>
      <w:pPr>
        <w:ind w:left="5040" w:hanging="360"/>
      </w:pPr>
      <w:rPr>
        <w:rFonts w:ascii="Symbol" w:hAnsi="Symbol" w:hint="default"/>
      </w:rPr>
    </w:lvl>
    <w:lvl w:ilvl="7" w:tplc="D4E4A7D2" w:tentative="1">
      <w:start w:val="1"/>
      <w:numFmt w:val="bullet"/>
      <w:lvlText w:val="o"/>
      <w:lvlJc w:val="left"/>
      <w:pPr>
        <w:ind w:left="5760" w:hanging="360"/>
      </w:pPr>
      <w:rPr>
        <w:rFonts w:ascii="Courier New" w:hAnsi="Courier New" w:cs="Courier New" w:hint="default"/>
      </w:rPr>
    </w:lvl>
    <w:lvl w:ilvl="8" w:tplc="A0F0C2C4" w:tentative="1">
      <w:start w:val="1"/>
      <w:numFmt w:val="bullet"/>
      <w:lvlText w:val=""/>
      <w:lvlJc w:val="left"/>
      <w:pPr>
        <w:ind w:left="6480" w:hanging="360"/>
      </w:pPr>
      <w:rPr>
        <w:rFonts w:ascii="Wingdings" w:hAnsi="Wingdings" w:hint="default"/>
      </w:rPr>
    </w:lvl>
  </w:abstractNum>
  <w:abstractNum w:abstractNumId="7" w15:restartNumberingAfterBreak="0">
    <w:nsid w:val="690414A4"/>
    <w:multiLevelType w:val="multilevel"/>
    <w:tmpl w:val="0CF6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C53E73"/>
    <w:multiLevelType w:val="hybridMultilevel"/>
    <w:tmpl w:val="3A30B252"/>
    <w:lvl w:ilvl="0" w:tplc="75444DD4">
      <w:start w:val="1"/>
      <w:numFmt w:val="lowerLetter"/>
      <w:lvlText w:val="%1."/>
      <w:lvlJc w:val="left"/>
      <w:pPr>
        <w:ind w:left="720" w:hanging="360"/>
      </w:pPr>
      <w:rPr>
        <w:rFonts w:ascii="Calibri" w:hAnsi="Calibri" w:hint="default"/>
        <w:color w:val="000000"/>
        <w:sz w:val="20"/>
      </w:rPr>
    </w:lvl>
    <w:lvl w:ilvl="1" w:tplc="3AD20D10" w:tentative="1">
      <w:start w:val="1"/>
      <w:numFmt w:val="lowerLetter"/>
      <w:lvlText w:val="%2."/>
      <w:lvlJc w:val="left"/>
      <w:pPr>
        <w:ind w:left="1440" w:hanging="360"/>
      </w:pPr>
    </w:lvl>
    <w:lvl w:ilvl="2" w:tplc="A20AFFB8" w:tentative="1">
      <w:start w:val="1"/>
      <w:numFmt w:val="lowerRoman"/>
      <w:lvlText w:val="%3."/>
      <w:lvlJc w:val="right"/>
      <w:pPr>
        <w:ind w:left="2160" w:hanging="180"/>
      </w:pPr>
    </w:lvl>
    <w:lvl w:ilvl="3" w:tplc="C7744DAE" w:tentative="1">
      <w:start w:val="1"/>
      <w:numFmt w:val="decimal"/>
      <w:lvlText w:val="%4."/>
      <w:lvlJc w:val="left"/>
      <w:pPr>
        <w:ind w:left="2880" w:hanging="360"/>
      </w:pPr>
    </w:lvl>
    <w:lvl w:ilvl="4" w:tplc="69764530" w:tentative="1">
      <w:start w:val="1"/>
      <w:numFmt w:val="lowerLetter"/>
      <w:lvlText w:val="%5."/>
      <w:lvlJc w:val="left"/>
      <w:pPr>
        <w:ind w:left="3600" w:hanging="360"/>
      </w:pPr>
    </w:lvl>
    <w:lvl w:ilvl="5" w:tplc="C0E255EC" w:tentative="1">
      <w:start w:val="1"/>
      <w:numFmt w:val="lowerRoman"/>
      <w:lvlText w:val="%6."/>
      <w:lvlJc w:val="right"/>
      <w:pPr>
        <w:ind w:left="4320" w:hanging="180"/>
      </w:pPr>
    </w:lvl>
    <w:lvl w:ilvl="6" w:tplc="8FECD97A" w:tentative="1">
      <w:start w:val="1"/>
      <w:numFmt w:val="decimal"/>
      <w:lvlText w:val="%7."/>
      <w:lvlJc w:val="left"/>
      <w:pPr>
        <w:ind w:left="5040" w:hanging="360"/>
      </w:pPr>
    </w:lvl>
    <w:lvl w:ilvl="7" w:tplc="94DC3056" w:tentative="1">
      <w:start w:val="1"/>
      <w:numFmt w:val="lowerLetter"/>
      <w:lvlText w:val="%8."/>
      <w:lvlJc w:val="left"/>
      <w:pPr>
        <w:ind w:left="5760" w:hanging="360"/>
      </w:pPr>
    </w:lvl>
    <w:lvl w:ilvl="8" w:tplc="E182C202" w:tentative="1">
      <w:start w:val="1"/>
      <w:numFmt w:val="lowerRoman"/>
      <w:lvlText w:val="%9."/>
      <w:lvlJc w:val="right"/>
      <w:pPr>
        <w:ind w:left="6480" w:hanging="180"/>
      </w:pPr>
    </w:lvl>
  </w:abstractNum>
  <w:abstractNum w:abstractNumId="9" w15:restartNumberingAfterBreak="0">
    <w:nsid w:val="6C105D9C"/>
    <w:multiLevelType w:val="hybridMultilevel"/>
    <w:tmpl w:val="15B4F692"/>
    <w:lvl w:ilvl="0" w:tplc="DCFC4782">
      <w:start w:val="1"/>
      <w:numFmt w:val="decimal"/>
      <w:lvlText w:val="%1."/>
      <w:lvlJc w:val="left"/>
      <w:pPr>
        <w:ind w:left="720" w:hanging="360"/>
      </w:pPr>
      <w:rPr>
        <w:rFonts w:hint="default"/>
        <w:b w:val="0"/>
        <w:bCs/>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4535845"/>
    <w:multiLevelType w:val="hybridMultilevel"/>
    <w:tmpl w:val="2158B1D8"/>
    <w:lvl w:ilvl="0" w:tplc="F27E6E94">
      <w:start w:val="1"/>
      <w:numFmt w:val="lowerLetter"/>
      <w:lvlText w:val="(%1)"/>
      <w:lvlJc w:val="left"/>
      <w:pPr>
        <w:tabs>
          <w:tab w:val="num" w:pos="720"/>
        </w:tabs>
        <w:ind w:left="720" w:hanging="360"/>
      </w:pPr>
      <w:rPr>
        <w:rFonts w:hint="default"/>
        <w:b/>
      </w:rPr>
    </w:lvl>
    <w:lvl w:ilvl="1" w:tplc="8FAC64E6" w:tentative="1">
      <w:start w:val="1"/>
      <w:numFmt w:val="lowerLetter"/>
      <w:lvlText w:val="%2."/>
      <w:lvlJc w:val="left"/>
      <w:pPr>
        <w:tabs>
          <w:tab w:val="num" w:pos="1440"/>
        </w:tabs>
        <w:ind w:left="1440" w:hanging="360"/>
      </w:pPr>
    </w:lvl>
    <w:lvl w:ilvl="2" w:tplc="2B663194" w:tentative="1">
      <w:start w:val="1"/>
      <w:numFmt w:val="lowerRoman"/>
      <w:lvlText w:val="%3."/>
      <w:lvlJc w:val="right"/>
      <w:pPr>
        <w:tabs>
          <w:tab w:val="num" w:pos="2160"/>
        </w:tabs>
        <w:ind w:left="2160" w:hanging="180"/>
      </w:pPr>
    </w:lvl>
    <w:lvl w:ilvl="3" w:tplc="521445AA" w:tentative="1">
      <w:start w:val="1"/>
      <w:numFmt w:val="decimal"/>
      <w:lvlText w:val="%4."/>
      <w:lvlJc w:val="left"/>
      <w:pPr>
        <w:tabs>
          <w:tab w:val="num" w:pos="2880"/>
        </w:tabs>
        <w:ind w:left="2880" w:hanging="360"/>
      </w:pPr>
    </w:lvl>
    <w:lvl w:ilvl="4" w:tplc="002E3268" w:tentative="1">
      <w:start w:val="1"/>
      <w:numFmt w:val="lowerLetter"/>
      <w:lvlText w:val="%5."/>
      <w:lvlJc w:val="left"/>
      <w:pPr>
        <w:tabs>
          <w:tab w:val="num" w:pos="3600"/>
        </w:tabs>
        <w:ind w:left="3600" w:hanging="360"/>
      </w:pPr>
    </w:lvl>
    <w:lvl w:ilvl="5" w:tplc="26FCE498" w:tentative="1">
      <w:start w:val="1"/>
      <w:numFmt w:val="lowerRoman"/>
      <w:lvlText w:val="%6."/>
      <w:lvlJc w:val="right"/>
      <w:pPr>
        <w:tabs>
          <w:tab w:val="num" w:pos="4320"/>
        </w:tabs>
        <w:ind w:left="4320" w:hanging="180"/>
      </w:pPr>
    </w:lvl>
    <w:lvl w:ilvl="6" w:tplc="4EB4D7D4" w:tentative="1">
      <w:start w:val="1"/>
      <w:numFmt w:val="decimal"/>
      <w:lvlText w:val="%7."/>
      <w:lvlJc w:val="left"/>
      <w:pPr>
        <w:tabs>
          <w:tab w:val="num" w:pos="5040"/>
        </w:tabs>
        <w:ind w:left="5040" w:hanging="360"/>
      </w:pPr>
    </w:lvl>
    <w:lvl w:ilvl="7" w:tplc="914CAC86" w:tentative="1">
      <w:start w:val="1"/>
      <w:numFmt w:val="lowerLetter"/>
      <w:lvlText w:val="%8."/>
      <w:lvlJc w:val="left"/>
      <w:pPr>
        <w:tabs>
          <w:tab w:val="num" w:pos="5760"/>
        </w:tabs>
        <w:ind w:left="5760" w:hanging="360"/>
      </w:pPr>
    </w:lvl>
    <w:lvl w:ilvl="8" w:tplc="0E14654C" w:tentative="1">
      <w:start w:val="1"/>
      <w:numFmt w:val="lowerRoman"/>
      <w:lvlText w:val="%9."/>
      <w:lvlJc w:val="right"/>
      <w:pPr>
        <w:tabs>
          <w:tab w:val="num" w:pos="6480"/>
        </w:tabs>
        <w:ind w:left="6480" w:hanging="180"/>
      </w:pPr>
    </w:lvl>
  </w:abstractNum>
  <w:abstractNum w:abstractNumId="11" w15:restartNumberingAfterBreak="0">
    <w:nsid w:val="7C3B2FD5"/>
    <w:multiLevelType w:val="hybridMultilevel"/>
    <w:tmpl w:val="EA5A1F12"/>
    <w:lvl w:ilvl="0" w:tplc="568817DA">
      <w:numFmt w:val="bullet"/>
      <w:lvlText w:val="-"/>
      <w:lvlJc w:val="left"/>
      <w:pPr>
        <w:ind w:left="720" w:hanging="360"/>
      </w:pPr>
      <w:rPr>
        <w:rFonts w:ascii="Calibri" w:eastAsia="Times New Roman" w:hAnsi="Calibri" w:cs="Times New Roman" w:hint="default"/>
      </w:rPr>
    </w:lvl>
    <w:lvl w:ilvl="1" w:tplc="588EA1CA" w:tentative="1">
      <w:start w:val="1"/>
      <w:numFmt w:val="bullet"/>
      <w:lvlText w:val="o"/>
      <w:lvlJc w:val="left"/>
      <w:pPr>
        <w:ind w:left="1440" w:hanging="360"/>
      </w:pPr>
      <w:rPr>
        <w:rFonts w:ascii="Courier New" w:hAnsi="Courier New" w:cs="Courier New" w:hint="default"/>
      </w:rPr>
    </w:lvl>
    <w:lvl w:ilvl="2" w:tplc="4A9E13E0" w:tentative="1">
      <w:start w:val="1"/>
      <w:numFmt w:val="bullet"/>
      <w:lvlText w:val=""/>
      <w:lvlJc w:val="left"/>
      <w:pPr>
        <w:ind w:left="2160" w:hanging="360"/>
      </w:pPr>
      <w:rPr>
        <w:rFonts w:ascii="Wingdings" w:hAnsi="Wingdings" w:hint="default"/>
      </w:rPr>
    </w:lvl>
    <w:lvl w:ilvl="3" w:tplc="DB6C7432" w:tentative="1">
      <w:start w:val="1"/>
      <w:numFmt w:val="bullet"/>
      <w:lvlText w:val=""/>
      <w:lvlJc w:val="left"/>
      <w:pPr>
        <w:ind w:left="2880" w:hanging="360"/>
      </w:pPr>
      <w:rPr>
        <w:rFonts w:ascii="Symbol" w:hAnsi="Symbol" w:hint="default"/>
      </w:rPr>
    </w:lvl>
    <w:lvl w:ilvl="4" w:tplc="21F4DBFE" w:tentative="1">
      <w:start w:val="1"/>
      <w:numFmt w:val="bullet"/>
      <w:lvlText w:val="o"/>
      <w:lvlJc w:val="left"/>
      <w:pPr>
        <w:ind w:left="3600" w:hanging="360"/>
      </w:pPr>
      <w:rPr>
        <w:rFonts w:ascii="Courier New" w:hAnsi="Courier New" w:cs="Courier New" w:hint="default"/>
      </w:rPr>
    </w:lvl>
    <w:lvl w:ilvl="5" w:tplc="2084C8DC" w:tentative="1">
      <w:start w:val="1"/>
      <w:numFmt w:val="bullet"/>
      <w:lvlText w:val=""/>
      <w:lvlJc w:val="left"/>
      <w:pPr>
        <w:ind w:left="4320" w:hanging="360"/>
      </w:pPr>
      <w:rPr>
        <w:rFonts w:ascii="Wingdings" w:hAnsi="Wingdings" w:hint="default"/>
      </w:rPr>
    </w:lvl>
    <w:lvl w:ilvl="6" w:tplc="3802FBD4" w:tentative="1">
      <w:start w:val="1"/>
      <w:numFmt w:val="bullet"/>
      <w:lvlText w:val=""/>
      <w:lvlJc w:val="left"/>
      <w:pPr>
        <w:ind w:left="5040" w:hanging="360"/>
      </w:pPr>
      <w:rPr>
        <w:rFonts w:ascii="Symbol" w:hAnsi="Symbol" w:hint="default"/>
      </w:rPr>
    </w:lvl>
    <w:lvl w:ilvl="7" w:tplc="B522796C" w:tentative="1">
      <w:start w:val="1"/>
      <w:numFmt w:val="bullet"/>
      <w:lvlText w:val="o"/>
      <w:lvlJc w:val="left"/>
      <w:pPr>
        <w:ind w:left="5760" w:hanging="360"/>
      </w:pPr>
      <w:rPr>
        <w:rFonts w:ascii="Courier New" w:hAnsi="Courier New" w:cs="Courier New" w:hint="default"/>
      </w:rPr>
    </w:lvl>
    <w:lvl w:ilvl="8" w:tplc="A69424BA" w:tentative="1">
      <w:start w:val="1"/>
      <w:numFmt w:val="bullet"/>
      <w:lvlText w:val=""/>
      <w:lvlJc w:val="left"/>
      <w:pPr>
        <w:ind w:left="6480" w:hanging="360"/>
      </w:pPr>
      <w:rPr>
        <w:rFonts w:ascii="Wingdings" w:hAnsi="Wingdings" w:hint="default"/>
      </w:rPr>
    </w:lvl>
  </w:abstractNum>
  <w:num w:numId="1" w16cid:durableId="554053240">
    <w:abstractNumId w:val="3"/>
  </w:num>
  <w:num w:numId="2" w16cid:durableId="893278124">
    <w:abstractNumId w:val="6"/>
  </w:num>
  <w:num w:numId="3" w16cid:durableId="1630622837">
    <w:abstractNumId w:val="11"/>
  </w:num>
  <w:num w:numId="4" w16cid:durableId="342166365">
    <w:abstractNumId w:val="8"/>
  </w:num>
  <w:num w:numId="5" w16cid:durableId="1069618973">
    <w:abstractNumId w:val="4"/>
  </w:num>
  <w:num w:numId="6" w16cid:durableId="553590416">
    <w:abstractNumId w:val="0"/>
  </w:num>
  <w:num w:numId="7" w16cid:durableId="1005940910">
    <w:abstractNumId w:val="10"/>
  </w:num>
  <w:num w:numId="8" w16cid:durableId="1967738603">
    <w:abstractNumId w:val="7"/>
  </w:num>
  <w:num w:numId="9" w16cid:durableId="1799454139">
    <w:abstractNumId w:val="9"/>
  </w:num>
  <w:num w:numId="10" w16cid:durableId="321860259">
    <w:abstractNumId w:val="2"/>
  </w:num>
  <w:num w:numId="11" w16cid:durableId="1813281250">
    <w:abstractNumId w:val="1"/>
  </w:num>
  <w:num w:numId="12" w16cid:durableId="5187411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rMwMjQ2NDE1NzE2NbJQ0lEKTi0uzszPAykwrwUAGr96ZCwAAAA="/>
  </w:docVars>
  <w:rsids>
    <w:rsidRoot w:val="00977CAC"/>
    <w:rsid w:val="00017260"/>
    <w:rsid w:val="00025C0C"/>
    <w:rsid w:val="000323B1"/>
    <w:rsid w:val="000520FE"/>
    <w:rsid w:val="00052AD3"/>
    <w:rsid w:val="000560C7"/>
    <w:rsid w:val="0006397C"/>
    <w:rsid w:val="000677BF"/>
    <w:rsid w:val="0007646D"/>
    <w:rsid w:val="000876D4"/>
    <w:rsid w:val="00097AFD"/>
    <w:rsid w:val="000C562B"/>
    <w:rsid w:val="000E66EA"/>
    <w:rsid w:val="000E7BDC"/>
    <w:rsid w:val="000F05C3"/>
    <w:rsid w:val="000F1C4D"/>
    <w:rsid w:val="000F59C2"/>
    <w:rsid w:val="0010561F"/>
    <w:rsid w:val="00106EFB"/>
    <w:rsid w:val="0011074E"/>
    <w:rsid w:val="00113D8D"/>
    <w:rsid w:val="001225D9"/>
    <w:rsid w:val="00155350"/>
    <w:rsid w:val="001767E8"/>
    <w:rsid w:val="0017681B"/>
    <w:rsid w:val="00183A6E"/>
    <w:rsid w:val="00187082"/>
    <w:rsid w:val="00187E89"/>
    <w:rsid w:val="00190670"/>
    <w:rsid w:val="001A744D"/>
    <w:rsid w:val="001B55F1"/>
    <w:rsid w:val="001C0432"/>
    <w:rsid w:val="001C3485"/>
    <w:rsid w:val="001C5D73"/>
    <w:rsid w:val="001D431A"/>
    <w:rsid w:val="001F4B45"/>
    <w:rsid w:val="00207B6A"/>
    <w:rsid w:val="0021052C"/>
    <w:rsid w:val="00212094"/>
    <w:rsid w:val="00225B69"/>
    <w:rsid w:val="00231EC0"/>
    <w:rsid w:val="00232363"/>
    <w:rsid w:val="0024577A"/>
    <w:rsid w:val="00270F7D"/>
    <w:rsid w:val="0027795D"/>
    <w:rsid w:val="0028678C"/>
    <w:rsid w:val="0029271F"/>
    <w:rsid w:val="002935BA"/>
    <w:rsid w:val="00296132"/>
    <w:rsid w:val="002B02C7"/>
    <w:rsid w:val="002B66A8"/>
    <w:rsid w:val="002C3044"/>
    <w:rsid w:val="002D09DA"/>
    <w:rsid w:val="002F57E2"/>
    <w:rsid w:val="0030387F"/>
    <w:rsid w:val="003046E6"/>
    <w:rsid w:val="00322C89"/>
    <w:rsid w:val="003301C4"/>
    <w:rsid w:val="00357656"/>
    <w:rsid w:val="00362C81"/>
    <w:rsid w:val="00365495"/>
    <w:rsid w:val="003663E0"/>
    <w:rsid w:val="003A6E8E"/>
    <w:rsid w:val="003C3D92"/>
    <w:rsid w:val="003D0A60"/>
    <w:rsid w:val="003D53C4"/>
    <w:rsid w:val="003E562F"/>
    <w:rsid w:val="003F32A0"/>
    <w:rsid w:val="003F4C04"/>
    <w:rsid w:val="004104AD"/>
    <w:rsid w:val="00413700"/>
    <w:rsid w:val="00413BD3"/>
    <w:rsid w:val="00422536"/>
    <w:rsid w:val="00440EBA"/>
    <w:rsid w:val="0045227E"/>
    <w:rsid w:val="004622AC"/>
    <w:rsid w:val="0046428D"/>
    <w:rsid w:val="00484B88"/>
    <w:rsid w:val="004A465F"/>
    <w:rsid w:val="004A556B"/>
    <w:rsid w:val="004C31C9"/>
    <w:rsid w:val="004C69C2"/>
    <w:rsid w:val="004E4A69"/>
    <w:rsid w:val="004E4F24"/>
    <w:rsid w:val="004E7F4E"/>
    <w:rsid w:val="004F441C"/>
    <w:rsid w:val="004F7C7F"/>
    <w:rsid w:val="0050125C"/>
    <w:rsid w:val="00505656"/>
    <w:rsid w:val="00506B9F"/>
    <w:rsid w:val="00511CF9"/>
    <w:rsid w:val="00536E4C"/>
    <w:rsid w:val="00544D62"/>
    <w:rsid w:val="005471E6"/>
    <w:rsid w:val="00561F6D"/>
    <w:rsid w:val="00575828"/>
    <w:rsid w:val="00585F5C"/>
    <w:rsid w:val="00592356"/>
    <w:rsid w:val="005A11E1"/>
    <w:rsid w:val="005A77D4"/>
    <w:rsid w:val="005A7CE2"/>
    <w:rsid w:val="005B3F65"/>
    <w:rsid w:val="005B4AFB"/>
    <w:rsid w:val="005B6AD4"/>
    <w:rsid w:val="005C2FCB"/>
    <w:rsid w:val="005C63A9"/>
    <w:rsid w:val="005E2733"/>
    <w:rsid w:val="005E621B"/>
    <w:rsid w:val="005F25C2"/>
    <w:rsid w:val="006042BD"/>
    <w:rsid w:val="00622465"/>
    <w:rsid w:val="00635704"/>
    <w:rsid w:val="00642A42"/>
    <w:rsid w:val="00665495"/>
    <w:rsid w:val="00665CDF"/>
    <w:rsid w:val="00671FC3"/>
    <w:rsid w:val="006740E9"/>
    <w:rsid w:val="006A0963"/>
    <w:rsid w:val="006A1024"/>
    <w:rsid w:val="006D4A84"/>
    <w:rsid w:val="006F2134"/>
    <w:rsid w:val="0073099E"/>
    <w:rsid w:val="00763B36"/>
    <w:rsid w:val="007644D4"/>
    <w:rsid w:val="0077246E"/>
    <w:rsid w:val="007777BD"/>
    <w:rsid w:val="00783A03"/>
    <w:rsid w:val="00796C07"/>
    <w:rsid w:val="007A173C"/>
    <w:rsid w:val="007B213E"/>
    <w:rsid w:val="007C32E9"/>
    <w:rsid w:val="007C3BB2"/>
    <w:rsid w:val="007C3EA2"/>
    <w:rsid w:val="007C401C"/>
    <w:rsid w:val="007C712D"/>
    <w:rsid w:val="007D0142"/>
    <w:rsid w:val="007D4D18"/>
    <w:rsid w:val="00810543"/>
    <w:rsid w:val="008171C4"/>
    <w:rsid w:val="00843910"/>
    <w:rsid w:val="00851DD0"/>
    <w:rsid w:val="00852DE6"/>
    <w:rsid w:val="008602DC"/>
    <w:rsid w:val="00866B6C"/>
    <w:rsid w:val="00866EB7"/>
    <w:rsid w:val="00873F5B"/>
    <w:rsid w:val="00882B6E"/>
    <w:rsid w:val="00894D52"/>
    <w:rsid w:val="008A0FFD"/>
    <w:rsid w:val="008A3116"/>
    <w:rsid w:val="008A7335"/>
    <w:rsid w:val="008C7050"/>
    <w:rsid w:val="008C7F99"/>
    <w:rsid w:val="008D56F6"/>
    <w:rsid w:val="008E54E7"/>
    <w:rsid w:val="00901AE5"/>
    <w:rsid w:val="0090540A"/>
    <w:rsid w:val="009059DA"/>
    <w:rsid w:val="009072AD"/>
    <w:rsid w:val="00910FD7"/>
    <w:rsid w:val="00915968"/>
    <w:rsid w:val="00925233"/>
    <w:rsid w:val="009273F1"/>
    <w:rsid w:val="009338C6"/>
    <w:rsid w:val="00935971"/>
    <w:rsid w:val="0093645F"/>
    <w:rsid w:val="009365CB"/>
    <w:rsid w:val="00943257"/>
    <w:rsid w:val="00967B96"/>
    <w:rsid w:val="00977CAC"/>
    <w:rsid w:val="00985C78"/>
    <w:rsid w:val="00994D4F"/>
    <w:rsid w:val="009A2CA5"/>
    <w:rsid w:val="009A3B3F"/>
    <w:rsid w:val="009B05F7"/>
    <w:rsid w:val="009D25C7"/>
    <w:rsid w:val="009D7C3E"/>
    <w:rsid w:val="009E4A6E"/>
    <w:rsid w:val="00A0363B"/>
    <w:rsid w:val="00A0453C"/>
    <w:rsid w:val="00A17473"/>
    <w:rsid w:val="00A17F7A"/>
    <w:rsid w:val="00A259CA"/>
    <w:rsid w:val="00A331C7"/>
    <w:rsid w:val="00A35251"/>
    <w:rsid w:val="00A36E70"/>
    <w:rsid w:val="00A46E19"/>
    <w:rsid w:val="00A53C68"/>
    <w:rsid w:val="00A54A6F"/>
    <w:rsid w:val="00A82282"/>
    <w:rsid w:val="00A8722A"/>
    <w:rsid w:val="00A9061C"/>
    <w:rsid w:val="00AA2AE5"/>
    <w:rsid w:val="00AB330D"/>
    <w:rsid w:val="00AC03BD"/>
    <w:rsid w:val="00AC0D1B"/>
    <w:rsid w:val="00AC2D5B"/>
    <w:rsid w:val="00AC6DDE"/>
    <w:rsid w:val="00AE0737"/>
    <w:rsid w:val="00AE3803"/>
    <w:rsid w:val="00AE6917"/>
    <w:rsid w:val="00AF3C6D"/>
    <w:rsid w:val="00AF6329"/>
    <w:rsid w:val="00B01008"/>
    <w:rsid w:val="00B015E2"/>
    <w:rsid w:val="00B07C79"/>
    <w:rsid w:val="00B15D0E"/>
    <w:rsid w:val="00B163EF"/>
    <w:rsid w:val="00B2549E"/>
    <w:rsid w:val="00B310DA"/>
    <w:rsid w:val="00B65822"/>
    <w:rsid w:val="00B715E3"/>
    <w:rsid w:val="00BE1BE6"/>
    <w:rsid w:val="00C0645A"/>
    <w:rsid w:val="00C127E5"/>
    <w:rsid w:val="00C20C22"/>
    <w:rsid w:val="00C2352C"/>
    <w:rsid w:val="00C24E1B"/>
    <w:rsid w:val="00C314C4"/>
    <w:rsid w:val="00C43CB5"/>
    <w:rsid w:val="00C5315C"/>
    <w:rsid w:val="00C53B2A"/>
    <w:rsid w:val="00C544F4"/>
    <w:rsid w:val="00C72984"/>
    <w:rsid w:val="00CC0CC0"/>
    <w:rsid w:val="00CD18F9"/>
    <w:rsid w:val="00CD6BA8"/>
    <w:rsid w:val="00CE55FA"/>
    <w:rsid w:val="00CF194D"/>
    <w:rsid w:val="00CF312D"/>
    <w:rsid w:val="00CF7374"/>
    <w:rsid w:val="00D15E9D"/>
    <w:rsid w:val="00D2360F"/>
    <w:rsid w:val="00D4486C"/>
    <w:rsid w:val="00D6359C"/>
    <w:rsid w:val="00D6425E"/>
    <w:rsid w:val="00D67069"/>
    <w:rsid w:val="00D71F47"/>
    <w:rsid w:val="00D737E3"/>
    <w:rsid w:val="00D73C47"/>
    <w:rsid w:val="00D770AA"/>
    <w:rsid w:val="00D86C3B"/>
    <w:rsid w:val="00D87546"/>
    <w:rsid w:val="00D916CE"/>
    <w:rsid w:val="00DA475F"/>
    <w:rsid w:val="00DA6203"/>
    <w:rsid w:val="00DD182B"/>
    <w:rsid w:val="00DF2096"/>
    <w:rsid w:val="00DF7571"/>
    <w:rsid w:val="00E15C5C"/>
    <w:rsid w:val="00E30A22"/>
    <w:rsid w:val="00E360AE"/>
    <w:rsid w:val="00E671AB"/>
    <w:rsid w:val="00E93573"/>
    <w:rsid w:val="00E968A6"/>
    <w:rsid w:val="00E970FC"/>
    <w:rsid w:val="00EB1EA2"/>
    <w:rsid w:val="00EB3C65"/>
    <w:rsid w:val="00EB49EC"/>
    <w:rsid w:val="00EC14B3"/>
    <w:rsid w:val="00EC4AF9"/>
    <w:rsid w:val="00EE6A03"/>
    <w:rsid w:val="00F105EA"/>
    <w:rsid w:val="00F15AE9"/>
    <w:rsid w:val="00F165B4"/>
    <w:rsid w:val="00F16B0D"/>
    <w:rsid w:val="00F27346"/>
    <w:rsid w:val="00F33BB3"/>
    <w:rsid w:val="00F4608B"/>
    <w:rsid w:val="00F501C9"/>
    <w:rsid w:val="00F565E7"/>
    <w:rsid w:val="00F645D1"/>
    <w:rsid w:val="00F647E8"/>
    <w:rsid w:val="00F675CF"/>
    <w:rsid w:val="00F95AC7"/>
    <w:rsid w:val="00F9638F"/>
    <w:rsid w:val="00F96848"/>
    <w:rsid w:val="00FA2B53"/>
    <w:rsid w:val="00FE19ED"/>
    <w:rsid w:val="00FF1533"/>
    <w:rsid w:val="00FF55AE"/>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E5EA35"/>
  <w15:docId w15:val="{6E777A1F-83D6-B74A-AA69-3177BCDF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CAC"/>
    <w:pPr>
      <w:spacing w:after="0" w:line="240" w:lineRule="auto"/>
    </w:pPr>
    <w:rPr>
      <w:rFonts w:ascii="Times New Roman" w:hAnsi="Times New Roman"/>
      <w:sz w:val="24"/>
      <w:szCs w:val="22"/>
      <w:lang w:val="en-US" w:eastAsia="en-US" w:bidi="en-US"/>
    </w:rPr>
  </w:style>
  <w:style w:type="paragraph" w:styleId="Heading1">
    <w:name w:val="heading 1"/>
    <w:basedOn w:val="Normal"/>
    <w:next w:val="Normal"/>
    <w:link w:val="Heading1Char"/>
    <w:uiPriority w:val="9"/>
    <w:qFormat/>
    <w:rsid w:val="00977CAC"/>
    <w:pPr>
      <w:spacing w:before="480" w:after="0"/>
      <w:contextualSpacing/>
      <w:outlineLvl w:val="0"/>
    </w:pPr>
    <w:rPr>
      <w:rFonts w:ascii="Cambria" w:hAnsi="Cambria"/>
      <w:b/>
      <w:bCs/>
      <w:sz w:val="28"/>
      <w:szCs w:val="28"/>
    </w:rPr>
  </w:style>
  <w:style w:type="paragraph" w:styleId="Heading2">
    <w:name w:val="heading 2"/>
    <w:basedOn w:val="Normal"/>
    <w:next w:val="Normal"/>
    <w:link w:val="Heading2Char"/>
    <w:uiPriority w:val="9"/>
    <w:semiHidden/>
    <w:unhideWhenUsed/>
    <w:qFormat/>
    <w:rsid w:val="00977CAC"/>
    <w:pPr>
      <w:spacing w:before="200" w:after="0"/>
      <w:outlineLvl w:val="1"/>
    </w:pPr>
    <w:rPr>
      <w:rFonts w:ascii="Cambria" w:hAnsi="Cambria"/>
      <w:b/>
      <w:bCs/>
      <w:sz w:val="26"/>
      <w:szCs w:val="26"/>
    </w:rPr>
  </w:style>
  <w:style w:type="paragraph" w:styleId="Heading3">
    <w:name w:val="heading 3"/>
    <w:basedOn w:val="Normal"/>
    <w:next w:val="Normal"/>
    <w:link w:val="Heading3Char"/>
    <w:uiPriority w:val="9"/>
    <w:semiHidden/>
    <w:unhideWhenUsed/>
    <w:qFormat/>
    <w:rsid w:val="00977CAC"/>
    <w:pPr>
      <w:spacing w:before="200" w:after="0" w:line="271" w:lineRule="auto"/>
      <w:outlineLvl w:val="2"/>
    </w:pPr>
    <w:rPr>
      <w:rFonts w:ascii="Cambria" w:hAnsi="Cambria"/>
      <w:b/>
      <w:bCs/>
    </w:rPr>
  </w:style>
  <w:style w:type="paragraph" w:styleId="Heading4">
    <w:name w:val="heading 4"/>
    <w:basedOn w:val="Normal"/>
    <w:next w:val="Normal"/>
    <w:link w:val="Heading4Char"/>
    <w:uiPriority w:val="9"/>
    <w:semiHidden/>
    <w:unhideWhenUsed/>
    <w:qFormat/>
    <w:rsid w:val="00977CAC"/>
    <w:pPr>
      <w:spacing w:before="200" w:after="0"/>
      <w:outlineLvl w:val="3"/>
    </w:pPr>
    <w:rPr>
      <w:rFonts w:ascii="Cambria" w:hAnsi="Cambria"/>
      <w:b/>
      <w:bCs/>
      <w:i/>
      <w:iCs/>
    </w:rPr>
  </w:style>
  <w:style w:type="paragraph" w:styleId="Heading5">
    <w:name w:val="heading 5"/>
    <w:basedOn w:val="Normal"/>
    <w:next w:val="Normal"/>
    <w:link w:val="Heading5Char"/>
    <w:uiPriority w:val="9"/>
    <w:semiHidden/>
    <w:unhideWhenUsed/>
    <w:qFormat/>
    <w:rsid w:val="00977CAC"/>
    <w:pPr>
      <w:spacing w:before="200" w:after="0"/>
      <w:outlineLvl w:val="4"/>
    </w:pPr>
    <w:rPr>
      <w:rFonts w:ascii="Cambria" w:hAnsi="Cambria"/>
      <w:b/>
      <w:bCs/>
      <w:color w:val="7F7F7F"/>
    </w:rPr>
  </w:style>
  <w:style w:type="paragraph" w:styleId="Heading6">
    <w:name w:val="heading 6"/>
    <w:basedOn w:val="Normal"/>
    <w:next w:val="Normal"/>
    <w:link w:val="Heading6Char"/>
    <w:uiPriority w:val="9"/>
    <w:semiHidden/>
    <w:unhideWhenUsed/>
    <w:qFormat/>
    <w:rsid w:val="00977CAC"/>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rsid w:val="00977CAC"/>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rsid w:val="00977CAC"/>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rsid w:val="00977CAC"/>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CAC"/>
    <w:rPr>
      <w:rFonts w:ascii="Cambria" w:eastAsia="Times New Roman" w:hAnsi="Cambria" w:cs="Times New Roman"/>
      <w:b/>
      <w:bCs/>
      <w:sz w:val="28"/>
      <w:szCs w:val="28"/>
    </w:rPr>
  </w:style>
  <w:style w:type="character" w:customStyle="1" w:styleId="Heading2Char">
    <w:name w:val="Heading 2 Char"/>
    <w:basedOn w:val="DefaultParagraphFont"/>
    <w:link w:val="Heading2"/>
    <w:uiPriority w:val="9"/>
    <w:semiHidden/>
    <w:rsid w:val="00977CAC"/>
    <w:rPr>
      <w:rFonts w:ascii="Cambria" w:eastAsia="Times New Roman" w:hAnsi="Cambria" w:cs="Times New Roman"/>
      <w:b/>
      <w:bCs/>
      <w:sz w:val="26"/>
      <w:szCs w:val="26"/>
    </w:rPr>
  </w:style>
  <w:style w:type="character" w:customStyle="1" w:styleId="Heading3Char">
    <w:name w:val="Heading 3 Char"/>
    <w:basedOn w:val="DefaultParagraphFont"/>
    <w:link w:val="Heading3"/>
    <w:uiPriority w:val="9"/>
    <w:rsid w:val="00977CAC"/>
    <w:rPr>
      <w:rFonts w:ascii="Cambria" w:eastAsia="Times New Roman" w:hAnsi="Cambria" w:cs="Times New Roman"/>
      <w:b/>
      <w:bCs/>
    </w:rPr>
  </w:style>
  <w:style w:type="character" w:customStyle="1" w:styleId="Heading4Char">
    <w:name w:val="Heading 4 Char"/>
    <w:basedOn w:val="DefaultParagraphFont"/>
    <w:link w:val="Heading4"/>
    <w:uiPriority w:val="9"/>
    <w:semiHidden/>
    <w:rsid w:val="00977CAC"/>
    <w:rPr>
      <w:rFonts w:ascii="Cambria" w:eastAsia="Times New Roman" w:hAnsi="Cambria" w:cs="Times New Roman"/>
      <w:b/>
      <w:bCs/>
      <w:i/>
      <w:iCs/>
    </w:rPr>
  </w:style>
  <w:style w:type="character" w:customStyle="1" w:styleId="Heading5Char">
    <w:name w:val="Heading 5 Char"/>
    <w:basedOn w:val="DefaultParagraphFont"/>
    <w:link w:val="Heading5"/>
    <w:uiPriority w:val="9"/>
    <w:semiHidden/>
    <w:rsid w:val="00977CAC"/>
    <w:rPr>
      <w:rFonts w:ascii="Cambria" w:eastAsia="Times New Roman" w:hAnsi="Cambria" w:cs="Times New Roman"/>
      <w:b/>
      <w:bCs/>
      <w:color w:val="7F7F7F"/>
    </w:rPr>
  </w:style>
  <w:style w:type="character" w:customStyle="1" w:styleId="Heading6Char">
    <w:name w:val="Heading 6 Char"/>
    <w:basedOn w:val="DefaultParagraphFont"/>
    <w:link w:val="Heading6"/>
    <w:uiPriority w:val="9"/>
    <w:semiHidden/>
    <w:rsid w:val="00977CAC"/>
    <w:rPr>
      <w:rFonts w:ascii="Cambria" w:eastAsia="Times New Roman" w:hAnsi="Cambria" w:cs="Times New Roman"/>
      <w:b/>
      <w:bCs/>
      <w:i/>
      <w:iCs/>
      <w:color w:val="7F7F7F"/>
    </w:rPr>
  </w:style>
  <w:style w:type="character" w:customStyle="1" w:styleId="Heading7Char">
    <w:name w:val="Heading 7 Char"/>
    <w:basedOn w:val="DefaultParagraphFont"/>
    <w:link w:val="Heading7"/>
    <w:uiPriority w:val="9"/>
    <w:semiHidden/>
    <w:rsid w:val="00977CAC"/>
    <w:rPr>
      <w:rFonts w:ascii="Cambria" w:eastAsia="Times New Roman" w:hAnsi="Cambria" w:cs="Times New Roman"/>
      <w:i/>
      <w:iCs/>
    </w:rPr>
  </w:style>
  <w:style w:type="character" w:customStyle="1" w:styleId="Heading8Char">
    <w:name w:val="Heading 8 Char"/>
    <w:basedOn w:val="DefaultParagraphFont"/>
    <w:link w:val="Heading8"/>
    <w:uiPriority w:val="9"/>
    <w:semiHidden/>
    <w:rsid w:val="00977CAC"/>
    <w:rPr>
      <w:rFonts w:ascii="Cambria" w:eastAsia="Times New Roman" w:hAnsi="Cambria" w:cs="Times New Roman"/>
      <w:sz w:val="20"/>
      <w:szCs w:val="20"/>
    </w:rPr>
  </w:style>
  <w:style w:type="character" w:customStyle="1" w:styleId="Heading9Char">
    <w:name w:val="Heading 9 Char"/>
    <w:basedOn w:val="DefaultParagraphFont"/>
    <w:link w:val="Heading9"/>
    <w:uiPriority w:val="9"/>
    <w:semiHidden/>
    <w:rsid w:val="00977CAC"/>
    <w:rPr>
      <w:rFonts w:ascii="Cambria" w:eastAsia="Times New Roman" w:hAnsi="Cambria" w:cs="Times New Roman"/>
      <w:i/>
      <w:iCs/>
      <w:spacing w:val="5"/>
      <w:sz w:val="20"/>
      <w:szCs w:val="20"/>
    </w:rPr>
  </w:style>
  <w:style w:type="paragraph" w:styleId="Title">
    <w:name w:val="Title"/>
    <w:basedOn w:val="Normal"/>
    <w:next w:val="Normal"/>
    <w:link w:val="TitleChar"/>
    <w:uiPriority w:val="10"/>
    <w:qFormat/>
    <w:rsid w:val="00977CAC"/>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basedOn w:val="DefaultParagraphFont"/>
    <w:link w:val="Title"/>
    <w:uiPriority w:val="10"/>
    <w:rsid w:val="00977CAC"/>
    <w:rPr>
      <w:rFonts w:ascii="Cambria" w:eastAsia="Times New Roman" w:hAnsi="Cambria" w:cs="Times New Roman"/>
      <w:spacing w:val="5"/>
      <w:sz w:val="52"/>
      <w:szCs w:val="52"/>
    </w:rPr>
  </w:style>
  <w:style w:type="paragraph" w:styleId="Subtitle">
    <w:name w:val="Subtitle"/>
    <w:basedOn w:val="Normal"/>
    <w:next w:val="Normal"/>
    <w:link w:val="SubtitleChar"/>
    <w:uiPriority w:val="11"/>
    <w:qFormat/>
    <w:rsid w:val="00977CAC"/>
    <w:pPr>
      <w:spacing w:after="600"/>
    </w:pPr>
    <w:rPr>
      <w:rFonts w:ascii="Cambria" w:hAnsi="Cambria"/>
      <w:i/>
      <w:iCs/>
      <w:spacing w:val="13"/>
      <w:sz w:val="24"/>
      <w:szCs w:val="24"/>
    </w:rPr>
  </w:style>
  <w:style w:type="character" w:customStyle="1" w:styleId="SubtitleChar">
    <w:name w:val="Subtitle Char"/>
    <w:basedOn w:val="DefaultParagraphFont"/>
    <w:link w:val="Subtitle"/>
    <w:uiPriority w:val="11"/>
    <w:rsid w:val="00977CAC"/>
    <w:rPr>
      <w:rFonts w:ascii="Cambria" w:eastAsia="Times New Roman" w:hAnsi="Cambria" w:cs="Times New Roman"/>
      <w:i/>
      <w:iCs/>
      <w:spacing w:val="13"/>
      <w:sz w:val="24"/>
      <w:szCs w:val="24"/>
    </w:rPr>
  </w:style>
  <w:style w:type="character" w:styleId="Strong">
    <w:name w:val="Strong"/>
    <w:uiPriority w:val="22"/>
    <w:qFormat/>
    <w:rsid w:val="00977CAC"/>
    <w:rPr>
      <w:b/>
      <w:bCs/>
    </w:rPr>
  </w:style>
  <w:style w:type="character" w:styleId="Emphasis">
    <w:name w:val="Emphasis"/>
    <w:uiPriority w:val="20"/>
    <w:qFormat/>
    <w:rsid w:val="00977CAC"/>
    <w:rPr>
      <w:b/>
      <w:bCs/>
      <w:i/>
      <w:iCs/>
      <w:spacing w:val="10"/>
      <w:bdr w:val="none" w:sz="0" w:space="0" w:color="auto"/>
      <w:shd w:val="clear" w:color="auto" w:fill="auto"/>
    </w:rPr>
  </w:style>
  <w:style w:type="paragraph" w:styleId="NoSpacing">
    <w:name w:val="No Spacing"/>
    <w:basedOn w:val="Normal"/>
    <w:uiPriority w:val="1"/>
    <w:qFormat/>
    <w:rsid w:val="00977CAC"/>
    <w:pPr>
      <w:spacing w:after="0" w:line="240" w:lineRule="auto"/>
    </w:pPr>
  </w:style>
  <w:style w:type="paragraph" w:styleId="ListParagraph">
    <w:name w:val="List Paragraph"/>
    <w:basedOn w:val="Normal"/>
    <w:uiPriority w:val="34"/>
    <w:qFormat/>
    <w:rsid w:val="00977CAC"/>
    <w:pPr>
      <w:ind w:left="720"/>
      <w:contextualSpacing/>
    </w:pPr>
  </w:style>
  <w:style w:type="paragraph" w:styleId="Quote">
    <w:name w:val="Quote"/>
    <w:basedOn w:val="Normal"/>
    <w:next w:val="Normal"/>
    <w:link w:val="QuoteChar"/>
    <w:uiPriority w:val="29"/>
    <w:qFormat/>
    <w:rsid w:val="00977CAC"/>
    <w:pPr>
      <w:spacing w:before="200" w:after="0"/>
      <w:ind w:left="360" w:right="360"/>
    </w:pPr>
    <w:rPr>
      <w:i/>
      <w:iCs/>
    </w:rPr>
  </w:style>
  <w:style w:type="character" w:customStyle="1" w:styleId="QuoteChar">
    <w:name w:val="Quote Char"/>
    <w:basedOn w:val="DefaultParagraphFont"/>
    <w:link w:val="Quote"/>
    <w:uiPriority w:val="29"/>
    <w:rsid w:val="00977CAC"/>
    <w:rPr>
      <w:i/>
      <w:iCs/>
    </w:rPr>
  </w:style>
  <w:style w:type="paragraph" w:styleId="IntenseQuote">
    <w:name w:val="Intense Quote"/>
    <w:basedOn w:val="Normal"/>
    <w:next w:val="Normal"/>
    <w:link w:val="IntenseQuoteChar"/>
    <w:uiPriority w:val="30"/>
    <w:qFormat/>
    <w:rsid w:val="00977CAC"/>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977CAC"/>
    <w:rPr>
      <w:b/>
      <w:bCs/>
      <w:i/>
      <w:iCs/>
    </w:rPr>
  </w:style>
  <w:style w:type="character" w:styleId="SubtleEmphasis">
    <w:name w:val="Subtle Emphasis"/>
    <w:uiPriority w:val="19"/>
    <w:qFormat/>
    <w:rsid w:val="00977CAC"/>
    <w:rPr>
      <w:i/>
      <w:iCs/>
    </w:rPr>
  </w:style>
  <w:style w:type="character" w:styleId="IntenseEmphasis">
    <w:name w:val="Intense Emphasis"/>
    <w:uiPriority w:val="21"/>
    <w:qFormat/>
    <w:rsid w:val="00977CAC"/>
    <w:rPr>
      <w:b/>
      <w:bCs/>
    </w:rPr>
  </w:style>
  <w:style w:type="character" w:styleId="SubtleReference">
    <w:name w:val="Subtle Reference"/>
    <w:uiPriority w:val="31"/>
    <w:qFormat/>
    <w:rsid w:val="00977CAC"/>
    <w:rPr>
      <w:smallCaps/>
    </w:rPr>
  </w:style>
  <w:style w:type="character" w:styleId="IntenseReference">
    <w:name w:val="Intense Reference"/>
    <w:uiPriority w:val="32"/>
    <w:qFormat/>
    <w:rsid w:val="00977CAC"/>
    <w:rPr>
      <w:smallCaps/>
      <w:spacing w:val="5"/>
      <w:u w:val="single"/>
    </w:rPr>
  </w:style>
  <w:style w:type="character" w:styleId="BookTitle">
    <w:name w:val="Book Title"/>
    <w:uiPriority w:val="33"/>
    <w:qFormat/>
    <w:rsid w:val="00977CAC"/>
    <w:rPr>
      <w:i/>
      <w:iCs/>
      <w:smallCaps/>
      <w:spacing w:val="5"/>
    </w:rPr>
  </w:style>
  <w:style w:type="paragraph" w:styleId="TOCHeading">
    <w:name w:val="TOC Heading"/>
    <w:basedOn w:val="Heading1"/>
    <w:next w:val="Normal"/>
    <w:uiPriority w:val="39"/>
    <w:semiHidden/>
    <w:unhideWhenUsed/>
    <w:qFormat/>
    <w:rsid w:val="00977CAC"/>
    <w:pPr>
      <w:outlineLvl w:val="9"/>
    </w:pPr>
  </w:style>
  <w:style w:type="paragraph" w:styleId="BalloonText">
    <w:name w:val="Balloon Text"/>
    <w:basedOn w:val="Normal"/>
    <w:link w:val="BalloonTextChar"/>
    <w:uiPriority w:val="99"/>
    <w:semiHidden/>
    <w:unhideWhenUsed/>
    <w:rsid w:val="00866B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6B6C"/>
    <w:rPr>
      <w:rFonts w:ascii="Tahoma" w:hAnsi="Tahoma" w:cs="Tahoma"/>
      <w:sz w:val="16"/>
      <w:szCs w:val="16"/>
    </w:rPr>
  </w:style>
  <w:style w:type="character" w:styleId="Hyperlink">
    <w:name w:val="Hyperlink"/>
    <w:basedOn w:val="DefaultParagraphFont"/>
    <w:uiPriority w:val="99"/>
    <w:unhideWhenUsed/>
    <w:rsid w:val="000876D4"/>
    <w:rPr>
      <w:color w:val="0000FF"/>
      <w:u w:val="single"/>
    </w:rPr>
  </w:style>
  <w:style w:type="paragraph" w:customStyle="1" w:styleId="tolesBold">
    <w:name w:val="toles + Bold"/>
    <w:aliases w:val="Line spacing:  single"/>
    <w:basedOn w:val="Normal"/>
    <w:rsid w:val="00915968"/>
    <w:pPr>
      <w:spacing w:after="0" w:line="240" w:lineRule="auto"/>
      <w:jc w:val="center"/>
      <w:outlineLvl w:val="0"/>
    </w:pPr>
    <w:rPr>
      <w:rFonts w:ascii="Times New Roman" w:hAnsi="Times New Roman"/>
      <w:i/>
      <w:iCs/>
      <w:sz w:val="24"/>
      <w:szCs w:val="24"/>
      <w:lang w:bidi="ar-SA"/>
    </w:rPr>
  </w:style>
  <w:style w:type="character" w:customStyle="1" w:styleId="longtext">
    <w:name w:val="long_text"/>
    <w:basedOn w:val="DefaultParagraphFont"/>
    <w:rsid w:val="00E30A22"/>
  </w:style>
  <w:style w:type="character" w:customStyle="1" w:styleId="hps">
    <w:name w:val="hps"/>
    <w:basedOn w:val="DefaultParagraphFont"/>
    <w:rsid w:val="00671FC3"/>
  </w:style>
  <w:style w:type="paragraph" w:styleId="BodyText">
    <w:name w:val="Body Text"/>
    <w:basedOn w:val="Normal"/>
    <w:link w:val="BodyTextChar"/>
    <w:rsid w:val="00671FC3"/>
    <w:pPr>
      <w:spacing w:after="120" w:line="240" w:lineRule="auto"/>
    </w:pPr>
    <w:rPr>
      <w:rFonts w:ascii="Times New Roman" w:hAnsi="Times New Roman"/>
      <w:sz w:val="20"/>
      <w:szCs w:val="20"/>
      <w:lang w:val="id-ID" w:eastAsia="id-ID" w:bidi="ar-SA"/>
    </w:rPr>
  </w:style>
  <w:style w:type="character" w:customStyle="1" w:styleId="BodyTextChar">
    <w:name w:val="Body Text Char"/>
    <w:basedOn w:val="DefaultParagraphFont"/>
    <w:link w:val="BodyText"/>
    <w:rsid w:val="00671FC3"/>
    <w:rPr>
      <w:rFonts w:ascii="Times New Roman" w:hAnsi="Times New Roman"/>
    </w:rPr>
  </w:style>
  <w:style w:type="paragraph" w:customStyle="1" w:styleId="Text">
    <w:name w:val="Text"/>
    <w:basedOn w:val="Normal"/>
    <w:rsid w:val="00EB1EA2"/>
    <w:pPr>
      <w:widowControl w:val="0"/>
      <w:autoSpaceDE w:val="0"/>
      <w:autoSpaceDN w:val="0"/>
      <w:spacing w:after="0" w:line="252" w:lineRule="auto"/>
      <w:ind w:firstLine="202"/>
      <w:jc w:val="both"/>
    </w:pPr>
    <w:rPr>
      <w:rFonts w:ascii="Times New Roman" w:eastAsia="Batang" w:hAnsi="Times New Roman"/>
      <w:sz w:val="20"/>
      <w:szCs w:val="20"/>
      <w:lang w:eastAsia="ko-KR" w:bidi="ar-SA"/>
    </w:rPr>
  </w:style>
  <w:style w:type="character" w:styleId="FollowedHyperlink">
    <w:name w:val="FollowedHyperlink"/>
    <w:basedOn w:val="DefaultParagraphFont"/>
    <w:uiPriority w:val="99"/>
    <w:semiHidden/>
    <w:unhideWhenUsed/>
    <w:rsid w:val="0050125C"/>
    <w:rPr>
      <w:color w:val="800080" w:themeColor="followedHyperlink"/>
      <w:u w:val="single"/>
    </w:rPr>
  </w:style>
  <w:style w:type="paragraph" w:styleId="Caption">
    <w:name w:val="caption"/>
    <w:basedOn w:val="Normal"/>
    <w:next w:val="Normal"/>
    <w:uiPriority w:val="35"/>
    <w:unhideWhenUsed/>
    <w:qFormat/>
    <w:rsid w:val="00783A03"/>
    <w:pPr>
      <w:spacing w:line="240" w:lineRule="auto"/>
    </w:pPr>
    <w:rPr>
      <w:rFonts w:asciiTheme="minorHAnsi" w:eastAsiaTheme="minorHAnsi" w:hAnsiTheme="minorHAnsi" w:cstheme="minorBidi"/>
      <w:i/>
      <w:iCs/>
      <w:color w:val="1F497D" w:themeColor="text2"/>
      <w:sz w:val="18"/>
      <w:szCs w:val="18"/>
      <w:lang w:bidi="ar-SA"/>
    </w:rPr>
  </w:style>
  <w:style w:type="character" w:styleId="UnresolvedMention">
    <w:name w:val="Unresolved Mention"/>
    <w:basedOn w:val="DefaultParagraphFont"/>
    <w:uiPriority w:val="99"/>
    <w:semiHidden/>
    <w:unhideWhenUsed/>
    <w:rsid w:val="00866E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820213">
      <w:bodyDiv w:val="1"/>
      <w:marLeft w:val="0"/>
      <w:marRight w:val="0"/>
      <w:marTop w:val="0"/>
      <w:marBottom w:val="0"/>
      <w:divBdr>
        <w:top w:val="none" w:sz="0" w:space="0" w:color="auto"/>
        <w:left w:val="none" w:sz="0" w:space="0" w:color="auto"/>
        <w:bottom w:val="none" w:sz="0" w:space="0" w:color="auto"/>
        <w:right w:val="none" w:sz="0" w:space="0" w:color="auto"/>
      </w:divBdr>
    </w:div>
    <w:div w:id="383525634">
      <w:bodyDiv w:val="1"/>
      <w:marLeft w:val="0"/>
      <w:marRight w:val="0"/>
      <w:marTop w:val="0"/>
      <w:marBottom w:val="0"/>
      <w:divBdr>
        <w:top w:val="none" w:sz="0" w:space="0" w:color="auto"/>
        <w:left w:val="none" w:sz="0" w:space="0" w:color="auto"/>
        <w:bottom w:val="none" w:sz="0" w:space="0" w:color="auto"/>
        <w:right w:val="none" w:sz="0" w:space="0" w:color="auto"/>
      </w:divBdr>
    </w:div>
    <w:div w:id="697240939">
      <w:bodyDiv w:val="1"/>
      <w:marLeft w:val="0"/>
      <w:marRight w:val="0"/>
      <w:marTop w:val="0"/>
      <w:marBottom w:val="0"/>
      <w:divBdr>
        <w:top w:val="none" w:sz="0" w:space="0" w:color="auto"/>
        <w:left w:val="none" w:sz="0" w:space="0" w:color="auto"/>
        <w:bottom w:val="none" w:sz="0" w:space="0" w:color="auto"/>
        <w:right w:val="none" w:sz="0" w:space="0" w:color="auto"/>
      </w:divBdr>
    </w:div>
    <w:div w:id="938558566">
      <w:bodyDiv w:val="1"/>
      <w:marLeft w:val="0"/>
      <w:marRight w:val="0"/>
      <w:marTop w:val="0"/>
      <w:marBottom w:val="0"/>
      <w:divBdr>
        <w:top w:val="none" w:sz="0" w:space="0" w:color="auto"/>
        <w:left w:val="none" w:sz="0" w:space="0" w:color="auto"/>
        <w:bottom w:val="none" w:sz="0" w:space="0" w:color="auto"/>
        <w:right w:val="none" w:sz="0" w:space="0" w:color="auto"/>
      </w:divBdr>
      <w:divsChild>
        <w:div w:id="944852175">
          <w:marLeft w:val="0"/>
          <w:marRight w:val="0"/>
          <w:marTop w:val="0"/>
          <w:marBottom w:val="0"/>
          <w:divBdr>
            <w:top w:val="none" w:sz="0" w:space="0" w:color="auto"/>
            <w:left w:val="none" w:sz="0" w:space="0" w:color="auto"/>
            <w:bottom w:val="none" w:sz="0" w:space="0" w:color="auto"/>
            <w:right w:val="none" w:sz="0" w:space="0" w:color="auto"/>
          </w:divBdr>
        </w:div>
      </w:divsChild>
    </w:div>
    <w:div w:id="1244140034">
      <w:bodyDiv w:val="1"/>
      <w:marLeft w:val="0"/>
      <w:marRight w:val="0"/>
      <w:marTop w:val="0"/>
      <w:marBottom w:val="0"/>
      <w:divBdr>
        <w:top w:val="none" w:sz="0" w:space="0" w:color="auto"/>
        <w:left w:val="none" w:sz="0" w:space="0" w:color="auto"/>
        <w:bottom w:val="none" w:sz="0" w:space="0" w:color="auto"/>
        <w:right w:val="none" w:sz="0" w:space="0" w:color="auto"/>
      </w:divBdr>
      <w:divsChild>
        <w:div w:id="1864901723">
          <w:marLeft w:val="0"/>
          <w:marRight w:val="0"/>
          <w:marTop w:val="0"/>
          <w:marBottom w:val="0"/>
          <w:divBdr>
            <w:top w:val="none" w:sz="0" w:space="0" w:color="auto"/>
            <w:left w:val="none" w:sz="0" w:space="0" w:color="auto"/>
            <w:bottom w:val="none" w:sz="0" w:space="0" w:color="auto"/>
            <w:right w:val="none" w:sz="0" w:space="0" w:color="auto"/>
          </w:divBdr>
        </w:div>
      </w:divsChild>
    </w:div>
    <w:div w:id="1474830286">
      <w:bodyDiv w:val="1"/>
      <w:marLeft w:val="0"/>
      <w:marRight w:val="0"/>
      <w:marTop w:val="0"/>
      <w:marBottom w:val="0"/>
      <w:divBdr>
        <w:top w:val="none" w:sz="0" w:space="0" w:color="auto"/>
        <w:left w:val="none" w:sz="0" w:space="0" w:color="auto"/>
        <w:bottom w:val="none" w:sz="0" w:space="0" w:color="auto"/>
        <w:right w:val="none" w:sz="0" w:space="0" w:color="auto"/>
      </w:divBdr>
    </w:div>
    <w:div w:id="1556427165">
      <w:bodyDiv w:val="1"/>
      <w:marLeft w:val="0"/>
      <w:marRight w:val="0"/>
      <w:marTop w:val="0"/>
      <w:marBottom w:val="0"/>
      <w:divBdr>
        <w:top w:val="none" w:sz="0" w:space="0" w:color="auto"/>
        <w:left w:val="none" w:sz="0" w:space="0" w:color="auto"/>
        <w:bottom w:val="none" w:sz="0" w:space="0" w:color="auto"/>
        <w:right w:val="none" w:sz="0" w:space="0" w:color="auto"/>
      </w:divBdr>
    </w:div>
    <w:div w:id="1558280742">
      <w:bodyDiv w:val="1"/>
      <w:marLeft w:val="0"/>
      <w:marRight w:val="0"/>
      <w:marTop w:val="0"/>
      <w:marBottom w:val="0"/>
      <w:divBdr>
        <w:top w:val="none" w:sz="0" w:space="0" w:color="auto"/>
        <w:left w:val="none" w:sz="0" w:space="0" w:color="auto"/>
        <w:bottom w:val="none" w:sz="0" w:space="0" w:color="auto"/>
        <w:right w:val="none" w:sz="0" w:space="0" w:color="auto"/>
      </w:divBdr>
    </w:div>
    <w:div w:id="1574312598">
      <w:bodyDiv w:val="1"/>
      <w:marLeft w:val="0"/>
      <w:marRight w:val="0"/>
      <w:marTop w:val="0"/>
      <w:marBottom w:val="0"/>
      <w:divBdr>
        <w:top w:val="none" w:sz="0" w:space="0" w:color="auto"/>
        <w:left w:val="none" w:sz="0" w:space="0" w:color="auto"/>
        <w:bottom w:val="none" w:sz="0" w:space="0" w:color="auto"/>
        <w:right w:val="none" w:sz="0" w:space="0" w:color="auto"/>
      </w:divBdr>
    </w:div>
    <w:div w:id="1608149801">
      <w:bodyDiv w:val="1"/>
      <w:marLeft w:val="0"/>
      <w:marRight w:val="0"/>
      <w:marTop w:val="0"/>
      <w:marBottom w:val="0"/>
      <w:divBdr>
        <w:top w:val="none" w:sz="0" w:space="0" w:color="auto"/>
        <w:left w:val="none" w:sz="0" w:space="0" w:color="auto"/>
        <w:bottom w:val="none" w:sz="0" w:space="0" w:color="auto"/>
        <w:right w:val="none" w:sz="0" w:space="0" w:color="auto"/>
      </w:divBdr>
    </w:div>
    <w:div w:id="1759520601">
      <w:bodyDiv w:val="1"/>
      <w:marLeft w:val="0"/>
      <w:marRight w:val="0"/>
      <w:marTop w:val="0"/>
      <w:marBottom w:val="0"/>
      <w:divBdr>
        <w:top w:val="none" w:sz="0" w:space="0" w:color="auto"/>
        <w:left w:val="none" w:sz="0" w:space="0" w:color="auto"/>
        <w:bottom w:val="none" w:sz="0" w:space="0" w:color="auto"/>
        <w:right w:val="none" w:sz="0" w:space="0" w:color="auto"/>
      </w:divBdr>
    </w:div>
    <w:div w:id="1838305494">
      <w:bodyDiv w:val="1"/>
      <w:marLeft w:val="0"/>
      <w:marRight w:val="0"/>
      <w:marTop w:val="0"/>
      <w:marBottom w:val="0"/>
      <w:divBdr>
        <w:top w:val="none" w:sz="0" w:space="0" w:color="auto"/>
        <w:left w:val="none" w:sz="0" w:space="0" w:color="auto"/>
        <w:bottom w:val="none" w:sz="0" w:space="0" w:color="auto"/>
        <w:right w:val="none" w:sz="0" w:space="0" w:color="auto"/>
      </w:divBdr>
    </w:div>
    <w:div w:id="2000889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apa.org/monitor/" TargetMode="External"/><Relationship Id="rId18" Type="http://schemas.openxmlformats.org/officeDocument/2006/relationships/hyperlink" Target="https://psycnet.apa.org/record/1999-02135-007"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ukinstitute.org/journals/2/jchs/declaration" TargetMode="External"/><Relationship Id="rId12" Type="http://schemas.openxmlformats.org/officeDocument/2006/relationships/hyperlink" Target="https://doi.org/10.47679/jopp.617532024" TargetMode="External"/><Relationship Id="rId17" Type="http://schemas.openxmlformats.org/officeDocument/2006/relationships/hyperlink" Target="https://scholar.google.co.id/scholar?q=Gibney,+M.+J.+(2009).+Introduction+to+Human+Nutrition.&amp;hl=id&amp;as_sdt=0&amp;as_vis=1&amp;oi=scholart" TargetMode="External"/><Relationship Id="rId2" Type="http://schemas.openxmlformats.org/officeDocument/2006/relationships/numbering" Target="numbering.xml"/><Relationship Id="rId16" Type="http://schemas.openxmlformats.org/officeDocument/2006/relationships/hyperlink" Target="https://scholar.google.co.id/scholar?hl=id&amp;as_sdt=0,5&amp;cluster=7286733176687251572" TargetMode="External"/><Relationship Id="rId20" Type="http://schemas.openxmlformats.org/officeDocument/2006/relationships/hyperlink" Target="https://link.springer.com/book/10.1007/978-3-319-17055-8" TargetMode="External"/><Relationship Id="rId1" Type="http://schemas.openxmlformats.org/officeDocument/2006/relationships/customXml" Target="../customXml/item1.xml"/><Relationship Id="rId6" Type="http://schemas.openxmlformats.org/officeDocument/2006/relationships/hyperlink" Target="mailto:1authormail@xxxx.xxx" TargetMode="External"/><Relationship Id="rId11" Type="http://schemas.openxmlformats.org/officeDocument/2006/relationships/hyperlink" Target="https://ukinstitute.org/journals/jopp/article/view/6102" TargetMode="External"/><Relationship Id="rId5" Type="http://schemas.openxmlformats.org/officeDocument/2006/relationships/webSettings" Target="webSettings.xml"/><Relationship Id="rId15" Type="http://schemas.openxmlformats.org/officeDocument/2006/relationships/hyperlink" Target="http://www.ncjrs.gov/htmllojjdp/news_acglance/216684/topstory.html%20tanggal%2010%20Agustus%202012" TargetMode="External"/><Relationship Id="rId10" Type="http://schemas.openxmlformats.org/officeDocument/2006/relationships/hyperlink" Target="https://doi.org/10.47679/jopp.617112024" TargetMode="External"/><Relationship Id="rId19" Type="http://schemas.openxmlformats.org/officeDocument/2006/relationships/hyperlink" Target="http://apps.who.int/iris/bitstream/10665/85761/2/9789240690837_eng.pdf?ua=1" TargetMode="External"/><Relationship Id="rId4" Type="http://schemas.openxmlformats.org/officeDocument/2006/relationships/settings" Target="settings.xml"/><Relationship Id="rId9" Type="http://schemas.openxmlformats.org/officeDocument/2006/relationships/hyperlink" Target="https://guides.library.uq.edu.au/referencing/apa6/author-information" TargetMode="External"/><Relationship Id="rId14" Type="http://schemas.openxmlformats.org/officeDocument/2006/relationships/hyperlink" Target="http://www.cdc.gov/nchs/data/hestat/obesity_child_11_12/obesity_child_11_12.ht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CD6994E5-DBE1-4DD8-8CE8-21671C8619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9</Pages>
  <Words>3480</Words>
  <Characters>19838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79</cp:revision>
  <dcterms:created xsi:type="dcterms:W3CDTF">2020-10-08T16:19:00Z</dcterms:created>
  <dcterms:modified xsi:type="dcterms:W3CDTF">2025-06-20T12:45:00Z</dcterms:modified>
  <dc:title>Rational Emotive Behavior Therapy for Pregnancy Anxiety and Adaptive Coping</dc:title>
  <dc:subject>Blinded manuscript</dc:subject>
  <dc:description/>
</cp:coreProperties>
</file>