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jc w:val="center"/>
      </w:pPr>
      <w:r>
        <w:rPr>
          <w:rFonts w:ascii="Calibri" w:hAnsi="Calibri"/>
          <w:sz w:val="22"/>
        </w:rPr>
        <w:t>Review Article</w:t>
      </w:r>
    </w:p>
    <w:p>
      <w:pPr>
        <w:pStyle w:val="JFMSLTitle"/>
        <w:spacing w:line="240" w:lineRule="auto" w:after="120"/>
      </w:pPr>
      <w:r>
        <w:rPr>
          <w:rFonts w:ascii="Calibri" w:hAnsi="Calibri"/>
          <w:sz w:val="22"/>
        </w:rPr>
        <w:t>Forensic Odontology Governance in Hospital Systems: A Medico-Legal Review</w:t>
      </w:r>
    </w:p>
    <w:p>
      <w:pPr>
        <w:spacing w:line="240" w:lineRule="auto" w:after="120"/>
      </w:pPr>
      <w:r>
        <w:rPr>
          <w:rFonts w:ascii="Calibri" w:hAnsi="Calibri"/>
          <w:sz w:val="22"/>
        </w:rPr>
        <w:t>Running title: Forensic Odontology Governance</w:t>
      </w:r>
    </w:p>
    <w:p>
      <w:pPr>
        <w:spacing w:line="240" w:lineRule="auto" w:after="120"/>
        <w:jc w:val="center"/>
      </w:pPr>
      <w:r>
        <w:rPr>
          <w:rFonts w:ascii="Calibri" w:hAnsi="Calibri"/>
          <w:sz w:val="22"/>
        </w:rPr>
        <w:t>[Author details removed for double-blind peer review]</w:t>
      </w:r>
    </w:p>
    <w:p>
      <w:pPr>
        <w:pStyle w:val="Heading2"/>
      </w:pPr>
      <w:r>
        <w:t>Declarations</w:t>
      </w:r>
    </w:p>
    <w:p>
      <w:pPr>
        <w:spacing w:line="240" w:lineRule="auto" w:after="120"/>
      </w:pPr>
      <w:r>
        <w:rPr>
          <w:rFonts w:ascii="Calibri" w:hAnsi="Calibri"/>
          <w:sz w:val="22"/>
        </w:rPr>
        <w:t>Acknowledgement: None.</w:t>
      </w:r>
    </w:p>
    <w:p>
      <w:pPr>
        <w:spacing w:line="240" w:lineRule="auto" w:after="120"/>
      </w:pPr>
      <w:r>
        <w:rPr>
          <w:rFonts w:ascii="Calibri" w:hAnsi="Calibri"/>
          <w:sz w:val="22"/>
        </w:rPr>
        <w:t>Ethical clearance: Ethical clearance was not required because this review used only published literature, professional guidance and publicly available legal or policy documents. It did not involve human participants, human data, surveys, deceased individuals, clinical records, human tissue or animals.</w:t>
      </w:r>
    </w:p>
    <w:p>
      <w:pPr>
        <w:spacing w:line="240" w:lineRule="auto" w:after="120"/>
      </w:pPr>
      <w:r>
        <w:rPr>
          <w:rFonts w:ascii="Calibri" w:hAnsi="Calibri"/>
          <w:sz w:val="22"/>
        </w:rPr>
        <w:t>Conflict of interest: The authors declare no conflict of interest.</w:t>
      </w:r>
    </w:p>
    <w:p>
      <w:pPr>
        <w:spacing w:line="240" w:lineRule="auto" w:after="120"/>
      </w:pPr>
      <w:r>
        <w:rPr>
          <w:rFonts w:ascii="Calibri" w:hAnsi="Calibri"/>
          <w:sz w:val="22"/>
        </w:rPr>
        <w:t>Funding: No external funding was received for this work.</w:t>
      </w:r>
    </w:p>
    <w:p>
      <w:pPr>
        <w:spacing w:line="240" w:lineRule="auto" w:after="120"/>
      </w:pPr>
      <w:r>
        <w:rPr>
          <w:rFonts w:ascii="Calibri" w:hAnsi="Calibri"/>
          <w:sz w:val="22"/>
        </w:rPr>
        <w:t>Data availability: No primary dataset was generated or analyzed. All materials discussed in this review are available from the cited literature, guidance documents and legal or policy sources.</w:t>
      </w:r>
    </w:p>
    <w:p>
      <w:pPr>
        <w:spacing w:line="240" w:lineRule="auto" w:after="120"/>
      </w:pPr>
      <w:r>
        <w:rPr>
          <w:rFonts w:ascii="Calibri" w:hAnsi="Calibri"/>
          <w:sz w:val="22"/>
        </w:rPr>
        <w:t>Artificial intelligence disclosure: AI-assisted tools were used only for language editing, formatting support and manuscript organization. The authors critically reviewed, verified and approved the final content and remain fully responsible for the accuracy and integrity of the manuscript.</w:t>
      </w:r>
    </w:p>
    <w:p>
      <w:pPr>
        <w:spacing w:line="240" w:lineRule="auto" w:after="120"/>
      </w:pPr>
      <w:r>
        <w:t>Number of tables: 1. Number of figures/photographs: 0. Number of references: 19. Number of pages: 8.</w:t>
      </w:r>
    </w:p>
    <w:p>
      <w:r>
        <w:br w:type="page"/>
      </w:r>
    </w:p>
    <w:p>
      <w:pPr>
        <w:pStyle w:val="Heading1"/>
      </w:pPr>
      <w:r>
        <w:t>Abstract</w:t>
      </w:r>
    </w:p>
    <w:p>
      <w:pPr>
        <w:spacing w:line="240" w:lineRule="auto" w:after="120"/>
      </w:pPr>
      <w:r>
        <w:rPr>
          <w:rFonts w:ascii="Calibri" w:hAnsi="Calibri"/>
          <w:b/>
          <w:sz w:val="22"/>
        </w:rPr>
        <w:t xml:space="preserve">Background: </w:t>
      </w:r>
      <w:r>
        <w:rPr>
          <w:rFonts w:ascii="Calibri" w:hAnsi="Calibri"/>
          <w:sz w:val="22"/>
        </w:rPr>
        <w:t xml:space="preserve">Forensic odontology supports human identification, disaster victim identification and medico-legal investigation, but its hospital implementation depends on legal and ethical governance. </w:t>
      </w:r>
      <w:r>
        <w:rPr>
          <w:rFonts w:ascii="Calibri" w:hAnsi="Calibri"/>
          <w:b/>
          <w:sz w:val="22"/>
        </w:rPr>
        <w:t xml:space="preserve">Aim: </w:t>
      </w:r>
      <w:r>
        <w:rPr>
          <w:rFonts w:ascii="Calibri" w:hAnsi="Calibri"/>
          <w:sz w:val="22"/>
        </w:rPr>
        <w:t xml:space="preserve">This review analyzes requirements for integrating forensic odontology into hospital systems. </w:t>
      </w:r>
      <w:r>
        <w:rPr>
          <w:rFonts w:ascii="Calibri" w:hAnsi="Calibri"/>
          <w:b/>
          <w:sz w:val="22"/>
        </w:rPr>
        <w:t xml:space="preserve">Materials and methods: </w:t>
      </w:r>
      <w:r>
        <w:rPr>
          <w:rFonts w:ascii="Calibri" w:hAnsi="Calibri"/>
          <w:sz w:val="22"/>
        </w:rPr>
        <w:t xml:space="preserve">A targeted literature review and normative document analysis were conducted using peer-reviewed literature, disaster victim identification guidance, professional ethics statements and selected Indonesian health, medical-record and data-protection regulations. </w:t>
      </w:r>
      <w:r>
        <w:rPr>
          <w:rFonts w:ascii="Calibri" w:hAnsi="Calibri"/>
          <w:b/>
          <w:sz w:val="22"/>
        </w:rPr>
        <w:t xml:space="preserve">Results: </w:t>
      </w:r>
      <w:r>
        <w:rPr>
          <w:rFonts w:ascii="Calibri" w:hAnsi="Calibri"/>
          <w:sz w:val="22"/>
        </w:rPr>
        <w:t xml:space="preserve">Four interdependent requirements were identified: complete and retrievable dental records, lawful and traceable disclosure, ethical separation between clinical and forensic roles, and governance mechanisms for competence, confidentiality, evidence integrity and accountability. Hospitals should manage forensic dental information through written policies, authorization procedures, access logs, chain-of-custody documentation, expert-report standards and ethics oversight. </w:t>
      </w:r>
      <w:r>
        <w:rPr>
          <w:rFonts w:ascii="Calibri" w:hAnsi="Calibri"/>
          <w:b/>
          <w:sz w:val="22"/>
        </w:rPr>
        <w:t xml:space="preserve">Conclusion: </w:t>
      </w:r>
      <w:r>
        <w:rPr>
          <w:rFonts w:ascii="Calibri" w:hAnsi="Calibri"/>
          <w:sz w:val="22"/>
        </w:rPr>
        <w:t>Forensic odontology can improve identification, disaster preparedness and institutional accountability when integrated into medical-record policy, data-protection practice and clinical governance.</w:t>
      </w:r>
    </w:p>
    <w:p>
      <w:pPr>
        <w:spacing w:line="240" w:lineRule="auto" w:after="120"/>
      </w:pPr>
      <w:r>
        <w:rPr>
          <w:rFonts w:ascii="Calibri" w:hAnsi="Calibri"/>
          <w:sz w:val="22"/>
        </w:rPr>
        <w:t>Keywords: Forensic odontology; Dental records; Medical law; Professional ethics; Hospital governance</w:t>
      </w:r>
    </w:p>
    <w:p>
      <w:r>
        <w:br w:type="page"/>
      </w:r>
    </w:p>
    <w:p>
      <w:pPr>
        <w:pStyle w:val="Heading1"/>
      </w:pPr>
      <w:r>
        <w:t>Introduction</w:t>
      </w:r>
    </w:p>
    <w:p>
      <w:pPr>
        <w:spacing w:line="240" w:lineRule="auto" w:after="120"/>
      </w:pPr>
      <w:r>
        <w:rPr>
          <w:rFonts w:ascii="Calibri" w:hAnsi="Calibri"/>
          <w:sz w:val="22"/>
        </w:rPr>
        <w:t>Forensic odontology applies dental knowledge to identification, medico-legal investigation and judicial processes. Its recognized uses include comparison of antemortem and postmortem dental data, disaster victim identification, age estimation, assessment of oral and dental injuries and expert reporting in civil or criminal proceedings</w:t>
      </w:r>
      <w:r>
        <w:rPr>
          <w:rFonts w:ascii="Calibri" w:hAnsi="Calibri"/>
          <w:sz w:val="22"/>
          <w:vertAlign w:val="superscript"/>
        </w:rPr>
        <w:t>1,2</w:t>
      </w:r>
      <w:r>
        <w:rPr>
          <w:rFonts w:ascii="Calibri" w:hAnsi="Calibri"/>
          <w:sz w:val="22"/>
        </w:rPr>
        <w:t>. Teeth and dental structures are frequently useful because they may persist when other biological materials are altered by decomposition, trauma or fire. In disaster victim identification, dental information is internationally recognized as a primary identification source when antemortem records are complete and reliable</w:t>
      </w:r>
      <w:r>
        <w:rPr>
          <w:rFonts w:ascii="Calibri" w:hAnsi="Calibri"/>
          <w:sz w:val="22"/>
          <w:vertAlign w:val="superscript"/>
        </w:rPr>
        <w:t>3</w:t>
      </w:r>
      <w:r>
        <w:rPr>
          <w:rFonts w:ascii="Calibri" w:hAnsi="Calibri"/>
          <w:sz w:val="22"/>
        </w:rPr>
        <w:t>. Digital radiography, electronic dental records, three-dimensional imaging and computational comparison methods have further increased the importance of structured dental information in modern forensic practice</w:t>
      </w:r>
      <w:r>
        <w:rPr>
          <w:rFonts w:ascii="Calibri" w:hAnsi="Calibri"/>
          <w:sz w:val="22"/>
          <w:vertAlign w:val="superscript"/>
        </w:rPr>
        <w:t>4</w:t>
      </w:r>
      <w:r>
        <w:rPr>
          <w:rFonts w:ascii="Calibri" w:hAnsi="Calibri"/>
          <w:sz w:val="22"/>
        </w:rPr>
        <w:t>.</w:t>
      </w:r>
    </w:p>
    <w:p>
      <w:pPr>
        <w:spacing w:line="240" w:lineRule="auto" w:after="120"/>
      </w:pPr>
      <w:r>
        <w:rPr>
          <w:rFonts w:ascii="Calibri" w:hAnsi="Calibri"/>
          <w:sz w:val="22"/>
        </w:rPr>
        <w:t>The practical value of forensic odontology depends on the quality and governance of dental records. Hospitals and dental services routinely produce clinical notes, odontograms, radiographs, photographs, treatment records and consent documentation. These materials are generated primarily for clinical care, but they may later become medico-legal evidence. Their forensic value is weakened if they are incomplete, illegible, inaccessible, poorly retained or released without traceability. Studies from Australia, Croatia and Pakistan demonstrate that dentists' awareness and record-keeping practices vary, and that dental records may not always contain the level of detail needed for forensic comparison</w:t>
      </w:r>
      <w:r>
        <w:rPr>
          <w:rFonts w:ascii="Calibri" w:hAnsi="Calibri"/>
          <w:sz w:val="22"/>
          <w:vertAlign w:val="superscript"/>
        </w:rPr>
        <w:t>5-7</w:t>
      </w:r>
      <w:r>
        <w:rPr>
          <w:rFonts w:ascii="Calibri" w:hAnsi="Calibri"/>
          <w:sz w:val="22"/>
        </w:rPr>
        <w:t>.</w:t>
      </w:r>
    </w:p>
    <w:p>
      <w:pPr>
        <w:spacing w:line="240" w:lineRule="auto" w:after="120"/>
      </w:pPr>
      <w:r>
        <w:rPr>
          <w:rFonts w:ascii="Calibri" w:hAnsi="Calibri"/>
          <w:sz w:val="22"/>
        </w:rPr>
        <w:t>The problem is therefore not limited to technical forensic competence. Hospital managers, dental clinicians, medical-record units, information-technology teams, legal officers and ethics committees all influence whether dental information can be used lawfully, ethically and reliably. Hospitals may be asked to release dental records to investigators, support an unidentified-patient or disaster response, authenticate copies of radiographs, or provide expert interpretation. Without a clear pathway, clinicians may be uncertain about who may authorize disclosure, how confidentiality should be protected, whether consent is required, and when a treating dentist should be separated from an independent forensic expert role</w:t>
      </w:r>
      <w:r>
        <w:rPr>
          <w:rFonts w:ascii="Calibri" w:hAnsi="Calibri"/>
          <w:sz w:val="22"/>
          <w:vertAlign w:val="superscript"/>
        </w:rPr>
        <w:t>8,9</w:t>
      </w:r>
      <w:r>
        <w:rPr>
          <w:rFonts w:ascii="Calibri" w:hAnsi="Calibri"/>
          <w:sz w:val="22"/>
        </w:rPr>
        <w:t>.</w:t>
      </w:r>
    </w:p>
    <w:p>
      <w:pPr>
        <w:spacing w:line="240" w:lineRule="auto" w:after="120"/>
      </w:pPr>
      <w:r>
        <w:rPr>
          <w:rFonts w:ascii="Calibri" w:hAnsi="Calibri"/>
          <w:sz w:val="22"/>
        </w:rPr>
        <w:t>This review aims to analyze legal, ethical and governance considerations required for integrating forensic odontology into hospital systems. Its contribution is to link forensic dental-record governance, lawful disclosure, evidence integrity, role separation and hospital accountability into a practical framework that can support medico-legal preparedness while protecting patient rights. Indonesian health and data-protection regulations are used as an illustrative policy context; the broader principles require adaptation to the legal framework of each jurisdiction.</w:t>
      </w:r>
    </w:p>
    <w:p>
      <w:pPr>
        <w:pStyle w:val="Heading1"/>
      </w:pPr>
      <w:r>
        <w:t>Materials and methods</w:t>
      </w:r>
    </w:p>
    <w:p>
      <w:pPr>
        <w:spacing w:line="240" w:lineRule="auto" w:after="120"/>
      </w:pPr>
      <w:r>
        <w:rPr>
          <w:rFonts w:ascii="Calibri" w:hAnsi="Calibri"/>
          <w:sz w:val="22"/>
        </w:rPr>
        <w:t>This article is a targeted review and normative document analysis. It was not designed as a systematic review or meta-analysis because the objective was to synthesize legal, ethical and governance issues rather than estimate intervention effects. Targeted searches were conducted in PubMed, Google Scholar and official websites of relevant organizations and legal repositories up to 10 August 2026. Search terms combined: forensic odontology, forensic dentistry, dental records, disaster victim identification, medical law, hospital governance, informed consent, confidentiality, evidence integrity, chain of custody and data protection.</w:t>
      </w:r>
    </w:p>
    <w:p>
      <w:pPr>
        <w:spacing w:line="240" w:lineRule="auto" w:after="120"/>
      </w:pPr>
      <w:r>
        <w:rPr>
          <w:rFonts w:ascii="Calibri" w:hAnsi="Calibri"/>
          <w:sz w:val="22"/>
        </w:rPr>
        <w:t>Materials were included when they addressed at least one of the following domains: dental-record quality, lawful access and disclosure, privacy, institutional accountability, professional independence, evidence integrity, ethics in medico-legal practice or hospital governance. The materials comprised peer-reviewed literature, international disaster victim identification guidance, professional dental-ethics statements, biomedical ethics texts and selected Indonesian statutes and regulations governing health services, medical records, personal data protection and hospital responsibility</w:t>
      </w:r>
      <w:r>
        <w:rPr>
          <w:rFonts w:ascii="Calibri" w:hAnsi="Calibri"/>
          <w:sz w:val="22"/>
          <w:vertAlign w:val="superscript"/>
        </w:rPr>
        <w:t>3,10-18</w:t>
      </w:r>
      <w:r>
        <w:rPr>
          <w:rFonts w:ascii="Calibri" w:hAnsi="Calibri"/>
          <w:sz w:val="22"/>
        </w:rPr>
        <w:t>. Materials that were purely technical and unrelated to governance, duplicate descriptions or sources without relevance to hospital-based medico-legal practice were not prioritized.</w:t>
      </w:r>
    </w:p>
    <w:p>
      <w:pPr>
        <w:spacing w:line="240" w:lineRule="auto" w:after="120"/>
      </w:pPr>
      <w:r>
        <w:rPr>
          <w:rFonts w:ascii="Calibri" w:hAnsi="Calibri"/>
          <w:sz w:val="22"/>
        </w:rPr>
        <w:t>The analysis proceeded in three steps. First, legal and institutional duties relating to dental records and hospital accountability were identified. Second, ethical issues were interpreted using the principles of autonomy, beneficence, non-maleficence and justice</w:t>
      </w:r>
      <w:r>
        <w:rPr>
          <w:rFonts w:ascii="Calibri" w:hAnsi="Calibri"/>
          <w:sz w:val="22"/>
          <w:vertAlign w:val="superscript"/>
        </w:rPr>
        <w:t>15</w:t>
      </w:r>
      <w:r>
        <w:rPr>
          <w:rFonts w:ascii="Calibri" w:hAnsi="Calibri"/>
          <w:sz w:val="22"/>
        </w:rPr>
        <w:t>. Third, findings were synthesized into a practical governance framework for hospitals. No human participants, human tissue, deceased individuals, identifiable clinical records, surveys or animals were involved. Therefore, ethical clearance and informed consent were not required for this non-interventional review.</w:t>
      </w:r>
    </w:p>
    <w:p>
      <w:pPr>
        <w:pStyle w:val="Heading1"/>
      </w:pPr>
      <w:r>
        <w:t>Results</w:t>
      </w:r>
    </w:p>
    <w:p>
      <w:pPr>
        <w:spacing w:line="240" w:lineRule="auto" w:after="120"/>
      </w:pPr>
      <w:r>
        <w:rPr>
          <w:rFonts w:ascii="Calibri" w:hAnsi="Calibri"/>
          <w:sz w:val="22"/>
        </w:rPr>
        <w:t>The synthesis identified four interdependent requirements for forensic odontology in hospital systems. First, hospitals require complete, attributable, retrievable and protected dental records. Forensic comparison depends not only on the existence of records but also on the detail, legibility, dating, clinician attribution, imaging quality and retention of those records. Published surveys show that dental-record quality and forensic awareness remain inconsistent across settings, which can reduce the value of records for identification and legal processes</w:t>
      </w:r>
      <w:r>
        <w:rPr>
          <w:rFonts w:ascii="Calibri" w:hAnsi="Calibri"/>
          <w:sz w:val="22"/>
          <w:vertAlign w:val="superscript"/>
        </w:rPr>
        <w:t>5-7</w:t>
      </w:r>
      <w:r>
        <w:rPr>
          <w:rFonts w:ascii="Calibri" w:hAnsi="Calibri"/>
          <w:sz w:val="22"/>
        </w:rPr>
        <w:t>.</w:t>
      </w:r>
    </w:p>
    <w:p>
      <w:pPr>
        <w:spacing w:line="240" w:lineRule="auto" w:after="120"/>
      </w:pPr>
      <w:r>
        <w:rPr>
          <w:rFonts w:ascii="Calibri" w:hAnsi="Calibri"/>
          <w:sz w:val="22"/>
        </w:rPr>
        <w:t>Second, lawful disclosure must be separated from routine clinical access. Dental records are sensitive health information and may contain highly identifying images and observations. Release for forensic or investigative purposes should be based on documented authority, a legitimate request or another legal justification. The hospital should be able to trace who requested, authorized, copied, transferred and received the information. Indonesian health, medical-record and personal-data regulations illustrate the need for documentation, confidentiality, lawful processing and institutional accountability</w:t>
      </w:r>
      <w:r>
        <w:rPr>
          <w:rFonts w:ascii="Calibri" w:hAnsi="Calibri"/>
          <w:sz w:val="22"/>
          <w:vertAlign w:val="superscript"/>
        </w:rPr>
        <w:t>10-13</w:t>
      </w:r>
      <w:r>
        <w:rPr>
          <w:rFonts w:ascii="Calibri" w:hAnsi="Calibri"/>
          <w:sz w:val="22"/>
        </w:rPr>
        <w:t>.</w:t>
      </w:r>
    </w:p>
    <w:p>
      <w:pPr>
        <w:spacing w:line="240" w:lineRule="auto" w:after="120"/>
      </w:pPr>
      <w:r>
        <w:rPr>
          <w:rFonts w:ascii="Calibri" w:hAnsi="Calibri"/>
          <w:sz w:val="22"/>
        </w:rPr>
        <w:t>Third, clinical and forensic roles should not be conflated. Treating dentists are responsible for patient care, confidentiality and factual documentation. Forensic experts may provide independent interpretation, comparison and opinion for legal processes. Where the same individual or institution performs both functions, the scope of each role must be made explicit. This distinction supports objectivity, reduces perceived bias and clarifies the evidentiary limits of expert reports</w:t>
      </w:r>
      <w:r>
        <w:rPr>
          <w:rFonts w:ascii="Calibri" w:hAnsi="Calibri"/>
          <w:sz w:val="22"/>
          <w:vertAlign w:val="superscript"/>
        </w:rPr>
        <w:t>8,9,14-16</w:t>
      </w:r>
      <w:r>
        <w:rPr>
          <w:rFonts w:ascii="Calibri" w:hAnsi="Calibri"/>
          <w:sz w:val="22"/>
        </w:rPr>
        <w:t>.</w:t>
      </w:r>
    </w:p>
    <w:p>
      <w:pPr>
        <w:spacing w:line="240" w:lineRule="auto" w:after="120"/>
      </w:pPr>
      <w:r>
        <w:rPr>
          <w:rFonts w:ascii="Calibri" w:hAnsi="Calibri"/>
          <w:sz w:val="22"/>
        </w:rPr>
        <w:t>Fourth, forensic odontology requires a governance pathway rather than an ad hoc response. Minimum requirements include a written service mandate, credentialed expertise, standardized dental-record practices, evidence-integrity procedures, lawful disclosure protocols, ethics oversight, training and audit mechanisms. These requirements are consistent with broader hospital governance and disaster victim identification quality-management principles</w:t>
      </w:r>
      <w:r>
        <w:rPr>
          <w:rFonts w:ascii="Calibri" w:hAnsi="Calibri"/>
          <w:sz w:val="22"/>
          <w:vertAlign w:val="superscript"/>
        </w:rPr>
        <w:t>3,17,18</w:t>
      </w:r>
      <w:r>
        <w:rPr>
          <w:rFonts w:ascii="Calibri" w:hAnsi="Calibri"/>
          <w:sz w:val="22"/>
        </w:rPr>
        <w:t>. A practical framework is summarized in Table 1.</w:t>
      </w:r>
    </w:p>
    <w:p>
      <w:pPr>
        <w:pStyle w:val="Heading1"/>
      </w:pPr>
      <w:r>
        <w:t>Discussion</w:t>
      </w:r>
    </w:p>
    <w:p>
      <w:pPr>
        <w:pStyle w:val="Heading2"/>
      </w:pPr>
      <w:r>
        <w:t>Forensic dental records as medico-legal evidence</w:t>
      </w:r>
    </w:p>
    <w:p>
      <w:pPr>
        <w:spacing w:line="240" w:lineRule="auto" w:after="120"/>
      </w:pPr>
      <w:r>
        <w:rPr>
          <w:rFonts w:ascii="Calibri" w:hAnsi="Calibri"/>
          <w:sz w:val="22"/>
        </w:rPr>
        <w:t>Forensic odontology should be understood as a hospital governance function, not merely as an external expert activity. The hospital is often the source of antemortem dental data and may also become a coordination point during disaster, unidentified-patient or medico-legal events. Dental evidence becomes useful only if it can be retrieved, authenticated and interpreted within an accountable institutional pathway. This is particularly important because comparative dental identification relies heavily on the availability and quality of antemortem dental records</w:t>
      </w:r>
      <w:r>
        <w:rPr>
          <w:rFonts w:ascii="Calibri" w:hAnsi="Calibri"/>
          <w:sz w:val="22"/>
          <w:vertAlign w:val="superscript"/>
        </w:rPr>
        <w:t>2,3,18</w:t>
      </w:r>
      <w:r>
        <w:rPr>
          <w:rFonts w:ascii="Calibri" w:hAnsi="Calibri"/>
          <w:sz w:val="22"/>
        </w:rPr>
        <w:t>.</w:t>
      </w:r>
    </w:p>
    <w:p>
      <w:pPr>
        <w:spacing w:line="240" w:lineRule="auto" w:after="120"/>
      </w:pPr>
      <w:r>
        <w:rPr>
          <w:rFonts w:ascii="Calibri" w:hAnsi="Calibri"/>
          <w:sz w:val="22"/>
        </w:rPr>
        <w:t>A clinical dental record becomes medico-legal evidence when it is used to support identification, investigation or expert reporting. This transition requires more than clinical accuracy. The record must have provenance, integrity and traceability. The hospital should be able to show when the record was created, who created or amended it, which copy was released and whether the released copy accurately reflects the original. Without such controls, even accurate records may be challenged for evidentiary weakness.</w:t>
      </w:r>
    </w:p>
    <w:p>
      <w:pPr>
        <w:pStyle w:val="Heading2"/>
      </w:pPr>
      <w:r>
        <w:t>Lawful disclosure, confidentiality and data protection</w:t>
      </w:r>
    </w:p>
    <w:p>
      <w:pPr>
        <w:spacing w:line="240" w:lineRule="auto" w:after="120"/>
      </w:pPr>
      <w:r>
        <w:rPr>
          <w:rFonts w:ascii="Calibri" w:hAnsi="Calibri"/>
          <w:sz w:val="22"/>
        </w:rPr>
        <w:t>The legal basis for releasing dental information should be identified before disclosure occurs. Health law and medical-record regulation provide duties to document and safeguard patient information, while personal-data protection law emphasizes purpose limitation, confidentiality and controlled processing of sensitive health data</w:t>
      </w:r>
      <w:r>
        <w:rPr>
          <w:rFonts w:ascii="Calibri" w:hAnsi="Calibri"/>
          <w:sz w:val="22"/>
          <w:vertAlign w:val="superscript"/>
        </w:rPr>
        <w:t>10-13</w:t>
      </w:r>
      <w:r>
        <w:rPr>
          <w:rFonts w:ascii="Calibri" w:hAnsi="Calibri"/>
          <w:sz w:val="22"/>
        </w:rPr>
        <w:t>. These duties do not prevent legitimate forensic use. Rather, they require hospitals to make disclosure necessary, proportionate, documented and limited to the lawful purpose.</w:t>
      </w:r>
    </w:p>
    <w:p>
      <w:pPr>
        <w:spacing w:line="240" w:lineRule="auto" w:after="120"/>
      </w:pPr>
      <w:r>
        <w:rPr>
          <w:rFonts w:ascii="Calibri" w:hAnsi="Calibri"/>
          <w:sz w:val="22"/>
        </w:rPr>
        <w:t>Consent is ethically important when the patient is alive and disclosure is not otherwise legally required. However, forensic contexts may include court orders, investigator requests, disaster victim identification, deceased individuals or public-safety needs. In such situations, the ethical task is to balance autonomy and confidentiality against justice and legitimate investigation needs. This balance is easier to defend when the hospital has a written policy identifying the authorizing officer, the legal basis for disclosure, the minimum information released and the person responsible for maintaining the disclosure log</w:t>
      </w:r>
      <w:r>
        <w:rPr>
          <w:rFonts w:ascii="Calibri" w:hAnsi="Calibri"/>
          <w:sz w:val="22"/>
          <w:vertAlign w:val="superscript"/>
        </w:rPr>
        <w:t>14-16</w:t>
      </w:r>
      <w:r>
        <w:rPr>
          <w:rFonts w:ascii="Calibri" w:hAnsi="Calibri"/>
          <w:sz w:val="22"/>
        </w:rPr>
        <w:t>.</w:t>
      </w:r>
    </w:p>
    <w:p>
      <w:pPr>
        <w:pStyle w:val="Heading2"/>
      </w:pPr>
      <w:r>
        <w:t>Professional ethics, role separation and expert reporting</w:t>
      </w:r>
    </w:p>
    <w:p>
      <w:pPr>
        <w:spacing w:line="240" w:lineRule="auto" w:after="120"/>
      </w:pPr>
      <w:r>
        <w:rPr>
          <w:rFonts w:ascii="Calibri" w:hAnsi="Calibri"/>
          <w:sz w:val="22"/>
        </w:rPr>
        <w:t>Ethical forensic practice requires objectivity, restraint and transparency. A forensic odontologist should differentiate factual observations from opinion, avoid overstating certainty and disclose limitations of the available material. Dental ethics guidance emphasizes professional responsibility, patient welfare, confidentiality and the avoidance of harm</w:t>
      </w:r>
      <w:r>
        <w:rPr>
          <w:rFonts w:ascii="Calibri" w:hAnsi="Calibri"/>
          <w:sz w:val="22"/>
          <w:vertAlign w:val="superscript"/>
        </w:rPr>
        <w:t>14,16</w:t>
      </w:r>
      <w:r>
        <w:rPr>
          <w:rFonts w:ascii="Calibri" w:hAnsi="Calibri"/>
          <w:sz w:val="22"/>
        </w:rPr>
        <w:t>. These principles remain relevant when the purpose of dental evidence is legal rather than therapeutic.</w:t>
      </w:r>
    </w:p>
    <w:p>
      <w:pPr>
        <w:spacing w:line="240" w:lineRule="auto" w:after="120"/>
      </w:pPr>
      <w:r>
        <w:rPr>
          <w:rFonts w:ascii="Calibri" w:hAnsi="Calibri"/>
          <w:sz w:val="22"/>
        </w:rPr>
        <w:t>Role conflict is a major governance risk. A treating dentist may be asked to clarify clinical records, defend prior documentation or interpret records for investigators. These tasks are not identical. Factual clarification may be appropriate from the treating dentist, whereas independent comparison and expert opinion may require a separate forensic expert, particularly in contentious cases. Hospitals should define when internal factual statements are sufficient and when independent forensic consultation is required. Expert reports should identify the records reviewed, methods used, limitations, assumptions and degree of certainty supported by the evidence.</w:t>
      </w:r>
    </w:p>
    <w:p>
      <w:pPr>
        <w:pStyle w:val="Heading2"/>
      </w:pPr>
      <w:r>
        <w:t>Digital records, evidence integrity and hospital information systems</w:t>
      </w:r>
    </w:p>
    <w:p>
      <w:pPr>
        <w:spacing w:line="240" w:lineRule="auto" w:after="120"/>
      </w:pPr>
      <w:r>
        <w:rPr>
          <w:rFonts w:ascii="Calibri" w:hAnsi="Calibri"/>
          <w:sz w:val="22"/>
        </w:rPr>
        <w:t>Digital systems can strengthen forensic readiness by improving retrieval, reproducibility and structured documentation. Electronic dental records, radiographs and three-dimensional images also create vulnerabilities because they can be duplicated, edited, exported or transmitted without adequate controls. Digital forensic readiness therefore requires access logs, audit trails, retention rules, secure export procedures, metadata preservation and documented chain of handling</w:t>
      </w:r>
      <w:r>
        <w:rPr>
          <w:rFonts w:ascii="Calibri" w:hAnsi="Calibri"/>
          <w:sz w:val="22"/>
          <w:vertAlign w:val="superscript"/>
        </w:rPr>
        <w:t>4,18</w:t>
      </w:r>
      <w:r>
        <w:rPr>
          <w:rFonts w:ascii="Calibri" w:hAnsi="Calibri"/>
          <w:sz w:val="22"/>
        </w:rPr>
        <w:t>.</w:t>
      </w:r>
    </w:p>
    <w:p>
      <w:pPr>
        <w:spacing w:line="240" w:lineRule="auto" w:after="120"/>
      </w:pPr>
      <w:r>
        <w:rPr>
          <w:rFonts w:ascii="Calibri" w:hAnsi="Calibri"/>
          <w:sz w:val="22"/>
        </w:rPr>
        <w:t>Interoperability is another practical issue. Dental information is often stored separately from general hospital records. Hospitals do not necessarily need a full forensic odontology unit, but they should know where dental records are stored, who controls access, how records can be exported and how information can be transmitted to an authorized forensic authority without compromising privacy or integrity.</w:t>
      </w:r>
    </w:p>
    <w:p>
      <w:pPr>
        <w:pStyle w:val="Heading2"/>
      </w:pPr>
      <w:r>
        <w:t>Practical recommendations for hospital policy</w:t>
      </w:r>
    </w:p>
    <w:p>
      <w:pPr>
        <w:spacing w:line="240" w:lineRule="auto" w:after="120"/>
      </w:pPr>
      <w:r>
        <w:rPr>
          <w:rFonts w:ascii="Calibri" w:hAnsi="Calibri"/>
          <w:sz w:val="22"/>
        </w:rPr>
        <w:t>Hospitals can adopt a proportionate model. Large tertiary hospitals may establish a forensic liaison role, specialist referral arrangements, training programs and disaster-response simulations. Smaller hospitals may adopt a simpler policy that defines activation criteria, authorization for record release and referral to external forensic experts. In both settings, the policy should include minimum dental-record standards, lawful disclosure procedures, chain-of-custody documentation, expert-report templates and escalation to legal or ethics units.</w:t>
      </w:r>
    </w:p>
    <w:p>
      <w:pPr>
        <w:spacing w:line="240" w:lineRule="auto" w:after="120"/>
      </w:pPr>
      <w:r>
        <w:rPr>
          <w:rFonts w:ascii="Calibri" w:hAnsi="Calibri"/>
          <w:sz w:val="22"/>
        </w:rPr>
        <w:t>The framework in Table 1 translates these principles into operational requirements. It is intended to help hospitals prepare before medico-legal requests occur. Forensic readiness should be included in routine audits of dental-record completeness, medical-record security, information governance and disaster preparedness.</w:t>
      </w:r>
    </w:p>
    <w:p>
      <w:pPr>
        <w:pStyle w:val="Heading2"/>
      </w:pPr>
      <w:r>
        <w:t>Limitations</w:t>
      </w:r>
    </w:p>
    <w:p>
      <w:pPr>
        <w:spacing w:line="240" w:lineRule="auto" w:after="120"/>
      </w:pPr>
      <w:r>
        <w:rPr>
          <w:rFonts w:ascii="Calibri" w:hAnsi="Calibri"/>
          <w:sz w:val="22"/>
        </w:rPr>
        <w:t>This review is limited by its targeted and normative design. It does not provide a systematic mapping of all publications and does not include empirical observation of hospital practice. Indonesian regulation is used as an illustrative legal context; therefore, implementation in other jurisdictions must be adapted to local rules on health information, privacy, expert evidence, death investigation and disaster response. Future studies should evaluate hospital readiness, record-release practices, availability of trained forensic odontologists and the effectiveness of standard operating procedures in real medico-legal and disaster-response settings.</w:t>
      </w:r>
    </w:p>
    <w:p>
      <w:pPr>
        <w:pStyle w:val="Heading1"/>
      </w:pPr>
      <w:r>
        <w:t>Conclusion</w:t>
      </w:r>
    </w:p>
    <w:p>
      <w:pPr>
        <w:spacing w:line="240" w:lineRule="auto" w:after="120"/>
      </w:pPr>
      <w:r>
        <w:rPr>
          <w:rFonts w:ascii="Calibri" w:hAnsi="Calibri"/>
          <w:sz w:val="22"/>
        </w:rPr>
        <w:t>Forensic odontology can strengthen identification, disaster response, legal investigation and institutional accountability, but its use in hospitals must be legally authorized, ethically defensible and operationally traceable. The key requirements are reliable dental records, lawful and proportionate disclosure, separation of clinical and forensic roles, evidence-integrity procedures and governance mechanisms that define authority, competence and accountability. Hospitals should incorporate forensic odontology into medical-record policy, data-protection practice, ethics oversight, staff training and disaster preparedness. Such integration can reduce medico-legal risk while protecting patient rights and supporting justice.</w:t>
      </w:r>
    </w:p>
    <w:p>
      <w:pPr>
        <w:pStyle w:val="Heading1"/>
      </w:pPr>
      <w:r>
        <w:t>References</w:t>
      </w:r>
    </w:p>
    <w:p>
      <w:pPr>
        <w:spacing w:after="60" w:line="240" w:lineRule="auto"/>
        <w:ind w:left="360" w:hanging="360"/>
      </w:pPr>
      <w:r>
        <w:rPr>
          <w:rFonts w:ascii="Calibri" w:hAnsi="Calibri"/>
          <w:sz w:val="22"/>
        </w:rPr>
        <w:t>1. David TJ, Lewis JM. Forensic odontology: principles and practice. Amsterdam: Elsevier; 2018.</w:t>
      </w:r>
    </w:p>
    <w:p>
      <w:pPr>
        <w:spacing w:after="60" w:line="240" w:lineRule="auto"/>
        <w:ind w:left="360" w:hanging="360"/>
      </w:pPr>
      <w:r>
        <w:rPr>
          <w:rFonts w:ascii="Calibri" w:hAnsi="Calibri"/>
          <w:sz w:val="22"/>
        </w:rPr>
        <w:t>2. Pretty IA, Sweet D. A look at forensic dentistry--Part 1: The role of teeth in the determination of human identity. Br Dent J. 2001;190(7):359-66. DOI: 10.1038/sj.bdj.4800972.</w:t>
      </w:r>
    </w:p>
    <w:p>
      <w:pPr>
        <w:spacing w:after="60" w:line="240" w:lineRule="auto"/>
        <w:ind w:left="360" w:hanging="360"/>
      </w:pPr>
      <w:r>
        <w:rPr>
          <w:rFonts w:ascii="Calibri" w:hAnsi="Calibri"/>
          <w:sz w:val="22"/>
        </w:rPr>
        <w:t>3. International Criminal Police Organization. Disaster Victim Identification Guide [Internet]. Lyon: INTERPOL; 2023 [cited 2026 Aug 10]. Available from: https://www.interpol.int/content/download/589/file/DVI_DVI%20Guide%202023.pdf</w:t>
      </w:r>
    </w:p>
    <w:p>
      <w:pPr>
        <w:spacing w:after="60" w:line="240" w:lineRule="auto"/>
        <w:ind w:left="360" w:hanging="360"/>
      </w:pPr>
      <w:r>
        <w:rPr>
          <w:rFonts w:ascii="Calibri" w:hAnsi="Calibri"/>
          <w:sz w:val="22"/>
        </w:rPr>
        <w:t>4. Radu CC, Hogea T, Carasca C, Radu CM. Forensic odontology in the digital era: a narrative review of current methods and emerging trends. Diagnostics (Basel). 2025;15(20):2550. DOI: 10.3390/diagnostics15202550.</w:t>
      </w:r>
    </w:p>
    <w:p>
      <w:pPr>
        <w:spacing w:after="60" w:line="240" w:lineRule="auto"/>
        <w:ind w:left="360" w:hanging="360"/>
      </w:pPr>
      <w:r>
        <w:rPr>
          <w:rFonts w:ascii="Calibri" w:hAnsi="Calibri"/>
          <w:sz w:val="22"/>
        </w:rPr>
        <w:t>5. Al-Azri AR, Harford J, James H. Awareness of forensic odontology among dentists in Australia: are they keeping forensically valuable dental records? Aust Dent J. 2016;61(1):102-8. DOI: 10.1111/adj.12316.</w:t>
      </w:r>
    </w:p>
    <w:p>
      <w:pPr>
        <w:spacing w:after="60" w:line="240" w:lineRule="auto"/>
        <w:ind w:left="360" w:hanging="360"/>
      </w:pPr>
      <w:r>
        <w:rPr>
          <w:rFonts w:ascii="Calibri" w:hAnsi="Calibri"/>
          <w:sz w:val="22"/>
        </w:rPr>
        <w:t>6. Savic Pavicin I, Jonjic A, Maretic I, Dumancic J, Zymber Ceshko A. Maintenance of dental records and forensic odontology awareness: a survey of Croatian dentists with implications for dental education. Dent J (Basel). 2021;9(4):37. DOI: 10.3390/dj9040037.</w:t>
      </w:r>
    </w:p>
    <w:p>
      <w:pPr>
        <w:spacing w:after="60" w:line="240" w:lineRule="auto"/>
        <w:ind w:left="360" w:hanging="360"/>
      </w:pPr>
      <w:r>
        <w:rPr>
          <w:rFonts w:ascii="Calibri" w:hAnsi="Calibri"/>
          <w:sz w:val="22"/>
        </w:rPr>
        <w:t>7. Baqai HS, Zaidi SJA, Baig QA, Bashir MB, Anwar M, Ansari AS. Maintenance of dental records and awareness of forensic odontology among Pakistani dentists: a mixed-method study with implications for dental data repository. BMC Oral Health. 2023;23:783. DOI: 10.1186/s12903-023-03500-2.</w:t>
      </w:r>
    </w:p>
    <w:p>
      <w:pPr>
        <w:spacing w:after="60" w:line="240" w:lineRule="auto"/>
        <w:ind w:left="360" w:hanging="360"/>
      </w:pPr>
      <w:r>
        <w:rPr>
          <w:rFonts w:ascii="Calibri" w:hAnsi="Calibri"/>
          <w:sz w:val="22"/>
        </w:rPr>
        <w:t>8. Verma AK, Rathore S, Pandey A, Kumar S. Role of dental expert in forensic odontology. Natl J Maxillofac Surg. 2014;5(1):2-5. DOI: 10.4103/0975-5950.140147.</w:t>
      </w:r>
    </w:p>
    <w:p>
      <w:pPr>
        <w:spacing w:after="60" w:line="240" w:lineRule="auto"/>
        <w:ind w:left="360" w:hanging="360"/>
      </w:pPr>
      <w:r>
        <w:rPr>
          <w:rFonts w:ascii="Calibri" w:hAnsi="Calibri"/>
          <w:sz w:val="22"/>
        </w:rPr>
        <w:t>9. Avon SL. Forensic odontology: the roles and responsibilities of the dentist. J Can Dent Assoc. 2004;70(7):453-8.</w:t>
      </w:r>
    </w:p>
    <w:p>
      <w:pPr>
        <w:spacing w:after="60" w:line="240" w:lineRule="auto"/>
        <w:ind w:left="360" w:hanging="360"/>
      </w:pPr>
      <w:r>
        <w:rPr>
          <w:rFonts w:ascii="Calibri" w:hAnsi="Calibri"/>
          <w:sz w:val="22"/>
        </w:rPr>
        <w:t>10. Republic of Indonesia. Law of the Republic of Indonesia No. 17 of 2023 on Health [Internet]. Jakarta: Government of Indonesia; 2023 [cited 2026 Aug 10]. Available from: https://peraturan.bpk.go.id/Details/258028/uu-no-17-tahun-2023</w:t>
      </w:r>
    </w:p>
    <w:p>
      <w:pPr>
        <w:spacing w:after="60" w:line="240" w:lineRule="auto"/>
        <w:ind w:left="360" w:hanging="360"/>
      </w:pPr>
      <w:r>
        <w:rPr>
          <w:rFonts w:ascii="Calibri" w:hAnsi="Calibri"/>
          <w:sz w:val="22"/>
        </w:rPr>
        <w:t>11. Republic of Indonesia. Government Regulation No. 28 of 2024 concerning Implementing Regulation of Law No. 17 of 2023 on Health [Internet]. Jakarta: Government of Indonesia; 2024 [cited 2026 Aug 10]. Available from: https://peraturan.bpk.go.id/Details/294077/pp-no-28-tahun-2024</w:t>
      </w:r>
    </w:p>
    <w:p>
      <w:pPr>
        <w:spacing w:after="60" w:line="240" w:lineRule="auto"/>
        <w:ind w:left="360" w:hanging="360"/>
      </w:pPr>
      <w:r>
        <w:rPr>
          <w:rFonts w:ascii="Calibri" w:hAnsi="Calibri"/>
          <w:sz w:val="22"/>
        </w:rPr>
        <w:t>12. Ministry of Health of the Republic of Indonesia. Regulation of the Minister of Health No. 24 of 2022 concerning Medical Records [Internet]. Jakarta: Ministry of Health; 2022 [cited 2026 Aug 10]. Available from: https://peraturan.bpk.go.id/Details/245544/permenkes-no-24-tahun-2022</w:t>
      </w:r>
    </w:p>
    <w:p>
      <w:pPr>
        <w:spacing w:after="60" w:line="240" w:lineRule="auto"/>
        <w:ind w:left="360" w:hanging="360"/>
      </w:pPr>
      <w:r>
        <w:rPr>
          <w:rFonts w:ascii="Calibri" w:hAnsi="Calibri"/>
          <w:sz w:val="22"/>
        </w:rPr>
        <w:t>13. Republic of Indonesia. Law of the Republic of Indonesia No. 27 of 2022 concerning Personal Data Protection [Internet]. Jakarta: Government of Indonesia; 2022 [cited 2026 Aug 10]. Available from: https://peraturan.bpk.go.id/Details/229798/uu-no-27-tahun-2022</w:t>
      </w:r>
    </w:p>
    <w:p>
      <w:pPr>
        <w:spacing w:after="60" w:line="240" w:lineRule="auto"/>
        <w:ind w:left="360" w:hanging="360"/>
      </w:pPr>
      <w:r>
        <w:rPr>
          <w:rFonts w:ascii="Calibri" w:hAnsi="Calibri"/>
          <w:sz w:val="22"/>
        </w:rPr>
        <w:t>14. FDI World Dental Federation. Ethics in dentistry [Internet]. Geneva: FDI World Dental Federation; 2024 [cited 2026 Aug 10]. Available from: https://www.fdiworlddental.org/sites/default/files/2024-11/DPS4-Ethics-in-Dentistry.pdf</w:t>
      </w:r>
    </w:p>
    <w:p>
      <w:pPr>
        <w:spacing w:after="60" w:line="240" w:lineRule="auto"/>
        <w:ind w:left="360" w:hanging="360"/>
      </w:pPr>
      <w:r>
        <w:rPr>
          <w:rFonts w:ascii="Calibri" w:hAnsi="Calibri"/>
          <w:sz w:val="22"/>
        </w:rPr>
        <w:t>15. Beauchamp TL, Childress JF. Principles of biomedical ethics. 8th ed. New York: Oxford University Press; 2019.</w:t>
      </w:r>
    </w:p>
    <w:p>
      <w:pPr>
        <w:spacing w:after="60" w:line="240" w:lineRule="auto"/>
        <w:ind w:left="360" w:hanging="360"/>
      </w:pPr>
      <w:r>
        <w:rPr>
          <w:rFonts w:ascii="Calibri" w:hAnsi="Calibri"/>
          <w:sz w:val="22"/>
        </w:rPr>
        <w:t>16. FDI World Dental Federation. Basic rights and responsibilities of dental patients [Internet]. Geneva: FDI World Dental Federation; 2018 [cited 2026 Aug 10]. Available from: https://www.fdiworlddental.org/sites/default/files/2020-11/fdi_world_dental_federation_-_basic_rights_and_responsibilities_of_dental_patients_-_2018-06-15.pdf</w:t>
      </w:r>
    </w:p>
    <w:p>
      <w:pPr>
        <w:spacing w:after="60" w:line="240" w:lineRule="auto"/>
        <w:ind w:left="360" w:hanging="360"/>
      </w:pPr>
      <w:r>
        <w:rPr>
          <w:rFonts w:ascii="Calibri" w:hAnsi="Calibri"/>
          <w:sz w:val="22"/>
        </w:rPr>
        <w:t>17. Jalilvand MA, Raeisi AR, Shaarbafchizadeh N. Hospital governance accountability structure: a scoping review. BMC Health Serv Res. 2024;24:47. DOI: 10.1186/s12913-023-10135-0.</w:t>
      </w:r>
    </w:p>
    <w:p>
      <w:pPr>
        <w:spacing w:after="60" w:line="240" w:lineRule="auto"/>
        <w:ind w:left="360" w:hanging="360"/>
      </w:pPr>
      <w:r>
        <w:rPr>
          <w:rFonts w:ascii="Calibri" w:hAnsi="Calibri"/>
          <w:sz w:val="22"/>
        </w:rPr>
        <w:t>18. International Criminal Police Organization. DVI Quality Management Guidelines [Internet]. Lyon: INTERPOL; 2018 [cited 2026 Aug 10]. Available from: https://www.interpol.int/content/download/587/file/DVI%20Quality%20Management%20Guidelines.pdf</w:t>
      </w:r>
    </w:p>
    <w:p>
      <w:pPr>
        <w:spacing w:after="60" w:line="240" w:lineRule="auto"/>
        <w:ind w:left="360" w:hanging="360"/>
      </w:pPr>
      <w:r>
        <w:rPr>
          <w:rFonts w:ascii="Calibri" w:hAnsi="Calibri"/>
          <w:sz w:val="22"/>
        </w:rPr>
        <w:t>19. World Medical Association. Declaration of Helsinki: ethical principles for medical research involving human participants [Internet]. Ferney-Voltaire: World Medical Association; 2024 [cited 2026 Aug 10]. Available from: https://www.wma.net/policies-post/wma-declaration-of-helsinki/</w:t>
      </w:r>
    </w:p>
    <w:p>
      <w:r>
        <w:br w:type="page"/>
      </w:r>
    </w:p>
    <w:p>
      <w:pPr>
        <w:spacing w:line="240" w:lineRule="auto" w:after="120"/>
      </w:pPr>
      <w:r>
        <w:rPr>
          <w:rFonts w:ascii="Calibri" w:hAnsi="Calibri"/>
          <w:sz w:val="22"/>
        </w:rPr>
        <w:t>Total number of figures and tables: 1 table and 0 figures</w:t>
      </w:r>
    </w:p>
    <w:p>
      <w:pPr>
        <w:pStyle w:val="Heading1"/>
      </w:pPr>
      <w:r>
        <w:t>Tables</w:t>
      </w:r>
    </w:p>
    <w:p>
      <w:pPr>
        <w:spacing w:line="240" w:lineRule="auto" w:after="120"/>
      </w:pPr>
      <w:r>
        <w:rPr>
          <w:rFonts w:ascii="Calibri" w:hAnsi="Calibri"/>
          <w:sz w:val="22"/>
        </w:rPr>
        <w:t>Table 1. Minimum governance requirements for integrating forensic odontology into hospital systems.</w:t>
      </w:r>
    </w:p>
    <w:tbl>
      <w:tblPr>
        <w:tblStyle w:val="TableGrid"/>
        <w:tblW w:type="auto" w:w="0"/>
        <w:jc w:val="center"/>
        <w:tblLook w:firstColumn="1" w:firstRow="1" w:lastColumn="0" w:lastRow="0" w:noHBand="0" w:noVBand="1" w:val="04A0"/>
      </w:tblPr>
      <w:tblGrid>
        <w:gridCol w:w="3010"/>
        <w:gridCol w:w="3010"/>
        <w:gridCol w:w="3010"/>
      </w:tblGrid>
      <w:tr>
        <w:tc>
          <w:tcPr>
            <w:tcW w:type="dxa" w:w="3010"/>
            <w:vAlign w:val="top"/>
            <w:shd w:fill="D9EAF7"/>
          </w:tcPr>
          <w:p>
            <w:r/>
            <w:r>
              <w:rPr>
                <w:rFonts w:ascii="Calibri" w:hAnsi="Calibri"/>
                <w:b/>
                <w:sz w:val="20"/>
              </w:rPr>
              <w:t>Governance domain</w:t>
            </w:r>
          </w:p>
        </w:tc>
        <w:tc>
          <w:tcPr>
            <w:tcW w:type="dxa" w:w="3010"/>
            <w:vAlign w:val="top"/>
            <w:shd w:fill="D9EAF7"/>
          </w:tcPr>
          <w:p>
            <w:r/>
            <w:r>
              <w:rPr>
                <w:rFonts w:ascii="Calibri" w:hAnsi="Calibri"/>
                <w:b/>
                <w:sz w:val="20"/>
              </w:rPr>
              <w:t>Minimum hospital requirement</w:t>
            </w:r>
          </w:p>
        </w:tc>
        <w:tc>
          <w:tcPr>
            <w:tcW w:type="dxa" w:w="3010"/>
            <w:vAlign w:val="top"/>
            <w:shd w:fill="D9EAF7"/>
          </w:tcPr>
          <w:p>
            <w:r/>
            <w:r>
              <w:rPr>
                <w:rFonts w:ascii="Calibri" w:hAnsi="Calibri"/>
                <w:b/>
                <w:sz w:val="20"/>
              </w:rPr>
              <w:t>Operational indicator</w:t>
            </w:r>
          </w:p>
        </w:tc>
      </w:tr>
      <w:tr>
        <w:tc>
          <w:tcPr>
            <w:tcW w:type="dxa" w:w="3010"/>
            <w:vAlign w:val="top"/>
          </w:tcPr>
          <w:p>
            <w:r/>
            <w:r>
              <w:rPr>
                <w:rFonts w:ascii="Calibri" w:hAnsi="Calibri"/>
                <w:b w:val="0"/>
                <w:sz w:val="20"/>
              </w:rPr>
              <w:t>Service mandate</w:t>
            </w:r>
          </w:p>
        </w:tc>
        <w:tc>
          <w:tcPr>
            <w:tcW w:type="dxa" w:w="3010"/>
            <w:vAlign w:val="top"/>
          </w:tcPr>
          <w:p>
            <w:r/>
            <w:r>
              <w:rPr>
                <w:rFonts w:ascii="Calibri" w:hAnsi="Calibri"/>
                <w:b w:val="0"/>
                <w:sz w:val="20"/>
              </w:rPr>
              <w:t>Define when dental records may be released, when forensic consultation is needed, who may authorize each step and when referral to external forensic authorities is required.</w:t>
            </w:r>
          </w:p>
        </w:tc>
        <w:tc>
          <w:tcPr>
            <w:tcW w:type="dxa" w:w="3010"/>
            <w:vAlign w:val="top"/>
          </w:tcPr>
          <w:p>
            <w:r/>
            <w:r>
              <w:rPr>
                <w:rFonts w:ascii="Calibri" w:hAnsi="Calibri"/>
                <w:b w:val="0"/>
                <w:sz w:val="20"/>
              </w:rPr>
              <w:t>Written policy, activation criteria and referral pathway.</w:t>
            </w:r>
          </w:p>
        </w:tc>
      </w:tr>
      <w:tr>
        <w:tc>
          <w:tcPr>
            <w:tcW w:type="dxa" w:w="3010"/>
            <w:vAlign w:val="top"/>
          </w:tcPr>
          <w:p>
            <w:r/>
            <w:r>
              <w:rPr>
                <w:rFonts w:ascii="Calibri" w:hAnsi="Calibri"/>
                <w:b w:val="0"/>
                <w:sz w:val="20"/>
              </w:rPr>
              <w:t>Professional competence and independence</w:t>
            </w:r>
          </w:p>
        </w:tc>
        <w:tc>
          <w:tcPr>
            <w:tcW w:type="dxa" w:w="3010"/>
            <w:vAlign w:val="top"/>
          </w:tcPr>
          <w:p>
            <w:r/>
            <w:r>
              <w:rPr>
                <w:rFonts w:ascii="Calibri" w:hAnsi="Calibri"/>
                <w:b w:val="0"/>
                <w:sz w:val="20"/>
              </w:rPr>
              <w:t>Use suitably credentialed dental or forensic experts for interpretive opinions and distinguish factual clinical information from independent forensic interpretation.</w:t>
            </w:r>
          </w:p>
        </w:tc>
        <w:tc>
          <w:tcPr>
            <w:tcW w:type="dxa" w:w="3010"/>
            <w:vAlign w:val="top"/>
          </w:tcPr>
          <w:p>
            <w:r/>
            <w:r>
              <w:rPr>
                <w:rFonts w:ascii="Calibri" w:hAnsi="Calibri"/>
                <w:b w:val="0"/>
                <w:sz w:val="20"/>
              </w:rPr>
              <w:t>Credential record, conflict-of-interest declaration and expert-report template.</w:t>
            </w:r>
          </w:p>
        </w:tc>
      </w:tr>
      <w:tr>
        <w:tc>
          <w:tcPr>
            <w:tcW w:type="dxa" w:w="3010"/>
            <w:vAlign w:val="top"/>
          </w:tcPr>
          <w:p>
            <w:r/>
            <w:r>
              <w:rPr>
                <w:rFonts w:ascii="Calibri" w:hAnsi="Calibri"/>
                <w:b w:val="0"/>
                <w:sz w:val="20"/>
              </w:rPr>
              <w:t>Dental record quality</w:t>
            </w:r>
          </w:p>
        </w:tc>
        <w:tc>
          <w:tcPr>
            <w:tcW w:type="dxa" w:w="3010"/>
            <w:vAlign w:val="top"/>
          </w:tcPr>
          <w:p>
            <w:r/>
            <w:r>
              <w:rPr>
                <w:rFonts w:ascii="Calibri" w:hAnsi="Calibri"/>
                <w:b w:val="0"/>
                <w:sz w:val="20"/>
              </w:rPr>
              <w:t>Maintain legible, attributable, dated and retrievable dental records, including odontograms, radiographs, photographs, treatment records and consent documentation where applicable.</w:t>
            </w:r>
          </w:p>
        </w:tc>
        <w:tc>
          <w:tcPr>
            <w:tcW w:type="dxa" w:w="3010"/>
            <w:vAlign w:val="top"/>
          </w:tcPr>
          <w:p>
            <w:r/>
            <w:r>
              <w:rPr>
                <w:rFonts w:ascii="Calibri" w:hAnsi="Calibri"/>
                <w:b w:val="0"/>
                <w:sz w:val="20"/>
              </w:rPr>
              <w:t>Record audit, completeness checklist and retention schedule.</w:t>
            </w:r>
          </w:p>
        </w:tc>
      </w:tr>
      <w:tr>
        <w:tc>
          <w:tcPr>
            <w:tcW w:type="dxa" w:w="3010"/>
            <w:vAlign w:val="top"/>
          </w:tcPr>
          <w:p>
            <w:r/>
            <w:r>
              <w:rPr>
                <w:rFonts w:ascii="Calibri" w:hAnsi="Calibri"/>
                <w:b w:val="0"/>
                <w:sz w:val="20"/>
              </w:rPr>
              <w:t>Evidence integrity</w:t>
            </w:r>
          </w:p>
        </w:tc>
        <w:tc>
          <w:tcPr>
            <w:tcW w:type="dxa" w:w="3010"/>
            <w:vAlign w:val="top"/>
          </w:tcPr>
          <w:p>
            <w:r/>
            <w:r>
              <w:rPr>
                <w:rFonts w:ascii="Calibri" w:hAnsi="Calibri"/>
                <w:b w:val="0"/>
                <w:sz w:val="20"/>
              </w:rPr>
              <w:t>Preserve source versions, metadata, audit trails and chain of handling when records are copied, exported or transmitted for medico-legal purposes.</w:t>
            </w:r>
          </w:p>
        </w:tc>
        <w:tc>
          <w:tcPr>
            <w:tcW w:type="dxa" w:w="3010"/>
            <w:vAlign w:val="top"/>
          </w:tcPr>
          <w:p>
            <w:r/>
            <w:r>
              <w:rPr>
                <w:rFonts w:ascii="Calibri" w:hAnsi="Calibri"/>
                <w:b w:val="0"/>
                <w:sz w:val="20"/>
              </w:rPr>
              <w:t>Access logs, secure export procedure and chain-of-custody record.</w:t>
            </w:r>
          </w:p>
        </w:tc>
      </w:tr>
      <w:tr>
        <w:tc>
          <w:tcPr>
            <w:tcW w:type="dxa" w:w="3010"/>
            <w:vAlign w:val="top"/>
          </w:tcPr>
          <w:p>
            <w:r/>
            <w:r>
              <w:rPr>
                <w:rFonts w:ascii="Calibri" w:hAnsi="Calibri"/>
                <w:b w:val="0"/>
                <w:sz w:val="20"/>
              </w:rPr>
              <w:t>Lawful disclosure and privacy</w:t>
            </w:r>
          </w:p>
        </w:tc>
        <w:tc>
          <w:tcPr>
            <w:tcW w:type="dxa" w:w="3010"/>
            <w:vAlign w:val="top"/>
          </w:tcPr>
          <w:p>
            <w:r/>
            <w:r>
              <w:rPr>
                <w:rFonts w:ascii="Calibri" w:hAnsi="Calibri"/>
                <w:b w:val="0"/>
                <w:sz w:val="20"/>
              </w:rPr>
              <w:t>Release dental information only through an authorized, necessary, proportionate and documented pathway that respects confidentiality and data-protection duties.</w:t>
            </w:r>
          </w:p>
        </w:tc>
        <w:tc>
          <w:tcPr>
            <w:tcW w:type="dxa" w:w="3010"/>
            <w:vAlign w:val="top"/>
          </w:tcPr>
          <w:p>
            <w:r/>
            <w:r>
              <w:rPr>
                <w:rFonts w:ascii="Calibri" w:hAnsi="Calibri"/>
                <w:b w:val="0"/>
                <w:sz w:val="20"/>
              </w:rPr>
              <w:t>Written request, authorization record, disclosure log and minimum-necessary release.</w:t>
            </w:r>
          </w:p>
        </w:tc>
      </w:tr>
      <w:tr>
        <w:tc>
          <w:tcPr>
            <w:tcW w:type="dxa" w:w="3010"/>
            <w:vAlign w:val="top"/>
          </w:tcPr>
          <w:p>
            <w:r/>
            <w:r>
              <w:rPr>
                <w:rFonts w:ascii="Calibri" w:hAnsi="Calibri"/>
                <w:b w:val="0"/>
                <w:sz w:val="20"/>
              </w:rPr>
              <w:t>Ethics oversight</w:t>
            </w:r>
          </w:p>
        </w:tc>
        <w:tc>
          <w:tcPr>
            <w:tcW w:type="dxa" w:w="3010"/>
            <w:vAlign w:val="top"/>
          </w:tcPr>
          <w:p>
            <w:r/>
            <w:r>
              <w:rPr>
                <w:rFonts w:ascii="Calibri" w:hAnsi="Calibri"/>
                <w:b w:val="0"/>
                <w:sz w:val="20"/>
              </w:rPr>
              <w:t>Provide guidance for consent, confidentiality, deceased individuals, family communication, uncertainty and potential conflicts between clinical and forensic duties.</w:t>
            </w:r>
          </w:p>
        </w:tc>
        <w:tc>
          <w:tcPr>
            <w:tcW w:type="dxa" w:w="3010"/>
            <w:vAlign w:val="top"/>
          </w:tcPr>
          <w:p>
            <w:r/>
            <w:r>
              <w:rPr>
                <w:rFonts w:ascii="Calibri" w:hAnsi="Calibri"/>
                <w:b w:val="0"/>
                <w:sz w:val="20"/>
              </w:rPr>
              <w:t>Ethics committee access, case review and escalation process.</w:t>
            </w:r>
          </w:p>
        </w:tc>
      </w:tr>
      <w:tr>
        <w:tc>
          <w:tcPr>
            <w:tcW w:type="dxa" w:w="3010"/>
            <w:vAlign w:val="top"/>
          </w:tcPr>
          <w:p>
            <w:r/>
            <w:r>
              <w:rPr>
                <w:rFonts w:ascii="Calibri" w:hAnsi="Calibri"/>
                <w:b w:val="0"/>
                <w:sz w:val="20"/>
              </w:rPr>
              <w:t>Training and audit</w:t>
            </w:r>
          </w:p>
        </w:tc>
        <w:tc>
          <w:tcPr>
            <w:tcW w:type="dxa" w:w="3010"/>
            <w:vAlign w:val="top"/>
          </w:tcPr>
          <w:p>
            <w:r/>
            <w:r>
              <w:rPr>
                <w:rFonts w:ascii="Calibri" w:hAnsi="Calibri"/>
                <w:b w:val="0"/>
                <w:sz w:val="20"/>
              </w:rPr>
              <w:t>Train dental, medical-record, legal, information-technology and emergency-management staff in forensic dental record handling and institutional responsibilities.</w:t>
            </w:r>
          </w:p>
        </w:tc>
        <w:tc>
          <w:tcPr>
            <w:tcW w:type="dxa" w:w="3010"/>
            <w:vAlign w:val="top"/>
          </w:tcPr>
          <w:p>
            <w:r/>
            <w:r>
              <w:rPr>
                <w:rFonts w:ascii="Calibri" w:hAnsi="Calibri"/>
                <w:b w:val="0"/>
                <w:sz w:val="20"/>
              </w:rPr>
              <w:t>Periodic training, simulation, audit findings and corrective action plan.</w:t>
            </w:r>
          </w:p>
        </w:tc>
      </w:tr>
    </w:tbl>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ascii="Calibri" w:hAnsi="Calibri" w:eastAsia="Calibr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120" w:after="120"/>
      <w:outlineLvl w:val="1"/>
    </w:pPr>
    <w:rPr>
      <w:rFonts w:asciiTheme="majorHAnsi" w:eastAsiaTheme="majorEastAsia" w:hAnsiTheme="majorHAnsi" w:cstheme="majorBidi" w:ascii="Calibri" w:hAnsi="Calibri" w:eastAsia="Calibr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ascii="Calibri" w:hAnsi="Calibri" w:eastAsia="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FMSLTitle">
    <w:name w:val="JFMSL Title"/>
    <w:pPr>
      <w:spacing w:after="240"/>
      <w:jc w:val="center"/>
    </w:pPr>
    <w:rPr>
      <w:rFonts w:ascii="Calibri" w:hAnsi="Calibri"/>
      <w:b/>
      <w:sz w:val="28"/>
    </w:rPr>
  </w:style>
  <w:style w:type="paragraph" w:customStyle="1" w:styleId="Small">
    <w:name w:val="Small"/>
    <w:pPr>
      <w:spacing w:after="60" w:line="240" w:lineRule="auto"/>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