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Calibri" w:hAnsi="Calibri"/>
          <w:sz w:val="22"/>
        </w:rPr>
        <w:t>Review Article</w:t>
      </w:r>
    </w:p>
    <w:p>
      <w:pPr>
        <w:pStyle w:val="JFMSLTitle"/>
        <w:spacing w:line="240" w:lineRule="auto" w:after="120"/>
      </w:pPr>
      <w:r>
        <w:rPr>
          <w:rFonts w:ascii="Calibri" w:hAnsi="Calibri"/>
          <w:sz w:val="22"/>
        </w:rPr>
        <w:t>Forensic Odontology Governance in Hospital Systems: A Medico-Legal Review</w:t>
      </w:r>
    </w:p>
    <w:p>
      <w:pPr>
        <w:spacing w:line="240" w:lineRule="auto" w:after="120"/>
      </w:pPr>
      <w:r>
        <w:rPr>
          <w:rFonts w:ascii="Calibri" w:hAnsi="Calibri"/>
          <w:sz w:val="22"/>
        </w:rPr>
        <w:t>Running title: Forensic Odontology Governance</w:t>
      </w:r>
    </w:p>
    <w:p>
      <w:pPr>
        <w:spacing w:line="240" w:lineRule="auto" w:after="120"/>
        <w:jc w:val="center"/>
      </w:pPr>
      <w:r>
        <w:rPr>
          <w:rFonts w:ascii="Calibri" w:hAnsi="Calibri"/>
          <w:sz w:val="22"/>
        </w:rPr>
        <w:t>Yessy Andriani Fauziah*1, Eveline Yulia Darmadi1, Farouk Al-Ghazaly2, Dwi Setianingtyas3, Dian Agustin Wahjuningrum4, Ajinkya M. Pawar5, Dany Agus Susanto6</w:t>
      </w:r>
    </w:p>
    <w:p>
      <w:pPr>
        <w:spacing w:line="240" w:lineRule="auto" w:after="120"/>
      </w:pPr>
      <w:r>
        <w:rPr>
          <w:rFonts w:ascii="Calibri" w:hAnsi="Calibri"/>
          <w:sz w:val="22"/>
        </w:rPr>
        <w:t>1 School of Dental Medicine, Universitas Ciputra, Surabaya, Indonesia</w:t>
      </w:r>
    </w:p>
    <w:p>
      <w:pPr>
        <w:spacing w:line="240" w:lineRule="auto" w:after="120"/>
      </w:pPr>
      <w:r>
        <w:rPr>
          <w:rFonts w:ascii="Calibri" w:hAnsi="Calibri"/>
          <w:sz w:val="22"/>
        </w:rPr>
        <w:t>2 Faculty of Dental Medicine, Al-Saeed University, Taiz, Yemen</w:t>
      </w:r>
    </w:p>
    <w:p>
      <w:pPr>
        <w:spacing w:line="240" w:lineRule="auto" w:after="120"/>
      </w:pPr>
      <w:r>
        <w:rPr>
          <w:rFonts w:ascii="Calibri" w:hAnsi="Calibri"/>
          <w:sz w:val="22"/>
        </w:rPr>
        <w:t>3 Department of Oral Medicine, Faculty of Dentistry, Universitas Hang Tuah, Surabaya, Indonesia</w:t>
      </w:r>
    </w:p>
    <w:p>
      <w:pPr>
        <w:spacing w:line="240" w:lineRule="auto" w:after="120"/>
      </w:pPr>
      <w:r>
        <w:rPr>
          <w:rFonts w:ascii="Calibri" w:hAnsi="Calibri"/>
          <w:sz w:val="22"/>
        </w:rPr>
        <w:t>4 Department of Conservative Dentistry, Faculty of Dental Medicine, Universitas Airlangga, Surabaya, Indonesia</w:t>
      </w:r>
    </w:p>
    <w:p>
      <w:pPr>
        <w:spacing w:line="240" w:lineRule="auto" w:after="120"/>
      </w:pPr>
      <w:r>
        <w:rPr>
          <w:rFonts w:ascii="Calibri" w:hAnsi="Calibri"/>
          <w:sz w:val="22"/>
        </w:rPr>
        <w:t>5 Department of Conservative Dentistry and Endodontics, Nair Hospital Dental College, Maharashtra, India</w:t>
      </w:r>
    </w:p>
    <w:p>
      <w:pPr>
        <w:spacing w:line="240" w:lineRule="auto" w:after="120"/>
      </w:pPr>
      <w:r>
        <w:rPr>
          <w:rFonts w:ascii="Calibri" w:hAnsi="Calibri"/>
          <w:sz w:val="22"/>
        </w:rPr>
        <w:t>6 Faculty of Law, Universitas 45, Surabaya, Indonesia</w:t>
      </w:r>
    </w:p>
    <w:p>
      <w:pPr>
        <w:spacing w:line="240" w:lineRule="auto" w:after="120"/>
      </w:pPr>
      <w:r>
        <w:rPr>
          <w:rFonts w:ascii="Calibri" w:hAnsi="Calibri"/>
          <w:sz w:val="22"/>
        </w:rPr>
        <w:t>*Corresponding author: Yessy Andriani Fauziah</w:t>
      </w:r>
    </w:p>
    <w:p>
      <w:pPr>
        <w:spacing w:line="240" w:lineRule="auto" w:after="120"/>
      </w:pPr>
      <w:r>
        <w:rPr>
          <w:rFonts w:ascii="Calibri" w:hAnsi="Calibri"/>
          <w:sz w:val="22"/>
        </w:rPr>
        <w:t>E-mail: yessy.andriani@ciputra.ac.id; Phone/WhatsApp: 085730088872</w:t>
      </w:r>
    </w:p>
    <w:p>
      <w:pPr>
        <w:spacing w:line="240" w:lineRule="auto" w:after="120"/>
      </w:pPr>
      <w:r>
        <w:rPr>
          <w:rFonts w:ascii="Calibri" w:hAnsi="Calibri"/>
          <w:sz w:val="22"/>
        </w:rPr>
        <w:t>Corresponding author address: School of Dental Medicine, Universitas Ciputra, Surabaya, Indonesia</w:t>
      </w:r>
    </w:p>
    <w:p>
      <w:pPr>
        <w:pStyle w:val="Heading2"/>
      </w:pPr>
      <w:r>
        <w:t>Author details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vAlign w:val="top"/>
            <w:shd w:fill="D9EAF7"/>
          </w:tcPr>
          <w:p>
            <w:r/>
            <w:r>
              <w:rPr>
                <w:rFonts w:ascii="Calibri" w:hAnsi="Calibri"/>
                <w:b/>
                <w:sz w:val="20"/>
              </w:rPr>
              <w:t>Author</w:t>
            </w:r>
          </w:p>
        </w:tc>
        <w:tc>
          <w:tcPr>
            <w:tcW w:type="dxa" w:w="1806"/>
            <w:vAlign w:val="top"/>
            <w:shd w:fill="D9EAF7"/>
          </w:tcPr>
          <w:p>
            <w:r/>
            <w:r>
              <w:rPr>
                <w:rFonts w:ascii="Calibri" w:hAnsi="Calibri"/>
                <w:b/>
                <w:sz w:val="20"/>
              </w:rPr>
              <w:t>Affiliation</w:t>
            </w:r>
          </w:p>
        </w:tc>
        <w:tc>
          <w:tcPr>
            <w:tcW w:type="dxa" w:w="1806"/>
            <w:vAlign w:val="top"/>
            <w:shd w:fill="D9EAF7"/>
          </w:tcPr>
          <w:p>
            <w:r/>
            <w:r>
              <w:rPr>
                <w:rFonts w:ascii="Calibri" w:hAnsi="Calibri"/>
                <w:b/>
                <w:sz w:val="20"/>
              </w:rPr>
              <w:t>E-mail</w:t>
            </w:r>
          </w:p>
        </w:tc>
        <w:tc>
          <w:tcPr>
            <w:tcW w:type="dxa" w:w="1806"/>
            <w:vAlign w:val="top"/>
            <w:shd w:fill="D9EAF7"/>
          </w:tcPr>
          <w:p>
            <w:r/>
            <w:r>
              <w:rPr>
                <w:rFonts w:ascii="Calibri" w:hAnsi="Calibri"/>
                <w:b/>
                <w:sz w:val="20"/>
              </w:rPr>
              <w:t>Phone/WhatsApp</w:t>
            </w:r>
          </w:p>
        </w:tc>
        <w:tc>
          <w:tcPr>
            <w:tcW w:type="dxa" w:w="1806"/>
            <w:vAlign w:val="top"/>
            <w:shd w:fill="D9EAF7"/>
          </w:tcPr>
          <w:p>
            <w:r/>
            <w:r>
              <w:rPr>
                <w:rFonts w:ascii="Calibri" w:hAnsi="Calibri"/>
                <w:b/>
                <w:sz w:val="20"/>
              </w:rPr>
              <w:t>ORCID/Scopus ID</w:t>
            </w:r>
          </w:p>
        </w:tc>
      </w:tr>
      <w:tr>
        <w:tc>
          <w:tcPr>
            <w:tcW w:type="dxa" w:w="1806"/>
            <w:vAlign w:val="top"/>
          </w:tcPr>
          <w:p>
            <w:r/>
            <w:r>
              <w:rPr>
                <w:rFonts w:ascii="Calibri" w:hAnsi="Calibri"/>
                <w:b w:val="0"/>
                <w:sz w:val="20"/>
              </w:rPr>
              <w:t>Yessy Andriani Fauziah</w:t>
            </w:r>
          </w:p>
        </w:tc>
        <w:tc>
          <w:tcPr>
            <w:tcW w:type="dxa" w:w="1806"/>
            <w:vAlign w:val="top"/>
          </w:tcPr>
          <w:p>
            <w:r/>
            <w:r>
              <w:rPr>
                <w:rFonts w:ascii="Calibri" w:hAnsi="Calibri"/>
                <w:b w:val="0"/>
                <w:sz w:val="20"/>
              </w:rPr>
              <w:t>School of Dental Medicine, Universitas Ciputra, Surabaya, Indonesia</w:t>
            </w:r>
          </w:p>
        </w:tc>
        <w:tc>
          <w:tcPr>
            <w:tcW w:type="dxa" w:w="1806"/>
            <w:vAlign w:val="top"/>
          </w:tcPr>
          <w:p>
            <w:r/>
            <w:r>
              <w:rPr>
                <w:rFonts w:ascii="Calibri" w:hAnsi="Calibri"/>
                <w:b w:val="0"/>
                <w:sz w:val="20"/>
              </w:rPr>
              <w:t>yessy.andriani@ciputra.ac.id</w:t>
            </w:r>
          </w:p>
        </w:tc>
        <w:tc>
          <w:tcPr>
            <w:tcW w:type="dxa" w:w="1806"/>
            <w:vAlign w:val="top"/>
          </w:tcPr>
          <w:p>
            <w:r/>
            <w:r>
              <w:rPr>
                <w:rFonts w:ascii="Calibri" w:hAnsi="Calibri"/>
                <w:b w:val="0"/>
                <w:sz w:val="20"/>
              </w:rPr>
              <w:t>085730088872</w:t>
            </w:r>
          </w:p>
        </w:tc>
        <w:tc>
          <w:tcPr>
            <w:tcW w:type="dxa" w:w="1806"/>
            <w:vAlign w:val="top"/>
          </w:tcPr>
          <w:p>
            <w:r/>
            <w:r>
              <w:rPr>
                <w:rFonts w:ascii="Calibri" w:hAnsi="Calibri"/>
                <w:b w:val="0"/>
                <w:sz w:val="20"/>
              </w:rPr>
              <w:t>ORCID: 0009-0008-7423-7437; Scopus ID: 57218883072</w:t>
            </w:r>
          </w:p>
        </w:tc>
      </w:tr>
      <w:tr>
        <w:tc>
          <w:tcPr>
            <w:tcW w:type="dxa" w:w="1806"/>
            <w:vAlign w:val="top"/>
          </w:tcPr>
          <w:p>
            <w:r/>
            <w:r>
              <w:rPr>
                <w:rFonts w:ascii="Calibri" w:hAnsi="Calibri"/>
                <w:b w:val="0"/>
                <w:sz w:val="20"/>
              </w:rPr>
              <w:t>Eveline Yulia Darmadi</w:t>
            </w:r>
          </w:p>
        </w:tc>
        <w:tc>
          <w:tcPr>
            <w:tcW w:type="dxa" w:w="1806"/>
            <w:vAlign w:val="top"/>
          </w:tcPr>
          <w:p>
            <w:r/>
            <w:r>
              <w:rPr>
                <w:rFonts w:ascii="Calibri" w:hAnsi="Calibri"/>
                <w:b w:val="0"/>
                <w:sz w:val="20"/>
              </w:rPr>
              <w:t>School of Dental Medicine, Universitas Ciputra, Surabaya, Indonesia</w:t>
            </w:r>
          </w:p>
        </w:tc>
        <w:tc>
          <w:tcPr>
            <w:tcW w:type="dxa" w:w="1806"/>
            <w:vAlign w:val="top"/>
          </w:tcPr>
          <w:p>
            <w:r/>
            <w:r>
              <w:rPr>
                <w:rFonts w:ascii="Calibri" w:hAnsi="Calibri"/>
                <w:b w:val="0"/>
                <w:sz w:val="20"/>
              </w:rPr>
              <w:t>eveline.darmadi@ciputra.ac.id</w:t>
            </w:r>
          </w:p>
        </w:tc>
        <w:tc>
          <w:tcPr>
            <w:tcW w:type="dxa" w:w="1806"/>
            <w:vAlign w:val="top"/>
          </w:tcPr>
          <w:p>
            <w:r/>
            <w:r>
              <w:rPr>
                <w:rFonts w:ascii="Calibri" w:hAnsi="Calibri"/>
                <w:b w:val="0"/>
                <w:sz w:val="20"/>
              </w:rPr>
              <w:t>08123586255</w:t>
            </w:r>
          </w:p>
        </w:tc>
        <w:tc>
          <w:tcPr>
            <w:tcW w:type="dxa" w:w="1806"/>
            <w:vAlign w:val="top"/>
          </w:tcPr>
          <w:p>
            <w:r/>
            <w:r>
              <w:rPr>
                <w:rFonts w:ascii="Calibri" w:hAnsi="Calibri"/>
                <w:b w:val="0"/>
                <w:sz w:val="20"/>
              </w:rPr>
              <w:t>ORCID: 0009-0002-3948-6987</w:t>
            </w:r>
          </w:p>
        </w:tc>
      </w:tr>
      <w:tr>
        <w:tc>
          <w:tcPr>
            <w:tcW w:type="dxa" w:w="1806"/>
            <w:vAlign w:val="top"/>
          </w:tcPr>
          <w:p>
            <w:r/>
            <w:r>
              <w:rPr>
                <w:rFonts w:ascii="Calibri" w:hAnsi="Calibri"/>
                <w:b w:val="0"/>
                <w:sz w:val="20"/>
              </w:rPr>
              <w:t>Farouk Al-Ghazaly</w:t>
            </w:r>
          </w:p>
        </w:tc>
        <w:tc>
          <w:tcPr>
            <w:tcW w:type="dxa" w:w="1806"/>
            <w:vAlign w:val="top"/>
          </w:tcPr>
          <w:p>
            <w:r/>
            <w:r>
              <w:rPr>
                <w:rFonts w:ascii="Calibri" w:hAnsi="Calibri"/>
                <w:b w:val="0"/>
                <w:sz w:val="20"/>
              </w:rPr>
              <w:t>Faculty of Dental Medicine, Al-Saeed University, Taiz, Yemen</w:t>
            </w:r>
          </w:p>
        </w:tc>
        <w:tc>
          <w:tcPr>
            <w:tcW w:type="dxa" w:w="1806"/>
            <w:vAlign w:val="top"/>
          </w:tcPr>
          <w:p>
            <w:r/>
            <w:r>
              <w:rPr>
                <w:rFonts w:ascii="Calibri" w:hAnsi="Calibri"/>
                <w:b w:val="0"/>
                <w:sz w:val="20"/>
              </w:rPr>
              <w:t>faroukalghazaly@gmail.com</w:t>
            </w:r>
          </w:p>
        </w:tc>
        <w:tc>
          <w:tcPr>
            <w:tcW w:type="dxa" w:w="1806"/>
            <w:vAlign w:val="top"/>
          </w:tcPr>
          <w:p>
            <w:r/>
            <w:r>
              <w:rPr>
                <w:rFonts w:ascii="Calibri" w:hAnsi="Calibri"/>
                <w:b w:val="0"/>
                <w:sz w:val="20"/>
              </w:rPr>
              <w:t>Not provided</w:t>
            </w:r>
          </w:p>
        </w:tc>
        <w:tc>
          <w:tcPr>
            <w:tcW w:type="dxa" w:w="1806"/>
            <w:vAlign w:val="top"/>
          </w:tcPr>
          <w:p>
            <w:r/>
            <w:r>
              <w:rPr>
                <w:rFonts w:ascii="Calibri" w:hAnsi="Calibri"/>
                <w:b w:val="0"/>
                <w:sz w:val="20"/>
              </w:rPr>
              <w:t>ORCID: 0009-0003-4080-9090</w:t>
            </w:r>
          </w:p>
        </w:tc>
      </w:tr>
      <w:tr>
        <w:tc>
          <w:tcPr>
            <w:tcW w:type="dxa" w:w="1806"/>
            <w:vAlign w:val="top"/>
          </w:tcPr>
          <w:p>
            <w:r/>
            <w:r>
              <w:rPr>
                <w:rFonts w:ascii="Calibri" w:hAnsi="Calibri"/>
                <w:b w:val="0"/>
                <w:sz w:val="20"/>
              </w:rPr>
              <w:t>Dwi Setianingtyas</w:t>
            </w:r>
          </w:p>
        </w:tc>
        <w:tc>
          <w:tcPr>
            <w:tcW w:type="dxa" w:w="1806"/>
            <w:vAlign w:val="top"/>
          </w:tcPr>
          <w:p>
            <w:r/>
            <w:r>
              <w:rPr>
                <w:rFonts w:ascii="Calibri" w:hAnsi="Calibri"/>
                <w:b w:val="0"/>
                <w:sz w:val="20"/>
              </w:rPr>
              <w:t>Department of Oral Medicine, Faculty of Dentistry, Universitas Hang Tuah, Surabaya, Indonesia</w:t>
            </w:r>
          </w:p>
        </w:tc>
        <w:tc>
          <w:tcPr>
            <w:tcW w:type="dxa" w:w="1806"/>
            <w:vAlign w:val="top"/>
          </w:tcPr>
          <w:p>
            <w:r/>
            <w:r>
              <w:rPr>
                <w:rFonts w:ascii="Calibri" w:hAnsi="Calibri"/>
                <w:b w:val="0"/>
                <w:sz w:val="20"/>
              </w:rPr>
              <w:t>dwi.setianingtyas.anik@gmail.com</w:t>
            </w:r>
          </w:p>
        </w:tc>
        <w:tc>
          <w:tcPr>
            <w:tcW w:type="dxa" w:w="1806"/>
            <w:vAlign w:val="top"/>
          </w:tcPr>
          <w:p>
            <w:r/>
            <w:r>
              <w:rPr>
                <w:rFonts w:ascii="Calibri" w:hAnsi="Calibri"/>
                <w:b w:val="0"/>
                <w:sz w:val="20"/>
              </w:rPr>
              <w:t>085645208668</w:t>
            </w:r>
          </w:p>
        </w:tc>
        <w:tc>
          <w:tcPr>
            <w:tcW w:type="dxa" w:w="1806"/>
            <w:vAlign w:val="top"/>
          </w:tcPr>
          <w:p>
            <w:r/>
            <w:r>
              <w:rPr>
                <w:rFonts w:ascii="Calibri" w:hAnsi="Calibri"/>
                <w:b w:val="0"/>
                <w:sz w:val="20"/>
              </w:rPr>
              <w:t>ORCID: 0009-0000-6977-7326</w:t>
            </w:r>
          </w:p>
        </w:tc>
      </w:tr>
      <w:tr>
        <w:tc>
          <w:tcPr>
            <w:tcW w:type="dxa" w:w="1806"/>
            <w:vAlign w:val="top"/>
          </w:tcPr>
          <w:p>
            <w:r/>
            <w:r>
              <w:rPr>
                <w:rFonts w:ascii="Calibri" w:hAnsi="Calibri"/>
                <w:b w:val="0"/>
                <w:sz w:val="20"/>
              </w:rPr>
              <w:t>Dian Agustin Wahjuningrum</w:t>
            </w:r>
          </w:p>
        </w:tc>
        <w:tc>
          <w:tcPr>
            <w:tcW w:type="dxa" w:w="1806"/>
            <w:vAlign w:val="top"/>
          </w:tcPr>
          <w:p>
            <w:r/>
            <w:r>
              <w:rPr>
                <w:rFonts w:ascii="Calibri" w:hAnsi="Calibri"/>
                <w:b w:val="0"/>
                <w:sz w:val="20"/>
              </w:rPr>
              <w:t>Department of Conservative Dentistry, Faculty of Dental Medicine, Universitas Airlangga, Surabaya, Indonesia</w:t>
            </w:r>
          </w:p>
        </w:tc>
        <w:tc>
          <w:tcPr>
            <w:tcW w:type="dxa" w:w="1806"/>
            <w:vAlign w:val="top"/>
          </w:tcPr>
          <w:p>
            <w:r/>
            <w:r>
              <w:rPr>
                <w:rFonts w:ascii="Calibri" w:hAnsi="Calibri"/>
                <w:b w:val="0"/>
                <w:sz w:val="20"/>
              </w:rPr>
              <w:t>dian-agustin-w@fkg.unair.ac.id</w:t>
            </w:r>
          </w:p>
        </w:tc>
        <w:tc>
          <w:tcPr>
            <w:tcW w:type="dxa" w:w="1806"/>
            <w:vAlign w:val="top"/>
          </w:tcPr>
          <w:p>
            <w:r/>
            <w:r>
              <w:rPr>
                <w:rFonts w:ascii="Calibri" w:hAnsi="Calibri"/>
                <w:b w:val="0"/>
                <w:sz w:val="20"/>
              </w:rPr>
              <w:t>Not provided</w:t>
            </w:r>
          </w:p>
        </w:tc>
        <w:tc>
          <w:tcPr>
            <w:tcW w:type="dxa" w:w="1806"/>
            <w:vAlign w:val="top"/>
          </w:tcPr>
          <w:p>
            <w:r/>
            <w:r>
              <w:rPr>
                <w:rFonts w:ascii="Calibri" w:hAnsi="Calibri"/>
                <w:b w:val="0"/>
                <w:sz w:val="20"/>
              </w:rPr>
              <w:t>ORCID: 0000-0002-5168-1016</w:t>
            </w:r>
          </w:p>
        </w:tc>
      </w:tr>
      <w:tr>
        <w:tc>
          <w:tcPr>
            <w:tcW w:type="dxa" w:w="1806"/>
            <w:vAlign w:val="top"/>
          </w:tcPr>
          <w:p>
            <w:r/>
            <w:r>
              <w:rPr>
                <w:rFonts w:ascii="Calibri" w:hAnsi="Calibri"/>
                <w:b w:val="0"/>
                <w:sz w:val="20"/>
              </w:rPr>
              <w:t>Ajinkya M. Pawar</w:t>
            </w:r>
          </w:p>
        </w:tc>
        <w:tc>
          <w:tcPr>
            <w:tcW w:type="dxa" w:w="1806"/>
            <w:vAlign w:val="top"/>
          </w:tcPr>
          <w:p>
            <w:r/>
            <w:r>
              <w:rPr>
                <w:rFonts w:ascii="Calibri" w:hAnsi="Calibri"/>
                <w:b w:val="0"/>
                <w:sz w:val="20"/>
              </w:rPr>
              <w:t>Department of Conservative Dentistry and Endodontics, Nair Hospital Dental College, Maharashtra, India</w:t>
            </w:r>
          </w:p>
        </w:tc>
        <w:tc>
          <w:tcPr>
            <w:tcW w:type="dxa" w:w="1806"/>
            <w:vAlign w:val="top"/>
          </w:tcPr>
          <w:p>
            <w:r/>
            <w:r>
              <w:rPr>
                <w:rFonts w:ascii="Calibri" w:hAnsi="Calibri"/>
                <w:b w:val="0"/>
                <w:sz w:val="20"/>
              </w:rPr>
              <w:t>ajinkya@drpawars.com</w:t>
            </w:r>
          </w:p>
        </w:tc>
        <w:tc>
          <w:tcPr>
            <w:tcW w:type="dxa" w:w="1806"/>
            <w:vAlign w:val="top"/>
          </w:tcPr>
          <w:p>
            <w:r/>
            <w:r>
              <w:rPr>
                <w:rFonts w:ascii="Calibri" w:hAnsi="Calibri"/>
                <w:b w:val="0"/>
                <w:sz w:val="20"/>
              </w:rPr>
              <w:t>Not provided</w:t>
            </w:r>
          </w:p>
        </w:tc>
        <w:tc>
          <w:tcPr>
            <w:tcW w:type="dxa" w:w="1806"/>
            <w:vAlign w:val="top"/>
          </w:tcPr>
          <w:p>
            <w:r/>
            <w:r>
              <w:rPr>
                <w:rFonts w:ascii="Calibri" w:hAnsi="Calibri"/>
                <w:b w:val="0"/>
                <w:sz w:val="20"/>
              </w:rPr>
              <w:t>ORCID: 0000-0003-3985-5674</w:t>
            </w:r>
          </w:p>
        </w:tc>
      </w:tr>
      <w:tr>
        <w:tc>
          <w:tcPr>
            <w:tcW w:type="dxa" w:w="1806"/>
            <w:vAlign w:val="top"/>
          </w:tcPr>
          <w:p>
            <w:r/>
            <w:r>
              <w:rPr>
                <w:rFonts w:ascii="Calibri" w:hAnsi="Calibri"/>
                <w:b w:val="0"/>
                <w:sz w:val="20"/>
              </w:rPr>
              <w:t>Dany Agus Susanto</w:t>
            </w:r>
          </w:p>
        </w:tc>
        <w:tc>
          <w:tcPr>
            <w:tcW w:type="dxa" w:w="1806"/>
            <w:vAlign w:val="top"/>
          </w:tcPr>
          <w:p>
            <w:r/>
            <w:r>
              <w:rPr>
                <w:rFonts w:ascii="Calibri" w:hAnsi="Calibri"/>
                <w:b w:val="0"/>
                <w:sz w:val="20"/>
              </w:rPr>
              <w:t>Faculty of Law, Universitas 45, Surabaya, Indonesia</w:t>
            </w:r>
          </w:p>
        </w:tc>
        <w:tc>
          <w:tcPr>
            <w:tcW w:type="dxa" w:w="1806"/>
            <w:vAlign w:val="top"/>
          </w:tcPr>
          <w:p>
            <w:r/>
            <w:r>
              <w:rPr>
                <w:rFonts w:ascii="Calibri" w:hAnsi="Calibri"/>
                <w:b w:val="0"/>
                <w:sz w:val="20"/>
              </w:rPr>
              <w:t>danyagussusanto@univ45sby.ac.id</w:t>
            </w:r>
          </w:p>
        </w:tc>
        <w:tc>
          <w:tcPr>
            <w:tcW w:type="dxa" w:w="1806"/>
            <w:vAlign w:val="top"/>
          </w:tcPr>
          <w:p>
            <w:r/>
            <w:r>
              <w:rPr>
                <w:rFonts w:ascii="Calibri" w:hAnsi="Calibri"/>
                <w:b w:val="0"/>
                <w:sz w:val="20"/>
              </w:rPr>
              <w:t>081216656377</w:t>
            </w:r>
          </w:p>
        </w:tc>
        <w:tc>
          <w:tcPr>
            <w:tcW w:type="dxa" w:w="1806"/>
            <w:vAlign w:val="top"/>
          </w:tcPr>
          <w:p>
            <w:r/>
            <w:r>
              <w:rPr>
                <w:rFonts w:ascii="Calibri" w:hAnsi="Calibri"/>
                <w:b w:val="0"/>
                <w:sz w:val="20"/>
              </w:rPr>
              <w:t>ORCID: 0009-0000-1780-2788</w:t>
            </w:r>
          </w:p>
        </w:tc>
      </w:tr>
    </w:tbl>
    <w:p>
      <w:pPr>
        <w:pStyle w:val="Heading2"/>
      </w:pPr>
      <w:r>
        <w:t>Author contributorship declaration</w:t>
      </w:r>
    </w:p>
    <w:p>
      <w:pPr>
        <w:spacing w:line="240" w:lineRule="auto" w:after="120"/>
      </w:pPr>
      <w:r>
        <w:rPr>
          <w:rFonts w:ascii="Calibri" w:hAnsi="Calibri"/>
          <w:sz w:val="22"/>
        </w:rPr>
        <w:t>Yessy Andriani Fauziah: Conceptualization, methodology, normative analysis, supervision, writing - original draft, writing - review and editing.</w:t>
      </w:r>
    </w:p>
    <w:p>
      <w:pPr>
        <w:spacing w:line="240" w:lineRule="auto" w:after="120"/>
      </w:pPr>
      <w:r>
        <w:rPr>
          <w:rFonts w:ascii="Calibri" w:hAnsi="Calibri"/>
          <w:sz w:val="22"/>
        </w:rPr>
        <w:t>Eveline Yulia Darmadi: Conceptualization, ethical analysis, literature synthesis, writing - review and editing.</w:t>
      </w:r>
    </w:p>
    <w:p>
      <w:pPr>
        <w:spacing w:line="240" w:lineRule="auto" w:after="120"/>
      </w:pPr>
      <w:r>
        <w:rPr>
          <w:rFonts w:ascii="Calibri" w:hAnsi="Calibri"/>
          <w:sz w:val="22"/>
        </w:rPr>
        <w:t>Farouk Al-Ghazaly: Forensic odontology content review, interpretation of dental-record implications, writing - review and editing.</w:t>
      </w:r>
    </w:p>
    <w:p>
      <w:pPr>
        <w:spacing w:line="240" w:lineRule="auto" w:after="120"/>
      </w:pPr>
      <w:r>
        <w:rPr>
          <w:rFonts w:ascii="Calibri" w:hAnsi="Calibri"/>
          <w:sz w:val="22"/>
        </w:rPr>
        <w:t>Dwi Setianingtyas: Ethical and clinical-practice interpretation, review of confidentiality and professional-responsibility sections, writing - review and editing.</w:t>
      </w:r>
    </w:p>
    <w:p>
      <w:pPr>
        <w:spacing w:line="240" w:lineRule="auto" w:after="120"/>
      </w:pPr>
      <w:r>
        <w:rPr>
          <w:rFonts w:ascii="Calibri" w:hAnsi="Calibri"/>
          <w:sz w:val="22"/>
        </w:rPr>
        <w:t>Dian Agustin Wahjuningrum: Dental-service governance interpretation, review of record-quality and hospital-policy sections, writing - review and editing.</w:t>
      </w:r>
    </w:p>
    <w:p>
      <w:pPr>
        <w:spacing w:line="240" w:lineRule="auto" w:after="120"/>
      </w:pPr>
      <w:r>
        <w:rPr>
          <w:rFonts w:ascii="Calibri" w:hAnsi="Calibri"/>
          <w:sz w:val="22"/>
        </w:rPr>
        <w:t>Ajinkya M. Pawar: Forensic odontology and dental documentation review, methodological input, writing - review and editing.</w:t>
      </w:r>
    </w:p>
    <w:p>
      <w:pPr>
        <w:spacing w:line="240" w:lineRule="auto" w:after="120"/>
      </w:pPr>
      <w:r>
        <w:rPr>
          <w:rFonts w:ascii="Calibri" w:hAnsi="Calibri"/>
          <w:sz w:val="22"/>
        </w:rPr>
        <w:t>Dany Agus Susanto: Legal analysis, policy interpretation, review of medical-law and institutional-accountability sections, writing - review and editing.</w:t>
      </w:r>
    </w:p>
    <w:p>
      <w:pPr>
        <w:pStyle w:val="Heading2"/>
      </w:pPr>
      <w:r>
        <w:t>Declarations</w:t>
      </w:r>
    </w:p>
    <w:p>
      <w:pPr>
        <w:spacing w:line="240" w:lineRule="auto" w:after="120"/>
      </w:pPr>
      <w:r>
        <w:rPr>
          <w:rFonts w:ascii="Calibri" w:hAnsi="Calibri"/>
          <w:sz w:val="22"/>
        </w:rPr>
        <w:t>Acknowledgement: None.</w:t>
      </w:r>
    </w:p>
    <w:p>
      <w:pPr>
        <w:spacing w:line="240" w:lineRule="auto" w:after="120"/>
      </w:pPr>
      <w:r>
        <w:rPr>
          <w:rFonts w:ascii="Calibri" w:hAnsi="Calibri"/>
          <w:sz w:val="22"/>
        </w:rPr>
        <w:t>Ethical clearance: Ethical clearance was not required because this review used only published literature, professional guidance and publicly available legal or policy documents. It did not involve human participants, human data, surveys, deceased individuals, clinical records, human tissue or animals.</w:t>
      </w:r>
    </w:p>
    <w:p>
      <w:pPr>
        <w:spacing w:line="240" w:lineRule="auto" w:after="120"/>
      </w:pPr>
      <w:r>
        <w:rPr>
          <w:rFonts w:ascii="Calibri" w:hAnsi="Calibri"/>
          <w:sz w:val="22"/>
        </w:rPr>
        <w:t>Conflict of interest: The authors declare no conflict of interest.</w:t>
      </w:r>
    </w:p>
    <w:p>
      <w:pPr>
        <w:spacing w:line="240" w:lineRule="auto" w:after="120"/>
      </w:pPr>
      <w:r>
        <w:rPr>
          <w:rFonts w:ascii="Calibri" w:hAnsi="Calibri"/>
          <w:sz w:val="22"/>
        </w:rPr>
        <w:t>Funding: No external funding was received for this work.</w:t>
      </w:r>
    </w:p>
    <w:p>
      <w:pPr>
        <w:spacing w:line="240" w:lineRule="auto" w:after="120"/>
      </w:pPr>
      <w:r>
        <w:rPr>
          <w:rFonts w:ascii="Calibri" w:hAnsi="Calibri"/>
          <w:sz w:val="22"/>
        </w:rPr>
        <w:t>Data availability: No primary dataset was generated or analyzed. All materials discussed in this review are available from the cited literature, guidance documents and legal or policy sources.</w:t>
      </w:r>
    </w:p>
    <w:p>
      <w:pPr>
        <w:spacing w:line="240" w:lineRule="auto" w:after="120"/>
      </w:pPr>
      <w:r>
        <w:rPr>
          <w:rFonts w:ascii="Calibri" w:hAnsi="Calibri"/>
          <w:sz w:val="22"/>
        </w:rPr>
        <w:t>Artificial intelligence disclosure: AI-assisted tools were used only for language editing, formatting support and manuscript organization. The authors critically reviewed, verified and approved the final content and remain fully responsible for the accuracy and integrity of the manuscript.</w:t>
      </w:r>
    </w:p>
    <w:p>
      <w:pPr>
        <w:spacing w:line="240" w:lineRule="auto" w:after="120"/>
      </w:pPr>
      <w:r>
        <w:t>Number of tables: 1. Number of figures/photographs: 0. Number of references: 19. Number of pages: 10.</w:t>
      </w:r>
    </w:p>
    <w:p>
      <w:r>
        <w:br w:type="page"/>
      </w:r>
    </w:p>
    <w:p>
      <w:pPr>
        <w:pStyle w:val="Heading1"/>
      </w:pPr>
      <w:r>
        <w:t>Abstract</w:t>
      </w:r>
    </w:p>
    <w:p>
      <w:pPr>
        <w:spacing w:line="240" w:lineRule="auto" w:after="120"/>
      </w:pPr>
      <w:r>
        <w:rPr>
          <w:rFonts w:ascii="Calibri" w:hAnsi="Calibri"/>
          <w:b/>
          <w:sz w:val="22"/>
        </w:rPr>
        <w:t xml:space="preserve">Background: </w:t>
      </w:r>
      <w:r>
        <w:rPr>
          <w:rFonts w:ascii="Calibri" w:hAnsi="Calibri"/>
          <w:sz w:val="22"/>
        </w:rPr>
        <w:t xml:space="preserve">Forensic odontology supports human identification, disaster victim identification and medico-legal investigation, but its hospital implementation depends on legal and ethical governance. </w:t>
      </w:r>
      <w:r>
        <w:rPr>
          <w:rFonts w:ascii="Calibri" w:hAnsi="Calibri"/>
          <w:b/>
          <w:sz w:val="22"/>
        </w:rPr>
        <w:t xml:space="preserve">Aim: </w:t>
      </w:r>
      <w:r>
        <w:rPr>
          <w:rFonts w:ascii="Calibri" w:hAnsi="Calibri"/>
          <w:sz w:val="22"/>
        </w:rPr>
        <w:t xml:space="preserve">This review analyzes requirements for integrating forensic odontology into hospital systems. </w:t>
      </w:r>
      <w:r>
        <w:rPr>
          <w:rFonts w:ascii="Calibri" w:hAnsi="Calibri"/>
          <w:b/>
          <w:sz w:val="22"/>
        </w:rPr>
        <w:t xml:space="preserve">Materials and methods: </w:t>
      </w:r>
      <w:r>
        <w:rPr>
          <w:rFonts w:ascii="Calibri" w:hAnsi="Calibri"/>
          <w:sz w:val="22"/>
        </w:rPr>
        <w:t xml:space="preserve">A targeted literature review and normative document analysis were conducted using peer-reviewed literature, disaster victim identification guidance, professional ethics statements and selected Indonesian health, medical-record and data-protection regulations. </w:t>
      </w:r>
      <w:r>
        <w:rPr>
          <w:rFonts w:ascii="Calibri" w:hAnsi="Calibri"/>
          <w:b/>
          <w:sz w:val="22"/>
        </w:rPr>
        <w:t xml:space="preserve">Results: </w:t>
      </w:r>
      <w:r>
        <w:rPr>
          <w:rFonts w:ascii="Calibri" w:hAnsi="Calibri"/>
          <w:sz w:val="22"/>
        </w:rPr>
        <w:t xml:space="preserve">Four interdependent requirements were identified: complete and retrievable dental records, lawful and traceable disclosure, ethical separation between clinical and forensic roles, and governance mechanisms for competence, confidentiality, evidence integrity and accountability. Hospitals should manage forensic dental information through written policies, authorization procedures, access logs, chain-of-custody documentation, expert-report standards and ethics oversight. </w:t>
      </w:r>
      <w:r>
        <w:rPr>
          <w:rFonts w:ascii="Calibri" w:hAnsi="Calibri"/>
          <w:b/>
          <w:sz w:val="22"/>
        </w:rPr>
        <w:t xml:space="preserve">Conclusion: </w:t>
      </w:r>
      <w:r>
        <w:rPr>
          <w:rFonts w:ascii="Calibri" w:hAnsi="Calibri"/>
          <w:sz w:val="22"/>
        </w:rPr>
        <w:t>Forensic odontology can improve identification, disaster preparedness and institutional accountability when integrated into medical-record policy, data-protection practice and clinical governance.</w:t>
      </w:r>
    </w:p>
    <w:p>
      <w:pPr>
        <w:spacing w:line="240" w:lineRule="auto" w:after="120"/>
      </w:pPr>
      <w:r>
        <w:rPr>
          <w:rFonts w:ascii="Calibri" w:hAnsi="Calibri"/>
          <w:sz w:val="22"/>
        </w:rPr>
        <w:t>Keywords: Forensic odontology; Dental records; Medical law; Professional ethics; Hospital governance</w:t>
      </w:r>
    </w:p>
    <w:p>
      <w:r>
        <w:br w:type="page"/>
      </w:r>
    </w:p>
    <w:p>
      <w:pPr>
        <w:pStyle w:val="Heading1"/>
      </w:pPr>
      <w:r>
        <w:t>Introduction</w:t>
      </w:r>
    </w:p>
    <w:p>
      <w:pPr>
        <w:spacing w:line="240" w:lineRule="auto" w:after="120"/>
      </w:pPr>
      <w:r>
        <w:rPr>
          <w:rFonts w:ascii="Calibri" w:hAnsi="Calibri"/>
          <w:sz w:val="22"/>
        </w:rPr>
        <w:t>Forensic odontology applies dental knowledge to identification, medico-legal investigation and judicial processes. Its recognized uses include comparison of antemortem and postmortem dental data, disaster victim identification, age estimation, assessment of oral and dental injuries and expert reporting in civil or criminal proceedings</w:t>
      </w:r>
      <w:r>
        <w:rPr>
          <w:rFonts w:ascii="Calibri" w:hAnsi="Calibri"/>
          <w:sz w:val="22"/>
          <w:vertAlign w:val="superscript"/>
        </w:rPr>
        <w:t>1,2</w:t>
      </w:r>
      <w:r>
        <w:rPr>
          <w:rFonts w:ascii="Calibri" w:hAnsi="Calibri"/>
          <w:sz w:val="22"/>
        </w:rPr>
        <w:t>. Teeth and dental structures are frequently useful because they may persist when other biological materials are altered by decomposition, trauma or fire. In disaster victim identification, dental information is internationally recognized as a primary identification source when antemortem records are complete and reliable</w:t>
      </w:r>
      <w:r>
        <w:rPr>
          <w:rFonts w:ascii="Calibri" w:hAnsi="Calibri"/>
          <w:sz w:val="22"/>
          <w:vertAlign w:val="superscript"/>
        </w:rPr>
        <w:t>3</w:t>
      </w:r>
      <w:r>
        <w:rPr>
          <w:rFonts w:ascii="Calibri" w:hAnsi="Calibri"/>
          <w:sz w:val="22"/>
        </w:rPr>
        <w:t>. Digital radiography, electronic dental records, three-dimensional imaging and computational comparison methods have further increased the importance of structured dental information in modern forensic practice</w:t>
      </w:r>
      <w:r>
        <w:rPr>
          <w:rFonts w:ascii="Calibri" w:hAnsi="Calibri"/>
          <w:sz w:val="22"/>
          <w:vertAlign w:val="superscript"/>
        </w:rPr>
        <w:t>4</w:t>
      </w:r>
      <w:r>
        <w:rPr>
          <w:rFonts w:ascii="Calibri" w:hAnsi="Calibri"/>
          <w:sz w:val="22"/>
        </w:rPr>
        <w:t>.</w:t>
      </w:r>
    </w:p>
    <w:p>
      <w:pPr>
        <w:spacing w:line="240" w:lineRule="auto" w:after="120"/>
      </w:pPr>
      <w:r>
        <w:rPr>
          <w:rFonts w:ascii="Calibri" w:hAnsi="Calibri"/>
          <w:sz w:val="22"/>
        </w:rPr>
        <w:t>The practical value of forensic odontology depends on the quality and governance of dental records. Hospitals and dental services routinely produce clinical notes, odontograms, radiographs, photographs, treatment records and consent documentation. These materials are generated primarily for clinical care, but they may later become medico-legal evidence. Their forensic value is weakened if they are incomplete, illegible, inaccessible, poorly retained or released without traceability. Studies from Australia, Croatia and Pakistan demonstrate that dentists' awareness and record-keeping practices vary, and that dental records may not always contain the level of detail needed for forensic comparison</w:t>
      </w:r>
      <w:r>
        <w:rPr>
          <w:rFonts w:ascii="Calibri" w:hAnsi="Calibri"/>
          <w:sz w:val="22"/>
          <w:vertAlign w:val="superscript"/>
        </w:rPr>
        <w:t>5-7</w:t>
      </w:r>
      <w:r>
        <w:rPr>
          <w:rFonts w:ascii="Calibri" w:hAnsi="Calibri"/>
          <w:sz w:val="22"/>
        </w:rPr>
        <w:t>.</w:t>
      </w:r>
    </w:p>
    <w:p>
      <w:pPr>
        <w:spacing w:line="240" w:lineRule="auto" w:after="120"/>
      </w:pPr>
      <w:r>
        <w:rPr>
          <w:rFonts w:ascii="Calibri" w:hAnsi="Calibri"/>
          <w:sz w:val="22"/>
        </w:rPr>
        <w:t>The problem is therefore not limited to technical forensic competence. Hospital managers, dental clinicians, medical-record units, information-technology teams, legal officers and ethics committees all influence whether dental information can be used lawfully, ethically and reliably. Hospitals may be asked to release dental records to investigators, support an unidentified-patient or disaster response, authenticate copies of radiographs, or provide expert interpretation. Without a clear pathway, clinicians may be uncertain about who may authorize disclosure, how confidentiality should be protected, whether consent is required, and when a treating dentist should be separated from an independent forensic expert role</w:t>
      </w:r>
      <w:r>
        <w:rPr>
          <w:rFonts w:ascii="Calibri" w:hAnsi="Calibri"/>
          <w:sz w:val="22"/>
          <w:vertAlign w:val="superscript"/>
        </w:rPr>
        <w:t>8,9</w:t>
      </w:r>
      <w:r>
        <w:rPr>
          <w:rFonts w:ascii="Calibri" w:hAnsi="Calibri"/>
          <w:sz w:val="22"/>
        </w:rPr>
        <w:t>.</w:t>
      </w:r>
    </w:p>
    <w:p>
      <w:pPr>
        <w:spacing w:line="240" w:lineRule="auto" w:after="120"/>
      </w:pPr>
      <w:r>
        <w:rPr>
          <w:rFonts w:ascii="Calibri" w:hAnsi="Calibri"/>
          <w:sz w:val="22"/>
        </w:rPr>
        <w:t>This review aims to analyze legal, ethical and governance considerations required for integrating forensic odontology into hospital systems. Its contribution is to link forensic dental-record governance, lawful disclosure, evidence integrity, role separation and hospital accountability into a practical framework that can support medico-legal preparedness while protecting patient rights. Indonesian health and data-protection regulations are used as an illustrative policy context; the broader principles require adaptation to the legal framework of each jurisdiction.</w:t>
      </w:r>
    </w:p>
    <w:p>
      <w:pPr>
        <w:pStyle w:val="Heading1"/>
      </w:pPr>
      <w:r>
        <w:t>Materials and methods</w:t>
      </w:r>
    </w:p>
    <w:p>
      <w:pPr>
        <w:spacing w:line="240" w:lineRule="auto" w:after="120"/>
      </w:pPr>
      <w:r>
        <w:rPr>
          <w:rFonts w:ascii="Calibri" w:hAnsi="Calibri"/>
          <w:sz w:val="22"/>
        </w:rPr>
        <w:t>This article is a targeted review and normative document analysis. It was not designed as a systematic review or meta-analysis because the objective was to synthesize legal, ethical and governance issues rather than estimate intervention effects. Targeted searches were conducted in PubMed, Google Scholar and official websites of relevant organizations and legal repositories up to 10 August 2026. Search terms combined: forensic odontology, forensic dentistry, dental records, disaster victim identification, medical law, hospital governance, informed consent, confidentiality, evidence integrity, chain of custody and data protection.</w:t>
      </w:r>
    </w:p>
    <w:p>
      <w:pPr>
        <w:spacing w:line="240" w:lineRule="auto" w:after="120"/>
      </w:pPr>
      <w:r>
        <w:rPr>
          <w:rFonts w:ascii="Calibri" w:hAnsi="Calibri"/>
          <w:sz w:val="22"/>
        </w:rPr>
        <w:t>Materials were included when they addressed at least one of the following domains: dental-record quality, lawful access and disclosure, privacy, institutional accountability, professional independence, evidence integrity, ethics in medico-legal practice or hospital governance. The materials comprised peer-reviewed literature, international disaster victim identification guidance, professional dental-ethics statements, biomedical ethics texts and selected Indonesian statutes and regulations governing health services, medical records, personal data protection and hospital responsibility</w:t>
      </w:r>
      <w:r>
        <w:rPr>
          <w:rFonts w:ascii="Calibri" w:hAnsi="Calibri"/>
          <w:sz w:val="22"/>
          <w:vertAlign w:val="superscript"/>
        </w:rPr>
        <w:t>3,10-18</w:t>
      </w:r>
      <w:r>
        <w:rPr>
          <w:rFonts w:ascii="Calibri" w:hAnsi="Calibri"/>
          <w:sz w:val="22"/>
        </w:rPr>
        <w:t>. Materials that were purely technical and unrelated to governance, duplicate descriptions or sources without relevance to hospital-based medico-legal practice were not prioritized.</w:t>
      </w:r>
    </w:p>
    <w:p>
      <w:pPr>
        <w:spacing w:line="240" w:lineRule="auto" w:after="120"/>
      </w:pPr>
      <w:r>
        <w:rPr>
          <w:rFonts w:ascii="Calibri" w:hAnsi="Calibri"/>
          <w:sz w:val="22"/>
        </w:rPr>
        <w:t>The analysis proceeded in three steps. First, legal and institutional duties relating to dental records and hospital accountability were identified. Second, ethical issues were interpreted using the principles of autonomy, beneficence, non-maleficence and justice</w:t>
      </w:r>
      <w:r>
        <w:rPr>
          <w:rFonts w:ascii="Calibri" w:hAnsi="Calibri"/>
          <w:sz w:val="22"/>
          <w:vertAlign w:val="superscript"/>
        </w:rPr>
        <w:t>15</w:t>
      </w:r>
      <w:r>
        <w:rPr>
          <w:rFonts w:ascii="Calibri" w:hAnsi="Calibri"/>
          <w:sz w:val="22"/>
        </w:rPr>
        <w:t>. Third, findings were synthesized into a practical governance framework for hospitals. No human participants, human tissue, deceased individuals, identifiable clinical records, surveys or animals were involved. Therefore, ethical clearance and informed consent were not required for this non-interventional review.</w:t>
      </w:r>
    </w:p>
    <w:p>
      <w:pPr>
        <w:pStyle w:val="Heading1"/>
      </w:pPr>
      <w:r>
        <w:t>Results</w:t>
      </w:r>
    </w:p>
    <w:p>
      <w:pPr>
        <w:spacing w:line="240" w:lineRule="auto" w:after="120"/>
      </w:pPr>
      <w:r>
        <w:rPr>
          <w:rFonts w:ascii="Calibri" w:hAnsi="Calibri"/>
          <w:sz w:val="22"/>
        </w:rPr>
        <w:t>The synthesis identified four interdependent requirements for forensic odontology in hospital systems. First, hospitals require complete, attributable, retrievable and protected dental records. Forensic comparison depends not only on the existence of records but also on the detail, legibility, dating, clinician attribution, imaging quality and retention of those records. Published surveys show that dental-record quality and forensic awareness remain inconsistent across settings, which can reduce the value of records for identification and legal processes</w:t>
      </w:r>
      <w:r>
        <w:rPr>
          <w:rFonts w:ascii="Calibri" w:hAnsi="Calibri"/>
          <w:sz w:val="22"/>
          <w:vertAlign w:val="superscript"/>
        </w:rPr>
        <w:t>5-7</w:t>
      </w:r>
      <w:r>
        <w:rPr>
          <w:rFonts w:ascii="Calibri" w:hAnsi="Calibri"/>
          <w:sz w:val="22"/>
        </w:rPr>
        <w:t>.</w:t>
      </w:r>
    </w:p>
    <w:p>
      <w:pPr>
        <w:spacing w:line="240" w:lineRule="auto" w:after="120"/>
      </w:pPr>
      <w:r>
        <w:rPr>
          <w:rFonts w:ascii="Calibri" w:hAnsi="Calibri"/>
          <w:sz w:val="22"/>
        </w:rPr>
        <w:t>Second, lawful disclosure must be separated from routine clinical access. Dental records are sensitive health information and may contain highly identifying images and observations. Release for forensic or investigative purposes should be based on documented authority, a legitimate request or another legal justification. The hospital should be able to trace who requested, authorized, copied, transferred and received the information. Indonesian health, medical-record and personal-data regulations illustrate the need for documentation, confidentiality, lawful processing and institutional accountability</w:t>
      </w:r>
      <w:r>
        <w:rPr>
          <w:rFonts w:ascii="Calibri" w:hAnsi="Calibri"/>
          <w:sz w:val="22"/>
          <w:vertAlign w:val="superscript"/>
        </w:rPr>
        <w:t>10-13</w:t>
      </w:r>
      <w:r>
        <w:rPr>
          <w:rFonts w:ascii="Calibri" w:hAnsi="Calibri"/>
          <w:sz w:val="22"/>
        </w:rPr>
        <w:t>.</w:t>
      </w:r>
    </w:p>
    <w:p>
      <w:pPr>
        <w:spacing w:line="240" w:lineRule="auto" w:after="120"/>
      </w:pPr>
      <w:r>
        <w:rPr>
          <w:rFonts w:ascii="Calibri" w:hAnsi="Calibri"/>
          <w:sz w:val="22"/>
        </w:rPr>
        <w:t>Third, clinical and forensic roles should not be conflated. Treating dentists are responsible for patient care, confidentiality and factual documentation. Forensic experts may provide independent interpretation, comparison and opinion for legal processes. Where the same individual or institution performs both functions, the scope of each role must be made explicit. This distinction supports objectivity, reduces perceived bias and clarifies the evidentiary limits of expert reports</w:t>
      </w:r>
      <w:r>
        <w:rPr>
          <w:rFonts w:ascii="Calibri" w:hAnsi="Calibri"/>
          <w:sz w:val="22"/>
          <w:vertAlign w:val="superscript"/>
        </w:rPr>
        <w:t>8,9,14-16</w:t>
      </w:r>
      <w:r>
        <w:rPr>
          <w:rFonts w:ascii="Calibri" w:hAnsi="Calibri"/>
          <w:sz w:val="22"/>
        </w:rPr>
        <w:t>.</w:t>
      </w:r>
    </w:p>
    <w:p>
      <w:pPr>
        <w:spacing w:line="240" w:lineRule="auto" w:after="120"/>
      </w:pPr>
      <w:r>
        <w:rPr>
          <w:rFonts w:ascii="Calibri" w:hAnsi="Calibri"/>
          <w:sz w:val="22"/>
        </w:rPr>
        <w:t>Fourth, forensic odontology requires a governance pathway rather than an ad hoc response. Minimum requirements include a written service mandate, credentialed expertise, standardized dental-record practices, evidence-integrity procedures, lawful disclosure protocols, ethics oversight, training and audit mechanisms. These requirements are consistent with broader hospital governance and disaster victim identification quality-management principles</w:t>
      </w:r>
      <w:r>
        <w:rPr>
          <w:rFonts w:ascii="Calibri" w:hAnsi="Calibri"/>
          <w:sz w:val="22"/>
          <w:vertAlign w:val="superscript"/>
        </w:rPr>
        <w:t>3,17,18</w:t>
      </w:r>
      <w:r>
        <w:rPr>
          <w:rFonts w:ascii="Calibri" w:hAnsi="Calibri"/>
          <w:sz w:val="22"/>
        </w:rPr>
        <w:t>. A practical framework is summarized in Table 1.</w:t>
      </w:r>
    </w:p>
    <w:p>
      <w:pPr>
        <w:pStyle w:val="Heading1"/>
      </w:pPr>
      <w:r>
        <w:t>Discussion</w:t>
      </w:r>
    </w:p>
    <w:p>
      <w:pPr>
        <w:pStyle w:val="Heading2"/>
      </w:pPr>
      <w:r>
        <w:t>Forensic dental records as medico-legal evidence</w:t>
      </w:r>
    </w:p>
    <w:p>
      <w:pPr>
        <w:spacing w:line="240" w:lineRule="auto" w:after="120"/>
      </w:pPr>
      <w:r>
        <w:rPr>
          <w:rFonts w:ascii="Calibri" w:hAnsi="Calibri"/>
          <w:sz w:val="22"/>
        </w:rPr>
        <w:t>Forensic odontology should be understood as a hospital governance function, not merely as an external expert activity. The hospital is often the source of antemortem dental data and may also become a coordination point during disaster, unidentified-patient or medico-legal events. Dental evidence becomes useful only if it can be retrieved, authenticated and interpreted within an accountable institutional pathway. This is particularly important because comparative dental identification relies heavily on the availability and quality of antemortem dental records</w:t>
      </w:r>
      <w:r>
        <w:rPr>
          <w:rFonts w:ascii="Calibri" w:hAnsi="Calibri"/>
          <w:sz w:val="22"/>
          <w:vertAlign w:val="superscript"/>
        </w:rPr>
        <w:t>2,3,18</w:t>
      </w:r>
      <w:r>
        <w:rPr>
          <w:rFonts w:ascii="Calibri" w:hAnsi="Calibri"/>
          <w:sz w:val="22"/>
        </w:rPr>
        <w:t>.</w:t>
      </w:r>
    </w:p>
    <w:p>
      <w:pPr>
        <w:spacing w:line="240" w:lineRule="auto" w:after="120"/>
      </w:pPr>
      <w:r>
        <w:rPr>
          <w:rFonts w:ascii="Calibri" w:hAnsi="Calibri"/>
          <w:sz w:val="22"/>
        </w:rPr>
        <w:t>A clinical dental record becomes medico-legal evidence when it is used to support identification, investigation or expert reporting. This transition requires more than clinical accuracy. The record must have provenance, integrity and traceability. The hospital should be able to show when the record was created, who created or amended it, which copy was released and whether the released copy accurately reflects the original. Without such controls, even accurate records may be challenged for evidentiary weakness.</w:t>
      </w:r>
    </w:p>
    <w:p>
      <w:pPr>
        <w:pStyle w:val="Heading2"/>
      </w:pPr>
      <w:r>
        <w:t>Lawful disclosure, confidentiality and data protection</w:t>
      </w:r>
    </w:p>
    <w:p>
      <w:pPr>
        <w:spacing w:line="240" w:lineRule="auto" w:after="120"/>
      </w:pPr>
      <w:r>
        <w:rPr>
          <w:rFonts w:ascii="Calibri" w:hAnsi="Calibri"/>
          <w:sz w:val="22"/>
        </w:rPr>
        <w:t>The legal basis for releasing dental information should be identified before disclosure occurs. Health law and medical-record regulation provide duties to document and safeguard patient information, while personal-data protection law emphasizes purpose limitation, confidentiality and controlled processing of sensitive health data</w:t>
      </w:r>
      <w:r>
        <w:rPr>
          <w:rFonts w:ascii="Calibri" w:hAnsi="Calibri"/>
          <w:sz w:val="22"/>
          <w:vertAlign w:val="superscript"/>
        </w:rPr>
        <w:t>10-13</w:t>
      </w:r>
      <w:r>
        <w:rPr>
          <w:rFonts w:ascii="Calibri" w:hAnsi="Calibri"/>
          <w:sz w:val="22"/>
        </w:rPr>
        <w:t>. These duties do not prevent legitimate forensic use. Rather, they require hospitals to make disclosure necessary, proportionate, documented and limited to the lawful purpose.</w:t>
      </w:r>
    </w:p>
    <w:p>
      <w:pPr>
        <w:spacing w:line="240" w:lineRule="auto" w:after="120"/>
      </w:pPr>
      <w:r>
        <w:rPr>
          <w:rFonts w:ascii="Calibri" w:hAnsi="Calibri"/>
          <w:sz w:val="22"/>
        </w:rPr>
        <w:t>Consent is ethically important when the patient is alive and disclosure is not otherwise legally required. However, forensic contexts may include court orders, investigator requests, disaster victim identification, deceased individuals or public-safety needs. In such situations, the ethical task is to balance autonomy and confidentiality against justice and legitimate investigation needs. This balance is easier to defend when the hospital has a written policy identifying the authorizing officer, the legal basis for disclosure, the minimum information released and the person responsible for maintaining the disclosure log</w:t>
      </w:r>
      <w:r>
        <w:rPr>
          <w:rFonts w:ascii="Calibri" w:hAnsi="Calibri"/>
          <w:sz w:val="22"/>
          <w:vertAlign w:val="superscript"/>
        </w:rPr>
        <w:t>14-16</w:t>
      </w:r>
      <w:r>
        <w:rPr>
          <w:rFonts w:ascii="Calibri" w:hAnsi="Calibri"/>
          <w:sz w:val="22"/>
        </w:rPr>
        <w:t>.</w:t>
      </w:r>
    </w:p>
    <w:p>
      <w:pPr>
        <w:pStyle w:val="Heading2"/>
      </w:pPr>
      <w:r>
        <w:t>Professional ethics, role separation and expert reporting</w:t>
      </w:r>
    </w:p>
    <w:p>
      <w:pPr>
        <w:spacing w:line="240" w:lineRule="auto" w:after="120"/>
      </w:pPr>
      <w:r>
        <w:rPr>
          <w:rFonts w:ascii="Calibri" w:hAnsi="Calibri"/>
          <w:sz w:val="22"/>
        </w:rPr>
        <w:t>Ethical forensic practice requires objectivity, restraint and transparency. A forensic odontologist should differentiate factual observations from opinion, avoid overstating certainty and disclose limitations of the available material. Dental ethics guidance emphasizes professional responsibility, patient welfare, confidentiality and the avoidance of harm</w:t>
      </w:r>
      <w:r>
        <w:rPr>
          <w:rFonts w:ascii="Calibri" w:hAnsi="Calibri"/>
          <w:sz w:val="22"/>
          <w:vertAlign w:val="superscript"/>
        </w:rPr>
        <w:t>14,16</w:t>
      </w:r>
      <w:r>
        <w:rPr>
          <w:rFonts w:ascii="Calibri" w:hAnsi="Calibri"/>
          <w:sz w:val="22"/>
        </w:rPr>
        <w:t>. These principles remain relevant when the purpose of dental evidence is legal rather than therapeutic.</w:t>
      </w:r>
    </w:p>
    <w:p>
      <w:pPr>
        <w:spacing w:line="240" w:lineRule="auto" w:after="120"/>
      </w:pPr>
      <w:r>
        <w:rPr>
          <w:rFonts w:ascii="Calibri" w:hAnsi="Calibri"/>
          <w:sz w:val="22"/>
        </w:rPr>
        <w:t>Role conflict is a major governance risk. A treating dentist may be asked to clarify clinical records, defend prior documentation or interpret records for investigators. These tasks are not identical. Factual clarification may be appropriate from the treating dentist, whereas independent comparison and expert opinion may require a separate forensic expert, particularly in contentious cases. Hospitals should define when internal factual statements are sufficient and when independent forensic consultation is required. Expert reports should identify the records reviewed, methods used, limitations, assumptions and degree of certainty supported by the evidence.</w:t>
      </w:r>
    </w:p>
    <w:p>
      <w:pPr>
        <w:pStyle w:val="Heading2"/>
      </w:pPr>
      <w:r>
        <w:t>Digital records, evidence integrity and hospital information systems</w:t>
      </w:r>
    </w:p>
    <w:p>
      <w:pPr>
        <w:spacing w:line="240" w:lineRule="auto" w:after="120"/>
      </w:pPr>
      <w:r>
        <w:rPr>
          <w:rFonts w:ascii="Calibri" w:hAnsi="Calibri"/>
          <w:sz w:val="22"/>
        </w:rPr>
        <w:t>Digital systems can strengthen forensic readiness by improving retrieval, reproducibility and structured documentation. Electronic dental records, radiographs and three-dimensional images also create vulnerabilities because they can be duplicated, edited, exported or transmitted without adequate controls. Digital forensic readiness therefore requires access logs, audit trails, retention rules, secure export procedures, metadata preservation and documented chain of handling</w:t>
      </w:r>
      <w:r>
        <w:rPr>
          <w:rFonts w:ascii="Calibri" w:hAnsi="Calibri"/>
          <w:sz w:val="22"/>
          <w:vertAlign w:val="superscript"/>
        </w:rPr>
        <w:t>4,18</w:t>
      </w:r>
      <w:r>
        <w:rPr>
          <w:rFonts w:ascii="Calibri" w:hAnsi="Calibri"/>
          <w:sz w:val="22"/>
        </w:rPr>
        <w:t>.</w:t>
      </w:r>
    </w:p>
    <w:p>
      <w:pPr>
        <w:spacing w:line="240" w:lineRule="auto" w:after="120"/>
      </w:pPr>
      <w:r>
        <w:rPr>
          <w:rFonts w:ascii="Calibri" w:hAnsi="Calibri"/>
          <w:sz w:val="22"/>
        </w:rPr>
        <w:t>Interoperability is another practical issue. Dental information is often stored separately from general hospital records. Hospitals do not necessarily need a full forensic odontology unit, but they should know where dental records are stored, who controls access, how records can be exported and how information can be transmitted to an authorized forensic authority without compromising privacy or integrity.</w:t>
      </w:r>
    </w:p>
    <w:p>
      <w:pPr>
        <w:pStyle w:val="Heading2"/>
      </w:pPr>
      <w:r>
        <w:t>Practical recommendations for hospital policy</w:t>
      </w:r>
    </w:p>
    <w:p>
      <w:pPr>
        <w:spacing w:line="240" w:lineRule="auto" w:after="120"/>
      </w:pPr>
      <w:r>
        <w:rPr>
          <w:rFonts w:ascii="Calibri" w:hAnsi="Calibri"/>
          <w:sz w:val="22"/>
        </w:rPr>
        <w:t>Hospitals can adopt a proportionate model. Large tertiary hospitals may establish a forensic liaison role, specialist referral arrangements, training programs and disaster-response simulations. Smaller hospitals may adopt a simpler policy that defines activation criteria, authorization for record release and referral to external forensic experts. In both settings, the policy should include minimum dental-record standards, lawful disclosure procedures, chain-of-custody documentation, expert-report templates and escalation to legal or ethics units.</w:t>
      </w:r>
    </w:p>
    <w:p>
      <w:pPr>
        <w:spacing w:line="240" w:lineRule="auto" w:after="120"/>
      </w:pPr>
      <w:r>
        <w:rPr>
          <w:rFonts w:ascii="Calibri" w:hAnsi="Calibri"/>
          <w:sz w:val="22"/>
        </w:rPr>
        <w:t>The framework in Table 1 translates these principles into operational requirements. It is intended to help hospitals prepare before medico-legal requests occur. Forensic readiness should be included in routine audits of dental-record completeness, medical-record security, information governance and disaster preparedness.</w:t>
      </w:r>
    </w:p>
    <w:p>
      <w:pPr>
        <w:pStyle w:val="Heading2"/>
      </w:pPr>
      <w:r>
        <w:t>Limitations</w:t>
      </w:r>
    </w:p>
    <w:p>
      <w:pPr>
        <w:spacing w:line="240" w:lineRule="auto" w:after="120"/>
      </w:pPr>
      <w:r>
        <w:rPr>
          <w:rFonts w:ascii="Calibri" w:hAnsi="Calibri"/>
          <w:sz w:val="22"/>
        </w:rPr>
        <w:t>This review is limited by its targeted and normative design. It does not provide a systematic mapping of all publications and does not include empirical observation of hospital practice. Indonesian regulation is used as an illustrative legal context; therefore, implementation in other jurisdictions must be adapted to local rules on health information, privacy, expert evidence, death investigation and disaster response. Future studies should evaluate hospital readiness, record-release practices, availability of trained forensic odontologists and the effectiveness of standard operating procedures in real medico-legal and disaster-response settings.</w:t>
      </w:r>
    </w:p>
    <w:p>
      <w:pPr>
        <w:pStyle w:val="Heading1"/>
      </w:pPr>
      <w:r>
        <w:t>Conclusion</w:t>
      </w:r>
    </w:p>
    <w:p>
      <w:pPr>
        <w:spacing w:line="240" w:lineRule="auto" w:after="120"/>
      </w:pPr>
      <w:r>
        <w:rPr>
          <w:rFonts w:ascii="Calibri" w:hAnsi="Calibri"/>
          <w:sz w:val="22"/>
        </w:rPr>
        <w:t>Forensic odontology can strengthen identification, disaster response, legal investigation and institutional accountability, but its use in hospitals must be legally authorized, ethically defensible and operationally traceable. The key requirements are reliable dental records, lawful and proportionate disclosure, separation of clinical and forensic roles, evidence-integrity procedures and governance mechanisms that define authority, competence and accountability. Hospitals should incorporate forensic odontology into medical-record policy, data-protection practice, ethics oversight, staff training and disaster preparedness. Such integration can reduce medico-legal risk while protecting patient rights and supporting justice.</w:t>
      </w:r>
    </w:p>
    <w:p>
      <w:pPr>
        <w:pStyle w:val="Heading1"/>
      </w:pPr>
      <w:r>
        <w:t>References</w:t>
      </w:r>
    </w:p>
    <w:p>
      <w:pPr>
        <w:spacing w:after="60" w:line="240" w:lineRule="auto"/>
        <w:ind w:left="360" w:hanging="360"/>
      </w:pPr>
      <w:r>
        <w:rPr>
          <w:rFonts w:ascii="Calibri" w:hAnsi="Calibri"/>
          <w:sz w:val="22"/>
        </w:rPr>
        <w:t>1. David TJ, Lewis JM. Forensic odontology: principles and practice. Amsterdam: Elsevier; 2018.</w:t>
      </w:r>
    </w:p>
    <w:p>
      <w:pPr>
        <w:spacing w:after="60" w:line="240" w:lineRule="auto"/>
        <w:ind w:left="360" w:hanging="360"/>
      </w:pPr>
      <w:r>
        <w:rPr>
          <w:rFonts w:ascii="Calibri" w:hAnsi="Calibri"/>
          <w:sz w:val="22"/>
        </w:rPr>
        <w:t>2. Pretty IA, Sweet D. A look at forensic dentistry--Part 1: The role of teeth in the determination of human identity. Br Dent J. 2001;190(7):359-66. DOI: 10.1038/sj.bdj.4800972.</w:t>
      </w:r>
    </w:p>
    <w:p>
      <w:pPr>
        <w:spacing w:after="60" w:line="240" w:lineRule="auto"/>
        <w:ind w:left="360" w:hanging="360"/>
      </w:pPr>
      <w:r>
        <w:rPr>
          <w:rFonts w:ascii="Calibri" w:hAnsi="Calibri"/>
          <w:sz w:val="22"/>
        </w:rPr>
        <w:t>3. International Criminal Police Organization. Disaster Victim Identification Guide [Internet]. Lyon: INTERPOL; 2023 [cited 2026 Aug 10]. Available from: https://www.interpol.int/content/download/589/file/DVI_DVI%20Guide%202023.pdf</w:t>
      </w:r>
    </w:p>
    <w:p>
      <w:pPr>
        <w:spacing w:after="60" w:line="240" w:lineRule="auto"/>
        <w:ind w:left="360" w:hanging="360"/>
      </w:pPr>
      <w:r>
        <w:rPr>
          <w:rFonts w:ascii="Calibri" w:hAnsi="Calibri"/>
          <w:sz w:val="22"/>
        </w:rPr>
        <w:t>4. Radu CC, Hogea T, Carasca C, Radu CM. Forensic odontology in the digital era: a narrative review of current methods and emerging trends. Diagnostics (Basel). 2025;15(20):2550. DOI: 10.3390/diagnostics15202550.</w:t>
      </w:r>
    </w:p>
    <w:p>
      <w:pPr>
        <w:spacing w:after="60" w:line="240" w:lineRule="auto"/>
        <w:ind w:left="360" w:hanging="360"/>
      </w:pPr>
      <w:r>
        <w:rPr>
          <w:rFonts w:ascii="Calibri" w:hAnsi="Calibri"/>
          <w:sz w:val="22"/>
        </w:rPr>
        <w:t>5. Al-Azri AR, Harford J, James H. Awareness of forensic odontology among dentists in Australia: are they keeping forensically valuable dental records? Aust Dent J. 2016;61(1):102-8. DOI: 10.1111/adj.12316.</w:t>
      </w:r>
    </w:p>
    <w:p>
      <w:pPr>
        <w:spacing w:after="60" w:line="240" w:lineRule="auto"/>
        <w:ind w:left="360" w:hanging="360"/>
      </w:pPr>
      <w:r>
        <w:rPr>
          <w:rFonts w:ascii="Calibri" w:hAnsi="Calibri"/>
          <w:sz w:val="22"/>
        </w:rPr>
        <w:t>6. Savic Pavicin I, Jonjic A, Maretic I, Dumancic J, Zymber Ceshko A. Maintenance of dental records and forensic odontology awareness: a survey of Croatian dentists with implications for dental education. Dent J (Basel). 2021;9(4):37. DOI: 10.3390/dj9040037.</w:t>
      </w:r>
    </w:p>
    <w:p>
      <w:pPr>
        <w:spacing w:after="60" w:line="240" w:lineRule="auto"/>
        <w:ind w:left="360" w:hanging="360"/>
      </w:pPr>
      <w:r>
        <w:rPr>
          <w:rFonts w:ascii="Calibri" w:hAnsi="Calibri"/>
          <w:sz w:val="22"/>
        </w:rPr>
        <w:t>7. Baqai HS, Zaidi SJA, Baig QA, Bashir MB, Anwar M, Ansari AS. Maintenance of dental records and awareness of forensic odontology among Pakistani dentists: a mixed-method study with implications for dental data repository. BMC Oral Health. 2023;23:783. DOI: 10.1186/s12903-023-03500-2.</w:t>
      </w:r>
    </w:p>
    <w:p>
      <w:pPr>
        <w:spacing w:after="60" w:line="240" w:lineRule="auto"/>
        <w:ind w:left="360" w:hanging="360"/>
      </w:pPr>
      <w:r>
        <w:rPr>
          <w:rFonts w:ascii="Calibri" w:hAnsi="Calibri"/>
          <w:sz w:val="22"/>
        </w:rPr>
        <w:t>8. Verma AK, Rathore S, Pandey A, Kumar S. Role of dental expert in forensic odontology. Natl J Maxillofac Surg. 2014;5(1):2-5. DOI: 10.4103/0975-5950.140147.</w:t>
      </w:r>
    </w:p>
    <w:p>
      <w:pPr>
        <w:spacing w:after="60" w:line="240" w:lineRule="auto"/>
        <w:ind w:left="360" w:hanging="360"/>
      </w:pPr>
      <w:r>
        <w:rPr>
          <w:rFonts w:ascii="Calibri" w:hAnsi="Calibri"/>
          <w:sz w:val="22"/>
        </w:rPr>
        <w:t>9. Avon SL. Forensic odontology: the roles and responsibilities of the dentist. J Can Dent Assoc. 2004;70(7):453-8.</w:t>
      </w:r>
    </w:p>
    <w:p>
      <w:pPr>
        <w:spacing w:after="60" w:line="240" w:lineRule="auto"/>
        <w:ind w:left="360" w:hanging="360"/>
      </w:pPr>
      <w:r>
        <w:rPr>
          <w:rFonts w:ascii="Calibri" w:hAnsi="Calibri"/>
          <w:sz w:val="22"/>
        </w:rPr>
        <w:t>10. Republic of Indonesia. Law of the Republic of Indonesia No. 17 of 2023 on Health [Internet]. Jakarta: Government of Indonesia; 2023 [cited 2026 Aug 10]. Available from: https://peraturan.bpk.go.id/Details/258028/uu-no-17-tahun-2023</w:t>
      </w:r>
    </w:p>
    <w:p>
      <w:pPr>
        <w:spacing w:after="60" w:line="240" w:lineRule="auto"/>
        <w:ind w:left="360" w:hanging="360"/>
      </w:pPr>
      <w:r>
        <w:rPr>
          <w:rFonts w:ascii="Calibri" w:hAnsi="Calibri"/>
          <w:sz w:val="22"/>
        </w:rPr>
        <w:t>11. Republic of Indonesia. Government Regulation No. 28 of 2024 concerning Implementing Regulation of Law No. 17 of 2023 on Health [Internet]. Jakarta: Government of Indonesia; 2024 [cited 2026 Aug 10]. Available from: https://peraturan.bpk.go.id/Details/294077/pp-no-28-tahun-2024</w:t>
      </w:r>
    </w:p>
    <w:p>
      <w:pPr>
        <w:spacing w:after="60" w:line="240" w:lineRule="auto"/>
        <w:ind w:left="360" w:hanging="360"/>
      </w:pPr>
      <w:r>
        <w:rPr>
          <w:rFonts w:ascii="Calibri" w:hAnsi="Calibri"/>
          <w:sz w:val="22"/>
        </w:rPr>
        <w:t>12. Ministry of Health of the Republic of Indonesia. Regulation of the Minister of Health No. 24 of 2022 concerning Medical Records [Internet]. Jakarta: Ministry of Health; 2022 [cited 2026 Aug 10]. Available from: https://peraturan.bpk.go.id/Details/245544/permenkes-no-24-tahun-2022</w:t>
      </w:r>
    </w:p>
    <w:p>
      <w:pPr>
        <w:spacing w:after="60" w:line="240" w:lineRule="auto"/>
        <w:ind w:left="360" w:hanging="360"/>
      </w:pPr>
      <w:r>
        <w:rPr>
          <w:rFonts w:ascii="Calibri" w:hAnsi="Calibri"/>
          <w:sz w:val="22"/>
        </w:rPr>
        <w:t>13. Republic of Indonesia. Law of the Republic of Indonesia No. 27 of 2022 concerning Personal Data Protection [Internet]. Jakarta: Government of Indonesia; 2022 [cited 2026 Aug 10]. Available from: https://peraturan.bpk.go.id/Details/229798/uu-no-27-tahun-2022</w:t>
      </w:r>
    </w:p>
    <w:p>
      <w:pPr>
        <w:spacing w:after="60" w:line="240" w:lineRule="auto"/>
        <w:ind w:left="360" w:hanging="360"/>
      </w:pPr>
      <w:r>
        <w:rPr>
          <w:rFonts w:ascii="Calibri" w:hAnsi="Calibri"/>
          <w:sz w:val="22"/>
        </w:rPr>
        <w:t>14. FDI World Dental Federation. Ethics in dentistry [Internet]. Geneva: FDI World Dental Federation; 2024 [cited 2026 Aug 10]. Available from: https://www.fdiworlddental.org/sites/default/files/2024-11/DPS4-Ethics-in-Dentistry.pdf</w:t>
      </w:r>
    </w:p>
    <w:p>
      <w:pPr>
        <w:spacing w:after="60" w:line="240" w:lineRule="auto"/>
        <w:ind w:left="360" w:hanging="360"/>
      </w:pPr>
      <w:r>
        <w:rPr>
          <w:rFonts w:ascii="Calibri" w:hAnsi="Calibri"/>
          <w:sz w:val="22"/>
        </w:rPr>
        <w:t>15. Beauchamp TL, Childress JF. Principles of biomedical ethics. 8th ed. New York: Oxford University Press; 2019.</w:t>
      </w:r>
    </w:p>
    <w:p>
      <w:pPr>
        <w:spacing w:after="60" w:line="240" w:lineRule="auto"/>
        <w:ind w:left="360" w:hanging="360"/>
      </w:pPr>
      <w:r>
        <w:rPr>
          <w:rFonts w:ascii="Calibri" w:hAnsi="Calibri"/>
          <w:sz w:val="22"/>
        </w:rPr>
        <w:t>16. FDI World Dental Federation. Basic rights and responsibilities of dental patients [Internet]. Geneva: FDI World Dental Federation; 2018 [cited 2026 Aug 10]. Available from: https://www.fdiworlddental.org/sites/default/files/2020-11/fdi_world_dental_federation_-_basic_rights_and_responsibilities_of_dental_patients_-_2018-06-15.pdf</w:t>
      </w:r>
    </w:p>
    <w:p>
      <w:pPr>
        <w:spacing w:after="60" w:line="240" w:lineRule="auto"/>
        <w:ind w:left="360" w:hanging="360"/>
      </w:pPr>
      <w:r>
        <w:rPr>
          <w:rFonts w:ascii="Calibri" w:hAnsi="Calibri"/>
          <w:sz w:val="22"/>
        </w:rPr>
        <w:t>17. Jalilvand MA, Raeisi AR, Shaarbafchizadeh N. Hospital governance accountability structure: a scoping review. BMC Health Serv Res. 2024;24:47. DOI: 10.1186/s12913-023-10135-0.</w:t>
      </w:r>
    </w:p>
    <w:p>
      <w:pPr>
        <w:spacing w:after="60" w:line="240" w:lineRule="auto"/>
        <w:ind w:left="360" w:hanging="360"/>
      </w:pPr>
      <w:r>
        <w:rPr>
          <w:rFonts w:ascii="Calibri" w:hAnsi="Calibri"/>
          <w:sz w:val="22"/>
        </w:rPr>
        <w:t>18. International Criminal Police Organization. DVI Quality Management Guidelines [Internet]. Lyon: INTERPOL; 2018 [cited 2026 Aug 10]. Available from: https://www.interpol.int/content/download/587/file/DVI%20Quality%20Management%20Guidelines.pdf</w:t>
      </w:r>
    </w:p>
    <w:p>
      <w:pPr>
        <w:spacing w:after="60" w:line="240" w:lineRule="auto"/>
        <w:ind w:left="360" w:hanging="360"/>
      </w:pPr>
      <w:r>
        <w:rPr>
          <w:rFonts w:ascii="Calibri" w:hAnsi="Calibri"/>
          <w:sz w:val="22"/>
        </w:rPr>
        <w:t>19. World Medical Association. Declaration of Helsinki: ethical principles for medical research involving human participants [Internet]. Ferney-Voltaire: World Medical Association; 2024 [cited 2026 Aug 10]. Available from: https://www.wma.net/policies-post/wma-declaration-of-helsinki/</w:t>
      </w:r>
    </w:p>
    <w:p>
      <w:r>
        <w:br w:type="page"/>
      </w:r>
    </w:p>
    <w:p>
      <w:pPr>
        <w:spacing w:line="240" w:lineRule="auto" w:after="120"/>
      </w:pPr>
      <w:r>
        <w:rPr>
          <w:rFonts w:ascii="Calibri" w:hAnsi="Calibri"/>
          <w:sz w:val="22"/>
        </w:rPr>
        <w:t>Total number of figures and tables: 1 table and 0 figures</w:t>
      </w:r>
    </w:p>
    <w:p>
      <w:pPr>
        <w:pStyle w:val="Heading1"/>
      </w:pPr>
      <w:r>
        <w:t>Tables</w:t>
      </w:r>
    </w:p>
    <w:p>
      <w:pPr>
        <w:spacing w:line="240" w:lineRule="auto" w:after="120"/>
      </w:pPr>
      <w:r>
        <w:rPr>
          <w:rFonts w:ascii="Calibri" w:hAnsi="Calibri"/>
          <w:sz w:val="22"/>
        </w:rPr>
        <w:t>Table 1. Minimum governance requirements for integrating forensic odontology into hospital systems.</w:t>
      </w:r>
    </w:p>
    <w:tbl>
      <w:tblPr>
        <w:tblStyle w:val="TableGrid"/>
        <w:tblW w:type="auto" w:w="0"/>
        <w:jc w:val="center"/>
        <w:tblLook w:firstColumn="1" w:firstRow="1" w:lastColumn="0" w:lastRow="0" w:noHBand="0" w:noVBand="1" w:val="04A0"/>
      </w:tblPr>
      <w:tblGrid>
        <w:gridCol w:w="3010"/>
        <w:gridCol w:w="3010"/>
        <w:gridCol w:w="3010"/>
      </w:tblGrid>
      <w:tr>
        <w:tc>
          <w:tcPr>
            <w:tcW w:type="dxa" w:w="3010"/>
            <w:vAlign w:val="top"/>
            <w:shd w:fill="D9EAF7"/>
          </w:tcPr>
          <w:p>
            <w:r/>
            <w:r>
              <w:rPr>
                <w:rFonts w:ascii="Calibri" w:hAnsi="Calibri"/>
                <w:b/>
                <w:sz w:val="20"/>
              </w:rPr>
              <w:t>Governance domain</w:t>
            </w:r>
          </w:p>
        </w:tc>
        <w:tc>
          <w:tcPr>
            <w:tcW w:type="dxa" w:w="3010"/>
            <w:vAlign w:val="top"/>
            <w:shd w:fill="D9EAF7"/>
          </w:tcPr>
          <w:p>
            <w:r/>
            <w:r>
              <w:rPr>
                <w:rFonts w:ascii="Calibri" w:hAnsi="Calibri"/>
                <w:b/>
                <w:sz w:val="20"/>
              </w:rPr>
              <w:t>Minimum hospital requirement</w:t>
            </w:r>
          </w:p>
        </w:tc>
        <w:tc>
          <w:tcPr>
            <w:tcW w:type="dxa" w:w="3010"/>
            <w:vAlign w:val="top"/>
            <w:shd w:fill="D9EAF7"/>
          </w:tcPr>
          <w:p>
            <w:r/>
            <w:r>
              <w:rPr>
                <w:rFonts w:ascii="Calibri" w:hAnsi="Calibri"/>
                <w:b/>
                <w:sz w:val="20"/>
              </w:rPr>
              <w:t>Operational indicator</w:t>
            </w:r>
          </w:p>
        </w:tc>
      </w:tr>
      <w:tr>
        <w:tc>
          <w:tcPr>
            <w:tcW w:type="dxa" w:w="3010"/>
            <w:vAlign w:val="top"/>
          </w:tcPr>
          <w:p>
            <w:r/>
            <w:r>
              <w:rPr>
                <w:rFonts w:ascii="Calibri" w:hAnsi="Calibri"/>
                <w:b w:val="0"/>
                <w:sz w:val="20"/>
              </w:rPr>
              <w:t>Service mandate</w:t>
            </w:r>
          </w:p>
        </w:tc>
        <w:tc>
          <w:tcPr>
            <w:tcW w:type="dxa" w:w="3010"/>
            <w:vAlign w:val="top"/>
          </w:tcPr>
          <w:p>
            <w:r/>
            <w:r>
              <w:rPr>
                <w:rFonts w:ascii="Calibri" w:hAnsi="Calibri"/>
                <w:b w:val="0"/>
                <w:sz w:val="20"/>
              </w:rPr>
              <w:t>Define when dental records may be released, when forensic consultation is needed, who may authorize each step and when referral to external forensic authorities is required.</w:t>
            </w:r>
          </w:p>
        </w:tc>
        <w:tc>
          <w:tcPr>
            <w:tcW w:type="dxa" w:w="3010"/>
            <w:vAlign w:val="top"/>
          </w:tcPr>
          <w:p>
            <w:r/>
            <w:r>
              <w:rPr>
                <w:rFonts w:ascii="Calibri" w:hAnsi="Calibri"/>
                <w:b w:val="0"/>
                <w:sz w:val="20"/>
              </w:rPr>
              <w:t>Written policy, activation criteria and referral pathway.</w:t>
            </w:r>
          </w:p>
        </w:tc>
      </w:tr>
      <w:tr>
        <w:tc>
          <w:tcPr>
            <w:tcW w:type="dxa" w:w="3010"/>
            <w:vAlign w:val="top"/>
          </w:tcPr>
          <w:p>
            <w:r/>
            <w:r>
              <w:rPr>
                <w:rFonts w:ascii="Calibri" w:hAnsi="Calibri"/>
                <w:b w:val="0"/>
                <w:sz w:val="20"/>
              </w:rPr>
              <w:t>Professional competence and independence</w:t>
            </w:r>
          </w:p>
        </w:tc>
        <w:tc>
          <w:tcPr>
            <w:tcW w:type="dxa" w:w="3010"/>
            <w:vAlign w:val="top"/>
          </w:tcPr>
          <w:p>
            <w:r/>
            <w:r>
              <w:rPr>
                <w:rFonts w:ascii="Calibri" w:hAnsi="Calibri"/>
                <w:b w:val="0"/>
                <w:sz w:val="20"/>
              </w:rPr>
              <w:t>Use suitably credentialed dental or forensic experts for interpretive opinions and distinguish factual clinical information from independent forensic interpretation.</w:t>
            </w:r>
          </w:p>
        </w:tc>
        <w:tc>
          <w:tcPr>
            <w:tcW w:type="dxa" w:w="3010"/>
            <w:vAlign w:val="top"/>
          </w:tcPr>
          <w:p>
            <w:r/>
            <w:r>
              <w:rPr>
                <w:rFonts w:ascii="Calibri" w:hAnsi="Calibri"/>
                <w:b w:val="0"/>
                <w:sz w:val="20"/>
              </w:rPr>
              <w:t>Credential record, conflict-of-interest declaration and expert-report template.</w:t>
            </w:r>
          </w:p>
        </w:tc>
      </w:tr>
      <w:tr>
        <w:tc>
          <w:tcPr>
            <w:tcW w:type="dxa" w:w="3010"/>
            <w:vAlign w:val="top"/>
          </w:tcPr>
          <w:p>
            <w:r/>
            <w:r>
              <w:rPr>
                <w:rFonts w:ascii="Calibri" w:hAnsi="Calibri"/>
                <w:b w:val="0"/>
                <w:sz w:val="20"/>
              </w:rPr>
              <w:t>Dental record quality</w:t>
            </w:r>
          </w:p>
        </w:tc>
        <w:tc>
          <w:tcPr>
            <w:tcW w:type="dxa" w:w="3010"/>
            <w:vAlign w:val="top"/>
          </w:tcPr>
          <w:p>
            <w:r/>
            <w:r>
              <w:rPr>
                <w:rFonts w:ascii="Calibri" w:hAnsi="Calibri"/>
                <w:b w:val="0"/>
                <w:sz w:val="20"/>
              </w:rPr>
              <w:t>Maintain legible, attributable, dated and retrievable dental records, including odontograms, radiographs, photographs, treatment records and consent documentation where applicable.</w:t>
            </w:r>
          </w:p>
        </w:tc>
        <w:tc>
          <w:tcPr>
            <w:tcW w:type="dxa" w:w="3010"/>
            <w:vAlign w:val="top"/>
          </w:tcPr>
          <w:p>
            <w:r/>
            <w:r>
              <w:rPr>
                <w:rFonts w:ascii="Calibri" w:hAnsi="Calibri"/>
                <w:b w:val="0"/>
                <w:sz w:val="20"/>
              </w:rPr>
              <w:t>Record audit, completeness checklist and retention schedule.</w:t>
            </w:r>
          </w:p>
        </w:tc>
      </w:tr>
      <w:tr>
        <w:tc>
          <w:tcPr>
            <w:tcW w:type="dxa" w:w="3010"/>
            <w:vAlign w:val="top"/>
          </w:tcPr>
          <w:p>
            <w:r/>
            <w:r>
              <w:rPr>
                <w:rFonts w:ascii="Calibri" w:hAnsi="Calibri"/>
                <w:b w:val="0"/>
                <w:sz w:val="20"/>
              </w:rPr>
              <w:t>Evidence integrity</w:t>
            </w:r>
          </w:p>
        </w:tc>
        <w:tc>
          <w:tcPr>
            <w:tcW w:type="dxa" w:w="3010"/>
            <w:vAlign w:val="top"/>
          </w:tcPr>
          <w:p>
            <w:r/>
            <w:r>
              <w:rPr>
                <w:rFonts w:ascii="Calibri" w:hAnsi="Calibri"/>
                <w:b w:val="0"/>
                <w:sz w:val="20"/>
              </w:rPr>
              <w:t>Preserve source versions, metadata, audit trails and chain of handling when records are copied, exported or transmitted for medico-legal purposes.</w:t>
            </w:r>
          </w:p>
        </w:tc>
        <w:tc>
          <w:tcPr>
            <w:tcW w:type="dxa" w:w="3010"/>
            <w:vAlign w:val="top"/>
          </w:tcPr>
          <w:p>
            <w:r/>
            <w:r>
              <w:rPr>
                <w:rFonts w:ascii="Calibri" w:hAnsi="Calibri"/>
                <w:b w:val="0"/>
                <w:sz w:val="20"/>
              </w:rPr>
              <w:t>Access logs, secure export procedure and chain-of-custody record.</w:t>
            </w:r>
          </w:p>
        </w:tc>
      </w:tr>
      <w:tr>
        <w:tc>
          <w:tcPr>
            <w:tcW w:type="dxa" w:w="3010"/>
            <w:vAlign w:val="top"/>
          </w:tcPr>
          <w:p>
            <w:r/>
            <w:r>
              <w:rPr>
                <w:rFonts w:ascii="Calibri" w:hAnsi="Calibri"/>
                <w:b w:val="0"/>
                <w:sz w:val="20"/>
              </w:rPr>
              <w:t>Lawful disclosure and privacy</w:t>
            </w:r>
          </w:p>
        </w:tc>
        <w:tc>
          <w:tcPr>
            <w:tcW w:type="dxa" w:w="3010"/>
            <w:vAlign w:val="top"/>
          </w:tcPr>
          <w:p>
            <w:r/>
            <w:r>
              <w:rPr>
                <w:rFonts w:ascii="Calibri" w:hAnsi="Calibri"/>
                <w:b w:val="0"/>
                <w:sz w:val="20"/>
              </w:rPr>
              <w:t>Release dental information only through an authorized, necessary, proportionate and documented pathway that respects confidentiality and data-protection duties.</w:t>
            </w:r>
          </w:p>
        </w:tc>
        <w:tc>
          <w:tcPr>
            <w:tcW w:type="dxa" w:w="3010"/>
            <w:vAlign w:val="top"/>
          </w:tcPr>
          <w:p>
            <w:r/>
            <w:r>
              <w:rPr>
                <w:rFonts w:ascii="Calibri" w:hAnsi="Calibri"/>
                <w:b w:val="0"/>
                <w:sz w:val="20"/>
              </w:rPr>
              <w:t>Written request, authorization record, disclosure log and minimum-necessary release.</w:t>
            </w:r>
          </w:p>
        </w:tc>
      </w:tr>
      <w:tr>
        <w:tc>
          <w:tcPr>
            <w:tcW w:type="dxa" w:w="3010"/>
            <w:vAlign w:val="top"/>
          </w:tcPr>
          <w:p>
            <w:r/>
            <w:r>
              <w:rPr>
                <w:rFonts w:ascii="Calibri" w:hAnsi="Calibri"/>
                <w:b w:val="0"/>
                <w:sz w:val="20"/>
              </w:rPr>
              <w:t>Ethics oversight</w:t>
            </w:r>
          </w:p>
        </w:tc>
        <w:tc>
          <w:tcPr>
            <w:tcW w:type="dxa" w:w="3010"/>
            <w:vAlign w:val="top"/>
          </w:tcPr>
          <w:p>
            <w:r/>
            <w:r>
              <w:rPr>
                <w:rFonts w:ascii="Calibri" w:hAnsi="Calibri"/>
                <w:b w:val="0"/>
                <w:sz w:val="20"/>
              </w:rPr>
              <w:t>Provide guidance for consent, confidentiality, deceased individuals, family communication, uncertainty and potential conflicts between clinical and forensic duties.</w:t>
            </w:r>
          </w:p>
        </w:tc>
        <w:tc>
          <w:tcPr>
            <w:tcW w:type="dxa" w:w="3010"/>
            <w:vAlign w:val="top"/>
          </w:tcPr>
          <w:p>
            <w:r/>
            <w:r>
              <w:rPr>
                <w:rFonts w:ascii="Calibri" w:hAnsi="Calibri"/>
                <w:b w:val="0"/>
                <w:sz w:val="20"/>
              </w:rPr>
              <w:t>Ethics committee access, case review and escalation process.</w:t>
            </w:r>
          </w:p>
        </w:tc>
      </w:tr>
      <w:tr>
        <w:tc>
          <w:tcPr>
            <w:tcW w:type="dxa" w:w="3010"/>
            <w:vAlign w:val="top"/>
          </w:tcPr>
          <w:p>
            <w:r/>
            <w:r>
              <w:rPr>
                <w:rFonts w:ascii="Calibri" w:hAnsi="Calibri"/>
                <w:b w:val="0"/>
                <w:sz w:val="20"/>
              </w:rPr>
              <w:t>Training and audit</w:t>
            </w:r>
          </w:p>
        </w:tc>
        <w:tc>
          <w:tcPr>
            <w:tcW w:type="dxa" w:w="3010"/>
            <w:vAlign w:val="top"/>
          </w:tcPr>
          <w:p>
            <w:r/>
            <w:r>
              <w:rPr>
                <w:rFonts w:ascii="Calibri" w:hAnsi="Calibri"/>
                <w:b w:val="0"/>
                <w:sz w:val="20"/>
              </w:rPr>
              <w:t>Train dental, medical-record, legal, information-technology and emergency-management staff in forensic dental record handling and institutional responsibilities.</w:t>
            </w:r>
          </w:p>
        </w:tc>
        <w:tc>
          <w:tcPr>
            <w:tcW w:type="dxa" w:w="3010"/>
            <w:vAlign w:val="top"/>
          </w:tcPr>
          <w:p>
            <w:r/>
            <w:r>
              <w:rPr>
                <w:rFonts w:ascii="Calibri" w:hAnsi="Calibri"/>
                <w:b w:val="0"/>
                <w:sz w:val="20"/>
              </w:rPr>
              <w:t>Periodic training, simulation, audit findings and corrective action plan.</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eastAsia="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eastAsia="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FMSLTitle">
    <w:name w:val="JFMSL Title"/>
    <w:pPr>
      <w:spacing w:after="240"/>
      <w:jc w:val="center"/>
    </w:pPr>
    <w:rPr>
      <w:rFonts w:ascii="Calibri" w:hAnsi="Calibri"/>
      <w:b/>
      <w:sz w:val="28"/>
    </w:rPr>
  </w:style>
  <w:style w:type="paragraph" w:customStyle="1" w:styleId="Small">
    <w:name w:val="Small"/>
    <w:pPr>
      <w:spacing w:after="60" w:line="240"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