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</w:pPr>
      <w:r>
        <w:rPr>
          <w:rFonts w:ascii="Calibri" w:hAnsi="Calibri"/>
          <w:sz w:val="22"/>
        </w:rPr>
        <w:t>Table 1. Minimum governance requirements for integrating forensic odontology into hospital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Governance domain</w:t>
            </w:r>
          </w:p>
        </w:tc>
        <w:tc>
          <w:tcPr>
            <w:tcW w:type="dxa" w:w="301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Minimum hospital requirement</w:t>
            </w:r>
          </w:p>
        </w:tc>
        <w:tc>
          <w:tcPr>
            <w:tcW w:type="dxa" w:w="301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Operational indicator</w:t>
            </w:r>
          </w:p>
        </w:tc>
      </w:tr>
      <w:tr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Service mandate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Define when dental records may be released, when forensic consultation is needed, who may authorize each step and when referral to external forensic authorities is required.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Written policy, activation criteria and referral pathway.</w:t>
            </w:r>
          </w:p>
        </w:tc>
      </w:tr>
      <w:tr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Professional competence and independence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Use suitably credentialed dental or forensic experts for interpretive opinions and distinguish factual clinical information from independent forensic interpretation.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Credential record, conflict-of-interest declaration and expert-report template.</w:t>
            </w:r>
          </w:p>
        </w:tc>
      </w:tr>
      <w:tr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Dental record quality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Maintain legible, attributable, dated and retrievable dental records, including odontograms, radiographs, photographs, treatment records and consent documentation where applicable.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Record audit, completeness checklist and retention schedule.</w:t>
            </w:r>
          </w:p>
        </w:tc>
      </w:tr>
      <w:tr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Evidence integrity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Preserve source versions, metadata, audit trails and chain of handling when records are copied, exported or transmitted for medico-legal purposes.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Access logs, secure export procedure and chain-of-custody record.</w:t>
            </w:r>
          </w:p>
        </w:tc>
      </w:tr>
      <w:tr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Lawful disclosure and privacy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 dental information only through an authorized, necessary, proportionate and documented pathway that respects confidentiality and data-protection duties.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Written request, authorization record, disclosure log and minimum-necessary release.</w:t>
            </w:r>
          </w:p>
        </w:tc>
      </w:tr>
      <w:tr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Ethics oversight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 guidance for consent, confidentiality, deceased individuals, family communication, uncertainty and potential conflicts between clinical and forensic duties.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Ethics committee access, case review and escalation process.</w:t>
            </w:r>
          </w:p>
        </w:tc>
      </w:tr>
      <w:tr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Training and audit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Train dental, medical-record, legal, information-technology and emergency-management staff in forensic dental record handling and institutional responsibilities.</w:t>
            </w:r>
          </w:p>
        </w:tc>
        <w:tc>
          <w:tcPr>
            <w:tcW w:type="dxa" w:w="301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Periodic training, simulation, audit findings and corrective action plan.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MSLTitle">
    <w:name w:val="JFMSL Title"/>
    <w:pPr>
      <w:spacing w:after="240"/>
      <w:jc w:val="center"/>
    </w:pPr>
    <w:rPr>
      <w:rFonts w:ascii="Calibri" w:hAnsi="Calibri"/>
      <w:b/>
      <w:sz w:val="28"/>
    </w:rPr>
  </w:style>
  <w:style w:type="paragraph" w:customStyle="1" w:styleId="Small">
    <w:name w:val="Small"/>
    <w:pPr>
      <w:spacing w:after="6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