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Response to the Editor and Reviewers</w:t>
      </w:r>
    </w:p>
    <w:p>
      <w:pPr>
        <w:spacing w:after="100"/>
        <w:jc w:val="both"/>
      </w:pPr>
      <w:r>
        <w:rPr>
          <w:rFonts w:ascii="Times New Roman" w:hAnsi="Times New Roman"/>
          <w:sz w:val="20"/>
        </w:rPr>
        <w:t>Manuscript title: Validation of a Modified O'Leary Plaque Index Compared to the Standard OHI-S Among Elementary School Students at SDN Pudakpayung 02, Semarang</w:t>
      </w:r>
    </w:p>
    <w:p>
      <w:pPr>
        <w:spacing w:after="100"/>
        <w:jc w:val="both"/>
      </w:pPr>
      <w:r>
        <w:rPr>
          <w:rFonts w:ascii="Times New Roman" w:hAnsi="Times New Roman"/>
          <w:sz w:val="20"/>
        </w:rPr>
        <w:t>Authors: Bambang Sutomo, Supriyana, Irmanita Wiradona, Luci Fitriyanti, and Sari Luthfiyah</w:t>
      </w:r>
    </w:p>
    <w:p>
      <w:pPr>
        <w:spacing w:after="100"/>
        <w:jc w:val="left"/>
      </w:pPr>
      <w:r>
        <w:rPr>
          <w:rFonts w:ascii="Times New Roman" w:hAnsi="Times New Roman"/>
          <w:sz w:val="20"/>
        </w:rPr>
        <w:t>Dear Editor and Reviewers,</w:t>
      </w:r>
    </w:p>
    <w:p>
      <w:pPr>
        <w:spacing w:after="100"/>
        <w:jc w:val="both"/>
      </w:pPr>
      <w:r>
        <w:rPr>
          <w:rFonts w:ascii="Times New Roman" w:hAnsi="Times New Roman"/>
          <w:sz w:val="20"/>
        </w:rPr>
        <w:t>We sincerely thank the Editor and Reviewers for their careful assessment and constructive recommendations. We revised the manuscript while retaining the original Journal of Public Health Sciences manuscript template, including its two-column layout, journal header/footer, figure placement, and author biography section. All substantive changes are highlighted in yellow in the revised manuscript.</w:t>
      </w:r>
    </w:p>
    <w:p>
      <w:pPr>
        <w:spacing w:before="200" w:after="80"/>
      </w:pPr>
      <w:r>
        <w:rPr>
          <w:rFonts w:ascii="Times New Roman" w:hAnsi="Times New Roman"/>
          <w:b/>
          <w:sz w:val="24"/>
        </w:rPr>
        <w:t>Response to Reviewer C</w:t>
      </w:r>
    </w:p>
    <w:p>
      <w:pPr>
        <w:spacing w:before="200" w:after="80"/>
      </w:pPr>
      <w:r>
        <w:rPr>
          <w:rFonts w:ascii="Times New Roman" w:hAnsi="Times New Roman"/>
          <w:b/>
          <w:sz w:val="22"/>
        </w:rPr>
        <w:t>Comment C1</w:t>
      </w:r>
    </w:p>
    <w:p>
      <w:pPr>
        <w:spacing w:after="100"/>
        <w:jc w:val="both"/>
      </w:pPr>
      <w:r>
        <w:rPr>
          <w:rFonts w:ascii="Times New Roman" w:hAnsi="Times New Roman"/>
          <w:b/>
          <w:sz w:val="20"/>
        </w:rPr>
        <w:t xml:space="preserve">Reviewer comment: </w:t>
      </w:r>
      <w:r>
        <w:rPr>
          <w:rFonts w:ascii="Times New Roman" w:hAnsi="Times New Roman"/>
          <w:sz w:val="20"/>
        </w:rPr>
        <w:t>The manuscript has not been fully formatted according to the journal template. Several formatting elements, including page headers, title presentation, figure placement, and section formatting, still appear inconsistent with the journal’s official submission guidelines.</w:t>
      </w:r>
    </w:p>
    <w:p>
      <w:pPr>
        <w:spacing w:after="100"/>
        <w:jc w:val="both"/>
      </w:pPr>
      <w:r>
        <w:rPr>
          <w:rFonts w:ascii="Times New Roman" w:hAnsi="Times New Roman"/>
          <w:b/>
          <w:sz w:val="20"/>
        </w:rPr>
        <w:t xml:space="preserve">Response: </w:t>
      </w:r>
      <w:r>
        <w:rPr>
          <w:rFonts w:ascii="Times New Roman" w:hAnsi="Times New Roman"/>
          <w:sz w:val="20"/>
        </w:rPr>
        <w:t>The manuscript has been revised within the supplied Journal of Public Health Sciences template. The original two-column layout, template-defined headers and footers, figures, and author-biography section have been retained. The author line and affiliations were corrected to include all authors named in the decision letter. Section headings were made more consistent, figure captions were standardised and clarified, and figures remain positioned after their first mention in the Results section.</w:t>
      </w:r>
    </w:p>
    <w:p>
      <w:pPr>
        <w:spacing w:after="100"/>
        <w:jc w:val="both"/>
      </w:pPr>
      <w:r>
        <w:rPr>
          <w:rFonts w:ascii="Times New Roman" w:hAnsi="Times New Roman"/>
          <w:b/>
          <w:sz w:val="20"/>
        </w:rPr>
        <w:t xml:space="preserve">Location in revised manuscript: </w:t>
      </w:r>
      <w:r>
        <w:rPr>
          <w:rFonts w:ascii="Times New Roman" w:hAnsi="Times New Roman"/>
          <w:sz w:val="20"/>
        </w:rPr>
        <w:t>Title and author details; Material and Methods; Results; Figure 1 and Figure 2 captions.</w:t>
      </w:r>
    </w:p>
    <w:p>
      <w:pPr>
        <w:spacing w:before="200" w:after="80"/>
      </w:pPr>
      <w:r>
        <w:rPr>
          <w:rFonts w:ascii="Times New Roman" w:hAnsi="Times New Roman"/>
          <w:b/>
          <w:sz w:val="22"/>
        </w:rPr>
        <w:t>Comment C2</w:t>
      </w:r>
    </w:p>
    <w:p>
      <w:pPr>
        <w:spacing w:after="100"/>
        <w:jc w:val="both"/>
      </w:pPr>
      <w:r>
        <w:rPr>
          <w:rFonts w:ascii="Times New Roman" w:hAnsi="Times New Roman"/>
          <w:b/>
          <w:sz w:val="20"/>
        </w:rPr>
        <w:t xml:space="preserve">Reviewer comment: </w:t>
      </w:r>
      <w:r>
        <w:rPr>
          <w:rFonts w:ascii="Times New Roman" w:hAnsi="Times New Roman"/>
          <w:sz w:val="20"/>
        </w:rPr>
        <w:t>The Ethical Considerations section does not provide complete ethical approval information. Please include the name of the ethics committee, the ethical approval number, and the approval date to improve transparency and comply with international publication standards.</w:t>
      </w:r>
    </w:p>
    <w:p>
      <w:pPr>
        <w:spacing w:after="100"/>
        <w:jc w:val="both"/>
      </w:pPr>
      <w:r>
        <w:t>Response: The Ethical Considerations section has been revised to include the full ethics committee name, approval number, and approval date. The revised text now states that ethical approval was granted by the Health Research Ethics Committee, Poltekkes Kemenkes Semarang, Ministry of Health, Semarang Health Polytechnic (Approval No. 1113/EA/F.XXIII.38/2026; January 20, 2026), and describes the ethical standards referenced in the approval declaration.</w:t>
      </w:r>
    </w:p>
    <w:p>
      <w:pPr>
        <w:spacing w:after="100"/>
        <w:jc w:val="both"/>
      </w:pPr>
      <w:r>
        <w:rPr>
          <w:rFonts w:ascii="Times New Roman" w:hAnsi="Times New Roman"/>
          <w:b/>
          <w:sz w:val="20"/>
        </w:rPr>
        <w:t xml:space="preserve">Location in revised manuscript: </w:t>
      </w:r>
      <w:r>
        <w:rPr>
          <w:rFonts w:ascii="Times New Roman" w:hAnsi="Times New Roman"/>
          <w:sz w:val="20"/>
        </w:rPr>
        <w:t>Ethical Considerations.</w:t>
      </w:r>
    </w:p>
    <w:p>
      <w:pPr>
        <w:spacing w:before="200" w:after="80"/>
      </w:pPr>
      <w:r>
        <w:rPr>
          <w:rFonts w:ascii="Times New Roman" w:hAnsi="Times New Roman"/>
          <w:b/>
          <w:sz w:val="22"/>
        </w:rPr>
        <w:t>Comment C3</w:t>
      </w:r>
    </w:p>
    <w:p>
      <w:pPr>
        <w:spacing w:after="100"/>
        <w:jc w:val="both"/>
      </w:pPr>
      <w:r>
        <w:rPr>
          <w:rFonts w:ascii="Times New Roman" w:hAnsi="Times New Roman"/>
          <w:b/>
          <w:sz w:val="20"/>
        </w:rPr>
        <w:t xml:space="preserve">Reviewer comment: </w:t>
      </w:r>
      <w:r>
        <w:rPr>
          <w:rFonts w:ascii="Times New Roman" w:hAnsi="Times New Roman"/>
          <w:sz w:val="20"/>
        </w:rPr>
        <w:t>The validity assessment should be described in greater detail. Although Aiken’s V is reported, the manuscript does not explain the evaluation criteria, the assessed dimensions, or provide the item-level validity results, limiting the transparency of the instrument validation process.</w:t>
      </w:r>
    </w:p>
    <w:p>
      <w:pPr>
        <w:spacing w:after="100"/>
        <w:jc w:val="both"/>
      </w:pPr>
      <w:r>
        <w:t>Response: The content-validity method has been revised to specify that five experts evaluated the clarity of the examination instructions, the selected labial/oral surfaces, plaque disclosure, scoring method, score calculation, and category interpretation. The threshold of Aiken’s V ≥ 0.80 is stated, and the manuscript retains the source result that all evaluated items reportedly exceeded this threshold. Item-level Aiken’s V values were not available in the archived validation materials provided to the authors for this revision; therefore, unverified item-level values were not reconstructed or added.</w:t>
      </w:r>
    </w:p>
    <w:p>
      <w:pPr>
        <w:spacing w:after="100"/>
        <w:jc w:val="both"/>
      </w:pPr>
      <w:r>
        <w:rPr>
          <w:rFonts w:ascii="Times New Roman" w:hAnsi="Times New Roman"/>
          <w:b/>
          <w:sz w:val="20"/>
        </w:rPr>
        <w:t xml:space="preserve">Location in revised manuscript: </w:t>
      </w:r>
      <w:r>
        <w:rPr>
          <w:rFonts w:ascii="Times New Roman" w:hAnsi="Times New Roman"/>
          <w:sz w:val="20"/>
        </w:rPr>
        <w:t>Material and Methods: Validity and Reliability.</w:t>
      </w:r>
    </w:p>
    <w:p>
      <w:pPr>
        <w:spacing w:before="200" w:after="80"/>
      </w:pPr>
      <w:r>
        <w:rPr>
          <w:rFonts w:ascii="Times New Roman" w:hAnsi="Times New Roman"/>
          <w:b/>
          <w:sz w:val="22"/>
        </w:rPr>
        <w:t>Comment C4</w:t>
      </w:r>
    </w:p>
    <w:p>
      <w:pPr>
        <w:spacing w:after="100"/>
        <w:jc w:val="both"/>
      </w:pPr>
      <w:r>
        <w:rPr>
          <w:rFonts w:ascii="Times New Roman" w:hAnsi="Times New Roman"/>
          <w:b/>
          <w:sz w:val="20"/>
        </w:rPr>
        <w:t xml:space="preserve">Reviewer comment: </w:t>
      </w:r>
      <w:r>
        <w:rPr>
          <w:rFonts w:ascii="Times New Roman" w:hAnsi="Times New Roman"/>
          <w:sz w:val="20"/>
        </w:rPr>
        <w:t>The statistical analysis could be strengthened by reporting effect size measures and confidence intervals in addition to p-values. These statistics would provide a more comprehensive evaluation of the practical significance of the findings.</w:t>
      </w:r>
    </w:p>
    <w:p>
      <w:pPr>
        <w:spacing w:after="100"/>
        <w:jc w:val="both"/>
      </w:pPr>
      <w:r>
        <w:t>Response: Wilson 95% confidence intervals have been added for each reported oral-hygiene category. The manuscript also clarifies that the verified source manuscript and full research report provide Wilcoxon p = 0.225 and homogeneity p = 0.862. Because the verified source records did not include the complete participant-level paired cross-tabulation or original Wilcoxon Z output, Wilcoxon effect size and weighted Cohen’s kappa were not reconstructed from unverified data. The conclusion has therefore been revised to avoid claiming diagnostic equivalence.</w:t>
      </w:r>
    </w:p>
    <w:p>
      <w:pPr>
        <w:spacing w:after="100"/>
        <w:jc w:val="both"/>
      </w:pPr>
      <w:r>
        <w:rPr>
          <w:rFonts w:ascii="Times New Roman" w:hAnsi="Times New Roman"/>
          <w:b/>
          <w:sz w:val="20"/>
        </w:rPr>
        <w:t xml:space="preserve">Location in revised manuscript: </w:t>
      </w:r>
      <w:r>
        <w:rPr>
          <w:rFonts w:ascii="Times New Roman" w:hAnsi="Times New Roman"/>
          <w:sz w:val="20"/>
        </w:rPr>
        <w:t>Abstract; Data Analysis; Results.</w:t>
      </w:r>
    </w:p>
    <w:p>
      <w:pPr>
        <w:spacing w:before="200" w:after="80"/>
      </w:pPr>
      <w:r>
        <w:rPr>
          <w:rFonts w:ascii="Times New Roman" w:hAnsi="Times New Roman"/>
          <w:b/>
          <w:sz w:val="24"/>
        </w:rPr>
        <w:t>Response to Reviewer D</w:t>
      </w:r>
    </w:p>
    <w:p>
      <w:pPr>
        <w:spacing w:before="200" w:after="80"/>
      </w:pPr>
      <w:r>
        <w:rPr>
          <w:rFonts w:ascii="Times New Roman" w:hAnsi="Times New Roman"/>
          <w:b/>
          <w:sz w:val="22"/>
        </w:rPr>
        <w:t>Comment D1</w:t>
      </w:r>
    </w:p>
    <w:p>
      <w:pPr>
        <w:spacing w:after="100"/>
        <w:jc w:val="both"/>
      </w:pPr>
      <w:r>
        <w:rPr>
          <w:rFonts w:ascii="Times New Roman" w:hAnsi="Times New Roman"/>
          <w:b/>
          <w:sz w:val="20"/>
        </w:rPr>
        <w:t xml:space="preserve">Reviewer comment: </w:t>
      </w:r>
      <w:r>
        <w:rPr>
          <w:rFonts w:ascii="Times New Roman" w:hAnsi="Times New Roman"/>
          <w:sz w:val="20"/>
        </w:rPr>
        <w:t>The study concludes that the modified O’Leary plaque index demonstrates diagnostic equivalence to the standard OHI-S. However, this conclusion is based primarily on a non-significant Wilcoxon test. Additional agreement analyses, such as Bland–Altman plots or Cohen’s Kappa (for categorical agreement), would provide stronger evidence for equivalence.</w:t>
      </w:r>
    </w:p>
    <w:p>
      <w:pPr>
        <w:spacing w:after="100"/>
        <w:jc w:val="both"/>
      </w:pPr>
      <w:r>
        <w:rPr>
          <w:rFonts w:ascii="Times New Roman" w:hAnsi="Times New Roman"/>
          <w:b/>
          <w:sz w:val="20"/>
        </w:rPr>
        <w:t xml:space="preserve">Response: </w:t>
      </w:r>
      <w:r>
        <w:rPr>
          <w:rFonts w:ascii="Times New Roman" w:hAnsi="Times New Roman"/>
          <w:sz w:val="20"/>
        </w:rPr>
        <w:t>We agree and have removed claims of diagnostic equivalence and interchangeability throughout the Abstract, Discussion, and Conclusion. The revised manuscript now states that the results show similar group-level distributions and no statistically detectable paired difference. It also explains that weighted Cohen’s kappa with a 95% CI is the appropriate agreement analysis for the three-category data. This analysis requires the participant-level paired category table, which was not included in the source manuscript; it must be completed from the original dataset before final resubmission. A Bland–Altman plot is not the primary analysis for scores expressed on different numerical scales.</w:t>
      </w:r>
    </w:p>
    <w:p>
      <w:pPr>
        <w:spacing w:after="100"/>
        <w:jc w:val="both"/>
      </w:pPr>
      <w:r>
        <w:rPr>
          <w:rFonts w:ascii="Times New Roman" w:hAnsi="Times New Roman"/>
          <w:b/>
          <w:sz w:val="20"/>
        </w:rPr>
        <w:t xml:space="preserve">Location in revised manuscript: </w:t>
      </w:r>
      <w:r>
        <w:rPr>
          <w:rFonts w:ascii="Times New Roman" w:hAnsi="Times New Roman"/>
          <w:sz w:val="20"/>
        </w:rPr>
        <w:t>Abstract; Data Analysis; Results; Discussion; Conclusion.</w:t>
      </w:r>
    </w:p>
    <w:p>
      <w:pPr>
        <w:spacing w:before="200" w:after="80"/>
      </w:pPr>
      <w:r>
        <w:rPr>
          <w:rFonts w:ascii="Times New Roman" w:hAnsi="Times New Roman"/>
          <w:b/>
          <w:sz w:val="22"/>
        </w:rPr>
        <w:t>Comment D2</w:t>
      </w:r>
    </w:p>
    <w:p>
      <w:pPr>
        <w:spacing w:after="100"/>
        <w:jc w:val="both"/>
      </w:pPr>
      <w:r>
        <w:rPr>
          <w:rFonts w:ascii="Times New Roman" w:hAnsi="Times New Roman"/>
          <w:b/>
          <w:sz w:val="20"/>
        </w:rPr>
        <w:t xml:space="preserve">Reviewer comment: </w:t>
      </w:r>
      <w:r>
        <w:rPr>
          <w:rFonts w:ascii="Times New Roman" w:hAnsi="Times New Roman"/>
          <w:sz w:val="20"/>
        </w:rPr>
        <w:t>The Discussion relies mainly on confirming that the findings agree with previous studies. It would be strengthened by providing a more critical interpretation of why the modified index performs similarly to the standard OHI-S and discussing the potential clinical implications and limitations of the simplified approach.</w:t>
      </w:r>
    </w:p>
    <w:p>
      <w:pPr>
        <w:spacing w:after="100"/>
        <w:jc w:val="both"/>
      </w:pPr>
      <w:r>
        <w:rPr>
          <w:rFonts w:ascii="Times New Roman" w:hAnsi="Times New Roman"/>
          <w:b/>
          <w:sz w:val="20"/>
        </w:rPr>
        <w:t xml:space="preserve">Response: </w:t>
      </w:r>
      <w:r>
        <w:rPr>
          <w:rFonts w:ascii="Times New Roman" w:hAnsi="Times New Roman"/>
          <w:sz w:val="20"/>
        </w:rPr>
        <w:t>The Discussion has been rewritten to distinguish feasibility from equivalence. It explains that selected labial/oral surfaces are easier to visualise and score after plaque disclosure, while acknowledging that this restriction may miss plaque on less accessible surfaces. It also clarifies that the simplified index should be considered a screening indicator, not a replacement for a standard clinical index.</w:t>
      </w:r>
    </w:p>
    <w:p>
      <w:pPr>
        <w:spacing w:after="100"/>
        <w:jc w:val="both"/>
      </w:pPr>
      <w:r>
        <w:rPr>
          <w:rFonts w:ascii="Times New Roman" w:hAnsi="Times New Roman"/>
          <w:b/>
          <w:sz w:val="20"/>
        </w:rPr>
        <w:t xml:space="preserve">Location in revised manuscript: </w:t>
      </w:r>
      <w:r>
        <w:rPr>
          <w:rFonts w:ascii="Times New Roman" w:hAnsi="Times New Roman"/>
          <w:sz w:val="20"/>
        </w:rPr>
        <w:t>Discussion, paragraphs 1–2 and 5–7.</w:t>
      </w:r>
    </w:p>
    <w:p>
      <w:pPr>
        <w:spacing w:before="200" w:after="80"/>
      </w:pPr>
      <w:r>
        <w:rPr>
          <w:rFonts w:ascii="Times New Roman" w:hAnsi="Times New Roman"/>
          <w:b/>
          <w:sz w:val="22"/>
        </w:rPr>
        <w:t>Comment D3</w:t>
      </w:r>
    </w:p>
    <w:p>
      <w:pPr>
        <w:spacing w:after="100"/>
        <w:jc w:val="both"/>
      </w:pPr>
      <w:r>
        <w:rPr>
          <w:rFonts w:ascii="Times New Roman" w:hAnsi="Times New Roman"/>
          <w:b/>
          <w:sz w:val="20"/>
        </w:rPr>
        <w:t xml:space="preserve">Reviewer comment: </w:t>
      </w:r>
      <w:r>
        <w:rPr>
          <w:rFonts w:ascii="Times New Roman" w:hAnsi="Times New Roman"/>
          <w:sz w:val="20"/>
        </w:rPr>
        <w:t>Most references are relatively old and include numerous textbooks and government documents. The manuscript should incorporate more recent international journal articles published within the last five years to strengthen the scientific foundation and demonstrate the novelty of the study.</w:t>
      </w:r>
    </w:p>
    <w:p>
      <w:pPr>
        <w:spacing w:after="100"/>
        <w:jc w:val="both"/>
      </w:pPr>
      <w:r>
        <w:rPr>
          <w:rFonts w:ascii="Times New Roman" w:hAnsi="Times New Roman"/>
          <w:b/>
          <w:sz w:val="20"/>
        </w:rPr>
        <w:t xml:space="preserve">Response: </w:t>
      </w:r>
      <w:r>
        <w:rPr>
          <w:rFonts w:ascii="Times New Roman" w:hAnsi="Times New Roman"/>
          <w:sz w:val="20"/>
        </w:rPr>
        <w:t>Four recent international publications from 2022–2025 have been added. These include systematic reviews and school-based research on oral-health education, plaque-related outcomes, and theory-informed programmes. Historic primary references for OHI-S, the O’Leary record, and Aiken’s V have been retained because they describe the original methods.</w:t>
      </w:r>
    </w:p>
    <w:p>
      <w:pPr>
        <w:spacing w:after="100"/>
        <w:jc w:val="both"/>
      </w:pPr>
      <w:r>
        <w:rPr>
          <w:rFonts w:ascii="Times New Roman" w:hAnsi="Times New Roman"/>
          <w:b/>
          <w:sz w:val="20"/>
        </w:rPr>
        <w:t xml:space="preserve">Location in revised manuscript: </w:t>
      </w:r>
      <w:r>
        <w:rPr>
          <w:rFonts w:ascii="Times New Roman" w:hAnsi="Times New Roman"/>
          <w:sz w:val="20"/>
        </w:rPr>
        <w:t>Introduction; Discussion; References 19–22.</w:t>
      </w:r>
    </w:p>
    <w:p>
      <w:pPr>
        <w:spacing w:before="200" w:after="80"/>
      </w:pPr>
      <w:r>
        <w:rPr>
          <w:rFonts w:ascii="Times New Roman" w:hAnsi="Times New Roman"/>
          <w:b/>
          <w:sz w:val="22"/>
        </w:rPr>
        <w:t>Comment D4</w:t>
      </w:r>
    </w:p>
    <w:p>
      <w:pPr>
        <w:spacing w:after="100"/>
        <w:jc w:val="both"/>
      </w:pPr>
      <w:r>
        <w:rPr>
          <w:rFonts w:ascii="Times New Roman" w:hAnsi="Times New Roman"/>
          <w:b/>
          <w:sz w:val="20"/>
        </w:rPr>
        <w:t xml:space="preserve">Reviewer comment: </w:t>
      </w:r>
      <w:r>
        <w:rPr>
          <w:rFonts w:ascii="Times New Roman" w:hAnsi="Times New Roman"/>
          <w:sz w:val="20"/>
        </w:rPr>
        <w:t>The practical implications could be presented more explicitly. The manuscript suggests that the modified index is suitable for use by school health cadres; however, additional discussion is needed regarding examiner training, implementation procedures, and its integration into school-based oral health programs.</w:t>
      </w:r>
    </w:p>
    <w:p>
      <w:pPr>
        <w:spacing w:after="100"/>
        <w:jc w:val="both"/>
      </w:pPr>
      <w:r>
        <w:rPr>
          <w:rFonts w:ascii="Times New Roman" w:hAnsi="Times New Roman"/>
          <w:b/>
          <w:sz w:val="20"/>
        </w:rPr>
        <w:t xml:space="preserve">Response: </w:t>
      </w:r>
      <w:r>
        <w:rPr>
          <w:rFonts w:ascii="Times New Roman" w:hAnsi="Times New Roman"/>
          <w:sz w:val="20"/>
        </w:rPr>
        <w:t>The practical implications have been expanded to specify written standard operating procedures, training in plaque disclosure and binary scoring, supervised practice, periodic calibration with dental personnel, documentation procedures, referral pathways, and linkage of feedback to toothbrushing education.</w:t>
      </w:r>
    </w:p>
    <w:p>
      <w:pPr>
        <w:spacing w:after="100"/>
        <w:jc w:val="both"/>
      </w:pPr>
      <w:r>
        <w:rPr>
          <w:rFonts w:ascii="Times New Roman" w:hAnsi="Times New Roman"/>
          <w:b/>
          <w:sz w:val="20"/>
        </w:rPr>
        <w:t xml:space="preserve">Location in revised manuscript: </w:t>
      </w:r>
      <w:r>
        <w:rPr>
          <w:rFonts w:ascii="Times New Roman" w:hAnsi="Times New Roman"/>
          <w:sz w:val="20"/>
        </w:rPr>
        <w:t>Discussion, paragraphs 3–4; Conclusion.</w:t>
      </w:r>
    </w:p>
    <w:p>
      <w:pPr>
        <w:spacing w:before="200" w:after="80"/>
      </w:pPr>
      <w:r>
        <w:rPr>
          <w:b/>
        </w:rPr>
        <w:t>Notes on available source records</w:t>
      </w:r>
    </w:p>
    <w:p>
      <w:pPr>
        <w:spacing w:after="100"/>
        <w:jc w:val="both"/>
      </w:pPr>
      <w:r>
        <w:t>The exact ethics committee name, approval number, and approval date have been inserted from the ethical approval letter.</w:t>
      </w:r>
    </w:p>
    <w:p>
      <w:pPr>
        <w:spacing w:after="100"/>
        <w:jc w:val="both"/>
      </w:pPr>
      <w:r>
        <w:t>Item-level Aiken’s V values were not available in the archived validation materials and were therefore not reconstructed.</w:t>
      </w:r>
    </w:p>
    <w:p>
      <w:pPr>
        <w:spacing w:after="100"/>
        <w:jc w:val="both"/>
      </w:pPr>
      <w:r>
        <w:t>The manuscript uses the verified aggregate results from the submitted manuscript and full research report; effect size and weighted kappa were not reconstructed from inconsistent or unverified data.</w:t>
      </w:r>
    </w:p>
    <w:p>
      <w:pPr>
        <w:spacing w:after="100"/>
        <w:jc w:val="both"/>
      </w:pPr>
      <w:r>
        <w:rPr>
          <w:rFonts w:ascii="Times New Roman" w:hAnsi="Times New Roman"/>
          <w:sz w:val="20"/>
        </w:rPr>
        <w:t>We appreciate the opportunity to revise the manuscript and hope that these revisions address the reviewers’ concerns.</w:t>
      </w:r>
    </w:p>
    <w:p>
      <w:pPr>
        <w:spacing w:after="100"/>
        <w:jc w:val="left"/>
      </w:pPr>
      <w:r>
        <w:rPr>
          <w:rFonts w:ascii="Times New Roman" w:hAnsi="Times New Roman"/>
          <w:sz w:val="20"/>
        </w:rPr>
        <w:t>Sincerely,</w:t>
        <w:br/>
        <w:t>Bambang Sutomo, on behalf of all authors</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Reviewers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