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983A" w14:textId="77777777" w:rsidR="005536D3" w:rsidRDefault="005536D3" w:rsidP="005536D3">
      <w:pPr>
        <w:spacing w:before="240" w:after="120"/>
        <w:jc w:val="left"/>
      </w:pPr>
      <w:r>
        <w:rPr>
          <w:b/>
        </w:rPr>
        <w:t>ABSTRACT</w:t>
      </w:r>
    </w:p>
    <w:p w14:paraId="433CA5D6" w14:textId="77777777" w:rsidR="005536D3" w:rsidRDefault="005536D3" w:rsidP="005536D3">
      <w:r>
        <w:rPr>
          <w:b/>
        </w:rPr>
        <w:t xml:space="preserve">Introduction: </w:t>
      </w:r>
      <w:proofErr w:type="spellStart"/>
      <w:r>
        <w:t>Dyslipidaemia</w:t>
      </w:r>
      <w:proofErr w:type="spellEnd"/>
      <w:r>
        <w:t xml:space="preserve"> is a frequent metabolic abnormality in type 2 diabetes mellitus (T2DM) and may increase cardiovascular risk. This study examined lipid profiles according to </w:t>
      </w:r>
      <w:proofErr w:type="spellStart"/>
      <w:r>
        <w:t>glycaemic</w:t>
      </w:r>
      <w:proofErr w:type="spellEnd"/>
      <w:r>
        <w:t xml:space="preserve"> control status among adults with T2DM.</w:t>
      </w:r>
    </w:p>
    <w:p w14:paraId="08B2E880" w14:textId="77777777" w:rsidR="005536D3" w:rsidRDefault="005536D3" w:rsidP="005536D3">
      <w:r>
        <w:rPr>
          <w:b/>
        </w:rPr>
        <w:t xml:space="preserve">Materials and Methods: </w:t>
      </w:r>
      <w:r>
        <w:t xml:space="preserve">This retrospective cross-sectional study used consecutive de-identified medical records of 120 adults with T2DM treated in a tertiary-care hospital in Indonesia from January 2022 to December 2023. </w:t>
      </w:r>
      <w:proofErr w:type="spellStart"/>
      <w:r>
        <w:t>Glycaemic</w:t>
      </w:r>
      <w:proofErr w:type="spellEnd"/>
      <w:r>
        <w:t xml:space="preserve"> control was grouped as controlled (glycated </w:t>
      </w:r>
      <w:proofErr w:type="spellStart"/>
      <w:r>
        <w:t>haemoglobin</w:t>
      </w:r>
      <w:proofErr w:type="spellEnd"/>
      <w:r>
        <w:t xml:space="preserve"> [HbA1c] &lt;7%) or uncontrolled (HbA1c &gt;=7%). Total cholesterol, low-density lipoprotein cholesterol (LDL-C), high-density lipoprotein cholesterol (HDL-C) and triglycerides were compared using independent-samples t tests or Mann-Whitney U tests, as appropriate.</w:t>
      </w:r>
    </w:p>
    <w:p w14:paraId="528E28B3" w14:textId="77777777" w:rsidR="005536D3" w:rsidRDefault="005536D3" w:rsidP="005536D3">
      <w:r>
        <w:rPr>
          <w:b/>
        </w:rPr>
        <w:t xml:space="preserve">Results: </w:t>
      </w:r>
      <w:r>
        <w:t>Uncontrolled glycaemia was recorded in 77 of 120 patients (64.2%). Mean total cholesterol was higher in the uncontrolled group than in the controlled group (210.86 ± 51.64 vs. 179.23 ± 43.24 mg/dL; mean difference 31.63 mg/dL; 95% confidence interval 13.23 to 50.03; p=0.001). Median triglycerides were also higher in the uncontrolled group (156 [57-828] vs. 128 [49-385] mg/dL; p=0.013). LDL-C was higher numerically but was not statistically significant (p=0.077), while HDL-C was similar between groups (p=0.585).</w:t>
      </w:r>
    </w:p>
    <w:p w14:paraId="32BC4FB1" w14:textId="77777777" w:rsidR="005536D3" w:rsidRDefault="005536D3" w:rsidP="005536D3">
      <w:r>
        <w:rPr>
          <w:b/>
        </w:rPr>
        <w:t xml:space="preserve">Conclusion: </w:t>
      </w:r>
      <w:r>
        <w:t>Uncontrolled glycaemia was associated with higher total cholesterol and triglyceride levels among adults with T2DM. Joint assessment of HbA1c and lipid parameters may help identify patients requiring broader cardiometabolic risk management.</w:t>
      </w:r>
    </w:p>
    <w:p w14:paraId="69B20715" w14:textId="77777777" w:rsidR="00F150B2" w:rsidRDefault="00F150B2"/>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6D3"/>
    <w:rsid w:val="00000F1E"/>
    <w:rsid w:val="004C5FDF"/>
    <w:rsid w:val="005536D3"/>
    <w:rsid w:val="00B515E0"/>
    <w:rsid w:val="00C45C4B"/>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525CF"/>
  <w15:chartTrackingRefBased/>
  <w15:docId w15:val="{048C9620-1345-4544-A293-07634780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6D3"/>
    <w:pPr>
      <w:spacing w:after="0" w:line="360" w:lineRule="auto"/>
      <w:jc w:val="both"/>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5536D3"/>
    <w:pPr>
      <w:keepNext/>
      <w:keepLines/>
      <w:spacing w:before="360" w:after="80" w:line="278" w:lineRule="auto"/>
      <w:jc w:val="left"/>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5536D3"/>
    <w:pPr>
      <w:keepNext/>
      <w:keepLines/>
      <w:spacing w:before="160" w:after="80" w:line="278" w:lineRule="auto"/>
      <w:jc w:val="left"/>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5536D3"/>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5536D3"/>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Cs w:val="24"/>
      <w:lang w:val="en-ID"/>
      <w14:ligatures w14:val="standardContextual"/>
    </w:rPr>
  </w:style>
  <w:style w:type="paragraph" w:styleId="Heading5">
    <w:name w:val="heading 5"/>
    <w:basedOn w:val="Normal"/>
    <w:next w:val="Normal"/>
    <w:link w:val="Heading5Char"/>
    <w:uiPriority w:val="9"/>
    <w:semiHidden/>
    <w:unhideWhenUsed/>
    <w:qFormat/>
    <w:rsid w:val="005536D3"/>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Cs w:val="24"/>
      <w:lang w:val="en-ID"/>
      <w14:ligatures w14:val="standardContextual"/>
    </w:rPr>
  </w:style>
  <w:style w:type="paragraph" w:styleId="Heading6">
    <w:name w:val="heading 6"/>
    <w:basedOn w:val="Normal"/>
    <w:next w:val="Normal"/>
    <w:link w:val="Heading6Char"/>
    <w:uiPriority w:val="9"/>
    <w:semiHidden/>
    <w:unhideWhenUsed/>
    <w:qFormat/>
    <w:rsid w:val="005536D3"/>
    <w:pPr>
      <w:keepNext/>
      <w:keepLines/>
      <w:spacing w:before="40" w:line="278" w:lineRule="auto"/>
      <w:jc w:val="left"/>
      <w:outlineLvl w:val="5"/>
    </w:pPr>
    <w:rPr>
      <w:rFonts w:asciiTheme="minorHAnsi" w:eastAsiaTheme="majorEastAsia" w:hAnsiTheme="minorHAnsi" w:cstheme="majorBidi"/>
      <w:i/>
      <w:iCs/>
      <w:color w:val="595959" w:themeColor="text1" w:themeTint="A6"/>
      <w:kern w:val="2"/>
      <w:szCs w:val="24"/>
      <w:lang w:val="en-ID"/>
      <w14:ligatures w14:val="standardContextual"/>
    </w:rPr>
  </w:style>
  <w:style w:type="paragraph" w:styleId="Heading7">
    <w:name w:val="heading 7"/>
    <w:basedOn w:val="Normal"/>
    <w:next w:val="Normal"/>
    <w:link w:val="Heading7Char"/>
    <w:uiPriority w:val="9"/>
    <w:semiHidden/>
    <w:unhideWhenUsed/>
    <w:qFormat/>
    <w:rsid w:val="005536D3"/>
    <w:pPr>
      <w:keepNext/>
      <w:keepLines/>
      <w:spacing w:before="40" w:line="278" w:lineRule="auto"/>
      <w:jc w:val="left"/>
      <w:outlineLvl w:val="6"/>
    </w:pPr>
    <w:rPr>
      <w:rFonts w:asciiTheme="minorHAnsi" w:eastAsiaTheme="majorEastAsia" w:hAnsiTheme="minorHAnsi" w:cstheme="majorBidi"/>
      <w:color w:val="595959" w:themeColor="text1" w:themeTint="A6"/>
      <w:kern w:val="2"/>
      <w:szCs w:val="24"/>
      <w:lang w:val="en-ID"/>
      <w14:ligatures w14:val="standardContextual"/>
    </w:rPr>
  </w:style>
  <w:style w:type="paragraph" w:styleId="Heading8">
    <w:name w:val="heading 8"/>
    <w:basedOn w:val="Normal"/>
    <w:next w:val="Normal"/>
    <w:link w:val="Heading8Char"/>
    <w:uiPriority w:val="9"/>
    <w:semiHidden/>
    <w:unhideWhenUsed/>
    <w:qFormat/>
    <w:rsid w:val="005536D3"/>
    <w:pPr>
      <w:keepNext/>
      <w:keepLines/>
      <w:spacing w:line="278" w:lineRule="auto"/>
      <w:jc w:val="left"/>
      <w:outlineLvl w:val="7"/>
    </w:pPr>
    <w:rPr>
      <w:rFonts w:asciiTheme="minorHAnsi" w:eastAsiaTheme="majorEastAsia" w:hAnsiTheme="minorHAnsi" w:cstheme="majorBidi"/>
      <w:i/>
      <w:iCs/>
      <w:color w:val="272727" w:themeColor="text1" w:themeTint="D8"/>
      <w:kern w:val="2"/>
      <w:szCs w:val="24"/>
      <w:lang w:val="en-ID"/>
      <w14:ligatures w14:val="standardContextual"/>
    </w:rPr>
  </w:style>
  <w:style w:type="paragraph" w:styleId="Heading9">
    <w:name w:val="heading 9"/>
    <w:basedOn w:val="Normal"/>
    <w:next w:val="Normal"/>
    <w:link w:val="Heading9Char"/>
    <w:uiPriority w:val="9"/>
    <w:semiHidden/>
    <w:unhideWhenUsed/>
    <w:qFormat/>
    <w:rsid w:val="005536D3"/>
    <w:pPr>
      <w:keepNext/>
      <w:keepLines/>
      <w:spacing w:line="278" w:lineRule="auto"/>
      <w:jc w:val="left"/>
      <w:outlineLvl w:val="8"/>
    </w:pPr>
    <w:rPr>
      <w:rFonts w:asciiTheme="minorHAnsi" w:eastAsiaTheme="majorEastAsia" w:hAnsiTheme="minorHAnsi" w:cstheme="majorBidi"/>
      <w:color w:val="272727" w:themeColor="text1" w:themeTint="D8"/>
      <w:kern w:val="2"/>
      <w:szCs w:val="24"/>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6D3"/>
    <w:rPr>
      <w:rFonts w:eastAsiaTheme="majorEastAsia" w:cstheme="majorBidi"/>
      <w:color w:val="272727" w:themeColor="text1" w:themeTint="D8"/>
    </w:rPr>
  </w:style>
  <w:style w:type="paragraph" w:styleId="Title">
    <w:name w:val="Title"/>
    <w:basedOn w:val="Normal"/>
    <w:next w:val="Normal"/>
    <w:link w:val="TitleChar"/>
    <w:uiPriority w:val="10"/>
    <w:qFormat/>
    <w:rsid w:val="005536D3"/>
    <w:pPr>
      <w:spacing w:after="80" w:line="240" w:lineRule="auto"/>
      <w:contextualSpacing/>
      <w:jc w:val="left"/>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553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6D3"/>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553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6D3"/>
    <w:pPr>
      <w:spacing w:before="160" w:after="160" w:line="278" w:lineRule="auto"/>
      <w:jc w:val="center"/>
    </w:pPr>
    <w:rPr>
      <w:rFonts w:asciiTheme="minorHAnsi" w:eastAsiaTheme="minorHAnsi" w:hAnsiTheme="minorHAnsi"/>
      <w:i/>
      <w:iCs/>
      <w:color w:val="404040" w:themeColor="text1" w:themeTint="BF"/>
      <w:kern w:val="2"/>
      <w:szCs w:val="24"/>
      <w:lang w:val="en-ID"/>
      <w14:ligatures w14:val="standardContextual"/>
    </w:rPr>
  </w:style>
  <w:style w:type="character" w:customStyle="1" w:styleId="QuoteChar">
    <w:name w:val="Quote Char"/>
    <w:basedOn w:val="DefaultParagraphFont"/>
    <w:link w:val="Quote"/>
    <w:uiPriority w:val="29"/>
    <w:rsid w:val="005536D3"/>
    <w:rPr>
      <w:i/>
      <w:iCs/>
      <w:color w:val="404040" w:themeColor="text1" w:themeTint="BF"/>
    </w:rPr>
  </w:style>
  <w:style w:type="paragraph" w:styleId="ListParagraph">
    <w:name w:val="List Paragraph"/>
    <w:basedOn w:val="Normal"/>
    <w:uiPriority w:val="34"/>
    <w:qFormat/>
    <w:rsid w:val="005536D3"/>
    <w:pPr>
      <w:spacing w:after="160" w:line="278" w:lineRule="auto"/>
      <w:ind w:left="720"/>
      <w:contextualSpacing/>
      <w:jc w:val="left"/>
    </w:pPr>
    <w:rPr>
      <w:rFonts w:asciiTheme="minorHAnsi" w:eastAsiaTheme="minorHAnsi" w:hAnsiTheme="minorHAnsi"/>
      <w:kern w:val="2"/>
      <w:szCs w:val="24"/>
      <w:lang w:val="en-ID"/>
      <w14:ligatures w14:val="standardContextual"/>
    </w:rPr>
  </w:style>
  <w:style w:type="character" w:styleId="IntenseEmphasis">
    <w:name w:val="Intense Emphasis"/>
    <w:basedOn w:val="DefaultParagraphFont"/>
    <w:uiPriority w:val="21"/>
    <w:qFormat/>
    <w:rsid w:val="005536D3"/>
    <w:rPr>
      <w:i/>
      <w:iCs/>
      <w:color w:val="2F5496" w:themeColor="accent1" w:themeShade="BF"/>
    </w:rPr>
  </w:style>
  <w:style w:type="paragraph" w:styleId="IntenseQuote">
    <w:name w:val="Intense Quote"/>
    <w:basedOn w:val="Normal"/>
    <w:next w:val="Normal"/>
    <w:link w:val="IntenseQuoteChar"/>
    <w:uiPriority w:val="30"/>
    <w:qFormat/>
    <w:rsid w:val="005536D3"/>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Cs w:val="24"/>
      <w:lang w:val="en-ID"/>
      <w14:ligatures w14:val="standardContextual"/>
    </w:rPr>
  </w:style>
  <w:style w:type="character" w:customStyle="1" w:styleId="IntenseQuoteChar">
    <w:name w:val="Intense Quote Char"/>
    <w:basedOn w:val="DefaultParagraphFont"/>
    <w:link w:val="IntenseQuote"/>
    <w:uiPriority w:val="30"/>
    <w:rsid w:val="005536D3"/>
    <w:rPr>
      <w:i/>
      <w:iCs/>
      <w:color w:val="2F5496" w:themeColor="accent1" w:themeShade="BF"/>
    </w:rPr>
  </w:style>
  <w:style w:type="character" w:styleId="IntenseReference">
    <w:name w:val="Intense Reference"/>
    <w:basedOn w:val="DefaultParagraphFont"/>
    <w:uiPriority w:val="32"/>
    <w:qFormat/>
    <w:rsid w:val="005536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1</cp:revision>
  <dcterms:created xsi:type="dcterms:W3CDTF">2026-08-14T06:30:00Z</dcterms:created>
  <dcterms:modified xsi:type="dcterms:W3CDTF">2026-08-14T06:31:00Z</dcterms:modified>
</cp:coreProperties>
</file>