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89D" w14:textId="77777777" w:rsidR="008064E5" w:rsidRDefault="00000000">
      <w:pPr>
        <w:jc w:val="center"/>
      </w:pPr>
      <w:r>
        <w:rPr>
          <w:b/>
        </w:rPr>
        <w:t>Association of Glycaemic Control With Lipid Profiles Among Adults With Type 2 Diabetes Mellitus in Indonesia: A Retrospective Cross-Sectional Study</w:t>
      </w:r>
    </w:p>
    <w:p w14:paraId="66391A3A" w14:textId="77777777" w:rsidR="008064E5" w:rsidRDefault="00000000">
      <w:pPr>
        <w:spacing w:before="240" w:after="120"/>
        <w:jc w:val="left"/>
      </w:pPr>
      <w:r>
        <w:rPr>
          <w:b/>
        </w:rPr>
        <w:t>ABSTRACT</w:t>
      </w:r>
    </w:p>
    <w:p w14:paraId="37B00FF1" w14:textId="77777777" w:rsidR="008064E5" w:rsidRDefault="00000000">
      <w:r>
        <w:rPr>
          <w:b/>
        </w:rPr>
        <w:t xml:space="preserve">Introduction: </w:t>
      </w:r>
      <w:r>
        <w:t>Dyslipidaemia is a frequent metabolic abnormality in type 2 diabetes mellitus (T2DM) and may increase cardiovascular risk. This study examined lipid profiles according to glycaemic control status among adults with T2DM.</w:t>
      </w:r>
    </w:p>
    <w:p w14:paraId="78606777" w14:textId="77777777" w:rsidR="008064E5" w:rsidRDefault="00000000">
      <w:r>
        <w:rPr>
          <w:b/>
        </w:rPr>
        <w:t xml:space="preserve">Materials and Methods: </w:t>
      </w:r>
      <w:r>
        <w:t>This retrospective cross-sectional study used consecutive de-identified medical records of 120 adults with T2DM treated in a tertiary-care hospital in Indonesia from January 2022 to December 2023. Glycaemic control was grouped as controlled (glycated haemoglobin [HbA1c] &lt;7%) or uncontrolled (HbA1c &gt;=7%). Total cholesterol, low-density lipoprotein cholesterol (LDL-C), high-density lipoprotein cholesterol (HDL-C) and triglycerides were compared using independent-samples t tests or Mann-Whitney U tests, as appropriate.</w:t>
      </w:r>
    </w:p>
    <w:p w14:paraId="256E350C" w14:textId="77777777" w:rsidR="008064E5" w:rsidRDefault="00000000">
      <w:r>
        <w:rPr>
          <w:b/>
        </w:rPr>
        <w:t xml:space="preserve">Results: </w:t>
      </w:r>
      <w:r>
        <w:t>Uncontrolled glycaemia was recorded in 77 of 120 patients (64.2%). Mean total cholesterol was higher in the uncontrolled group than in the controlled group (210.86 ± 51.64 vs. 179.23 ± 43.24 mg/dL; mean difference 31.63 mg/dL; 95% confidence interval 13.23 to 50.03; p=0.001). Median triglycerides were also higher in the uncontrolled group (156 [57-828] vs. 128 [49-385] mg/dL; p=0.013). LDL-C was higher numerically but was not statistically significant (p=0.077), while HDL-C was similar between groups (p=0.585).</w:t>
      </w:r>
    </w:p>
    <w:p w14:paraId="0FF5C7BB" w14:textId="77777777" w:rsidR="008064E5" w:rsidRDefault="00000000">
      <w:r>
        <w:rPr>
          <w:b/>
        </w:rPr>
        <w:t xml:space="preserve">Conclusion: </w:t>
      </w:r>
      <w:r>
        <w:t>Uncontrolled glycaemia was associated with higher total cholesterol and triglyceride levels among adults with T2DM. Joint assessment of HbA1c and lipid parameters may help identify patients requiring broader cardiometabolic risk management.</w:t>
      </w:r>
    </w:p>
    <w:p w14:paraId="62FC1784" w14:textId="690E14B4" w:rsidR="008064E5" w:rsidRDefault="00000000">
      <w:r>
        <w:t>Keywords: Type 2 diabetes mellitus, glycaemic control, glycated haemoglobin, cholesterol, low-density lipoprotein cholesterol, high-density lipoprotein cholesterol, triglycerides, dyslipidaemia.</w:t>
      </w:r>
    </w:p>
    <w:p w14:paraId="7C1F00D6" w14:textId="77777777" w:rsidR="008064E5" w:rsidRDefault="00000000">
      <w:pPr>
        <w:spacing w:before="240" w:after="120"/>
        <w:jc w:val="left"/>
      </w:pPr>
      <w:r>
        <w:rPr>
          <w:b/>
        </w:rPr>
        <w:t>INTRODUCTION</w:t>
      </w:r>
    </w:p>
    <w:p w14:paraId="4C70026F" w14:textId="77777777" w:rsidR="008064E5" w:rsidRDefault="00000000">
      <w:pPr>
        <w:ind w:firstLine="720"/>
      </w:pPr>
      <w:r>
        <w:t>Type 2 diabetes mellitus (T2DM) is a growing public-health concern in Indonesia and globally. The International Diabetes Federation estimated that 19.5 million Indonesian adults were living with diabetes in 2021, and national survey data indicate an increasing prevalence of diagnosed diabetes over recent years [1,2].</w:t>
      </w:r>
    </w:p>
    <w:p w14:paraId="001A3D5C" w14:textId="77777777" w:rsidR="008064E5" w:rsidRDefault="00000000">
      <w:pPr>
        <w:ind w:firstLine="720"/>
      </w:pPr>
      <w:r>
        <w:lastRenderedPageBreak/>
        <w:t>Disturbances in lipid metabolism are common in T2DM. Diabetic dyslipidaemia is usually characterised by elevated triglycerides, triglyceride-rich remnant particles, lower high-density lipoprotein cholesterol (HDL-C) and qualitative changes in low-density lipoprotein cholesterol (LDL-C). These alterations may increase atherogenicity even when LDL-C concentration is not markedly elevated [3,4,12-16].</w:t>
      </w:r>
    </w:p>
    <w:p w14:paraId="09B0AE85" w14:textId="77777777" w:rsidR="008064E5" w:rsidRDefault="00000000">
      <w:pPr>
        <w:ind w:firstLine="720"/>
      </w:pPr>
      <w:r>
        <w:t>Glycated haemoglobin (HbA1c) is widely used to estimate average glycaemic exposure and to guide clinical decision-making. For many non-pregnant adults, an HbA1c target below 7% is commonly recommended, although individual clinical circumstances must be considered. In parallel, lipid management is a key component of cardiovascular risk reduction in diabetes care [5,6].</w:t>
      </w:r>
    </w:p>
    <w:p w14:paraId="5A23CB5B" w14:textId="77777777" w:rsidR="008064E5" w:rsidRDefault="00000000">
      <w:pPr>
        <w:ind w:firstLine="720"/>
      </w:pPr>
      <w:r>
        <w:t>Studies examining HbA1c and lipid parameters have produced variable findings. Total cholesterol and triglycerides tend to show more consistent differences in relation to glycaemic control than HDL-C or LDL-C, but the strength of these relationships differs across study populations, medication profiles and clinical settings [7-9,17-20].</w:t>
      </w:r>
    </w:p>
    <w:p w14:paraId="2A3D3C44" w14:textId="77777777" w:rsidR="008064E5" w:rsidRDefault="00000000">
      <w:pPr>
        <w:ind w:firstLine="720"/>
      </w:pPr>
      <w:r>
        <w:t>Hospital-based evidence from Indonesia remains limited, especially among patients who are not receiving lipid-lowering therapy. This study therefore aimed to compare routine lipid profiles between adults with controlled and uncontrolled T2DM in an Indonesian hospital setting.</w:t>
      </w:r>
    </w:p>
    <w:p w14:paraId="0A3DBB92" w14:textId="77777777" w:rsidR="008064E5" w:rsidRDefault="00000000">
      <w:pPr>
        <w:spacing w:before="240" w:after="120"/>
        <w:jc w:val="left"/>
      </w:pPr>
      <w:r>
        <w:rPr>
          <w:b/>
        </w:rPr>
        <w:t>MATERIALS AND METHODS</w:t>
      </w:r>
    </w:p>
    <w:p w14:paraId="7D5192B9" w14:textId="77777777" w:rsidR="008064E5" w:rsidRDefault="00000000">
      <w:pPr>
        <w:ind w:firstLine="720"/>
      </w:pPr>
      <w:r>
        <w:rPr>
          <w:b/>
        </w:rPr>
        <w:t xml:space="preserve">Study design and setting: </w:t>
      </w:r>
      <w:r>
        <w:t>This retrospective cross-sectional study analysed de-identified secondary medical-record data from a tertiary-care hospital in Indonesia. The source records covered the period from January 2022 to December 2023. Reporting was guided by the Strengthening the Reporting of Observational Studies in Epidemiology (STROBE) statement [10].</w:t>
      </w:r>
    </w:p>
    <w:p w14:paraId="3D76B65F" w14:textId="77777777" w:rsidR="008064E5" w:rsidRDefault="00000000">
      <w:pPr>
        <w:ind w:firstLine="720"/>
      </w:pPr>
      <w:r>
        <w:rPr>
          <w:b/>
        </w:rPr>
        <w:t xml:space="preserve">Participants and data source: </w:t>
      </w:r>
      <w:r>
        <w:t xml:space="preserve">Eligible records were selected consecutively from adults with documented T2DM who had available HbA1c and complete lipid-profile results. T2DM had been recorded on the basis of HbA1c &gt;=6.5% and/or fasting plasma glucose &gt;=126 mg/dL. Records were excluded when patients were receiving lipid-lowering drugs, including statins, fibrates, niacin or ezetimibe, or when chronic kidney disease, hyperthyroidism or liver cirrhosis </w:t>
      </w:r>
      <w:r>
        <w:lastRenderedPageBreak/>
        <w:t>was documented. Overall, 120 records fulfilled the eligibility criteria and were included in the analysis.</w:t>
      </w:r>
    </w:p>
    <w:p w14:paraId="0E3F3B66" w14:textId="77777777" w:rsidR="008064E5" w:rsidRDefault="00000000">
      <w:pPr>
        <w:ind w:firstLine="720"/>
      </w:pPr>
      <w:r>
        <w:rPr>
          <w:b/>
        </w:rPr>
        <w:t xml:space="preserve">Variables: </w:t>
      </w:r>
      <w:r>
        <w:t>The exposure variable was glycaemic control, categorised as controlled (HbA1c &lt;7%) and uncontrolled (HbA1c &gt;=7%). The outcomes were total cholesterol, LDL-C, HDL-C and triglycerides, expressed in mg/dL. Age, sex and body mass index (BMI) were extracted for descriptive analysis. BMI was grouped using Asian-specific cut-offs as underweight (&lt;18.5 kg/m²), normal weight (18.5-22.9 kg/m²), overweight (23.0-24.9 kg/m²), obesity class I (25.0-29.9 kg/m²) and obesity class II (&gt;=30.0 kg/m²) [5,11].</w:t>
      </w:r>
    </w:p>
    <w:p w14:paraId="2AD66636" w14:textId="77777777" w:rsidR="008064E5" w:rsidRDefault="00000000">
      <w:pPr>
        <w:ind w:firstLine="720"/>
      </w:pPr>
      <w:r>
        <w:rPr>
          <w:b/>
        </w:rPr>
        <w:t xml:space="preserve">Statistical analysis: </w:t>
      </w:r>
      <w:r>
        <w:t>Data were analysed using SPSS version 24. Distributional characteristics of continuous variables were examined before statistical testing. Normally distributed lipid parameters were reported as mean ± standard deviation (SD) and compared with independent-samples t tests. Triglycerides were reported as median (range) and compared with the Mann-Whitney U test. Categorical variables were summarised using frequencies and percentages. A two-sided p-value &lt;0.05 was considered statistically significant. Because only unadjusted comparisons were possible from the available dataset, the findings are interpreted as associations rather than causal effects.</w:t>
      </w:r>
    </w:p>
    <w:p w14:paraId="7E1BFB42" w14:textId="77777777" w:rsidR="008064E5" w:rsidRDefault="00000000">
      <w:pPr>
        <w:ind w:firstLine="720"/>
      </w:pPr>
      <w:r>
        <w:rPr>
          <w:b/>
        </w:rPr>
        <w:t xml:space="preserve">Ethical considerations: </w:t>
      </w:r>
      <w:r>
        <w:t>Ethical approval was obtained from the relevant institutional ethics committee, and permission to use hospital data was granted by the participating institution. The study used de-identified secondary medical-record data, with no direct contact with participants. Patient confidentiality was maintained throughout the study.</w:t>
      </w:r>
    </w:p>
    <w:p w14:paraId="1283046C" w14:textId="77777777" w:rsidR="008064E5" w:rsidRDefault="00000000">
      <w:pPr>
        <w:spacing w:before="240" w:after="120"/>
        <w:jc w:val="left"/>
      </w:pPr>
      <w:r>
        <w:rPr>
          <w:b/>
        </w:rPr>
        <w:t>RESULTS</w:t>
      </w:r>
    </w:p>
    <w:p w14:paraId="474D5702" w14:textId="77777777" w:rsidR="008064E5" w:rsidRDefault="00000000">
      <w:pPr>
        <w:ind w:firstLine="720"/>
      </w:pPr>
      <w:r>
        <w:t>A total of 120 adults with T2DM were included. Most patients were aged 45-59 years (n=62, 51.7%), were female (n=73, 60.8%) and had obesity class I (n=49, 40.8%). Uncontrolled glycaemia was present in 77 patients (64.2%) (Table I).</w:t>
      </w:r>
    </w:p>
    <w:p w14:paraId="7D0FD545" w14:textId="77777777" w:rsidR="008064E5" w:rsidRDefault="00000000">
      <w:pPr>
        <w:ind w:firstLine="720"/>
      </w:pPr>
      <w:r>
        <w:t>Descriptive lipid values across age groups are presented in Table II. The 45-59-year group showed the highest median total cholesterol and triglyceride values. Descriptive values by sex and BMI category are shown in Table III. Median total cholesterol and LDL-C were higher among female patients and among those with obesity class I, whereas triglyceride values varied across BMI categories.</w:t>
      </w:r>
    </w:p>
    <w:p w14:paraId="6375A755" w14:textId="77777777" w:rsidR="008064E5" w:rsidRDefault="00000000">
      <w:pPr>
        <w:ind w:firstLine="720"/>
      </w:pPr>
      <w:r>
        <w:lastRenderedPageBreak/>
        <w:t>The comparison by glycaemic-control status is presented in Table IV. Patients with uncontrolled glycaemia had higher mean total cholesterol than those with controlled glycaemia (210.86 ± 51.64 vs. 179.23 ± 43.24 mg/dL; p=0.001). Triglyceride levels were also higher in the uncontrolled group (median 156 [57-828] vs. 128 [49-385] mg/dL; p=0.013). LDL-C was numerically higher in the uncontrolled group but did not reach statistical significance (p=0.077). HDL-C did not differ significantly between groups (p=0.585).</w:t>
      </w:r>
    </w:p>
    <w:p w14:paraId="33A15E0B" w14:textId="77777777" w:rsidR="008064E5" w:rsidRDefault="00000000">
      <w:pPr>
        <w:spacing w:before="240" w:after="120"/>
        <w:jc w:val="left"/>
      </w:pPr>
      <w:r>
        <w:rPr>
          <w:b/>
        </w:rPr>
        <w:t>DISCUSSION</w:t>
      </w:r>
    </w:p>
    <w:p w14:paraId="50A190A1" w14:textId="77777777" w:rsidR="008064E5" w:rsidRDefault="00000000">
      <w:pPr>
        <w:ind w:firstLine="720"/>
      </w:pPr>
      <w:r>
        <w:t>This study found that adults with uncontrolled T2DM had higher total cholesterol and triglyceride levels than those with controlled glycaemia. LDL-C showed a numerical increase but was not statistically significant, and HDL-C values were similar between groups. These findings suggest clustering of glycaemic and lipid abnormalities in routine clinical data, although the cross-sectional design does not support causal inference.</w:t>
      </w:r>
    </w:p>
    <w:p w14:paraId="61365903" w14:textId="77777777" w:rsidR="008064E5" w:rsidRDefault="00000000">
      <w:pPr>
        <w:ind w:firstLine="720"/>
      </w:pPr>
      <w:r>
        <w:t>The observed pattern is generally consistent with studies from other low- and middle-income settings, in which poorer glycaemic control has been associated with higher total cholesterol or triglycerides. Nevertheless, prior studies have not shown uniform differences across all lipid fractions. Variation in diabetes duration, medication exposure, adiposity, diet, physical activity and timing of laboratory testing may partly explain these inconsistencies [7-9,17,18].</w:t>
      </w:r>
    </w:p>
    <w:p w14:paraId="7D01B0D6" w14:textId="77777777" w:rsidR="008064E5" w:rsidRDefault="00000000">
      <w:pPr>
        <w:ind w:firstLine="720"/>
      </w:pPr>
      <w:r>
        <w:t>Several biological pathways may help explain the higher total cholesterol and triglyceride levels seen in the uncontrolled group. Insulin resistance and persistent hyperglycaemia can increase adipose-tissue lipolysis and hepatic very-low-density lipoprotein production, contributing to hypertriglyceridaemia and a greater burden of remnant lipoproteins. Glycation and oxidative modification may also affect lipoprotein clearance and atherogenic properties [3,4,12-16].</w:t>
      </w:r>
    </w:p>
    <w:p w14:paraId="44E9FF66" w14:textId="77777777" w:rsidR="008064E5" w:rsidRDefault="00000000">
      <w:pPr>
        <w:ind w:firstLine="720"/>
      </w:pPr>
      <w:r>
        <w:t>The non-significant LDL-C and HDL-C findings should be interpreted carefully. In T2DM, LDL-C concentration alone may not capture the full atherogenic lipoprotein burden, particularly when triglyceride-rich remnants and small dense LDL particles are present. HDL-C concentration also does not fully describe HDL function. Both LDL-C and HDL-C may be influenced by sex, adiposity, smoking, diet, physical activity and medication use, variables that were not available for adjustment in this analysis [6,13,19,20].</w:t>
      </w:r>
    </w:p>
    <w:p w14:paraId="5FF7B70E" w14:textId="77777777" w:rsidR="008064E5" w:rsidRDefault="00000000">
      <w:pPr>
        <w:ind w:firstLine="720"/>
      </w:pPr>
      <w:r>
        <w:lastRenderedPageBreak/>
        <w:t>This study has limitations. The retrospective cross-sectional design prevents assessment of temporal sequence and causality. The single-hospital dataset may limit generalisability. The analysis was unadjusted because information on diabetes duration, antihyperglycaemic therapy, diet, physical activity, smoking and socioeconomic factors was unavailable. The timing of HbA1c and lipid measurements depended on existing medical records, which may have introduced measurement heterogeneity. Exclusion of patients receiving lipid-lowering therapy reduced direct pharmacological effects on lipid values but may limit applicability to the broader T2DM population. Despite these limitations, the study provides useful hospital-based evidence from Indonesia using routinely available clinical indicators.</w:t>
      </w:r>
    </w:p>
    <w:p w14:paraId="3D368D78" w14:textId="77777777" w:rsidR="008064E5" w:rsidRDefault="00000000">
      <w:pPr>
        <w:spacing w:before="240" w:after="120"/>
        <w:jc w:val="left"/>
      </w:pPr>
      <w:r>
        <w:rPr>
          <w:b/>
        </w:rPr>
        <w:t>CONCLUSION</w:t>
      </w:r>
    </w:p>
    <w:p w14:paraId="70DE1852" w14:textId="77777777" w:rsidR="008064E5" w:rsidRDefault="00000000">
      <w:pPr>
        <w:ind w:firstLine="720"/>
      </w:pPr>
      <w:r>
        <w:t>Among adults with T2DM in an Indonesian hospital setting, uncontrolled glycaemia was associated with higher total cholesterol and triglyceride levels. LDL-C and HDL-C did not differ significantly between glycaemic-control groups. Routine interpretation of HbA1c together with lipid parameters may support more comprehensive cardiometabolic risk assessment. Prospective studies with adjustment for clinical and lifestyle factors are needed to clarify these relationships.</w:t>
      </w:r>
    </w:p>
    <w:p w14:paraId="1357F8EE" w14:textId="77777777" w:rsidR="008064E5" w:rsidRDefault="00000000">
      <w:pPr>
        <w:spacing w:before="240" w:after="120"/>
        <w:jc w:val="left"/>
      </w:pPr>
      <w:r>
        <w:rPr>
          <w:b/>
        </w:rPr>
        <w:t>ACKNOWLEDGEMENTS</w:t>
      </w:r>
    </w:p>
    <w:p w14:paraId="30F56EBF" w14:textId="77777777" w:rsidR="008064E5" w:rsidRDefault="00000000">
      <w:r>
        <w:t>None.</w:t>
      </w:r>
    </w:p>
    <w:p w14:paraId="52A65646" w14:textId="77777777" w:rsidR="008064E5" w:rsidRDefault="00000000">
      <w:pPr>
        <w:spacing w:before="240" w:after="120"/>
        <w:jc w:val="left"/>
      </w:pPr>
      <w:r>
        <w:rPr>
          <w:b/>
        </w:rPr>
        <w:t>CONFLICT OF INTEREST</w:t>
      </w:r>
    </w:p>
    <w:p w14:paraId="5248A0CF" w14:textId="77777777" w:rsidR="008064E5" w:rsidRDefault="00000000">
      <w:r>
        <w:t>The authors declare no conflict of interest.</w:t>
      </w:r>
    </w:p>
    <w:p w14:paraId="474DF5D2" w14:textId="77777777" w:rsidR="008064E5" w:rsidRDefault="00000000">
      <w:pPr>
        <w:spacing w:before="240" w:after="120"/>
        <w:jc w:val="left"/>
      </w:pPr>
      <w:r>
        <w:rPr>
          <w:b/>
        </w:rPr>
        <w:t>FUNDING</w:t>
      </w:r>
    </w:p>
    <w:p w14:paraId="14DC6437" w14:textId="77777777" w:rsidR="008064E5" w:rsidRDefault="00000000">
      <w:r>
        <w:t>No external funding was received for this study.</w:t>
      </w:r>
    </w:p>
    <w:p w14:paraId="65FD4D2C" w14:textId="77777777" w:rsidR="008064E5" w:rsidRDefault="00000000">
      <w:pPr>
        <w:spacing w:before="240" w:after="120"/>
        <w:jc w:val="left"/>
      </w:pPr>
      <w:r>
        <w:rPr>
          <w:b/>
        </w:rPr>
        <w:t>DATA AVAILABILITY</w:t>
      </w:r>
    </w:p>
    <w:p w14:paraId="41867DDB" w14:textId="77777777" w:rsidR="008064E5" w:rsidRDefault="00000000">
      <w:r>
        <w:t>De-identified data may be made available by the corresponding author upon reasonable request and subject to institutional permission.</w:t>
      </w:r>
    </w:p>
    <w:p w14:paraId="5F971179" w14:textId="77777777" w:rsidR="008064E5" w:rsidRDefault="00000000">
      <w:pPr>
        <w:spacing w:before="240" w:after="120"/>
        <w:jc w:val="left"/>
      </w:pPr>
      <w:r>
        <w:rPr>
          <w:b/>
        </w:rPr>
        <w:t>REFERENCES</w:t>
      </w:r>
    </w:p>
    <w:p w14:paraId="418643C5" w14:textId="77777777" w:rsidR="008064E5" w:rsidRDefault="00000000">
      <w:pPr>
        <w:ind w:left="360" w:hanging="360"/>
      </w:pPr>
      <w:r>
        <w:lastRenderedPageBreak/>
        <w:t>1. International Diabetes Federation. IDF Diabetes Atlas. 10th ed. Brussels: International Diabetes Federation; 2021. Available from: https://diabetesatlas.org/</w:t>
      </w:r>
    </w:p>
    <w:p w14:paraId="56E2BD39" w14:textId="77777777" w:rsidR="008064E5" w:rsidRDefault="00000000">
      <w:pPr>
        <w:ind w:left="360" w:hanging="360"/>
      </w:pPr>
      <w:r>
        <w:t>2. Kementerian Kesehatan Republik Indonesia. Laporan Nasional RISKESDAS 2018. Jakarta: Badan Penelitian dan Pengembangan Kesehatan; 2019. Available from: https://repository.badankebijakan.kemkes.go.id/id/eprint/3514/</w:t>
      </w:r>
    </w:p>
    <w:p w14:paraId="538219AF" w14:textId="77777777" w:rsidR="008064E5" w:rsidRDefault="00000000">
      <w:pPr>
        <w:ind w:left="360" w:hanging="360"/>
      </w:pPr>
      <w:r>
        <w:t>3. Hirano T. Pathophysiology of diabetic dyslipidemia. J Atheroscler Thromb. 2018;25(9):771-782. doi:10.5551/jat.RV17023.</w:t>
      </w:r>
    </w:p>
    <w:p w14:paraId="41203095" w14:textId="77777777" w:rsidR="008064E5" w:rsidRDefault="00000000">
      <w:pPr>
        <w:ind w:left="360" w:hanging="360"/>
      </w:pPr>
      <w:r>
        <w:t>4. Goldberg IJ. Diabetic dyslipidemia: causes and consequences. J Clin Endocrinol Metab. 2001;86(3):965-971. doi:10.1210/jcem.86.3.7304.</w:t>
      </w:r>
    </w:p>
    <w:p w14:paraId="0AF48E16" w14:textId="77777777" w:rsidR="008064E5" w:rsidRDefault="00000000">
      <w:pPr>
        <w:ind w:left="360" w:hanging="360"/>
      </w:pPr>
      <w:r>
        <w:t>5. American Diabetes Association Professional Practice Committee. Glycemic goals and hypoglycemia: Standards of Care in Diabetes-2025. Diabetes Care. 2025;48(Suppl 1):S128-S145. doi:10.2337/dc25-S006.</w:t>
      </w:r>
    </w:p>
    <w:p w14:paraId="62FBA02E" w14:textId="77777777" w:rsidR="008064E5" w:rsidRDefault="00000000">
      <w:pPr>
        <w:ind w:left="360" w:hanging="360"/>
      </w:pPr>
      <w:r>
        <w:t>6. American Diabetes Association Professional Practice Committee. Cardiovascular disease and risk management: Standards of Care in Diabetes-2025. Diabetes Care. 2025;48(Suppl 1):S207-S238. doi:10.2337/dc25-S010.</w:t>
      </w:r>
    </w:p>
    <w:p w14:paraId="6A3CFBC5" w14:textId="77777777" w:rsidR="008064E5" w:rsidRDefault="00000000">
      <w:pPr>
        <w:ind w:left="360" w:hanging="360"/>
      </w:pPr>
      <w:r>
        <w:t>7. Nnakenyi ID, Nnakenyi EF, Parker EJ, Uchendu NO, Anaduaka EG, Ezeanyika LU. Relationship between glycaemic control and lipid profile in type 2 diabetes mellitus patients in a low-resource setting. Pan Afr Med J. 2022;41:281. doi:10.11604/pamj.2022.41.281.33802.</w:t>
      </w:r>
    </w:p>
    <w:p w14:paraId="4093A675" w14:textId="77777777" w:rsidR="008064E5" w:rsidRDefault="00000000">
      <w:pPr>
        <w:ind w:left="360" w:hanging="360"/>
      </w:pPr>
      <w:r>
        <w:t>8. Sharahili AY, Mir SA, AlDosari S, et al. Correlation of HbA1c level with lipid profile in type 2 diabetes mellitus patients visiting a primary healthcare center in Jeddah City, Saudi Arabia: a retrospective cross-sectional study. Diseases. 2023;11(4):154. doi:10.3390/diseases11040154.</w:t>
      </w:r>
    </w:p>
    <w:p w14:paraId="7B65B3F0" w14:textId="77777777" w:rsidR="008064E5" w:rsidRDefault="00000000">
      <w:pPr>
        <w:ind w:left="360" w:hanging="360"/>
      </w:pPr>
      <w:r>
        <w:t>9. Awadalla H, Noor SK, Elmadhoun WM, et al. Comparison of serum lipid profile in type 2 diabetes with and without adequate diabetes control in a Sudanese population in north of Sudan. Diabetes Metab Syndr. 2018;12(6):961-964. doi:10.1016/j.dsx.2018.06.004.</w:t>
      </w:r>
    </w:p>
    <w:p w14:paraId="07B4EB70" w14:textId="77777777" w:rsidR="008064E5" w:rsidRDefault="00000000">
      <w:pPr>
        <w:ind w:left="360" w:hanging="360"/>
      </w:pPr>
      <w:r>
        <w:t>10.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14:paraId="42B8D4DF" w14:textId="77777777" w:rsidR="008064E5" w:rsidRDefault="00000000">
      <w:pPr>
        <w:ind w:left="360" w:hanging="360"/>
      </w:pPr>
      <w:r>
        <w:lastRenderedPageBreak/>
        <w:t>11. WHO Expert Consultation. Appropriate body-mass index for Asian populations and its implications for policy and intervention strategies. Lancet. 2004;363(9403):157-163. doi:10.1016/S0140-6736(03)15268-3.</w:t>
      </w:r>
    </w:p>
    <w:p w14:paraId="47CB36CB" w14:textId="77777777" w:rsidR="008064E5" w:rsidRDefault="00000000">
      <w:pPr>
        <w:ind w:left="360" w:hanging="360"/>
      </w:pPr>
      <w:r>
        <w:t>12. Chaudhury D, Aggarwal A. Diabetic dyslipidemia: current concepts in pathophysiology and management. J Clin Diagn Res. 2018;12(1):OE06-OE09. doi:10.7860/JCDR/2018/29009.11090.</w:t>
      </w:r>
    </w:p>
    <w:p w14:paraId="5A01E409" w14:textId="77777777" w:rsidR="008064E5" w:rsidRDefault="00000000">
      <w:pPr>
        <w:ind w:left="360" w:hanging="360"/>
      </w:pPr>
      <w:r>
        <w:t>13. Schofield JD, Liu Y, Rao-Balakrishna P, Malik RA, Soran H. Diabetes dyslipidemia. Diabetes Ther. 2016;7(2):203-219. doi:10.1007/s13300-016-0167-x.</w:t>
      </w:r>
    </w:p>
    <w:p w14:paraId="15960264" w14:textId="77777777" w:rsidR="008064E5" w:rsidRDefault="00000000">
      <w:pPr>
        <w:ind w:left="360" w:hanging="360"/>
      </w:pPr>
      <w:r>
        <w:t>14. Taskinen MR, Borén J. New insights into the pathophysiology of dyslipidemia in type 2 diabetes. Atherosclerosis. 2015;239(2):483-495. doi:10.1016/j.atherosclerosis.2015.01.039.</w:t>
      </w:r>
    </w:p>
    <w:p w14:paraId="36E676FE" w14:textId="77777777" w:rsidR="008064E5" w:rsidRDefault="00000000">
      <w:pPr>
        <w:ind w:left="360" w:hanging="360"/>
      </w:pPr>
      <w:r>
        <w:t>15. Mooradian AD. Dyslipidemia in type 2 diabetes mellitus. Nat Clin Pract Endocrinol Metab. 2009;5(3):150-159. doi:10.1038/ncpendmet1066.</w:t>
      </w:r>
    </w:p>
    <w:p w14:paraId="426FBEBF" w14:textId="77777777" w:rsidR="008064E5" w:rsidRDefault="00000000">
      <w:pPr>
        <w:ind w:left="360" w:hanging="360"/>
      </w:pPr>
      <w:r>
        <w:t>16. Parhofer KG. Interaction between glucose and lipid metabolism: more than diabetic dyslipidemia. Diabetes Metab J. 2015;39(5):353-362. doi:10.4093/dmj.2015.39.5.353.</w:t>
      </w:r>
    </w:p>
    <w:p w14:paraId="53F5825F" w14:textId="77777777" w:rsidR="008064E5" w:rsidRDefault="00000000">
      <w:pPr>
        <w:ind w:left="360" w:hanging="360"/>
      </w:pPr>
      <w:r>
        <w:t>17. Sunjaya AP, Sunjaya AF. Glycated hemoglobin targets and glycemic control: link with lipid, uric acid and kidney profile. Diabetes Metab Syndr. 2018;12(5):743-748. doi:10.1016/j.dsx.2018.04.039.</w:t>
      </w:r>
    </w:p>
    <w:p w14:paraId="0C976050" w14:textId="77777777" w:rsidR="008064E5" w:rsidRDefault="00000000">
      <w:pPr>
        <w:ind w:left="360" w:hanging="360"/>
      </w:pPr>
      <w:r>
        <w:t>18. Rusdiana R, Widjaja SS, Savira M. The relation between lipid profile and glycemic control in type 2 diabetes mellitus patients in North Sumatera, Indonesia. Open Access Maced J Med Sci. 2020;8(B):887-891. doi:10.3889/oamjms.2020.5174.</w:t>
      </w:r>
    </w:p>
    <w:p w14:paraId="2656A2D3" w14:textId="77777777" w:rsidR="008064E5" w:rsidRDefault="00000000">
      <w:pPr>
        <w:ind w:left="360" w:hanging="360"/>
      </w:pPr>
      <w:r>
        <w:t>19. Hyassat D, Al-Saeksaek S, Naji D, et al. Dyslipidemia among patients with type 2 diabetes in Jordan: prevalence, pattern, and associated factors. Front Public Health. 2022;10:1002466. doi:10.3389/fpubh.2022.1002466.</w:t>
      </w:r>
    </w:p>
    <w:p w14:paraId="64B1303F" w14:textId="77777777" w:rsidR="008064E5" w:rsidRDefault="00000000">
      <w:pPr>
        <w:ind w:left="360" w:hanging="360"/>
      </w:pPr>
      <w:r>
        <w:t>20. 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sectPr w:rsidR="00806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966537">
    <w:abstractNumId w:val="8"/>
  </w:num>
  <w:num w:numId="2" w16cid:durableId="1660646020">
    <w:abstractNumId w:val="6"/>
  </w:num>
  <w:num w:numId="3" w16cid:durableId="388459011">
    <w:abstractNumId w:val="5"/>
  </w:num>
  <w:num w:numId="4" w16cid:durableId="1478766207">
    <w:abstractNumId w:val="4"/>
  </w:num>
  <w:num w:numId="5" w16cid:durableId="347409576">
    <w:abstractNumId w:val="7"/>
  </w:num>
  <w:num w:numId="6" w16cid:durableId="594898295">
    <w:abstractNumId w:val="3"/>
  </w:num>
  <w:num w:numId="7" w16cid:durableId="1073091258">
    <w:abstractNumId w:val="2"/>
  </w:num>
  <w:num w:numId="8" w16cid:durableId="1325627598">
    <w:abstractNumId w:val="1"/>
  </w:num>
  <w:num w:numId="9" w16cid:durableId="103981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64E5"/>
    <w:rsid w:val="00AA1D8D"/>
    <w:rsid w:val="00B47730"/>
    <w:rsid w:val="00C45C4B"/>
    <w:rsid w:val="00CB0664"/>
    <w:rsid w:val="00D72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8E203"/>
  <w14:defaultImageDpi w14:val="300"/>
  <w15:docId w15:val="{858556AA-E75A-458F-8353-E2880670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2026-08-14T06:29:00Z</dcterms:modified>
  <cp:category/>
</cp:coreProperties>
</file>