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center"/>
      </w:pPr>
      <w:r>
        <w:rPr>
          <w:b/>
          <w:i w:val="0"/>
          <w:sz w:val="24"/>
        </w:rPr>
        <w:t>STROBE Checklist for Cross-Sectional Studies</w:t>
      </w:r>
    </w:p>
    <w:p>
      <w:pPr>
        <w:spacing w:line="240" w:lineRule="auto" w:after="0"/>
        <w:jc w:val="center"/>
      </w:pPr>
      <w:r>
        <w:rPr>
          <w:b/>
          <w:i w:val="0"/>
          <w:sz w:val="22"/>
        </w:rPr>
        <w:t>Association of Glycaemic Control With Lipid Profiles Among Adults With Type 2 Diabetes Mellitus in Indonesia: A Retrospective Cross-Sectional Study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Section/item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STROBE item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Location/comment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Title and abstract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Title indicates a retrospective cross-sectional study; abstract summarises objectives, methods, results and conclusion.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Introduction - Background/rationale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Introduction describes diabetes, dyslipidaemia and the rationale for hospital-based Indonesian data.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Introduction - Objectives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Objective stated at the end of the Introduction.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- Study design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Retrospective cross-sectional design described in Materials and Methods.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- Setting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Source data period and hospital setting described in anonymised form.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- Participants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Eligibility and exclusion criteria described.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- Variables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Exposure, outcomes and covariates described.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- Data sources/measurement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Medical-record source and laboratory variables described.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- Bias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Retrospective design and unmeasured confounding addressed in limitations.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- Study size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Final included sample stated as 120 records.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- Quantitative variables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HbA1c and BMI categories described.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Methods - Statistical methods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12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Tests, data presentation and significance threshold described.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- Participants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13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Included sample and characteristics presented in Table I.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- Descriptive data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14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Descriptive characteristics and lipid distributions presented in Tables I-III.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- Outcome data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Lipid comparison by glycaemic control presented in Table IV.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Results - Main results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16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Mean differences, confidence intervals and p-values reported where available.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Discussion - Key results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18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Key findings summarised at the beginning of the Discussion.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Discussion - Limitations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19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Main limitations are explicitly stated.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Discussion - Interpretation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20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Findings interpreted as associations rather than causal effects.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Discussion - Generalisability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21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Single-hospital limitation stated.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Other information - Funding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22</w:t>
            </w:r>
          </w:p>
        </w:tc>
        <w:tc>
          <w:tcPr>
            <w:tcW w:type="dxa" w:w="312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Funding statement included.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