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after="120"/>
        <w:jc w:val="left"/>
      </w:pPr>
      <w:r>
        <w:rPr>
          <w:rFonts w:ascii="Times New Roman" w:hAnsi="Times New Roman"/>
          <w:b/>
          <w:sz w:val="20"/>
        </w:rPr>
        <w:t>Table I. Demographic and clinical characteristics of the study participants (N=120).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Characteristic</w:t>
            </w:r>
          </w:p>
        </w:tc>
        <w:tc>
          <w:tcPr>
            <w:tcW w:type="dxa" w:w="468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n (%)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Age, years</w:t>
            </w:r>
          </w:p>
        </w:tc>
        <w:tc>
          <w:tcPr>
            <w:tcW w:type="dxa" w:w="468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 xml:space="preserve">  19-44</w:t>
            </w:r>
          </w:p>
        </w:tc>
        <w:tc>
          <w:tcPr>
            <w:tcW w:type="dxa" w:w="468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10 (8.3)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 xml:space="preserve">  45-59</w:t>
            </w:r>
          </w:p>
        </w:tc>
        <w:tc>
          <w:tcPr>
            <w:tcW w:type="dxa" w:w="468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62 (51.7)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 xml:space="preserve">  &gt;= 60</w:t>
            </w:r>
          </w:p>
        </w:tc>
        <w:tc>
          <w:tcPr>
            <w:tcW w:type="dxa" w:w="468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48 (40.0)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Sex</w:t>
            </w:r>
          </w:p>
        </w:tc>
        <w:tc>
          <w:tcPr>
            <w:tcW w:type="dxa" w:w="468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 xml:space="preserve">  Male</w:t>
            </w:r>
          </w:p>
        </w:tc>
        <w:tc>
          <w:tcPr>
            <w:tcW w:type="dxa" w:w="468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47 (39.2)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 xml:space="preserve">  Female</w:t>
            </w:r>
          </w:p>
        </w:tc>
        <w:tc>
          <w:tcPr>
            <w:tcW w:type="dxa" w:w="468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73 (60.8)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Body mass index, kg/m²</w:t>
            </w:r>
          </w:p>
        </w:tc>
        <w:tc>
          <w:tcPr>
            <w:tcW w:type="dxa" w:w="468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 xml:space="preserve">  Underweight (&lt; 18.5)</w:t>
            </w:r>
          </w:p>
        </w:tc>
        <w:tc>
          <w:tcPr>
            <w:tcW w:type="dxa" w:w="468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7 (5.8)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 xml:space="preserve">  Normal weight (18.5-22.9)</w:t>
            </w:r>
          </w:p>
        </w:tc>
        <w:tc>
          <w:tcPr>
            <w:tcW w:type="dxa" w:w="468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14 (11.7)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 xml:space="preserve">  Overweight (23.0-24.9)</w:t>
            </w:r>
          </w:p>
        </w:tc>
        <w:tc>
          <w:tcPr>
            <w:tcW w:type="dxa" w:w="468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24 (20.0)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 xml:space="preserve">  Obesity class I (25.0-29.9)</w:t>
            </w:r>
          </w:p>
        </w:tc>
        <w:tc>
          <w:tcPr>
            <w:tcW w:type="dxa" w:w="468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49 (40.8)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 xml:space="preserve">  Obesity class II (&gt;= 30.0)</w:t>
            </w:r>
          </w:p>
        </w:tc>
        <w:tc>
          <w:tcPr>
            <w:tcW w:type="dxa" w:w="468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26 (21.7)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Glycaemic control</w:t>
            </w:r>
          </w:p>
        </w:tc>
        <w:tc>
          <w:tcPr>
            <w:tcW w:type="dxa" w:w="468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 xml:space="preserve">  Controlled (HbA1c &lt; 7%)</w:t>
            </w:r>
          </w:p>
        </w:tc>
        <w:tc>
          <w:tcPr>
            <w:tcW w:type="dxa" w:w="468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43 (35.8)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 xml:space="preserve">  Uncontrolled (HbA1c &gt;= 7%)</w:t>
            </w:r>
          </w:p>
        </w:tc>
        <w:tc>
          <w:tcPr>
            <w:tcW w:type="dxa" w:w="468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77 (64.2)</w:t>
            </w:r>
          </w:p>
        </w:tc>
      </w:tr>
    </w:tbl>
    <w:p>
      <w:pPr>
        <w:spacing w:line="240" w:lineRule="auto" w:after="0"/>
        <w:jc w:val="both"/>
      </w:pPr>
      <w:r>
        <w:rPr>
          <w:rFonts w:ascii="Times New Roman" w:hAnsi="Times New Roman"/>
          <w:sz w:val="18"/>
        </w:rPr>
        <w:t>HbA1c: glycated haemoglobin.</w:t>
      </w:r>
    </w:p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0"/>
      <w:jc w:val="both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