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/>
        <w:jc w:val="left"/>
      </w:pPr>
      <w:r>
        <w:rPr>
          <w:rFonts w:ascii="Times New Roman" w:hAnsi="Times New Roman"/>
          <w:b/>
          <w:sz w:val="20"/>
        </w:rPr>
        <w:t>Table III. Lipid profiles according to sex and body mass index category.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Characteristic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Total cholesterol, mg/dL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Triglycerides, mg/dL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LDL-C, mg/dL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HDL-C, mg/dL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Sex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 xml:space="preserve">  Male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177 (95-315)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142 (49-828)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110 (19-209)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44 (12-73)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 xml:space="preserve">  Female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216 (123-343)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143 (57-617)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129 (45-225)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50 (23-79)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Body mass index, kg/m²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 xml:space="preserve">  Underweight (&lt; 18.5)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205 (145-218)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195 (75-285)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121 (80-144)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43 (26-60)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 xml:space="preserve">  Normal weight (18.5-22.9)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182 (135-235)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116 (57-213)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101 (45-159)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43 (27-79)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 xml:space="preserve">  Overweight (23.0-24.9)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186 (108-343)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129 (49-480)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108 (46-209)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45 (23-75)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 xml:space="preserve">  Obesity class I (25.0-29.9)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212 (95-324)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149 (84-828)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124 (19-225)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47 (12-75)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 xml:space="preserve">  Obesity class II (&gt;= 30.0)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194 (123-264)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150 (66-385)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117 (75-211)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47 (23-74)</w:t>
            </w:r>
          </w:p>
        </w:tc>
      </w:tr>
    </w:tbl>
    <w:p>
      <w:pPr>
        <w:spacing w:line="240" w:lineRule="auto" w:after="0"/>
        <w:jc w:val="both"/>
      </w:pPr>
      <w:r>
        <w:rPr>
          <w:rFonts w:ascii="Times New Roman" w:hAnsi="Times New Roman"/>
          <w:sz w:val="18"/>
        </w:rPr>
        <w:t>Values are median (range). LDL-C: low-density lipoprotein cholesterol; HDL-C: high-density lipoprotein cholesterol.</w:t>
      </w:r>
    </w:p>
    <w:sectPr>
      <w:pgSz w:w="15840" w:h="12240" w:orient="landscape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