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77A50" w14:textId="3E666011" w:rsidR="002B5E7D" w:rsidRDefault="001A17D1" w:rsidP="001A17D1">
      <w:pPr>
        <w:rPr>
          <w:rFonts w:ascii="Times New Roman" w:hAnsi="Times New Roman" w:cs="Times New Roman"/>
          <w:b/>
          <w:bCs/>
          <w:sz w:val="24"/>
          <w:szCs w:val="24"/>
        </w:rPr>
      </w:pPr>
      <w:r w:rsidRPr="001A17D1">
        <w:rPr>
          <w:rFonts w:ascii="Times New Roman" w:hAnsi="Times New Roman" w:cs="Times New Roman"/>
          <w:b/>
          <w:bCs/>
          <w:sz w:val="24"/>
          <w:szCs w:val="24"/>
        </w:rPr>
        <w:t>Periodontitis as a potential oral risk factor for cognitive impairment and neurodegenerative disease: a systematic review and meta-analysis</w:t>
      </w:r>
    </w:p>
    <w:p w14:paraId="521E723D" w14:textId="51C38D60" w:rsidR="001F407B" w:rsidRDefault="001A17D1" w:rsidP="001A17D1">
      <w:pPr>
        <w:spacing w:after="0"/>
        <w:rPr>
          <w:rFonts w:ascii="Times New Roman" w:hAnsi="Times New Roman" w:cs="Times New Roman"/>
          <w:b/>
          <w:bCs/>
          <w:sz w:val="24"/>
          <w:szCs w:val="24"/>
        </w:rPr>
      </w:pPr>
      <w:r>
        <w:rPr>
          <w:rFonts w:ascii="Times New Roman" w:hAnsi="Times New Roman" w:cs="Times New Roman"/>
          <w:b/>
          <w:bCs/>
          <w:sz w:val="24"/>
          <w:szCs w:val="24"/>
        </w:rPr>
        <w:t>Abstract</w:t>
      </w:r>
    </w:p>
    <w:p w14:paraId="745591C6" w14:textId="382AEECF" w:rsidR="001A17D1" w:rsidRPr="001A17D1" w:rsidRDefault="001A17D1" w:rsidP="001A17D1">
      <w:pPr>
        <w:spacing w:after="0"/>
        <w:jc w:val="both"/>
        <w:rPr>
          <w:rFonts w:ascii="Times New Roman" w:hAnsi="Times New Roman" w:cs="Times New Roman"/>
          <w:sz w:val="24"/>
          <w:szCs w:val="24"/>
        </w:rPr>
      </w:pPr>
      <w:r w:rsidRPr="001A17D1">
        <w:rPr>
          <w:rFonts w:ascii="Times New Roman" w:hAnsi="Times New Roman" w:cs="Times New Roman"/>
          <w:b/>
          <w:bCs/>
          <w:sz w:val="24"/>
          <w:szCs w:val="24"/>
        </w:rPr>
        <w:t>Background:</w:t>
      </w:r>
      <w:r>
        <w:rPr>
          <w:rFonts w:ascii="Times New Roman" w:hAnsi="Times New Roman" w:cs="Times New Roman"/>
          <w:sz w:val="24"/>
          <w:szCs w:val="24"/>
        </w:rPr>
        <w:t xml:space="preserve"> </w:t>
      </w:r>
      <w:r w:rsidRPr="001A17D1">
        <w:rPr>
          <w:rFonts w:ascii="Times New Roman" w:hAnsi="Times New Roman" w:cs="Times New Roman"/>
          <w:sz w:val="24"/>
          <w:szCs w:val="24"/>
        </w:rPr>
        <w:t>Periodontitis is a chronic inflammatory periodontal disease that may have systemic implications beyond the oral cavity. Increasing evidence suggests that periodontal inflammation may be associated with cognitive impairment and neurodegenerative disease. This study aimed to analyze the association between periodontitis and cognitive impairment or neurodegenerative disease.</w:t>
      </w:r>
    </w:p>
    <w:p w14:paraId="01A3DBB0" w14:textId="1B99241C" w:rsidR="001A17D1" w:rsidRPr="001A17D1" w:rsidRDefault="001A17D1" w:rsidP="001A17D1">
      <w:pPr>
        <w:spacing w:after="0"/>
        <w:jc w:val="both"/>
        <w:rPr>
          <w:rFonts w:ascii="Times New Roman" w:hAnsi="Times New Roman" w:cs="Times New Roman"/>
          <w:sz w:val="24"/>
          <w:szCs w:val="24"/>
        </w:rPr>
      </w:pPr>
      <w:r w:rsidRPr="001A17D1">
        <w:rPr>
          <w:rFonts w:ascii="Times New Roman" w:hAnsi="Times New Roman" w:cs="Times New Roman"/>
          <w:b/>
          <w:bCs/>
          <w:sz w:val="24"/>
          <w:szCs w:val="24"/>
        </w:rPr>
        <w:t>Methods:</w:t>
      </w:r>
      <w:r w:rsidRPr="001A17D1">
        <w:rPr>
          <w:rFonts w:ascii="Times New Roman" w:hAnsi="Times New Roman" w:cs="Times New Roman"/>
          <w:sz w:val="24"/>
          <w:szCs w:val="24"/>
        </w:rPr>
        <w:t xml:space="preserve"> A systematic review and meta-analysis </w:t>
      </w:r>
      <w:proofErr w:type="gramStart"/>
      <w:r w:rsidRPr="001A17D1">
        <w:rPr>
          <w:rFonts w:ascii="Times New Roman" w:hAnsi="Times New Roman" w:cs="Times New Roman"/>
          <w:sz w:val="24"/>
          <w:szCs w:val="24"/>
        </w:rPr>
        <w:t>was</w:t>
      </w:r>
      <w:proofErr w:type="gramEnd"/>
      <w:r w:rsidRPr="001A17D1">
        <w:rPr>
          <w:rFonts w:ascii="Times New Roman" w:hAnsi="Times New Roman" w:cs="Times New Roman"/>
          <w:sz w:val="24"/>
          <w:szCs w:val="24"/>
        </w:rPr>
        <w:t xml:space="preserve"> conducted following the PRISMA 2020 guideline. Articles were searched in PubMed/MEDLINE, Scopus, and Web of Science, with publication years limited to 2017 onward. Eligible studies were primary quantitative studies involving adult or older adult populations, periodontitis or periodontal disease as the exposure, and cognitive impairment, dementia, Alzheimer’s disease, Parkinson’s disease, or other neurodegenerative outcomes as the outcome. Effect estimates, confidence intervals, p-values, and heterogeneity values were extracted and analyzed using JASP.</w:t>
      </w:r>
    </w:p>
    <w:p w14:paraId="694ED285" w14:textId="5D0B0BA1" w:rsidR="001A17D1" w:rsidRPr="001A17D1" w:rsidRDefault="001A17D1" w:rsidP="001A17D1">
      <w:pPr>
        <w:spacing w:after="0"/>
        <w:jc w:val="both"/>
        <w:rPr>
          <w:rFonts w:ascii="Times New Roman" w:hAnsi="Times New Roman" w:cs="Times New Roman"/>
          <w:sz w:val="24"/>
          <w:szCs w:val="24"/>
        </w:rPr>
      </w:pPr>
      <w:r w:rsidRPr="001A17D1">
        <w:rPr>
          <w:rFonts w:ascii="Times New Roman" w:hAnsi="Times New Roman" w:cs="Times New Roman"/>
          <w:b/>
          <w:bCs/>
          <w:sz w:val="24"/>
          <w:szCs w:val="24"/>
        </w:rPr>
        <w:t>Results:</w:t>
      </w:r>
      <w:r w:rsidRPr="001A17D1">
        <w:rPr>
          <w:rFonts w:ascii="Times New Roman" w:hAnsi="Times New Roman" w:cs="Times New Roman"/>
          <w:sz w:val="24"/>
          <w:szCs w:val="24"/>
        </w:rPr>
        <w:t xml:space="preserve"> Of 378 articles identified, 5 duplicates were removed, 373 articles were screened, 82 full-text articles were assessed, and 12 studies met the inclusion criteria. Most studies showed a positive association between severe, long-standing, or untreated periodontitis and cognitive or neurodegenerative outcomes. The pooled effect was 0.15 with a 95% confidence interval of 0.05–0.26 and p = 0.007. Significant heterogeneity was observed, with </w:t>
      </w:r>
      <w:proofErr w:type="gramStart"/>
      <w:r w:rsidRPr="001A17D1">
        <w:rPr>
          <w:rFonts w:ascii="Times New Roman" w:hAnsi="Times New Roman" w:cs="Times New Roman"/>
          <w:sz w:val="24"/>
          <w:szCs w:val="24"/>
        </w:rPr>
        <w:t>Q(</w:t>
      </w:r>
      <w:proofErr w:type="gramEnd"/>
      <w:r w:rsidRPr="001A17D1">
        <w:rPr>
          <w:rFonts w:ascii="Times New Roman" w:hAnsi="Times New Roman" w:cs="Times New Roman"/>
          <w:sz w:val="24"/>
          <w:szCs w:val="24"/>
        </w:rPr>
        <w:t>11) = 39.24 and p &lt; 0.001.</w:t>
      </w:r>
    </w:p>
    <w:p w14:paraId="5F7454B1" w14:textId="0BCA07F1" w:rsidR="001F407B" w:rsidRPr="001F407B" w:rsidRDefault="001A17D1" w:rsidP="001A17D1">
      <w:pPr>
        <w:jc w:val="both"/>
        <w:rPr>
          <w:rFonts w:ascii="Times New Roman" w:hAnsi="Times New Roman" w:cs="Times New Roman"/>
          <w:sz w:val="24"/>
          <w:szCs w:val="24"/>
        </w:rPr>
      </w:pPr>
      <w:r w:rsidRPr="001A17D1">
        <w:rPr>
          <w:rFonts w:ascii="Times New Roman" w:hAnsi="Times New Roman" w:cs="Times New Roman"/>
          <w:b/>
          <w:bCs/>
          <w:sz w:val="24"/>
          <w:szCs w:val="24"/>
        </w:rPr>
        <w:t>Conclusion:</w:t>
      </w:r>
      <w:r w:rsidRPr="001A17D1">
        <w:rPr>
          <w:rFonts w:ascii="Times New Roman" w:hAnsi="Times New Roman" w:cs="Times New Roman"/>
          <w:sz w:val="24"/>
          <w:szCs w:val="24"/>
        </w:rPr>
        <w:t xml:space="preserve"> Periodontitis was significantly associated with cognitive impairment and neurodegenerative disease. These findings support the relevance of periodontal health as a potentially modifiable factor in preventive periodontal care for adult and older populations.</w:t>
      </w:r>
    </w:p>
    <w:p w14:paraId="41221109" w14:textId="45BE26F3" w:rsidR="001F407B" w:rsidRPr="001F407B" w:rsidRDefault="00063423" w:rsidP="001A17D1">
      <w:pPr>
        <w:jc w:val="both"/>
        <w:rPr>
          <w:rFonts w:ascii="Times New Roman" w:hAnsi="Times New Roman" w:cs="Times New Roman"/>
          <w:sz w:val="24"/>
          <w:szCs w:val="24"/>
        </w:rPr>
      </w:pPr>
      <w:r>
        <w:rPr>
          <w:rFonts w:ascii="Times New Roman" w:hAnsi="Times New Roman" w:cs="Times New Roman"/>
          <w:b/>
          <w:bCs/>
          <w:sz w:val="24"/>
          <w:szCs w:val="24"/>
        </w:rPr>
        <w:t>Keywords</w:t>
      </w:r>
      <w:r w:rsidR="001F407B" w:rsidRPr="001F407B">
        <w:rPr>
          <w:rFonts w:ascii="Times New Roman" w:hAnsi="Times New Roman" w:cs="Times New Roman"/>
          <w:b/>
          <w:bCs/>
          <w:sz w:val="24"/>
          <w:szCs w:val="24"/>
        </w:rPr>
        <w:t>:</w:t>
      </w:r>
      <w:r w:rsidR="001F407B" w:rsidRPr="001F407B">
        <w:rPr>
          <w:rFonts w:ascii="Times New Roman" w:hAnsi="Times New Roman" w:cs="Times New Roman"/>
          <w:sz w:val="24"/>
          <w:szCs w:val="24"/>
        </w:rPr>
        <w:t xml:space="preserve"> </w:t>
      </w:r>
      <w:proofErr w:type="spellStart"/>
      <w:r w:rsidR="001A17D1" w:rsidRPr="001A17D1">
        <w:rPr>
          <w:rFonts w:ascii="Times New Roman" w:hAnsi="Times New Roman" w:cs="Times New Roman"/>
          <w:sz w:val="24"/>
          <w:szCs w:val="24"/>
        </w:rPr>
        <w:t>alzheimer</w:t>
      </w:r>
      <w:proofErr w:type="spellEnd"/>
      <w:r w:rsidR="001A17D1" w:rsidRPr="001A17D1">
        <w:rPr>
          <w:rFonts w:ascii="Times New Roman" w:hAnsi="Times New Roman" w:cs="Times New Roman"/>
          <w:sz w:val="24"/>
          <w:szCs w:val="24"/>
        </w:rPr>
        <w:t xml:space="preserve"> disease; cognitive dysfunction; dementia; neurodegenerative diseases; periodontal diseases; periodontitis</w:t>
      </w:r>
    </w:p>
    <w:p w14:paraId="77FBE08D" w14:textId="77777777" w:rsidR="001F407B" w:rsidRPr="007F0F25" w:rsidRDefault="001F407B" w:rsidP="002B5E7D">
      <w:pPr>
        <w:rPr>
          <w:rFonts w:ascii="Times New Roman" w:hAnsi="Times New Roman" w:cs="Times New Roman"/>
          <w:b/>
          <w:bCs/>
          <w:sz w:val="24"/>
          <w:szCs w:val="24"/>
        </w:rPr>
      </w:pPr>
    </w:p>
    <w:p w14:paraId="13C5816C" w14:textId="11FADBEC" w:rsidR="002B5E7D" w:rsidRPr="007F0F25" w:rsidRDefault="00063423" w:rsidP="00063423">
      <w:pPr>
        <w:rPr>
          <w:rFonts w:ascii="Times New Roman" w:hAnsi="Times New Roman" w:cs="Times New Roman"/>
          <w:b/>
          <w:bCs/>
          <w:sz w:val="24"/>
          <w:szCs w:val="24"/>
        </w:rPr>
      </w:pPr>
      <w:r w:rsidRPr="00063423">
        <w:rPr>
          <w:rFonts w:ascii="Times New Roman" w:hAnsi="Times New Roman" w:cs="Times New Roman"/>
          <w:b/>
          <w:bCs/>
          <w:sz w:val="24"/>
          <w:szCs w:val="24"/>
        </w:rPr>
        <w:t>INTRODUCTION</w:t>
      </w:r>
    </w:p>
    <w:p w14:paraId="2BB7E75A" w14:textId="7FCD3C81" w:rsidR="00F07A35" w:rsidRPr="00F07A35" w:rsidRDefault="00F07A35" w:rsidP="00F07A35">
      <w:pPr>
        <w:spacing w:after="0"/>
        <w:ind w:firstLine="709"/>
        <w:jc w:val="both"/>
        <w:rPr>
          <w:rFonts w:ascii="Times New Roman" w:hAnsi="Times New Roman" w:cs="Times New Roman"/>
          <w:sz w:val="24"/>
          <w:szCs w:val="24"/>
        </w:rPr>
      </w:pPr>
      <w:r w:rsidRPr="00F07A35">
        <w:rPr>
          <w:rFonts w:ascii="Times New Roman" w:hAnsi="Times New Roman" w:cs="Times New Roman"/>
          <w:sz w:val="24"/>
          <w:szCs w:val="24"/>
        </w:rPr>
        <w:t xml:space="preserve">Periodontitis is a chronic inflammatory disease affecting the supporting tissues of the teeth. It is characterized by gingival inflammation, bleeding, periodontal pocket formation, clinical attachment loss, alveolar bone destruction, and, in advanced stages, tooth loss. Severe periodontal disease remains a major global oral health burden and affects a large adult population </w:t>
      </w:r>
      <w:proofErr w:type="gramStart"/>
      <w:r w:rsidRPr="00F07A35">
        <w:rPr>
          <w:rFonts w:ascii="Times New Roman" w:hAnsi="Times New Roman" w:cs="Times New Roman"/>
          <w:sz w:val="24"/>
          <w:szCs w:val="24"/>
        </w:rPr>
        <w:t>worldwide.¹</w:t>
      </w:r>
      <w:proofErr w:type="gramEnd"/>
      <w:r w:rsidRPr="00F07A35">
        <w:rPr>
          <w:rFonts w:ascii="Times New Roman" w:hAnsi="Times New Roman" w:cs="Times New Roman"/>
          <w:sz w:val="24"/>
          <w:szCs w:val="24"/>
        </w:rPr>
        <w:t xml:space="preserve"> Beyond its local effects on oral function, chewing ability, nutrition, and quality of life, periodontitis is increasingly recognized as a chronic inflammatory condition that may contribute to systemic health problems.</w:t>
      </w:r>
    </w:p>
    <w:p w14:paraId="25B8F2C1" w14:textId="77777777" w:rsidR="00F07A35" w:rsidRDefault="00F07A35" w:rsidP="00F07A35">
      <w:pPr>
        <w:ind w:firstLine="709"/>
        <w:jc w:val="both"/>
        <w:rPr>
          <w:rFonts w:ascii="Times New Roman" w:hAnsi="Times New Roman" w:cs="Times New Roman"/>
          <w:sz w:val="24"/>
          <w:szCs w:val="24"/>
        </w:rPr>
      </w:pPr>
      <w:r w:rsidRPr="00F07A35">
        <w:rPr>
          <w:rFonts w:ascii="Times New Roman" w:hAnsi="Times New Roman" w:cs="Times New Roman"/>
          <w:sz w:val="24"/>
          <w:szCs w:val="24"/>
        </w:rPr>
        <w:t xml:space="preserve">Cognitive impairment and neurodegenerative diseases are also important health problems in adult and older populations. Dementia affects millions of people worldwide and is associated with progressive decline in memory, thinking, behavior, and ability to perform daily </w:t>
      </w:r>
      <w:proofErr w:type="gramStart"/>
      <w:r w:rsidRPr="00F07A35">
        <w:rPr>
          <w:rFonts w:ascii="Times New Roman" w:hAnsi="Times New Roman" w:cs="Times New Roman"/>
          <w:sz w:val="24"/>
          <w:szCs w:val="24"/>
        </w:rPr>
        <w:t>activities.²</w:t>
      </w:r>
      <w:proofErr w:type="gramEnd"/>
      <w:r w:rsidRPr="00F07A35">
        <w:rPr>
          <w:rFonts w:ascii="Times New Roman" w:hAnsi="Times New Roman" w:cs="Times New Roman"/>
          <w:sz w:val="24"/>
          <w:szCs w:val="24"/>
        </w:rPr>
        <w:t xml:space="preserve"> Alzheimer disease is the most common form of dementia, while other neurodegenerative diseases, including Parkinson disease and vascular dementia, also contribute to functional decline in older adults. The coexistence of periodontal disease and cognitive decline in aging populations creates an important question regarding whether periodontal health may be related to brain health.</w:t>
      </w:r>
    </w:p>
    <w:p w14:paraId="0E9E48CF" w14:textId="43459B6C" w:rsidR="00F07A35" w:rsidRPr="00F07A35" w:rsidRDefault="00F07A35" w:rsidP="00F07A35">
      <w:pPr>
        <w:spacing w:after="0"/>
        <w:ind w:firstLine="709"/>
        <w:jc w:val="both"/>
        <w:rPr>
          <w:rFonts w:ascii="Times New Roman" w:hAnsi="Times New Roman" w:cs="Times New Roman"/>
          <w:sz w:val="24"/>
          <w:szCs w:val="24"/>
        </w:rPr>
      </w:pPr>
      <w:r w:rsidRPr="00F07A35">
        <w:rPr>
          <w:rFonts w:ascii="Times New Roman" w:hAnsi="Times New Roman" w:cs="Times New Roman"/>
          <w:sz w:val="24"/>
          <w:szCs w:val="24"/>
        </w:rPr>
        <w:lastRenderedPageBreak/>
        <w:t xml:space="preserve">Several biological mechanisms have been proposed to explain the possible relationship between periodontitis and cognitive impairment. Periodontal pathogens and periodontal inflammation can stimulate the release of inflammatory mediators, including interleukin-1β, interleukin-6, tumor necrosis factor-α, and C-reactive protein. These inflammatory mediators may enter systemic circulation and contribute to endothelial dysfunction, oxidative stress, blood-brain barrier disruption, and neuroinflammatory processes. The oral-brain axis has been described as one possible pathway through which periodontal pathogens and inflammatory responses may influence pathological processes in the </w:t>
      </w:r>
      <w:proofErr w:type="gramStart"/>
      <w:r w:rsidRPr="00F07A35">
        <w:rPr>
          <w:rFonts w:ascii="Times New Roman" w:hAnsi="Times New Roman" w:cs="Times New Roman"/>
          <w:sz w:val="24"/>
          <w:szCs w:val="24"/>
        </w:rPr>
        <w:t>brain.³</w:t>
      </w:r>
      <w:proofErr w:type="gramEnd"/>
    </w:p>
    <w:p w14:paraId="062B8E7D" w14:textId="00163B8D" w:rsidR="00F07A35" w:rsidRPr="00F07A35" w:rsidRDefault="00F07A35" w:rsidP="00F07A35">
      <w:pPr>
        <w:spacing w:after="0"/>
        <w:ind w:firstLine="709"/>
        <w:jc w:val="both"/>
        <w:rPr>
          <w:rFonts w:ascii="Times New Roman" w:hAnsi="Times New Roman" w:cs="Times New Roman"/>
          <w:sz w:val="24"/>
          <w:szCs w:val="24"/>
        </w:rPr>
      </w:pPr>
      <w:r w:rsidRPr="00F07A35">
        <w:rPr>
          <w:rFonts w:ascii="Times New Roman" w:hAnsi="Times New Roman" w:cs="Times New Roman"/>
          <w:sz w:val="24"/>
          <w:szCs w:val="24"/>
        </w:rPr>
        <w:t>Porphyromonas gingivalis has received particular attention because of its virulence factors, lipopolysaccharides, gingipains, and possible involvement in neurodegenerative pathways. Previous evidence suggests that P. gingivalis may cross the blood-brain barrier or mediate neural injury through inflammatory pathways and the gut-brain axis.⁴ Experimental evidence has also shown that P. gingivalis-induced periodontitis may promote neuroinflammation, tau hyperphosphorylation, neuronal loss, and dysfunction of the brain barrier.⁵ These findings provide biological plausibility for the association between chronic periodontal inflammation and cognitive or neurodegenerative outcomes.</w:t>
      </w:r>
    </w:p>
    <w:p w14:paraId="100DA020" w14:textId="2718AFA6" w:rsidR="00F07A35" w:rsidRPr="00F07A35" w:rsidRDefault="00F07A35" w:rsidP="00F07A35">
      <w:pPr>
        <w:spacing w:after="0"/>
        <w:ind w:firstLine="709"/>
        <w:jc w:val="both"/>
        <w:rPr>
          <w:rFonts w:ascii="Times New Roman" w:hAnsi="Times New Roman" w:cs="Times New Roman"/>
          <w:sz w:val="24"/>
          <w:szCs w:val="24"/>
        </w:rPr>
      </w:pPr>
      <w:r w:rsidRPr="00F07A35">
        <w:rPr>
          <w:rFonts w:ascii="Times New Roman" w:hAnsi="Times New Roman" w:cs="Times New Roman"/>
          <w:sz w:val="24"/>
          <w:szCs w:val="24"/>
        </w:rPr>
        <w:t>The epidemiological relationship between periodontal health and cognitive decline has been reported in previous longitudinal evidence. Poor periodontal health, including periodontitis, tooth loss, deep periodontal pockets, and alveolar bone loss, has been associated with increased risk of cognitive decline and dementia.⁶ Other reviews have also reported associations between periodontal disease, cognitive impairment, dementia, and Alzheimer disease pathology, including possible involvement of inflammatory biomarkers.⁷,⁸ Evidence in older populations suggests that periodontitis, tooth loss, compromised occlusal support, and reduced masticatory ability may be related to a higher risk of cognitive impairment.⁹</w:t>
      </w:r>
    </w:p>
    <w:p w14:paraId="14886991" w14:textId="05013545" w:rsidR="00F07A35" w:rsidRPr="00F07A35" w:rsidRDefault="00F07A35" w:rsidP="00F07A35">
      <w:pPr>
        <w:spacing w:after="0"/>
        <w:ind w:firstLine="709"/>
        <w:jc w:val="both"/>
        <w:rPr>
          <w:rFonts w:ascii="Times New Roman" w:hAnsi="Times New Roman" w:cs="Times New Roman"/>
          <w:sz w:val="24"/>
          <w:szCs w:val="24"/>
        </w:rPr>
      </w:pPr>
      <w:r w:rsidRPr="00F07A35">
        <w:rPr>
          <w:rFonts w:ascii="Times New Roman" w:hAnsi="Times New Roman" w:cs="Times New Roman"/>
          <w:sz w:val="24"/>
          <w:szCs w:val="24"/>
        </w:rPr>
        <w:t>However, the strength of evidence differs across neurological outcomes. The association appears more consistent for Alzheimer disease and dementia, while evidence for Parkinson disease and other neurodegenerative disorders remains less robust.¹⁰ Other authors have also suggested that periodontal disease and Alzheimer disease may be linked through inflammatory and microbial pathways, although causality has not yet been established.¹¹,¹² This variation indicates that the relationship between periodontitis and neurodegenerative outcomes should be interpreted carefully according to the type of periodontal exposure, neurological outcome, study design, and confounding factors.</w:t>
      </w:r>
    </w:p>
    <w:p w14:paraId="3FEC80CE" w14:textId="3C011104" w:rsidR="00F07A35" w:rsidRPr="00F07A35" w:rsidRDefault="00F07A35" w:rsidP="00F07A35">
      <w:pPr>
        <w:spacing w:after="0"/>
        <w:ind w:firstLine="709"/>
        <w:jc w:val="both"/>
        <w:rPr>
          <w:rFonts w:ascii="Times New Roman" w:hAnsi="Times New Roman" w:cs="Times New Roman"/>
          <w:sz w:val="24"/>
          <w:szCs w:val="24"/>
        </w:rPr>
      </w:pPr>
      <w:r w:rsidRPr="00F07A35">
        <w:rPr>
          <w:rFonts w:ascii="Times New Roman" w:hAnsi="Times New Roman" w:cs="Times New Roman"/>
          <w:sz w:val="24"/>
          <w:szCs w:val="24"/>
        </w:rPr>
        <w:t>Evidence from Indonesia and other aging populations also supports the relevance of modifiable factors in cognitive impairment. Cognitive impairment among older adults has been associated with social, behavioral, nutritional, and health-related factors.¹³ Dementia care in Indonesia also remains an important public health issue, especially because awareness, care networks, and access to support services vary across communities.¹⁴ Although these studies do not directly position periodontitis as the main exposure, they support the need to examine potentially modifiable health factors that may contribute to cognitive decline.</w:t>
      </w:r>
    </w:p>
    <w:p w14:paraId="40A06C81" w14:textId="159C6A23" w:rsidR="00F07A35" w:rsidRPr="00F07A35" w:rsidRDefault="00F07A35" w:rsidP="00F07A35">
      <w:pPr>
        <w:spacing w:after="0"/>
        <w:ind w:firstLine="709"/>
        <w:jc w:val="both"/>
        <w:rPr>
          <w:rFonts w:ascii="Times New Roman" w:hAnsi="Times New Roman" w:cs="Times New Roman"/>
          <w:sz w:val="24"/>
          <w:szCs w:val="24"/>
        </w:rPr>
      </w:pPr>
      <w:r w:rsidRPr="00F07A35">
        <w:rPr>
          <w:rFonts w:ascii="Times New Roman" w:hAnsi="Times New Roman" w:cs="Times New Roman"/>
          <w:sz w:val="24"/>
          <w:szCs w:val="24"/>
        </w:rPr>
        <w:t xml:space="preserve">The research gap in this field lies in several issues. First, definitions of periodontitis are not uniform across studies because some studies use clinical attachment loss, probing pocket depth, bleeding on probing, alveolar bone loss, periodontal diagnosis, treatment status, tooth loss, or other indicators of poor periodontal health. Second, neurological outcomes are often combined, including mild cognitive impairment, cognitive decline, Alzheimer disease, all-cause dementia, vascular dementia, Parkinson disease, and amyloid pathology, although these outcomes differ clinically. Third, most available evidence is observational and may be affected </w:t>
      </w:r>
      <w:r w:rsidRPr="00F07A35">
        <w:rPr>
          <w:rFonts w:ascii="Times New Roman" w:hAnsi="Times New Roman" w:cs="Times New Roman"/>
          <w:sz w:val="24"/>
          <w:szCs w:val="24"/>
        </w:rPr>
        <w:lastRenderedPageBreak/>
        <w:t>by age, smoking, diabetes, education, depression, socioeconomic status, oral hygiene, and reverse causality. Fourth, previous reviews have reported associations, but further synthesis is still needed to clarify the direction of association using quantitative effect estimates.</w:t>
      </w:r>
    </w:p>
    <w:p w14:paraId="1FDFE535" w14:textId="656F744B" w:rsidR="00451960" w:rsidRPr="007F0F25" w:rsidRDefault="00F07A35" w:rsidP="00F07A35">
      <w:pPr>
        <w:ind w:firstLine="709"/>
        <w:jc w:val="both"/>
        <w:rPr>
          <w:rFonts w:ascii="Times New Roman" w:hAnsi="Times New Roman" w:cs="Times New Roman"/>
          <w:sz w:val="24"/>
          <w:szCs w:val="24"/>
        </w:rPr>
      </w:pPr>
      <w:r w:rsidRPr="00F07A35">
        <w:rPr>
          <w:rFonts w:ascii="Times New Roman" w:hAnsi="Times New Roman" w:cs="Times New Roman"/>
          <w:sz w:val="24"/>
          <w:szCs w:val="24"/>
        </w:rPr>
        <w:t>Therefore, this systematic review and meta-analysis was conducted to analyze the association between periodontitis and cognitive impairment or neurodegenerative disease. This study also aims to position periodontal health as a potentially modifiable factor in preventive periodontal care for adult and older populations</w:t>
      </w:r>
      <w:r w:rsidR="00762B5B" w:rsidRPr="00762B5B">
        <w:rPr>
          <w:rFonts w:ascii="Times New Roman" w:hAnsi="Times New Roman" w:cs="Times New Roman"/>
          <w:sz w:val="24"/>
          <w:szCs w:val="24"/>
        </w:rPr>
        <w:t>.</w:t>
      </w:r>
    </w:p>
    <w:p w14:paraId="490D290A" w14:textId="6C25F1A1" w:rsidR="00273299" w:rsidRPr="007F0F25" w:rsidRDefault="00F07A35">
      <w:pPr>
        <w:rPr>
          <w:rFonts w:ascii="Times New Roman" w:hAnsi="Times New Roman" w:cs="Times New Roman"/>
          <w:b/>
          <w:bCs/>
          <w:sz w:val="24"/>
          <w:szCs w:val="24"/>
        </w:rPr>
      </w:pPr>
      <w:r w:rsidRPr="00762B5B">
        <w:rPr>
          <w:rFonts w:ascii="Times New Roman" w:hAnsi="Times New Roman" w:cs="Times New Roman"/>
          <w:b/>
          <w:bCs/>
          <w:sz w:val="24"/>
          <w:szCs w:val="24"/>
        </w:rPr>
        <w:t>Method</w:t>
      </w:r>
      <w:r>
        <w:rPr>
          <w:rFonts w:ascii="Times New Roman" w:hAnsi="Times New Roman" w:cs="Times New Roman"/>
          <w:b/>
          <w:bCs/>
          <w:sz w:val="24"/>
          <w:szCs w:val="24"/>
        </w:rPr>
        <w:t>s</w:t>
      </w:r>
    </w:p>
    <w:p w14:paraId="1D6278A3" w14:textId="3F75D146" w:rsidR="006E41C2" w:rsidRPr="006E41C2" w:rsidRDefault="006E41C2" w:rsidP="006E41C2">
      <w:pPr>
        <w:spacing w:after="0"/>
        <w:jc w:val="both"/>
        <w:rPr>
          <w:rFonts w:ascii="Times New Roman" w:hAnsi="Times New Roman" w:cs="Times New Roman"/>
          <w:b/>
          <w:bCs/>
          <w:sz w:val="24"/>
          <w:szCs w:val="24"/>
        </w:rPr>
      </w:pPr>
      <w:r w:rsidRPr="006E41C2">
        <w:rPr>
          <w:rFonts w:ascii="Times New Roman" w:hAnsi="Times New Roman" w:cs="Times New Roman"/>
          <w:b/>
          <w:bCs/>
          <w:sz w:val="24"/>
          <w:szCs w:val="24"/>
        </w:rPr>
        <w:t>Study design</w:t>
      </w:r>
    </w:p>
    <w:p w14:paraId="475D6F32" w14:textId="25EA4C5D"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 xml:space="preserve">This study used a systematic review and meta-analysis design to analyze the association between periodontitis and cognitive impairment or neurodegenerative disease. The review was conducted according to the PRISMA 2020 </w:t>
      </w:r>
      <w:proofErr w:type="gramStart"/>
      <w:r w:rsidRPr="006E41C2">
        <w:rPr>
          <w:rFonts w:ascii="Times New Roman" w:hAnsi="Times New Roman" w:cs="Times New Roman"/>
          <w:sz w:val="24"/>
          <w:szCs w:val="24"/>
        </w:rPr>
        <w:t>guideline.¹</w:t>
      </w:r>
      <w:proofErr w:type="gramEnd"/>
      <w:r w:rsidRPr="006E41C2">
        <w:rPr>
          <w:rFonts w:ascii="Times New Roman" w:hAnsi="Times New Roman" w:cs="Times New Roman"/>
          <w:sz w:val="24"/>
          <w:szCs w:val="24"/>
        </w:rPr>
        <w:t>⁵ A meta-analysis was performed because this study aimed not only to summarize previous findings but also to combine quantitative data from eligible primary studies to estimate the direction and significance of the association between periodontitis and cognitive or neurodegenerative outcomes. The principles of quantitative synthesis and heterogeneity assessment followed general recommendations for systematic reviews and meta-</w:t>
      </w:r>
      <w:proofErr w:type="gramStart"/>
      <w:r w:rsidRPr="006E41C2">
        <w:rPr>
          <w:rFonts w:ascii="Times New Roman" w:hAnsi="Times New Roman" w:cs="Times New Roman"/>
          <w:sz w:val="24"/>
          <w:szCs w:val="24"/>
        </w:rPr>
        <w:t>analyses.¹</w:t>
      </w:r>
      <w:proofErr w:type="gramEnd"/>
      <w:r w:rsidRPr="006E41C2">
        <w:rPr>
          <w:rFonts w:ascii="Times New Roman" w:hAnsi="Times New Roman" w:cs="Times New Roman"/>
          <w:sz w:val="24"/>
          <w:szCs w:val="24"/>
        </w:rPr>
        <w:t>⁶</w:t>
      </w:r>
    </w:p>
    <w:p w14:paraId="4CCA0046" w14:textId="7D20975F" w:rsidR="006E41C2" w:rsidRPr="006E41C2" w:rsidRDefault="006E41C2" w:rsidP="006E41C2">
      <w:pPr>
        <w:spacing w:after="0"/>
        <w:jc w:val="both"/>
        <w:rPr>
          <w:rFonts w:ascii="Times New Roman" w:hAnsi="Times New Roman" w:cs="Times New Roman"/>
          <w:b/>
          <w:bCs/>
          <w:sz w:val="24"/>
          <w:szCs w:val="24"/>
        </w:rPr>
      </w:pPr>
      <w:r w:rsidRPr="006E41C2">
        <w:rPr>
          <w:rFonts w:ascii="Times New Roman" w:hAnsi="Times New Roman" w:cs="Times New Roman"/>
          <w:b/>
          <w:bCs/>
          <w:sz w:val="24"/>
          <w:szCs w:val="24"/>
        </w:rPr>
        <w:t>PECO framework</w:t>
      </w:r>
    </w:p>
    <w:p w14:paraId="568E7E4E" w14:textId="665C1A1C"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The research question was developed using the PECO framework. The population consisted of adult or older adult populations whose periodontal status and/or cognitive status were assessed. The exposure was periodontitis or periodontal disease, including clinical diagnosis, clinical attachment loss, probing pocket depth, bleeding on probing, alveolar bone loss, periodontal diagnosis, or other periodontal indicators reported in the included studies. The comparison group consisted of individuals without periodontitis, individuals with better periodontal health, control groups, or reference groups without severe periodontal exposure. The outcomes were cognitive impairment, mild cognitive impairment, cognitive decline, dementia, Alzheimer disease, Parkinson disease, and other neurodegenerative diseases assessed through clinical diagnosis, registry data, medical records, or standardized cognitive instruments. The PECO framework is presented in Table 1.</w:t>
      </w:r>
    </w:p>
    <w:p w14:paraId="451E0077" w14:textId="76629516" w:rsidR="006E41C2" w:rsidRPr="006E41C2" w:rsidRDefault="006E41C2" w:rsidP="006E41C2">
      <w:pPr>
        <w:spacing w:after="0"/>
        <w:jc w:val="both"/>
        <w:rPr>
          <w:rFonts w:ascii="Times New Roman" w:hAnsi="Times New Roman" w:cs="Times New Roman"/>
          <w:b/>
          <w:bCs/>
          <w:sz w:val="24"/>
          <w:szCs w:val="24"/>
        </w:rPr>
      </w:pPr>
      <w:r w:rsidRPr="006E41C2">
        <w:rPr>
          <w:rFonts w:ascii="Times New Roman" w:hAnsi="Times New Roman" w:cs="Times New Roman"/>
          <w:b/>
          <w:bCs/>
          <w:sz w:val="24"/>
          <w:szCs w:val="24"/>
        </w:rPr>
        <w:t>Search strategy</w:t>
      </w:r>
    </w:p>
    <w:p w14:paraId="6C7565F4" w14:textId="3EFE62EE"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A systematic literature search was conducted in PubMed/MEDLINE, Scopus, and Web of Science. The search was limited to articles published from 2017 onward. Keywords were combined using Boolean operators. The periodontal exposure terms included “periodontitis,” “periodontal disease,” “periodontal health,” “clinical attachment loss,” “probing pocket depth,” “alveolar bone loss,” and “tooth loss.” The cognitive and neurodegenerative outcome terms included “cognitive impairment,” “cognitive decline,” “mild cognitive impairment,” “dementia,” “Alzheimer disease,” “Parkinson disease,” and “neurodegenerative disease.” Terms related to statistical measures, including “odds ratio,” “confidence interval,” “risk factor,” and “association,” were also used to identify studies suitable for quantitative synthesis. The number of articles identified from each database is shown in Table 2.</w:t>
      </w:r>
    </w:p>
    <w:p w14:paraId="01E4FFEA" w14:textId="40261AB4" w:rsidR="006E41C2" w:rsidRPr="006E41C2" w:rsidRDefault="006E41C2" w:rsidP="006E41C2">
      <w:pPr>
        <w:spacing w:after="0"/>
        <w:jc w:val="both"/>
        <w:rPr>
          <w:rFonts w:ascii="Times New Roman" w:hAnsi="Times New Roman" w:cs="Times New Roman"/>
          <w:b/>
          <w:bCs/>
          <w:sz w:val="24"/>
          <w:szCs w:val="24"/>
        </w:rPr>
      </w:pPr>
      <w:r w:rsidRPr="006E41C2">
        <w:rPr>
          <w:rFonts w:ascii="Times New Roman" w:hAnsi="Times New Roman" w:cs="Times New Roman"/>
          <w:b/>
          <w:bCs/>
          <w:sz w:val="24"/>
          <w:szCs w:val="24"/>
        </w:rPr>
        <w:t>Eligibility criteria</w:t>
      </w:r>
    </w:p>
    <w:p w14:paraId="623EBF19" w14:textId="0A201F21"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 xml:space="preserve">The inclusion criteria were as follows: articles published in 2017 or later; primary quantitative studies; adult or older adult populations; studies examining periodontitis or periodontal disease as the main exposure; studies evaluating cognitive impairment, cognitive decline, dementia, Alzheimer disease, Parkinson disease, or other neurodegenerative diseases </w:t>
      </w:r>
      <w:r w:rsidRPr="006E41C2">
        <w:rPr>
          <w:rFonts w:ascii="Times New Roman" w:hAnsi="Times New Roman" w:cs="Times New Roman"/>
          <w:sz w:val="24"/>
          <w:szCs w:val="24"/>
        </w:rPr>
        <w:lastRenderedPageBreak/>
        <w:t>as outcomes; studies reporting odds ratio, hazard ratio, confidence interval, p-value, or data that could be used for effect size calculation; full-text availability; and articles written in English or Indonesian.</w:t>
      </w:r>
    </w:p>
    <w:p w14:paraId="5EBDB684" w14:textId="0D56DC41"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The exclusion criteria were as follows: review articles, systematic reviews, meta-analyses, scoping reviews, narrative reviews, editorials, letters, protocols, case reports, and case series; studies that did not separate periodontitis data from other oral health exposures; studies that only discussed periodontal microbiology without cognitive or neurological outcomes; studies that only discussed tooth loss without explaining its periodontal association; studies without usable statistical data; and duplicate studies from the same dataset.</w:t>
      </w:r>
    </w:p>
    <w:p w14:paraId="0CBEA395" w14:textId="584C63FB" w:rsidR="006E41C2" w:rsidRPr="006E41C2" w:rsidRDefault="006E41C2" w:rsidP="006E41C2">
      <w:pPr>
        <w:spacing w:after="0"/>
        <w:jc w:val="both"/>
        <w:rPr>
          <w:rFonts w:ascii="Times New Roman" w:hAnsi="Times New Roman" w:cs="Times New Roman"/>
          <w:sz w:val="24"/>
          <w:szCs w:val="24"/>
        </w:rPr>
      </w:pPr>
      <w:r w:rsidRPr="006E41C2">
        <w:rPr>
          <w:rFonts w:ascii="Times New Roman" w:hAnsi="Times New Roman" w:cs="Times New Roman"/>
          <w:sz w:val="24"/>
          <w:szCs w:val="24"/>
        </w:rPr>
        <w:t>Study selection</w:t>
      </w:r>
    </w:p>
    <w:p w14:paraId="071D6FC9" w14:textId="05A48122"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The initial search identified 378 articles from PubMed/MEDLINE, Scopus, and Web of Science. These consisted of 124 articles from PubMed/MEDLINE, 156 articles from Scopus, and 98 articles from Web of Science. After duplicate checking, 5 duplicate articles were removed, leaving 373 articles for title and abstract screening. At this stage, 291 articles were excluded because they were not aligned with the focus of the study, did not discuss periodontitis as the main exposure, did not evaluate cognitive impairment or neurodegenerative disease as outcomes, did not report relevant statistical data, or had inappropriate publication designs. Therefore, 82 articles were assessed in full text.</w:t>
      </w:r>
    </w:p>
    <w:p w14:paraId="77D7E012" w14:textId="12FAACE0"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During full-text assessment, 70 articles were excluded for specific reasons. Twenty-two articles did not report odds ratio, p-value, or confidence interval values; 13 articles did not clearly describe periodontal exposure; 11 articles did not specify neurological outcomes related to cognitive impairment or neurodegenerative disease; 8 articles had unsuitable study populations; 7 articles had inappropriate study designs; 6 articles reported data that could not be used for meta-analysis; and 3 articles were not available in full text. Finally, 12 articles met the inclusion criteria and were included in the qualitative and quantitative synthesis. The complete study selection process is shown in Figure 1.</w:t>
      </w:r>
    </w:p>
    <w:p w14:paraId="5D922FE9" w14:textId="35C6D7B4" w:rsidR="006E41C2" w:rsidRPr="006E41C2" w:rsidRDefault="006E41C2" w:rsidP="006E41C2">
      <w:pPr>
        <w:spacing w:after="0"/>
        <w:jc w:val="both"/>
        <w:rPr>
          <w:rFonts w:ascii="Times New Roman" w:hAnsi="Times New Roman" w:cs="Times New Roman"/>
          <w:b/>
          <w:bCs/>
          <w:sz w:val="24"/>
          <w:szCs w:val="24"/>
        </w:rPr>
      </w:pPr>
      <w:r w:rsidRPr="006E41C2">
        <w:rPr>
          <w:rFonts w:ascii="Times New Roman" w:hAnsi="Times New Roman" w:cs="Times New Roman"/>
          <w:b/>
          <w:bCs/>
          <w:sz w:val="24"/>
          <w:szCs w:val="24"/>
        </w:rPr>
        <w:t>Data extraction</w:t>
      </w:r>
    </w:p>
    <w:p w14:paraId="081FA0D1" w14:textId="284DF56D"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Data were extracted from each eligible study, including author name, year of publication, country or data source, study design, sample size, periodontal exposure, cognitive or neurodegenerative outcome, statistical measure, effect estimate, confidence interval, p-value, and main conclusion. The extracted outcomes included cognitive impairment, mild cognitive impairment, cognitive decline, dementia, Alzheimer disease, Parkinson disease, vascular dementia, and beta-amyloid accumulation. The extracted periodontal exposures included periodontitis, periodontal disease, chronic periodontitis, severe periodontitis, clinical attachment loss, tooth loss related to periodontal disease, and periodontal treatment status where available.</w:t>
      </w:r>
    </w:p>
    <w:p w14:paraId="1E288272" w14:textId="51CD12B0" w:rsidR="006E41C2" w:rsidRPr="006E41C2" w:rsidRDefault="006E41C2" w:rsidP="006E41C2">
      <w:pPr>
        <w:spacing w:after="0"/>
        <w:jc w:val="both"/>
        <w:rPr>
          <w:rFonts w:ascii="Times New Roman" w:hAnsi="Times New Roman" w:cs="Times New Roman"/>
          <w:b/>
          <w:bCs/>
          <w:sz w:val="24"/>
          <w:szCs w:val="24"/>
        </w:rPr>
      </w:pPr>
      <w:r w:rsidRPr="006E41C2">
        <w:rPr>
          <w:rFonts w:ascii="Times New Roman" w:hAnsi="Times New Roman" w:cs="Times New Roman"/>
          <w:b/>
          <w:bCs/>
          <w:sz w:val="24"/>
          <w:szCs w:val="24"/>
        </w:rPr>
        <w:t>Data analysis</w:t>
      </w:r>
    </w:p>
    <w:p w14:paraId="13210285" w14:textId="77777777"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The meta-analysis was conducted using JASP. Effect estimates and confidence intervals from the included studies were entered as the main quantitative data. Odds ratios, hazard ratios, adjusted odds ratios, and adjusted hazard ratios were extracted according to the reporting format of each study. The pooled effect estimate was calculated to evaluate the association between periodontitis and cognitive impairment or neurodegenerative disease. The p-value was used to determine statistical significance, while the confidence interval was used to assess the precision of the effect estimate.</w:t>
      </w:r>
    </w:p>
    <w:p w14:paraId="746A5725" w14:textId="77777777" w:rsidR="006E41C2" w:rsidRPr="006E41C2" w:rsidRDefault="006E41C2" w:rsidP="006E41C2">
      <w:pPr>
        <w:spacing w:after="0"/>
        <w:ind w:firstLine="709"/>
        <w:jc w:val="both"/>
        <w:rPr>
          <w:rFonts w:ascii="Times New Roman" w:hAnsi="Times New Roman" w:cs="Times New Roman"/>
          <w:sz w:val="24"/>
          <w:szCs w:val="24"/>
        </w:rPr>
      </w:pPr>
    </w:p>
    <w:p w14:paraId="0182D90B" w14:textId="4352DDB4"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lastRenderedPageBreak/>
        <w:t>Heterogeneity across studies was assessed using the Q statistic and p-value. A funnel plot was used to visually assess the distribution of studies according to residual values and standard errors. Forest plot results were used to present the effect estimate of each study, the confidence interval range, the pooled effect estimate, and heterogeneity across the included articles.</w:t>
      </w:r>
    </w:p>
    <w:p w14:paraId="4203C38D" w14:textId="5D100E37" w:rsidR="006E41C2" w:rsidRPr="006E41C2" w:rsidRDefault="006E41C2" w:rsidP="006E41C2">
      <w:pPr>
        <w:spacing w:after="0"/>
        <w:jc w:val="both"/>
        <w:rPr>
          <w:rFonts w:ascii="Times New Roman" w:hAnsi="Times New Roman" w:cs="Times New Roman"/>
          <w:b/>
          <w:bCs/>
          <w:sz w:val="24"/>
          <w:szCs w:val="24"/>
        </w:rPr>
      </w:pPr>
      <w:r w:rsidRPr="006E41C2">
        <w:rPr>
          <w:rFonts w:ascii="Times New Roman" w:hAnsi="Times New Roman" w:cs="Times New Roman"/>
          <w:b/>
          <w:bCs/>
          <w:sz w:val="24"/>
          <w:szCs w:val="24"/>
        </w:rPr>
        <w:t>Ethical approval</w:t>
      </w:r>
    </w:p>
    <w:p w14:paraId="743A9FC3" w14:textId="1BF4A19B" w:rsidR="00273299" w:rsidRDefault="006E41C2" w:rsidP="006E41C2">
      <w:pPr>
        <w:ind w:firstLine="709"/>
        <w:jc w:val="both"/>
        <w:rPr>
          <w:rFonts w:ascii="Times New Roman" w:hAnsi="Times New Roman" w:cs="Times New Roman"/>
          <w:sz w:val="24"/>
          <w:szCs w:val="24"/>
        </w:rPr>
      </w:pPr>
      <w:r w:rsidRPr="006E41C2">
        <w:rPr>
          <w:rFonts w:ascii="Times New Roman" w:hAnsi="Times New Roman" w:cs="Times New Roman"/>
          <w:sz w:val="24"/>
          <w:szCs w:val="24"/>
        </w:rPr>
        <w:t>This study was a systematic review and meta-analysis based on previously published studies. It did not involve direct recruitment of human participants, direct collection of human biological samples, or animal experiments. Therefore, ethical approval and informed consent were not required</w:t>
      </w:r>
      <w:r w:rsidR="00762B5B" w:rsidRPr="00762B5B">
        <w:rPr>
          <w:rFonts w:ascii="Times New Roman" w:hAnsi="Times New Roman" w:cs="Times New Roman"/>
          <w:sz w:val="24"/>
          <w:szCs w:val="24"/>
        </w:rPr>
        <w:t>.</w:t>
      </w:r>
    </w:p>
    <w:p w14:paraId="6C0E38C1" w14:textId="77777777" w:rsidR="006E41C2" w:rsidRPr="006E41C2" w:rsidRDefault="006E41C2" w:rsidP="006E41C2">
      <w:pPr>
        <w:spacing w:after="0"/>
        <w:jc w:val="both"/>
        <w:rPr>
          <w:rFonts w:ascii="Times New Roman" w:hAnsi="Times New Roman" w:cs="Times New Roman"/>
          <w:b/>
          <w:bCs/>
          <w:sz w:val="24"/>
          <w:szCs w:val="24"/>
          <w:lang w:val="en-ID"/>
        </w:rPr>
      </w:pPr>
      <w:r w:rsidRPr="006E41C2">
        <w:rPr>
          <w:rFonts w:ascii="Times New Roman" w:hAnsi="Times New Roman" w:cs="Times New Roman"/>
          <w:b/>
          <w:bCs/>
          <w:sz w:val="24"/>
          <w:szCs w:val="24"/>
          <w:lang w:val="en-ID"/>
        </w:rPr>
        <w:t>Results</w:t>
      </w:r>
    </w:p>
    <w:p w14:paraId="78A445F6" w14:textId="77777777" w:rsidR="006E41C2" w:rsidRPr="006E41C2" w:rsidRDefault="006E41C2" w:rsidP="006E41C2">
      <w:pPr>
        <w:spacing w:after="0"/>
        <w:jc w:val="both"/>
        <w:rPr>
          <w:rFonts w:ascii="Times New Roman" w:hAnsi="Times New Roman" w:cs="Times New Roman"/>
          <w:b/>
          <w:bCs/>
          <w:sz w:val="24"/>
          <w:szCs w:val="24"/>
          <w:lang w:val="en-ID"/>
        </w:rPr>
      </w:pPr>
      <w:r w:rsidRPr="006E41C2">
        <w:rPr>
          <w:rFonts w:ascii="Times New Roman" w:hAnsi="Times New Roman" w:cs="Times New Roman"/>
          <w:b/>
          <w:bCs/>
          <w:sz w:val="24"/>
          <w:szCs w:val="24"/>
          <w:lang w:val="en-ID"/>
        </w:rPr>
        <w:t>Study selection</w:t>
      </w:r>
    </w:p>
    <w:p w14:paraId="511CE654" w14:textId="77777777" w:rsidR="006E41C2" w:rsidRP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The article selection process followed the PRISMA 2020 </w:t>
      </w:r>
      <w:proofErr w:type="gramStart"/>
      <w:r w:rsidRPr="006E41C2">
        <w:rPr>
          <w:rFonts w:ascii="Times New Roman" w:hAnsi="Times New Roman" w:cs="Times New Roman"/>
          <w:sz w:val="24"/>
          <w:szCs w:val="24"/>
          <w:lang w:val="en-ID"/>
        </w:rPr>
        <w:t>guideline.¹</w:t>
      </w:r>
      <w:proofErr w:type="gramEnd"/>
      <w:r w:rsidRPr="006E41C2">
        <w:rPr>
          <w:rFonts w:ascii="Times New Roman" w:hAnsi="Times New Roman" w:cs="Times New Roman"/>
          <w:sz w:val="24"/>
          <w:szCs w:val="24"/>
          <w:lang w:val="en-ID"/>
        </w:rPr>
        <w:t>⁵ A total of 378 articles were identified from three databases, consisting of 124 articles from PubMed/MEDLINE, 156 articles from Scopus, and 98 articles from Web of Science. After removing 5 duplicate records, 373 articles were screened by title and abstract. A total of 291 articles were excluded during the screening stage. The remaining 82 articles were assessed in full text, and 70 articles were excluded for specific reasons. Finally, 12 studies met the inclusion criteria and were included in the qualitative and quantitative synthesis. The PRISMA flow diagram is shown in Figure 1.</w:t>
      </w:r>
    </w:p>
    <w:p w14:paraId="5CBCF703" w14:textId="77777777" w:rsidR="006E41C2" w:rsidRPr="006E41C2" w:rsidRDefault="006E41C2" w:rsidP="006E41C2">
      <w:pPr>
        <w:spacing w:after="0"/>
        <w:jc w:val="both"/>
        <w:rPr>
          <w:rFonts w:ascii="Times New Roman" w:hAnsi="Times New Roman" w:cs="Times New Roman"/>
          <w:b/>
          <w:bCs/>
          <w:sz w:val="24"/>
          <w:szCs w:val="24"/>
          <w:lang w:val="en-ID"/>
        </w:rPr>
      </w:pPr>
      <w:r w:rsidRPr="006E41C2">
        <w:rPr>
          <w:rFonts w:ascii="Times New Roman" w:hAnsi="Times New Roman" w:cs="Times New Roman"/>
          <w:b/>
          <w:bCs/>
          <w:sz w:val="24"/>
          <w:szCs w:val="24"/>
          <w:lang w:val="en-ID"/>
        </w:rPr>
        <w:t>Characteristics of the included studies</w:t>
      </w:r>
    </w:p>
    <w:p w14:paraId="06B92C18" w14:textId="77777777" w:rsid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The 12 included studies were published between 2017 and 2025. The highest number of publications appeared in 2017 and 2025, with 3 studies or 25.0% each. Based on country or data source, Taiwan, South Korea, and the United States were the most common sources, each contributing 3 studies. Other studies were conducted in Mexico, Japan, and Spain.</w:t>
      </w:r>
    </w:p>
    <w:p w14:paraId="03F1E80B" w14:textId="46E97EFB" w:rsidR="006E41C2" w:rsidRP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The included studies consisted of cohort or population-based cohort studies and cross-sectional or observational analytical studies. Six studies used cohort or population-based cohort designs, while six studies used cross-sectional or observational analytical designs. The most frequently examined outcomes were cognitive impairment, mild cognitive impairment, and amyloid pathology, which were reported in 6 studies. Dementia, Alzheimer disease, and vascular dementia were reported in 5 studies, while Parkinson disease was reported in 1 study. The main statistical measures were hazard ratio or adjusted hazard ratio in 6 studies, odds ratio or adjusted odds ratio in 5 studies, and beta coefficient with p-value in 1 study. The characteristics of the included studies are summarized in Table 3.</w:t>
      </w:r>
    </w:p>
    <w:p w14:paraId="725F9781" w14:textId="77777777" w:rsidR="006E41C2" w:rsidRPr="006E41C2" w:rsidRDefault="006E41C2" w:rsidP="006E41C2">
      <w:pPr>
        <w:spacing w:after="0"/>
        <w:jc w:val="both"/>
        <w:rPr>
          <w:rFonts w:ascii="Times New Roman" w:hAnsi="Times New Roman" w:cs="Times New Roman"/>
          <w:b/>
          <w:bCs/>
          <w:sz w:val="24"/>
          <w:szCs w:val="24"/>
          <w:lang w:val="en-ID"/>
        </w:rPr>
      </w:pPr>
      <w:r w:rsidRPr="006E41C2">
        <w:rPr>
          <w:rFonts w:ascii="Times New Roman" w:hAnsi="Times New Roman" w:cs="Times New Roman"/>
          <w:b/>
          <w:bCs/>
          <w:sz w:val="24"/>
          <w:szCs w:val="24"/>
          <w:lang w:val="en-ID"/>
        </w:rPr>
        <w:t>Summary of the included studies</w:t>
      </w:r>
    </w:p>
    <w:p w14:paraId="17D9F128" w14:textId="77777777" w:rsid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Most included studies reported a positive association between periodontitis or periodontal disease and cognitive impairment or neurodegenerative disease. Chen et al.¹⁷ reported that patients with long-term chronic periodontitis had a higher risk of Alzheimer disease than those without chronic periodontitis. YT Lee et al.¹⁸ also found that periodontitis was associated with the risk of new-onset dementia. YL Lee et al.¹⁹ showed that untreated periodontal disease and tooth extraction groups had a higher incidence of dementia compared with periodontal treatment groups.</w:t>
      </w:r>
    </w:p>
    <w:p w14:paraId="6D5E4C33" w14:textId="77777777" w:rsid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Evidence from South Korea also supported this association. Choi et al.²⁰ reported that chronic periodontitis was associated with increased risk of overall dementia and Alzheimer disease. Jeong et al.²² found that individuals with periodontitis and a need for further dental </w:t>
      </w:r>
      <w:r w:rsidRPr="006E41C2">
        <w:rPr>
          <w:rFonts w:ascii="Times New Roman" w:hAnsi="Times New Roman" w:cs="Times New Roman"/>
          <w:sz w:val="24"/>
          <w:szCs w:val="24"/>
          <w:lang w:val="en-ID"/>
        </w:rPr>
        <w:lastRenderedPageBreak/>
        <w:t>visits had a higher risk of Parkinson disease. Kim et al.²³ showed that severe chronic periodontitis was associated with a higher risk of dementia than mild chronic periodontitis.</w:t>
      </w:r>
    </w:p>
    <w:p w14:paraId="0B26C165" w14:textId="77777777" w:rsid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Cross-sectional and observational studies also reported associations between periodontal disease and cognitive outcomes. Sung et al.²¹ showed an association between periodontitis and impaired cognitive function in a national adult sample. Luo et al.²⁴ found that tooth loss and periodontal disease were related to mild cognitive impairment among Hispanic/Latino immigrants. </w:t>
      </w:r>
      <w:proofErr w:type="spellStart"/>
      <w:r w:rsidRPr="006E41C2">
        <w:rPr>
          <w:rFonts w:ascii="Times New Roman" w:hAnsi="Times New Roman" w:cs="Times New Roman"/>
          <w:sz w:val="24"/>
          <w:szCs w:val="24"/>
          <w:lang w:val="en-ID"/>
        </w:rPr>
        <w:t>Igase</w:t>
      </w:r>
      <w:proofErr w:type="spellEnd"/>
      <w:r w:rsidRPr="006E41C2">
        <w:rPr>
          <w:rFonts w:ascii="Times New Roman" w:hAnsi="Times New Roman" w:cs="Times New Roman"/>
          <w:sz w:val="24"/>
          <w:szCs w:val="24"/>
          <w:lang w:val="en-ID"/>
        </w:rPr>
        <w:t xml:space="preserve"> et al.²⁵ reported that severe periodontitis was strongly associated with mild cognitive impairment in older adults. Gil-Montoya et al.²⁶ showed that moderate-to-severe periodontitis was associated with abnormal brain beta-amyloid accumulation in patients with mild cognitive impairment. Sun and Li²⁷ reported that moderate/severe periodontitis was associated with cognitive impairment among older adults. Aranda Romo et al.²⁸ also found that clinical attachment loss and gingival index were associated with mild cognitive impairment.</w:t>
      </w:r>
    </w:p>
    <w:p w14:paraId="3AB5574C" w14:textId="2FCA9E46" w:rsidR="006E41C2" w:rsidRP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The reported effect sizes varied across studies, ranging from smaller but statistically significant associations in large population-based cohort studies to stronger associations in smaller clinical studies. This variation may reflect differences in study design, sample size, periodontal definitions, cognitive outcome measures, adjustment for confounding variables, and data sources. Overall, the direction of findings supports the view that periodontitis may be associated with cognitive decline and neurodegenerative outcomes, although the magnitude of association differs among studies. A detailed summary of the included studies is presented in Table 4.</w:t>
      </w:r>
    </w:p>
    <w:p w14:paraId="59E2DBAB" w14:textId="77777777" w:rsidR="006E41C2" w:rsidRPr="006E41C2" w:rsidRDefault="006E41C2" w:rsidP="006E41C2">
      <w:pPr>
        <w:spacing w:after="0"/>
        <w:jc w:val="both"/>
        <w:rPr>
          <w:rFonts w:ascii="Times New Roman" w:hAnsi="Times New Roman" w:cs="Times New Roman"/>
          <w:b/>
          <w:bCs/>
          <w:sz w:val="24"/>
          <w:szCs w:val="24"/>
          <w:lang w:val="en-ID"/>
        </w:rPr>
      </w:pPr>
      <w:r w:rsidRPr="006E41C2">
        <w:rPr>
          <w:rFonts w:ascii="Times New Roman" w:hAnsi="Times New Roman" w:cs="Times New Roman"/>
          <w:b/>
          <w:bCs/>
          <w:sz w:val="24"/>
          <w:szCs w:val="24"/>
          <w:lang w:val="en-ID"/>
        </w:rPr>
        <w:t>Funnel plot</w:t>
      </w:r>
    </w:p>
    <w:p w14:paraId="6F121FE3" w14:textId="77777777" w:rsidR="006E41C2" w:rsidRP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The funnel plot was used to assess the distribution of studies based on residual values and standard errors. Most studies were located near the central line, suggesting that several studies had relatively stable effect estimates and small standard errors. However, some studies were positioned farther from the </w:t>
      </w:r>
      <w:proofErr w:type="spellStart"/>
      <w:r w:rsidRPr="006E41C2">
        <w:rPr>
          <w:rFonts w:ascii="Times New Roman" w:hAnsi="Times New Roman" w:cs="Times New Roman"/>
          <w:sz w:val="24"/>
          <w:szCs w:val="24"/>
          <w:lang w:val="en-ID"/>
        </w:rPr>
        <w:t>center</w:t>
      </w:r>
      <w:proofErr w:type="spellEnd"/>
      <w:r w:rsidRPr="006E41C2">
        <w:rPr>
          <w:rFonts w:ascii="Times New Roman" w:hAnsi="Times New Roman" w:cs="Times New Roman"/>
          <w:sz w:val="24"/>
          <w:szCs w:val="24"/>
          <w:lang w:val="en-ID"/>
        </w:rPr>
        <w:t>, indicating visual imbalance in the plot. This pattern may be influenced by differences in study design, sample size, outcome type, and statistical measures used across the included studies. The funnel plot is shown in Figure 2.</w:t>
      </w:r>
    </w:p>
    <w:p w14:paraId="255E2F78" w14:textId="77777777" w:rsidR="006E41C2" w:rsidRPr="006E41C2" w:rsidRDefault="006E41C2" w:rsidP="006E41C2">
      <w:pPr>
        <w:spacing w:after="0"/>
        <w:jc w:val="both"/>
        <w:rPr>
          <w:rFonts w:ascii="Times New Roman" w:hAnsi="Times New Roman" w:cs="Times New Roman"/>
          <w:b/>
          <w:bCs/>
          <w:sz w:val="24"/>
          <w:szCs w:val="24"/>
          <w:lang w:val="en-ID"/>
        </w:rPr>
      </w:pPr>
      <w:r w:rsidRPr="006E41C2">
        <w:rPr>
          <w:rFonts w:ascii="Times New Roman" w:hAnsi="Times New Roman" w:cs="Times New Roman"/>
          <w:b/>
          <w:bCs/>
          <w:sz w:val="24"/>
          <w:szCs w:val="24"/>
          <w:lang w:val="en-ID"/>
        </w:rPr>
        <w:t>Forest plot and pooled effect</w:t>
      </w:r>
    </w:p>
    <w:p w14:paraId="3102B5B1" w14:textId="77777777" w:rsid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The forest plot showed that most studies had a positive direction of effect. This indicates that periodontitis tended to be associated with an increased risk of cognitive impairment, dementia, Alzheimer disease, Parkinson disease, or other neurodegenerative outcomes. Several studies showed stronger effect estimates, particularly those involving severe periodontitis, mild cognitive impairment, or beta-amyloid </w:t>
      </w:r>
      <w:proofErr w:type="gramStart"/>
      <w:r w:rsidRPr="006E41C2">
        <w:rPr>
          <w:rFonts w:ascii="Times New Roman" w:hAnsi="Times New Roman" w:cs="Times New Roman"/>
          <w:sz w:val="24"/>
          <w:szCs w:val="24"/>
          <w:lang w:val="en-ID"/>
        </w:rPr>
        <w:t>accumulation.²⁵,²⁶,²</w:t>
      </w:r>
      <w:proofErr w:type="gramEnd"/>
      <w:r w:rsidRPr="006E41C2">
        <w:rPr>
          <w:rFonts w:ascii="Times New Roman" w:hAnsi="Times New Roman" w:cs="Times New Roman"/>
          <w:sz w:val="24"/>
          <w:szCs w:val="24"/>
          <w:lang w:val="en-ID"/>
        </w:rPr>
        <w:t xml:space="preserve">⁸ Other large cohort studies showed smaller but more stable effect </w:t>
      </w:r>
      <w:proofErr w:type="gramStart"/>
      <w:r w:rsidRPr="006E41C2">
        <w:rPr>
          <w:rFonts w:ascii="Times New Roman" w:hAnsi="Times New Roman" w:cs="Times New Roman"/>
          <w:sz w:val="24"/>
          <w:szCs w:val="24"/>
          <w:lang w:val="en-ID"/>
        </w:rPr>
        <w:t>estimates.¹</w:t>
      </w:r>
      <w:proofErr w:type="gramEnd"/>
      <w:r w:rsidRPr="006E41C2">
        <w:rPr>
          <w:rFonts w:ascii="Times New Roman" w:hAnsi="Times New Roman" w:cs="Times New Roman"/>
          <w:sz w:val="24"/>
          <w:szCs w:val="24"/>
          <w:lang w:val="en-ID"/>
        </w:rPr>
        <w:t>⁷–²</w:t>
      </w:r>
      <w:proofErr w:type="gramStart"/>
      <w:r w:rsidRPr="006E41C2">
        <w:rPr>
          <w:rFonts w:ascii="Times New Roman" w:hAnsi="Times New Roman" w:cs="Times New Roman"/>
          <w:sz w:val="24"/>
          <w:szCs w:val="24"/>
          <w:lang w:val="en-ID"/>
        </w:rPr>
        <w:t>⁰,²²,²</w:t>
      </w:r>
      <w:proofErr w:type="gramEnd"/>
      <w:r w:rsidRPr="006E41C2">
        <w:rPr>
          <w:rFonts w:ascii="Times New Roman" w:hAnsi="Times New Roman" w:cs="Times New Roman"/>
          <w:sz w:val="24"/>
          <w:szCs w:val="24"/>
          <w:lang w:val="en-ID"/>
        </w:rPr>
        <w:t>³</w:t>
      </w:r>
    </w:p>
    <w:p w14:paraId="74817673" w14:textId="08CCB9DB" w:rsidR="006E41C2" w:rsidRP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The pooled effect was 0.15 with a 95% confidence interval of 0.05–0.26 and p = 0.007. This result indicates a statistically significant association between periodontitis and cognitive impairment or neurodegenerative disease. Heterogeneity was significant, with </w:t>
      </w:r>
      <w:proofErr w:type="gramStart"/>
      <w:r w:rsidRPr="006E41C2">
        <w:rPr>
          <w:rFonts w:ascii="Times New Roman" w:hAnsi="Times New Roman" w:cs="Times New Roman"/>
          <w:sz w:val="24"/>
          <w:szCs w:val="24"/>
          <w:lang w:val="en-ID"/>
        </w:rPr>
        <w:t>Q(</w:t>
      </w:r>
      <w:proofErr w:type="gramEnd"/>
      <w:r w:rsidRPr="006E41C2">
        <w:rPr>
          <w:rFonts w:ascii="Times New Roman" w:hAnsi="Times New Roman" w:cs="Times New Roman"/>
          <w:sz w:val="24"/>
          <w:szCs w:val="24"/>
          <w:lang w:val="en-ID"/>
        </w:rPr>
        <w:t>11) = 39.24 and p &lt; 0.001, indicating variation in results across the included studies. This heterogeneity should be considered when interpreting the pooled findings because the included studies differed in population characteristics, periodontal exposure definitions, neurological outcomes, and statistical methods. The forest plot is shown in Figure 3.</w:t>
      </w:r>
    </w:p>
    <w:p w14:paraId="25AA0873" w14:textId="2DFEFD6A" w:rsidR="006E41C2" w:rsidRPr="006E41C2" w:rsidRDefault="006E41C2" w:rsidP="006E41C2">
      <w:pPr>
        <w:spacing w:after="0"/>
        <w:jc w:val="both"/>
        <w:rPr>
          <w:rFonts w:ascii="Times New Roman" w:hAnsi="Times New Roman" w:cs="Times New Roman"/>
          <w:sz w:val="24"/>
          <w:szCs w:val="24"/>
          <w:lang w:val="en-ID"/>
        </w:rPr>
      </w:pPr>
    </w:p>
    <w:p w14:paraId="0712E232" w14:textId="77777777" w:rsidR="006E41C2" w:rsidRPr="006E41C2" w:rsidRDefault="006E41C2" w:rsidP="006E41C2">
      <w:pPr>
        <w:spacing w:after="0"/>
        <w:jc w:val="both"/>
        <w:rPr>
          <w:rFonts w:ascii="Times New Roman" w:hAnsi="Times New Roman" w:cs="Times New Roman"/>
          <w:b/>
          <w:bCs/>
          <w:sz w:val="24"/>
          <w:szCs w:val="24"/>
          <w:lang w:val="en-ID"/>
        </w:rPr>
      </w:pPr>
      <w:r w:rsidRPr="006E41C2">
        <w:rPr>
          <w:rFonts w:ascii="Times New Roman" w:hAnsi="Times New Roman" w:cs="Times New Roman"/>
          <w:b/>
          <w:bCs/>
          <w:sz w:val="24"/>
          <w:szCs w:val="24"/>
          <w:lang w:val="en-ID"/>
        </w:rPr>
        <w:t>Discussion</w:t>
      </w:r>
    </w:p>
    <w:p w14:paraId="5BE287A2"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This systematic review and meta-analysis found a significant positive association between periodontitis and cognitive impairment or neurodegenerative disease. The pooled </w:t>
      </w:r>
      <w:r w:rsidRPr="006E41C2">
        <w:rPr>
          <w:rFonts w:ascii="Times New Roman" w:hAnsi="Times New Roman" w:cs="Times New Roman"/>
          <w:sz w:val="24"/>
          <w:szCs w:val="24"/>
          <w:lang w:val="en-ID"/>
        </w:rPr>
        <w:lastRenderedPageBreak/>
        <w:t>effect estimate was 0.15 with a 95% confidence interval of 0.05–0.26 and p = 0.007. This finding suggests that periodontal disease may be related to cognitive and neurodegenerative outcomes, although the strength of the association varies across studies. From a periodontal perspective, this result supports the possibility that chronic periodontal inflammation may have broader systemic implications beyond oral tissues.</w:t>
      </w:r>
    </w:p>
    <w:p w14:paraId="485F685C"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The findings are consistent with previous longitudinal evidence showing that poor periodontal health is associated with cognitive decline and dementia.⁶ The present results also align with previous reviews reporting associations between periodontal disease, cognitive disorders, dementia, depression, and Alzheimer disease pathology.⁷,⁸ Evidence in older populations has further suggested that periodontitis, tooth loss, compromised occlusal support, and reduced masticatory ability may increase the risk of cognitive impairment.⁹</w:t>
      </w:r>
    </w:p>
    <w:p w14:paraId="0BCBAC66"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Several included cohort studies showed that chronic, untreated, or severe periodontitis was associated with dementia or Alzheimer disease. Chen et al.¹⁷ found that long-term exposure to chronic periodontitis increased the risk of Alzheimer disease. YT Lee et al.¹⁸ reported that periodontitis was associated with incident dementia, while YL Lee et al.¹⁹ showed that untreated periodontal disease was related to a higher risk of dementia. Choi et al.²⁰ also demonstrated an association between chronic periodontitis and overall dementia or Alzheimer disease. These findings suggest that prolonged periodontal inflammation may be relevant to cognitive and neurodegenerative </w:t>
      </w:r>
      <w:proofErr w:type="spellStart"/>
      <w:r w:rsidRPr="006E41C2">
        <w:rPr>
          <w:rFonts w:ascii="Times New Roman" w:hAnsi="Times New Roman" w:cs="Times New Roman"/>
          <w:sz w:val="24"/>
          <w:szCs w:val="24"/>
          <w:lang w:val="en-ID"/>
        </w:rPr>
        <w:t>outcomes.</w:t>
      </w:r>
      <w:proofErr w:type="spellEnd"/>
    </w:p>
    <w:p w14:paraId="302A3F38"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The severity of periodontal disease may also be important. Kim et al.²³ reported that severe chronic periodontitis increased the risk of dementia compared with mild chronic periodontitis. </w:t>
      </w:r>
      <w:proofErr w:type="spellStart"/>
      <w:r w:rsidRPr="006E41C2">
        <w:rPr>
          <w:rFonts w:ascii="Times New Roman" w:hAnsi="Times New Roman" w:cs="Times New Roman"/>
          <w:sz w:val="24"/>
          <w:szCs w:val="24"/>
          <w:lang w:val="en-ID"/>
        </w:rPr>
        <w:t>Igase</w:t>
      </w:r>
      <w:proofErr w:type="spellEnd"/>
      <w:r w:rsidRPr="006E41C2">
        <w:rPr>
          <w:rFonts w:ascii="Times New Roman" w:hAnsi="Times New Roman" w:cs="Times New Roman"/>
          <w:sz w:val="24"/>
          <w:szCs w:val="24"/>
          <w:lang w:val="en-ID"/>
        </w:rPr>
        <w:t xml:space="preserve"> et al.²⁵ found that severe periodontitis was strongly associated with mild cognitive impairment. Aranda Romo et al.²⁸ showed that clinical attachment loss was associated with mild cognitive impairment. These findings indicate that periodontal parameters reflecting more advanced tissue destruction may be more closely related to cognitive outcomes than general oral health status alone.</w:t>
      </w:r>
    </w:p>
    <w:p w14:paraId="50657689"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The possible biological link between periodontitis and cognitive impairment may involve inflammatory, microbial, vascular, and immune pathways. Periodontal pathogens can stimulate local and systemic inflammatory responses, and inflammatory mediators may contribute to endothelial dysfunction, oxidative stress, and neuroinflammation. The oral-brain axis has been proposed as one pathway through which periodontal pathogens may influence pathological processes in the </w:t>
      </w:r>
      <w:proofErr w:type="gramStart"/>
      <w:r w:rsidRPr="006E41C2">
        <w:rPr>
          <w:rFonts w:ascii="Times New Roman" w:hAnsi="Times New Roman" w:cs="Times New Roman"/>
          <w:sz w:val="24"/>
          <w:szCs w:val="24"/>
          <w:lang w:val="en-ID"/>
        </w:rPr>
        <w:t>brain.³</w:t>
      </w:r>
      <w:proofErr w:type="gramEnd"/>
      <w:r w:rsidRPr="006E41C2">
        <w:rPr>
          <w:rFonts w:ascii="Times New Roman" w:hAnsi="Times New Roman" w:cs="Times New Roman"/>
          <w:sz w:val="24"/>
          <w:szCs w:val="24"/>
          <w:lang w:val="en-ID"/>
        </w:rPr>
        <w:t xml:space="preserve"> </w:t>
      </w:r>
      <w:r w:rsidRPr="006E41C2">
        <w:rPr>
          <w:rFonts w:ascii="Times New Roman" w:hAnsi="Times New Roman" w:cs="Times New Roman"/>
          <w:i/>
          <w:iCs/>
          <w:sz w:val="24"/>
          <w:szCs w:val="24"/>
          <w:lang w:val="en-ID"/>
        </w:rPr>
        <w:t>P. gingivalis</w:t>
      </w:r>
      <w:r w:rsidRPr="006E41C2">
        <w:rPr>
          <w:rFonts w:ascii="Times New Roman" w:hAnsi="Times New Roman" w:cs="Times New Roman"/>
          <w:sz w:val="24"/>
          <w:szCs w:val="24"/>
          <w:lang w:val="en-ID"/>
        </w:rPr>
        <w:t xml:space="preserve"> has also been discussed as a potential trigger of neurodegenerative disease because of its ability to interact with inflammatory and neural </w:t>
      </w:r>
      <w:proofErr w:type="gramStart"/>
      <w:r w:rsidRPr="006E41C2">
        <w:rPr>
          <w:rFonts w:ascii="Times New Roman" w:hAnsi="Times New Roman" w:cs="Times New Roman"/>
          <w:sz w:val="24"/>
          <w:szCs w:val="24"/>
          <w:lang w:val="en-ID"/>
        </w:rPr>
        <w:t>pathways.⁴</w:t>
      </w:r>
      <w:proofErr w:type="gramEnd"/>
      <w:r w:rsidRPr="006E41C2">
        <w:rPr>
          <w:rFonts w:ascii="Times New Roman" w:hAnsi="Times New Roman" w:cs="Times New Roman"/>
          <w:sz w:val="24"/>
          <w:szCs w:val="24"/>
          <w:lang w:val="en-ID"/>
        </w:rPr>
        <w:t xml:space="preserve"> Experimental findings further suggest that </w:t>
      </w:r>
      <w:r w:rsidRPr="006E41C2">
        <w:rPr>
          <w:rFonts w:ascii="Times New Roman" w:hAnsi="Times New Roman" w:cs="Times New Roman"/>
          <w:i/>
          <w:iCs/>
          <w:sz w:val="24"/>
          <w:szCs w:val="24"/>
          <w:lang w:val="en-ID"/>
        </w:rPr>
        <w:t>P. gingivalis</w:t>
      </w:r>
      <w:r w:rsidRPr="006E41C2">
        <w:rPr>
          <w:rFonts w:ascii="Times New Roman" w:hAnsi="Times New Roman" w:cs="Times New Roman"/>
          <w:sz w:val="24"/>
          <w:szCs w:val="24"/>
          <w:lang w:val="en-ID"/>
        </w:rPr>
        <w:t xml:space="preserve">-induced periodontitis may promote neuroinflammation, neuronal loss, and dysfunction of the brain </w:t>
      </w:r>
      <w:proofErr w:type="gramStart"/>
      <w:r w:rsidRPr="006E41C2">
        <w:rPr>
          <w:rFonts w:ascii="Times New Roman" w:hAnsi="Times New Roman" w:cs="Times New Roman"/>
          <w:sz w:val="24"/>
          <w:szCs w:val="24"/>
          <w:lang w:val="en-ID"/>
        </w:rPr>
        <w:t>barrier.⁵</w:t>
      </w:r>
      <w:proofErr w:type="gramEnd"/>
    </w:p>
    <w:p w14:paraId="5105E925"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The relationship between periodontitis and neurodegenerative disease may differ according to the type of neurological outcome. Evidence appears more consistent for dementia and Alzheimer disease, while evidence for Parkinson disease is more limited.¹⁰ In this review, only one included study specifically examined Parkinson disease and reported that periodontitis and the need for further dental visits were associated with a higher risk of Parkinson disease.²² Therefore, further studies are needed before stronger conclusions can be drawn regarding Parkinson disease and other neurodegenerative disorders.</w:t>
      </w:r>
    </w:p>
    <w:p w14:paraId="56878651"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Mild cognitive impairment and beta-amyloid pathology also showed relevant associations with periodontal disease. Gil-Montoya et al.²⁶ reported that moderate-to-severe periodontitis was associated with abnormal beta-amyloid accumulation in patients with mild cognitive impairment. Sun and Li²⁷ found that moderate/severe periodontitis was associated </w:t>
      </w:r>
      <w:r w:rsidRPr="006E41C2">
        <w:rPr>
          <w:rFonts w:ascii="Times New Roman" w:hAnsi="Times New Roman" w:cs="Times New Roman"/>
          <w:sz w:val="24"/>
          <w:szCs w:val="24"/>
          <w:lang w:val="en-ID"/>
        </w:rPr>
        <w:lastRenderedPageBreak/>
        <w:t>with cognitive impairment among older adults. These findings are important because mild cognitive impairment and beta-amyloid accumulation may represent earlier stages or markers of cognitive deterioration. From a preventive periodontal perspective, identifying oral health factors associated with early cognitive changes may be clinically meaningful.</w:t>
      </w:r>
    </w:p>
    <w:p w14:paraId="545839D6"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The heterogeneity observed in this meta-analysis was significant. This is understandable because the included studies differed in several important aspects, including study design, sample size, periodontal disease definition, cognitive assessment method, type of neurological outcome, and adjustment for confounding variables. Some studies used clinical periodontal parameters such as probing pocket depth or clinical attachment loss, while others used diagnosis codes, periodontal treatment history, tooth loss, or broader indicators of periodontal health. Similarly, outcomes ranged from mild cognitive impairment and cognitive test performance to dementia, Alzheimer disease, Parkinson disease, and amyloid pathology. These differences may explain the variation in effect estimates across studies.</w:t>
      </w:r>
    </w:p>
    <w:p w14:paraId="17EF1603"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Another important issue is the possibility of reverse causality. Cognitive impairment may reduce a person’s ability to maintain oral hygiene, attend dental visits, and follow periodontal treatment recommendations. As a result, periodontal disease may worsen after cognitive decline has already begun. At the same time, chronic periodontitis may contribute to systemic inflammation that increases the risk of cognitive decline. This possible bidirectional relationship has also been discussed in previous </w:t>
      </w:r>
      <w:proofErr w:type="gramStart"/>
      <w:r w:rsidRPr="006E41C2">
        <w:rPr>
          <w:rFonts w:ascii="Times New Roman" w:hAnsi="Times New Roman" w:cs="Times New Roman"/>
          <w:sz w:val="24"/>
          <w:szCs w:val="24"/>
          <w:lang w:val="en-ID"/>
        </w:rPr>
        <w:t>literature.¹</w:t>
      </w:r>
      <w:proofErr w:type="gramEnd"/>
      <w:r w:rsidRPr="006E41C2">
        <w:rPr>
          <w:rFonts w:ascii="Times New Roman" w:hAnsi="Times New Roman" w:cs="Times New Roman"/>
          <w:sz w:val="24"/>
          <w:szCs w:val="24"/>
          <w:lang w:val="en-ID"/>
        </w:rPr>
        <w:t>⁰–¹² Therefore, the present findings should be interpreted as evidence of association rather than proof of direct causality.</w:t>
      </w:r>
    </w:p>
    <w:p w14:paraId="1AA3AA65"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The findings have practical implications for preventive periodontology and community dental care. Periodontal assessment in adult and older populations may have value beyond preventing tooth loss and maintaining masticatory function. Regular periodontal screening, oral hygiene education, periodontal treatment, and maintenance care may contribute to broader health promotion strategies, especially in populations at risk of cognitive decline. However, clinical recommendations should be made carefully because the current evidence is mainly observational and does not confirm a direct causal relationship.</w:t>
      </w:r>
    </w:p>
    <w:p w14:paraId="05A115E2"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This study has several limitations. First, most included studies were observational, which limits causal interpretation. Second, the definitions of periodontitis and periodontal disease varied across studies. Third, cognitive and neurodegenerative outcomes were measured using different instruments, clinical diagnoses, or registry data. Fourth, the included studies used different statistical measures, including hazard ratios, odds ratios, adjusted estimates, and beta coefficients. Fifth, heterogeneity across studies was significant. These limitations indicate that the pooled estimate should be interpreted as evidence of association rather than proof of causality.</w:t>
      </w:r>
    </w:p>
    <w:p w14:paraId="6A5B4087" w14:textId="2D32818F" w:rsidR="006E41C2" w:rsidRPr="006E41C2" w:rsidRDefault="006E41C2" w:rsidP="006E41C2">
      <w:pPr>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Future studies should use longitudinal designs with longer follow-up periods, standardized periodontal definitions, repeated cognitive assessments, and careful control of confounding factors. Studies should also separate outcomes such as mild cognitive impairment, Alzheimer disease, vascular dementia, Parkinson disease, and other neurodegenerative diseases. Further research involving inflammatory biomarkers and periodontal pathogen profiles may help clarify the biological pathways linking periodontal disease and cognitive health.</w:t>
      </w:r>
    </w:p>
    <w:p w14:paraId="097E8B9B" w14:textId="0440362D" w:rsidR="006E41C2" w:rsidRPr="006E41C2" w:rsidRDefault="006E41C2" w:rsidP="006E41C2">
      <w:pPr>
        <w:spacing w:after="0"/>
        <w:jc w:val="both"/>
        <w:rPr>
          <w:rFonts w:ascii="Times New Roman" w:hAnsi="Times New Roman" w:cs="Times New Roman"/>
          <w:b/>
          <w:bCs/>
          <w:sz w:val="24"/>
          <w:szCs w:val="24"/>
        </w:rPr>
      </w:pPr>
      <w:r w:rsidRPr="006E41C2">
        <w:rPr>
          <w:rFonts w:ascii="Times New Roman" w:hAnsi="Times New Roman" w:cs="Times New Roman"/>
          <w:b/>
          <w:bCs/>
          <w:sz w:val="24"/>
          <w:szCs w:val="24"/>
        </w:rPr>
        <w:t>Conclusion</w:t>
      </w:r>
    </w:p>
    <w:p w14:paraId="26E680AD" w14:textId="77777777" w:rsidR="006E41C2" w:rsidRDefault="006E41C2" w:rsidP="006E41C2">
      <w:pPr>
        <w:spacing w:after="0"/>
        <w:ind w:firstLine="567"/>
        <w:jc w:val="both"/>
        <w:rPr>
          <w:rFonts w:ascii="Times New Roman" w:hAnsi="Times New Roman" w:cs="Times New Roman"/>
          <w:sz w:val="24"/>
          <w:szCs w:val="24"/>
        </w:rPr>
      </w:pPr>
      <w:r w:rsidRPr="006E41C2">
        <w:rPr>
          <w:rFonts w:ascii="Times New Roman" w:hAnsi="Times New Roman" w:cs="Times New Roman"/>
          <w:sz w:val="24"/>
          <w:szCs w:val="24"/>
        </w:rPr>
        <w:t xml:space="preserve">This systematic review and meta-analysis found a positive and statistically significant association between periodontitis and cognitive impairment or neurodegenerative disease. Most included studies showed that severe, long-standing, or untreated periodontal disease was </w:t>
      </w:r>
      <w:r w:rsidRPr="006E41C2">
        <w:rPr>
          <w:rFonts w:ascii="Times New Roman" w:hAnsi="Times New Roman" w:cs="Times New Roman"/>
          <w:sz w:val="24"/>
          <w:szCs w:val="24"/>
        </w:rPr>
        <w:lastRenderedPageBreak/>
        <w:t>associated with a higher risk of dementia, Alzheimer disease, Parkinson disease, mild cognitive impairment, or beta-amyloid accumulation. The pooled effect was 0.15 with a 95% confidence interval of 0.05–0.26 and p = 0.007</w:t>
      </w:r>
      <w:r>
        <w:rPr>
          <w:rFonts w:ascii="Times New Roman" w:hAnsi="Times New Roman" w:cs="Times New Roman"/>
          <w:sz w:val="24"/>
          <w:szCs w:val="24"/>
        </w:rPr>
        <w:t>.</w:t>
      </w:r>
    </w:p>
    <w:p w14:paraId="75E7ECA4" w14:textId="6916B339" w:rsidR="006E41C2" w:rsidRDefault="006E41C2" w:rsidP="006E41C2">
      <w:pPr>
        <w:spacing w:after="0"/>
        <w:ind w:firstLine="567"/>
        <w:jc w:val="both"/>
        <w:rPr>
          <w:rFonts w:ascii="Times New Roman" w:hAnsi="Times New Roman" w:cs="Times New Roman"/>
          <w:sz w:val="24"/>
          <w:szCs w:val="24"/>
        </w:rPr>
      </w:pPr>
      <w:r w:rsidRPr="006E41C2">
        <w:rPr>
          <w:rFonts w:ascii="Times New Roman" w:hAnsi="Times New Roman" w:cs="Times New Roman"/>
          <w:sz w:val="24"/>
          <w:szCs w:val="24"/>
        </w:rPr>
        <w:t>These findings support the relevance of periodontal health as a potentially modifiable factor in adult and older populations. Periodontal examination, oral hygiene education, periodontal treatment, and maintenance care may have broader implications beyond oral health, particularly in relation to cognitive health. However, because the available evidence is largely observational and heterogeneous, further longitudinal studies are needed to clarify causality and the biological mechanisms underlying this association.</w:t>
      </w:r>
    </w:p>
    <w:p w14:paraId="6CD31B0A" w14:textId="77777777" w:rsidR="002B349D" w:rsidRPr="007F0F25" w:rsidRDefault="002B349D" w:rsidP="006E41C2">
      <w:pPr>
        <w:spacing w:after="0"/>
        <w:ind w:firstLine="567"/>
        <w:jc w:val="both"/>
        <w:rPr>
          <w:rFonts w:ascii="Times New Roman" w:hAnsi="Times New Roman" w:cs="Times New Roman"/>
          <w:sz w:val="24"/>
          <w:szCs w:val="24"/>
        </w:rPr>
      </w:pPr>
    </w:p>
    <w:p w14:paraId="70B3408E" w14:textId="37794513" w:rsidR="00273299" w:rsidRPr="007F0F25" w:rsidRDefault="009431E0">
      <w:pPr>
        <w:rPr>
          <w:rFonts w:ascii="Times New Roman" w:hAnsi="Times New Roman" w:cs="Times New Roman"/>
          <w:b/>
          <w:bCs/>
          <w:sz w:val="24"/>
          <w:szCs w:val="24"/>
        </w:rPr>
      </w:pPr>
      <w:r>
        <w:rPr>
          <w:rFonts w:ascii="Times New Roman" w:hAnsi="Times New Roman" w:cs="Times New Roman"/>
          <w:b/>
          <w:bCs/>
          <w:sz w:val="24"/>
          <w:szCs w:val="24"/>
        </w:rPr>
        <w:t>REFERENCES</w:t>
      </w:r>
    </w:p>
    <w:p w14:paraId="654AD2BF" w14:textId="77777777" w:rsidR="00CE7E55" w:rsidRDefault="009431E0"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sz w:val="24"/>
          <w:szCs w:val="24"/>
        </w:rPr>
        <w:fldChar w:fldCharType="begin" w:fldLock="1"/>
      </w:r>
      <w:r w:rsidRPr="00CE7E55">
        <w:rPr>
          <w:rFonts w:ascii="Times New Roman" w:hAnsi="Times New Roman" w:cs="Times New Roman"/>
          <w:sz w:val="24"/>
          <w:szCs w:val="24"/>
        </w:rPr>
        <w:instrText xml:space="preserve">ADDIN Mendeley Bibliography CSL_BIBLIOGRAPHY </w:instrText>
      </w:r>
      <w:r w:rsidRPr="00CE7E55">
        <w:rPr>
          <w:rFonts w:ascii="Times New Roman" w:hAnsi="Times New Roman" w:cs="Times New Roman"/>
          <w:sz w:val="24"/>
          <w:szCs w:val="24"/>
        </w:rPr>
        <w:fldChar w:fldCharType="separate"/>
      </w:r>
      <w:r w:rsidR="00CE7E55" w:rsidRPr="00CE7E55">
        <w:rPr>
          <w:rFonts w:ascii="Times New Roman" w:hAnsi="Times New Roman" w:cs="Times New Roman"/>
          <w:noProof/>
          <w:kern w:val="0"/>
          <w:sz w:val="24"/>
        </w:rPr>
        <w:t>World Health Organization. Oral health [Internet]. Geneva: World Health Organization; 2025 [cited 2026 Jun 5]. Available from: https://www.who.int/news-room/fact-sheets/detail/oral-health</w:t>
      </w:r>
    </w:p>
    <w:p w14:paraId="4D98730A"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World Health Organization. Dementia [Internet]. Geneva: World Health Organization; 2025 [cited 2026 Jun 5]. Available from: https://www.who.int/news-room/fact-sheets/detail/dementia</w:t>
      </w:r>
    </w:p>
    <w:p w14:paraId="21589A67"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Li R, Wang J, Xiong W, Luo Y, Feng H, Zhou H, et al. The oral-brain axis: can periodontal pathogens trigger the onset and progression of Alzheimer’s disease? Front Microbiol. 2024;15:1358179. doi:10.3389/fmicb.2024.1358179.</w:t>
      </w:r>
    </w:p>
    <w:p w14:paraId="701671D3"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Huang Z, Hao M, Shi N, Wang X, Yuan L, Yuan H, et al. Porphyromonas gingivalis: a potential trigger of neurodegenerative disease. Front Immunol. 2025;16:1482033. doi:10.3389/fimmu.2025.1482033.</w:t>
      </w:r>
    </w:p>
    <w:p w14:paraId="241F61F6"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Jiang Y, Xu L, Zhao X, Shen H, Qiu C, He Z, et al. Porphyromonas gingivalis-induced periodontitis promotes neuroinflammation and neuronal loss associated with dysfunction of the brain barrier. Front Cell Infect Microbiol. 2025;15:1559182. doi:10.3389/fcimb.2025.1559182.</w:t>
      </w:r>
    </w:p>
    <w:p w14:paraId="387D5618"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Asher S, Stephen R, Mäntylä P, Suominen AL, Solomon A. Periodontal health, cognitive decline, and dementia: a systematic review and meta-analysis of longitudinal studies. J Am Geriatr Soc. 2022;70(9):2695-2709. doi:10.1111/jgs.17978.</w:t>
      </w:r>
    </w:p>
    <w:p w14:paraId="70EFF8AA"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Said-Sadier N, Sayegh B, Farah R, Abbas LA, Dweik R, Tang N, et al. Association between periodontal disease and cognitive impairment in adults. Int J Environ Res Public Health. 2023;20:4707. doi:10.3390/ijerph20064707.</w:t>
      </w:r>
    </w:p>
    <w:p w14:paraId="22D3F80E"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Dibello V, Custodero C, Cavalcanti R, Lafornara D, Dibello A, Lozupone M, et al. Impact of periodontal disease on cognitive disorders, dementia, and depression: a systematic review and meta-analysis. GeroScience. 2024;46(5):5133-5169. doi:10.1007/s11357-024-01243-8.</w:t>
      </w:r>
    </w:p>
    <w:p w14:paraId="1DD6C31F"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Fu YD, Li CL, Hu CL, Pei MD, Cai WY, Li YQ, et al. Meta analysis of the correlation between periodontal health and cognitive impairment in the older population. J Prev Alzheimers Dis. 2024;11. doi:10.14283/jpad.2024.87.</w:t>
      </w:r>
    </w:p>
    <w:p w14:paraId="6A24C85D"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Plachokova AS, Gjaltema J, Hagens ERC, Hashemi Z, Knüppe TBA, Kootstra TJM, et al. Periodontitis: a plausible modifiable risk factor for neurodegenerative diseases? A comprehensive review. Int J Mol Sci. 2024;25(8):4504. doi:10.3390/ijms25084504.</w:t>
      </w:r>
    </w:p>
    <w:p w14:paraId="26CD4BAF"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Villar A, Paladini S, Cossatis J. Periodontal disease and Alzheimer’s: insights from a systematic literature network analysis. J Prev Alzheimers Dis. 2024;11(4):1148-1165. doi:10.14283/jpad.2024.79.</w:t>
      </w:r>
    </w:p>
    <w:p w14:paraId="4B48D293"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lastRenderedPageBreak/>
        <w:t>Barbarisi A, Visconti V, Lauritano D, Cremonini F, Caccianiga G, Ceraulo S. Correlation between periodontitis and onset of Alzheimer’s disease: a literature review. Dent J. 2024;12(10):331. doi:10.3390/dj12100331.</w:t>
      </w:r>
    </w:p>
    <w:p w14:paraId="243B61C9"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Erlianti CP, Trihandini I. Factors associated with cognitive impairment among Indonesian older adults. Aging Med Healthc. 2024;15(3):105-113. doi:10.33879/AMH.153.2022.05048.</w:t>
      </w:r>
    </w:p>
    <w:p w14:paraId="3E63FD38"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van der Ploeg ES, Handajani YS, Schröder-Butterfill E. Dementia care in Indonesia: care networks, awareness &amp; perception. J Cross Cult Gerontol. 2025;40(4):441-461. doi:10.1007/s10823-025-09544-x.</w:t>
      </w:r>
    </w:p>
    <w:p w14:paraId="3793E4CE"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Page MJ, McKenzie JE, Bossuyt PM, Boutron I, Hoffmann TC, Mulrow CD, et al. The PRISMA 2020 statement: an updated guideline for reporting systematic reviews. BMJ. 2021;372:n71. doi:10.1136/bmj.n71.</w:t>
      </w:r>
    </w:p>
    <w:p w14:paraId="45DEC3E0"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Higgins JPT, Thomas J, Chandler J, Cumpston M, Li T, Page MJ, et al, editors. Cochrane handbook for systematic reviews of interventions. Version 6.5. Cochrane; 2024. Available from: https://training.cochrane.org/handbook</w:t>
      </w:r>
    </w:p>
    <w:p w14:paraId="2F9CC2BD"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Chen CK, Wu YT, Chang YC. Association between chronic periodontitis and the risk of Alzheimer’s disease: a retrospective, population-based, matched-cohort study. Alzheimers Res Ther. 2017;9:56. doi:10.1186/s13195-017-0282-6.</w:t>
      </w:r>
    </w:p>
    <w:p w14:paraId="376087C8"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Lee YT, Lee HC, Hu CJ, Huang LK, Chao SP, Lin CP, Su ECY, et al. Periodontitis as a modifiable risk factor for dementia: a nationwide population-based cohort study. J Am Geriatr Soc. 2017;65(2):301-305. doi:10.1111/jgs.14449.</w:t>
      </w:r>
    </w:p>
    <w:p w14:paraId="7789907D"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Lee YL, Hu HY, Huang LY, Chou P, Chu DK. Periodontal disease associated with higher risk of dementia: population-based cohort study in Taiwan. J Am Geriatr Soc. 2017;65(9):1975-1980. doi:10.1111/jgs.14944.</w:t>
      </w:r>
    </w:p>
    <w:p w14:paraId="6346A968"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Choi S, Kim K, Chang J, Kim SM, Kim SJ, Cho HJ, et al. Association of chronic periodontitis on Alzheimer’s disease or vascular dementia. J Am Geriatr Soc. 2019;67(6):1234-1239. doi:10.1111/jgs.15828.</w:t>
      </w:r>
    </w:p>
    <w:p w14:paraId="25ED369E"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Sung CE, Huang RY, Cheng WC, Kao TW, Chen WL. Association between periodontitis and cognitive impairment: analysis of National Health and Nutrition Examination Survey III. J Clin Periodontol. 2019;46(8):790-798. doi:10.1111/jcpe.13155.</w:t>
      </w:r>
    </w:p>
    <w:p w14:paraId="09127F9F"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Jeong E, Park JB, Park YG. Evaluation of the association between periodontitis and risk of Parkinson’s disease: a nationwide retrospective cohort study. Sci Rep. 2021;11:16594. doi:10.1038/s41598-021-96147-4.</w:t>
      </w:r>
    </w:p>
    <w:p w14:paraId="12DC8B2D"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Kim SR, Son M, Kim YR, Kang HK. Risk of dementia according to the severity of chronic periodontitis in Korea: a nationwide retrospective cohort study. Epidemiol Health. 2022;44:e2022077. doi:10.4178/epih.e2022077.</w:t>
      </w:r>
    </w:p>
    <w:p w14:paraId="7B5C2C83"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Luo H, Wu B, González HM, Stickel A, Kaste LM, Tarraf W, et al. Tooth loss, periodontal disease, and mild cognitive impairment among Hispanic/Latino immigrants: the moderating effects of age at immigration. J Gerontol A Biol Sci Med Sci. 2023;78(6):949-957. doi:10.1093/gerona/glac178.</w:t>
      </w:r>
    </w:p>
    <w:p w14:paraId="0478B690"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Igase M, Igase K, Hino S, Uchida D, Okada Y, Ochi M, et al. Association of periodontitis with mild cognitive impairment in older adults. J Aging Res Lifestyle. 2024;13:108-112. doi:10.14283/jarlife.2024.16.</w:t>
      </w:r>
    </w:p>
    <w:p w14:paraId="1D0C15E9"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Gil-Montoya JA, Gerez-Muñoz MJ, Triviño-Ibáñez E, Carrera-Muñoz I, Bravo M, Rashki M, et al. Periodontal disease and brain amyloid pathology in mild cognitive impairment. Neurologia. 2025;40(7):641-650. doi:10.1016/j.nrleng.2025.07.008.</w:t>
      </w:r>
    </w:p>
    <w:p w14:paraId="2E5B5044"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lastRenderedPageBreak/>
        <w:t>Sun Q, Li M. Association between periodontitis and cognitive impairment in older adults: a cross-sectional study of the National Health and Nutrition Examination Survey. Clin Epidemiol Glob Health. 2025;33:102020. doi:10.1016/j.cegh.2025.102020.</w:t>
      </w:r>
    </w:p>
    <w:p w14:paraId="5E64D0AA" w14:textId="3C980E5E" w:rsidR="00CE7E55" w:rsidRP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Aranda Romo S, Garrocho-Rangel A, Marín González A, Cepeda-Bravo A, Jiménez-Capdeville ME, Ortega Rodríguez C, et al. Cognitive status and periodontitis: is there a correlation? A cross-sectional study. Dent Med Probl. 2025;62(4):591-600. doi:10.17219/dmp/177412.</w:t>
      </w:r>
      <w:r w:rsidRPr="00CE7E55">
        <w:rPr>
          <w:rFonts w:ascii="Times New Roman" w:hAnsi="Times New Roman" w:cs="Times New Roman"/>
          <w:noProof/>
          <w:kern w:val="0"/>
          <w:sz w:val="24"/>
          <w:szCs w:val="24"/>
        </w:rPr>
        <w:t xml:space="preserve"> </w:t>
      </w:r>
      <w:r w:rsidR="009431E0" w:rsidRPr="00CE7E55">
        <w:rPr>
          <w:rFonts w:ascii="Times New Roman" w:hAnsi="Times New Roman" w:cs="Times New Roman"/>
          <w:sz w:val="24"/>
          <w:szCs w:val="24"/>
        </w:rPr>
        <w:fldChar w:fldCharType="end"/>
      </w:r>
    </w:p>
    <w:p w14:paraId="38A21567" w14:textId="77777777" w:rsidR="00CE7E55" w:rsidRDefault="00CE7E55" w:rsidP="00CE7E55">
      <w:pPr>
        <w:jc w:val="both"/>
        <w:rPr>
          <w:rFonts w:ascii="Times New Roman" w:hAnsi="Times New Roman" w:cs="Times New Roman"/>
          <w:noProof/>
          <w:kern w:val="0"/>
          <w:sz w:val="24"/>
        </w:rPr>
      </w:pPr>
    </w:p>
    <w:p w14:paraId="45F478D7" w14:textId="77777777" w:rsidR="00CE7E55" w:rsidRPr="00CE7E55" w:rsidRDefault="00CE7E55" w:rsidP="00CE7E55">
      <w:pPr>
        <w:jc w:val="both"/>
        <w:rPr>
          <w:rFonts w:ascii="Times New Roman" w:hAnsi="Times New Roman" w:cs="Times New Roman"/>
          <w:b/>
          <w:bCs/>
          <w:noProof/>
          <w:kern w:val="0"/>
          <w:sz w:val="24"/>
        </w:rPr>
      </w:pPr>
      <w:r w:rsidRPr="00CE7E55">
        <w:rPr>
          <w:rFonts w:ascii="Times New Roman" w:hAnsi="Times New Roman" w:cs="Times New Roman"/>
          <w:b/>
          <w:bCs/>
          <w:noProof/>
          <w:kern w:val="0"/>
          <w:sz w:val="24"/>
        </w:rPr>
        <w:t>Tables</w:t>
      </w:r>
    </w:p>
    <w:p w14:paraId="4ECCB136" w14:textId="77777777" w:rsidR="00CE7E55" w:rsidRPr="00CE7E55" w:rsidRDefault="00CE7E55" w:rsidP="00CE7E55">
      <w:pPr>
        <w:jc w:val="both"/>
        <w:rPr>
          <w:rFonts w:ascii="Times New Roman" w:hAnsi="Times New Roman" w:cs="Times New Roman"/>
          <w:noProof/>
          <w:kern w:val="0"/>
          <w:sz w:val="24"/>
        </w:rPr>
      </w:pPr>
      <w:r w:rsidRPr="00CE7E55">
        <w:rPr>
          <w:rFonts w:ascii="Times New Roman" w:hAnsi="Times New Roman" w:cs="Times New Roman"/>
          <w:b/>
          <w:bCs/>
          <w:noProof/>
          <w:kern w:val="0"/>
          <w:sz w:val="24"/>
        </w:rPr>
        <w:t>Table 1.</w:t>
      </w:r>
      <w:r w:rsidRPr="00CE7E55">
        <w:rPr>
          <w:rFonts w:ascii="Times New Roman" w:hAnsi="Times New Roman" w:cs="Times New Roman"/>
          <w:noProof/>
          <w:kern w:val="0"/>
          <w:sz w:val="24"/>
        </w:rPr>
        <w:t xml:space="preserve"> Research PECO</w:t>
      </w:r>
    </w:p>
    <w:tbl>
      <w:tblPr>
        <w:tblW w:w="9067" w:type="dxa"/>
        <w:tblLook w:val="04A0" w:firstRow="1" w:lastRow="0" w:firstColumn="1" w:lastColumn="0" w:noHBand="0" w:noVBand="1"/>
      </w:tblPr>
      <w:tblGrid>
        <w:gridCol w:w="1563"/>
        <w:gridCol w:w="7504"/>
      </w:tblGrid>
      <w:tr w:rsidR="00CE7E55" w:rsidRPr="00CE7E55" w14:paraId="6F931020" w14:textId="77777777" w:rsidTr="00FA79AF">
        <w:trPr>
          <w:trHeight w:val="290"/>
        </w:trPr>
        <w:tc>
          <w:tcPr>
            <w:tcW w:w="1563" w:type="dxa"/>
            <w:tcBorders>
              <w:top w:val="single" w:sz="4" w:space="0" w:color="auto"/>
              <w:left w:val="single" w:sz="4" w:space="0" w:color="auto"/>
              <w:bottom w:val="single" w:sz="4" w:space="0" w:color="auto"/>
              <w:right w:val="single" w:sz="4" w:space="0" w:color="auto"/>
            </w:tcBorders>
            <w:noWrap/>
            <w:vAlign w:val="center"/>
            <w:hideMark/>
          </w:tcPr>
          <w:p w14:paraId="2626856F" w14:textId="77777777" w:rsidR="00CE7E55" w:rsidRPr="00CE7E55" w:rsidRDefault="00CE7E55" w:rsidP="00CE7E55">
            <w:pPr>
              <w:jc w:val="both"/>
              <w:rPr>
                <w:rFonts w:ascii="Times New Roman" w:hAnsi="Times New Roman" w:cs="Times New Roman"/>
                <w:b/>
                <w:bCs/>
                <w:noProof/>
                <w:kern w:val="0"/>
                <w:sz w:val="24"/>
              </w:rPr>
            </w:pPr>
            <w:r w:rsidRPr="00CE7E55">
              <w:rPr>
                <w:rFonts w:ascii="Times New Roman" w:hAnsi="Times New Roman" w:cs="Times New Roman"/>
                <w:b/>
                <w:bCs/>
                <w:noProof/>
                <w:kern w:val="0"/>
                <w:sz w:val="24"/>
              </w:rPr>
              <w:t>Component</w:t>
            </w:r>
          </w:p>
        </w:tc>
        <w:tc>
          <w:tcPr>
            <w:tcW w:w="7504" w:type="dxa"/>
            <w:tcBorders>
              <w:top w:val="single" w:sz="4" w:space="0" w:color="auto"/>
              <w:left w:val="nil"/>
              <w:bottom w:val="single" w:sz="4" w:space="0" w:color="auto"/>
              <w:right w:val="single" w:sz="4" w:space="0" w:color="auto"/>
            </w:tcBorders>
            <w:noWrap/>
            <w:vAlign w:val="center"/>
            <w:hideMark/>
          </w:tcPr>
          <w:p w14:paraId="2ED9AB72" w14:textId="77777777" w:rsidR="00CE7E55" w:rsidRPr="00CE7E55" w:rsidRDefault="00CE7E55" w:rsidP="00CE7E55">
            <w:pPr>
              <w:jc w:val="both"/>
              <w:rPr>
                <w:rFonts w:ascii="Times New Roman" w:hAnsi="Times New Roman" w:cs="Times New Roman"/>
                <w:b/>
                <w:bCs/>
                <w:noProof/>
                <w:kern w:val="0"/>
                <w:sz w:val="24"/>
              </w:rPr>
            </w:pPr>
            <w:r w:rsidRPr="00CE7E55">
              <w:rPr>
                <w:rFonts w:ascii="Times New Roman" w:hAnsi="Times New Roman" w:cs="Times New Roman"/>
                <w:b/>
                <w:bCs/>
                <w:noProof/>
                <w:kern w:val="0"/>
                <w:sz w:val="24"/>
              </w:rPr>
              <w:t>Description</w:t>
            </w:r>
          </w:p>
        </w:tc>
      </w:tr>
      <w:tr w:rsidR="00CE7E55" w:rsidRPr="00CE7E55" w14:paraId="0538FFE3" w14:textId="77777777" w:rsidTr="00FA79AF">
        <w:trPr>
          <w:trHeight w:val="290"/>
        </w:trPr>
        <w:tc>
          <w:tcPr>
            <w:tcW w:w="1563" w:type="dxa"/>
            <w:tcBorders>
              <w:top w:val="nil"/>
              <w:left w:val="single" w:sz="4" w:space="0" w:color="auto"/>
              <w:bottom w:val="single" w:sz="4" w:space="0" w:color="auto"/>
              <w:right w:val="single" w:sz="4" w:space="0" w:color="auto"/>
            </w:tcBorders>
            <w:noWrap/>
            <w:vAlign w:val="center"/>
            <w:hideMark/>
          </w:tcPr>
          <w:p w14:paraId="77DE820D" w14:textId="77777777" w:rsidR="00CE7E55" w:rsidRPr="00CE7E55" w:rsidRDefault="00CE7E55" w:rsidP="00CE7E55">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t>P (</w:t>
            </w:r>
            <w:r w:rsidRPr="00CE7E55">
              <w:rPr>
                <w:rFonts w:ascii="Times New Roman" w:hAnsi="Times New Roman" w:cs="Times New Roman"/>
                <w:i/>
                <w:iCs/>
                <w:noProof/>
                <w:kern w:val="0"/>
                <w:sz w:val="24"/>
              </w:rPr>
              <w:t>Population</w:t>
            </w:r>
            <w:r w:rsidRPr="00CE7E55">
              <w:rPr>
                <w:rFonts w:ascii="Times New Roman" w:hAnsi="Times New Roman" w:cs="Times New Roman"/>
                <w:noProof/>
                <w:kern w:val="0"/>
                <w:sz w:val="24"/>
              </w:rPr>
              <w:t>)</w:t>
            </w:r>
          </w:p>
        </w:tc>
        <w:tc>
          <w:tcPr>
            <w:tcW w:w="7504" w:type="dxa"/>
            <w:tcBorders>
              <w:top w:val="nil"/>
              <w:left w:val="nil"/>
              <w:bottom w:val="single" w:sz="4" w:space="0" w:color="auto"/>
              <w:right w:val="single" w:sz="4" w:space="0" w:color="auto"/>
            </w:tcBorders>
            <w:noWrap/>
            <w:vAlign w:val="center"/>
            <w:hideMark/>
          </w:tcPr>
          <w:p w14:paraId="2E301240" w14:textId="77777777" w:rsidR="00CE7E55" w:rsidRPr="00CE7E55" w:rsidRDefault="00CE7E55" w:rsidP="00CE7E55">
            <w:pPr>
              <w:spacing w:after="0" w:line="240" w:lineRule="auto"/>
              <w:jc w:val="both"/>
              <w:rPr>
                <w:rFonts w:ascii="Times New Roman" w:hAnsi="Times New Roman" w:cs="Times New Roman"/>
                <w:noProof/>
                <w:kern w:val="0"/>
                <w:sz w:val="24"/>
              </w:rPr>
            </w:pPr>
            <w:r w:rsidRPr="00CE7E55">
              <w:rPr>
                <w:rFonts w:ascii="Times New Roman" w:hAnsi="Times New Roman" w:cs="Times New Roman"/>
                <w:noProof/>
                <w:kern w:val="0"/>
                <w:sz w:val="24"/>
              </w:rPr>
              <w:t>Adult or older adult populations whose periodontal status and/or cognitive status were assessed. The population includes individuals with periodontitis, periodontal disease, tooth loss due to periodontal disease, or indicators of poor periodontal health.</w:t>
            </w:r>
          </w:p>
        </w:tc>
      </w:tr>
      <w:tr w:rsidR="00CE7E55" w:rsidRPr="00CE7E55" w14:paraId="4F7D281A" w14:textId="77777777" w:rsidTr="00FA79AF">
        <w:trPr>
          <w:trHeight w:val="290"/>
        </w:trPr>
        <w:tc>
          <w:tcPr>
            <w:tcW w:w="1563" w:type="dxa"/>
            <w:tcBorders>
              <w:top w:val="nil"/>
              <w:left w:val="single" w:sz="4" w:space="0" w:color="auto"/>
              <w:bottom w:val="single" w:sz="4" w:space="0" w:color="auto"/>
              <w:right w:val="single" w:sz="4" w:space="0" w:color="auto"/>
            </w:tcBorders>
            <w:noWrap/>
            <w:vAlign w:val="center"/>
            <w:hideMark/>
          </w:tcPr>
          <w:p w14:paraId="76BD6ABF" w14:textId="77777777" w:rsidR="00CE7E55" w:rsidRPr="00CE7E55" w:rsidRDefault="00CE7E55" w:rsidP="00CE7E55">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t>E (</w:t>
            </w:r>
            <w:r w:rsidRPr="00CE7E55">
              <w:rPr>
                <w:rFonts w:ascii="Times New Roman" w:hAnsi="Times New Roman" w:cs="Times New Roman"/>
                <w:i/>
                <w:iCs/>
                <w:noProof/>
                <w:kern w:val="0"/>
                <w:sz w:val="24"/>
              </w:rPr>
              <w:t>Exposure</w:t>
            </w:r>
            <w:r w:rsidRPr="00CE7E55">
              <w:rPr>
                <w:rFonts w:ascii="Times New Roman" w:hAnsi="Times New Roman" w:cs="Times New Roman"/>
                <w:noProof/>
                <w:kern w:val="0"/>
                <w:sz w:val="24"/>
              </w:rPr>
              <w:t>)</w:t>
            </w:r>
          </w:p>
        </w:tc>
        <w:tc>
          <w:tcPr>
            <w:tcW w:w="7504" w:type="dxa"/>
            <w:tcBorders>
              <w:top w:val="nil"/>
              <w:left w:val="nil"/>
              <w:bottom w:val="single" w:sz="4" w:space="0" w:color="auto"/>
              <w:right w:val="single" w:sz="4" w:space="0" w:color="auto"/>
            </w:tcBorders>
            <w:noWrap/>
            <w:vAlign w:val="center"/>
            <w:hideMark/>
          </w:tcPr>
          <w:p w14:paraId="5BB525EF" w14:textId="77777777" w:rsidR="00CE7E55" w:rsidRPr="00CE7E55" w:rsidRDefault="00CE7E55" w:rsidP="00CE7E55">
            <w:pPr>
              <w:spacing w:after="0" w:line="240" w:lineRule="auto"/>
              <w:jc w:val="both"/>
              <w:rPr>
                <w:rFonts w:ascii="Times New Roman" w:hAnsi="Times New Roman" w:cs="Times New Roman"/>
                <w:noProof/>
                <w:kern w:val="0"/>
                <w:sz w:val="24"/>
              </w:rPr>
            </w:pPr>
            <w:r w:rsidRPr="00CE7E55">
              <w:rPr>
                <w:rFonts w:ascii="Times New Roman" w:hAnsi="Times New Roman" w:cs="Times New Roman"/>
                <w:noProof/>
                <w:kern w:val="0"/>
                <w:sz w:val="24"/>
              </w:rPr>
              <w:t>Periodontitis or periodontal disease measured through clinical diagnosis, clinical attachment loss, probing pocket depth, bleeding on probing, alveolar bone loss, periodontal diagnosis, or other periodontal indicators reported in the articles.</w:t>
            </w:r>
          </w:p>
        </w:tc>
      </w:tr>
      <w:tr w:rsidR="00CE7E55" w:rsidRPr="00CE7E55" w14:paraId="09D59795" w14:textId="77777777" w:rsidTr="00FA79AF">
        <w:trPr>
          <w:trHeight w:val="290"/>
        </w:trPr>
        <w:tc>
          <w:tcPr>
            <w:tcW w:w="1563" w:type="dxa"/>
            <w:tcBorders>
              <w:top w:val="nil"/>
              <w:left w:val="single" w:sz="4" w:space="0" w:color="auto"/>
              <w:bottom w:val="single" w:sz="4" w:space="0" w:color="auto"/>
              <w:right w:val="single" w:sz="4" w:space="0" w:color="auto"/>
            </w:tcBorders>
            <w:noWrap/>
            <w:vAlign w:val="center"/>
            <w:hideMark/>
          </w:tcPr>
          <w:p w14:paraId="0F7844F7" w14:textId="77777777" w:rsidR="00CE7E55" w:rsidRPr="00CE7E55" w:rsidRDefault="00CE7E55" w:rsidP="00CE7E55">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t>C (</w:t>
            </w:r>
            <w:r w:rsidRPr="00CE7E55">
              <w:rPr>
                <w:rFonts w:ascii="Times New Roman" w:hAnsi="Times New Roman" w:cs="Times New Roman"/>
                <w:i/>
                <w:iCs/>
                <w:noProof/>
                <w:kern w:val="0"/>
                <w:sz w:val="24"/>
              </w:rPr>
              <w:t>Comparison</w:t>
            </w:r>
            <w:r w:rsidRPr="00CE7E55">
              <w:rPr>
                <w:rFonts w:ascii="Times New Roman" w:hAnsi="Times New Roman" w:cs="Times New Roman"/>
                <w:noProof/>
                <w:kern w:val="0"/>
                <w:sz w:val="24"/>
              </w:rPr>
              <w:t>)</w:t>
            </w:r>
          </w:p>
        </w:tc>
        <w:tc>
          <w:tcPr>
            <w:tcW w:w="7504" w:type="dxa"/>
            <w:tcBorders>
              <w:top w:val="nil"/>
              <w:left w:val="nil"/>
              <w:bottom w:val="single" w:sz="4" w:space="0" w:color="auto"/>
              <w:right w:val="single" w:sz="4" w:space="0" w:color="auto"/>
            </w:tcBorders>
            <w:noWrap/>
            <w:vAlign w:val="center"/>
            <w:hideMark/>
          </w:tcPr>
          <w:p w14:paraId="13FA7134" w14:textId="77777777" w:rsidR="00CE7E55" w:rsidRPr="00CE7E55" w:rsidRDefault="00CE7E55" w:rsidP="00CE7E55">
            <w:pPr>
              <w:spacing w:after="0" w:line="240" w:lineRule="auto"/>
              <w:jc w:val="both"/>
              <w:rPr>
                <w:rFonts w:ascii="Times New Roman" w:hAnsi="Times New Roman" w:cs="Times New Roman"/>
                <w:noProof/>
                <w:kern w:val="0"/>
                <w:sz w:val="24"/>
              </w:rPr>
            </w:pPr>
            <w:r w:rsidRPr="00CE7E55">
              <w:rPr>
                <w:rFonts w:ascii="Times New Roman" w:hAnsi="Times New Roman" w:cs="Times New Roman"/>
                <w:noProof/>
                <w:kern w:val="0"/>
                <w:sz w:val="24"/>
              </w:rPr>
              <w:t>Individuals without periodontitis, individuals with better periodontal health, control groups, or reference groups without severe periodontal exposure.</w:t>
            </w:r>
          </w:p>
        </w:tc>
      </w:tr>
      <w:tr w:rsidR="00CE7E55" w:rsidRPr="00CE7E55" w14:paraId="3C4B757D" w14:textId="77777777" w:rsidTr="00FA79AF">
        <w:trPr>
          <w:trHeight w:val="290"/>
        </w:trPr>
        <w:tc>
          <w:tcPr>
            <w:tcW w:w="1563" w:type="dxa"/>
            <w:tcBorders>
              <w:top w:val="nil"/>
              <w:left w:val="single" w:sz="4" w:space="0" w:color="auto"/>
              <w:bottom w:val="single" w:sz="4" w:space="0" w:color="auto"/>
              <w:right w:val="single" w:sz="4" w:space="0" w:color="auto"/>
            </w:tcBorders>
            <w:noWrap/>
            <w:vAlign w:val="center"/>
            <w:hideMark/>
          </w:tcPr>
          <w:p w14:paraId="6224F1BD" w14:textId="77777777" w:rsidR="00CE7E55" w:rsidRPr="00CE7E55" w:rsidRDefault="00CE7E55" w:rsidP="00CE7E55">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t>O (</w:t>
            </w:r>
            <w:r w:rsidRPr="00CE7E55">
              <w:rPr>
                <w:rFonts w:ascii="Times New Roman" w:hAnsi="Times New Roman" w:cs="Times New Roman"/>
                <w:i/>
                <w:iCs/>
                <w:noProof/>
                <w:kern w:val="0"/>
                <w:sz w:val="24"/>
              </w:rPr>
              <w:t>Outcome</w:t>
            </w:r>
            <w:r w:rsidRPr="00CE7E55">
              <w:rPr>
                <w:rFonts w:ascii="Times New Roman" w:hAnsi="Times New Roman" w:cs="Times New Roman"/>
                <w:noProof/>
                <w:kern w:val="0"/>
                <w:sz w:val="24"/>
              </w:rPr>
              <w:t>)</w:t>
            </w:r>
          </w:p>
        </w:tc>
        <w:tc>
          <w:tcPr>
            <w:tcW w:w="7504" w:type="dxa"/>
            <w:tcBorders>
              <w:top w:val="nil"/>
              <w:left w:val="nil"/>
              <w:bottom w:val="single" w:sz="4" w:space="0" w:color="auto"/>
              <w:right w:val="single" w:sz="4" w:space="0" w:color="auto"/>
            </w:tcBorders>
            <w:noWrap/>
            <w:vAlign w:val="center"/>
            <w:hideMark/>
          </w:tcPr>
          <w:p w14:paraId="3E5ACBDB" w14:textId="77777777" w:rsidR="00CE7E55" w:rsidRPr="00CE7E55" w:rsidRDefault="00CE7E55" w:rsidP="00CE7E55">
            <w:pPr>
              <w:spacing w:after="0" w:line="240" w:lineRule="auto"/>
              <w:jc w:val="both"/>
              <w:rPr>
                <w:rFonts w:ascii="Times New Roman" w:hAnsi="Times New Roman" w:cs="Times New Roman"/>
                <w:i/>
                <w:iCs/>
                <w:noProof/>
                <w:kern w:val="0"/>
                <w:sz w:val="24"/>
              </w:rPr>
            </w:pPr>
            <w:r w:rsidRPr="00CE7E55">
              <w:rPr>
                <w:rFonts w:ascii="Times New Roman" w:hAnsi="Times New Roman" w:cs="Times New Roman"/>
                <w:noProof/>
                <w:kern w:val="0"/>
                <w:sz w:val="24"/>
              </w:rPr>
              <w:t>Cognitive impairment, mild cognitive impairment, cognitive decline, dementia, Alzheimer’s disease, Parkinson’s disease, and other neurodegenerative diseases assessed through clinical diagnosis, registry data, medical records, or standardized cognitive instruments.</w:t>
            </w:r>
          </w:p>
        </w:tc>
      </w:tr>
    </w:tbl>
    <w:p w14:paraId="6F5200FE" w14:textId="77777777" w:rsidR="00CE7E55" w:rsidRPr="00CE7E55" w:rsidRDefault="00CE7E55" w:rsidP="00CE7E55">
      <w:pPr>
        <w:jc w:val="both"/>
        <w:rPr>
          <w:rFonts w:ascii="Times New Roman" w:hAnsi="Times New Roman" w:cs="Times New Roman"/>
          <w:noProof/>
          <w:kern w:val="0"/>
          <w:sz w:val="24"/>
        </w:rPr>
      </w:pPr>
    </w:p>
    <w:p w14:paraId="37FD0610" w14:textId="77777777" w:rsidR="00CE7E55" w:rsidRPr="00CE7E55" w:rsidRDefault="00CE7E55" w:rsidP="00CE7E55">
      <w:pPr>
        <w:jc w:val="both"/>
        <w:rPr>
          <w:rFonts w:ascii="Times New Roman" w:hAnsi="Times New Roman" w:cs="Times New Roman"/>
          <w:noProof/>
          <w:kern w:val="0"/>
          <w:sz w:val="24"/>
        </w:rPr>
      </w:pPr>
      <w:r w:rsidRPr="00CE7E55">
        <w:rPr>
          <w:rFonts w:ascii="Times New Roman" w:hAnsi="Times New Roman" w:cs="Times New Roman"/>
          <w:b/>
          <w:bCs/>
          <w:noProof/>
          <w:kern w:val="0"/>
          <w:sz w:val="24"/>
        </w:rPr>
        <w:t>Table 2.</w:t>
      </w:r>
      <w:r w:rsidRPr="00CE7E55">
        <w:rPr>
          <w:rFonts w:ascii="Times New Roman" w:hAnsi="Times New Roman" w:cs="Times New Roman"/>
          <w:noProof/>
          <w:kern w:val="0"/>
          <w:sz w:val="24"/>
        </w:rPr>
        <w:t xml:space="preserve"> Number of articles based on search databases</w:t>
      </w:r>
    </w:p>
    <w:tbl>
      <w:tblPr>
        <w:tblW w:w="9351" w:type="dxa"/>
        <w:tblLayout w:type="fixed"/>
        <w:tblLook w:val="04A0" w:firstRow="1" w:lastRow="0" w:firstColumn="1" w:lastColumn="0" w:noHBand="0" w:noVBand="1"/>
      </w:tblPr>
      <w:tblGrid>
        <w:gridCol w:w="1271"/>
        <w:gridCol w:w="6662"/>
        <w:gridCol w:w="1418"/>
      </w:tblGrid>
      <w:tr w:rsidR="00CE7E55" w:rsidRPr="00CE7E55" w14:paraId="4B24DDE6" w14:textId="77777777" w:rsidTr="0059166D">
        <w:trPr>
          <w:trHeight w:val="290"/>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13E1FBE8" w14:textId="77777777" w:rsidR="00CE7E55" w:rsidRPr="00CE7E55" w:rsidRDefault="00CE7E55" w:rsidP="0059166D">
            <w:pPr>
              <w:spacing w:after="0" w:line="240" w:lineRule="auto"/>
              <w:jc w:val="center"/>
              <w:rPr>
                <w:rFonts w:ascii="Times New Roman" w:hAnsi="Times New Roman" w:cs="Times New Roman"/>
                <w:b/>
                <w:bCs/>
                <w:noProof/>
                <w:kern w:val="0"/>
                <w:sz w:val="24"/>
              </w:rPr>
            </w:pPr>
            <w:r w:rsidRPr="00CE7E55">
              <w:rPr>
                <w:rFonts w:ascii="Times New Roman" w:hAnsi="Times New Roman" w:cs="Times New Roman"/>
                <w:b/>
                <w:bCs/>
                <w:noProof/>
                <w:kern w:val="0"/>
                <w:sz w:val="24"/>
              </w:rPr>
              <w:t>Database</w:t>
            </w:r>
          </w:p>
        </w:tc>
        <w:tc>
          <w:tcPr>
            <w:tcW w:w="6662" w:type="dxa"/>
            <w:tcBorders>
              <w:top w:val="single" w:sz="4" w:space="0" w:color="auto"/>
              <w:left w:val="nil"/>
              <w:bottom w:val="single" w:sz="4" w:space="0" w:color="auto"/>
              <w:right w:val="single" w:sz="4" w:space="0" w:color="auto"/>
            </w:tcBorders>
            <w:noWrap/>
            <w:vAlign w:val="center"/>
            <w:hideMark/>
          </w:tcPr>
          <w:p w14:paraId="5F89AD20" w14:textId="77777777" w:rsidR="00CE7E55" w:rsidRPr="00CE7E55" w:rsidRDefault="00CE7E55" w:rsidP="0059166D">
            <w:pPr>
              <w:spacing w:after="0" w:line="240" w:lineRule="auto"/>
              <w:jc w:val="center"/>
              <w:rPr>
                <w:rFonts w:ascii="Times New Roman" w:hAnsi="Times New Roman" w:cs="Times New Roman"/>
                <w:b/>
                <w:bCs/>
                <w:noProof/>
                <w:kern w:val="0"/>
                <w:sz w:val="24"/>
              </w:rPr>
            </w:pPr>
            <w:r w:rsidRPr="00CE7E55">
              <w:rPr>
                <w:rFonts w:ascii="Times New Roman" w:hAnsi="Times New Roman" w:cs="Times New Roman"/>
                <w:b/>
                <w:bCs/>
                <w:noProof/>
                <w:kern w:val="0"/>
                <w:sz w:val="24"/>
              </w:rPr>
              <w:t>Keyword</w:t>
            </w:r>
          </w:p>
        </w:tc>
        <w:tc>
          <w:tcPr>
            <w:tcW w:w="1418" w:type="dxa"/>
            <w:tcBorders>
              <w:top w:val="single" w:sz="4" w:space="0" w:color="auto"/>
              <w:left w:val="nil"/>
              <w:bottom w:val="single" w:sz="4" w:space="0" w:color="auto"/>
              <w:right w:val="single" w:sz="4" w:space="0" w:color="auto"/>
            </w:tcBorders>
            <w:noWrap/>
            <w:vAlign w:val="center"/>
            <w:hideMark/>
          </w:tcPr>
          <w:p w14:paraId="3FC38728" w14:textId="77777777" w:rsidR="00CE7E55" w:rsidRPr="00CE7E55" w:rsidRDefault="00CE7E55" w:rsidP="0059166D">
            <w:pPr>
              <w:spacing w:after="0" w:line="240" w:lineRule="auto"/>
              <w:jc w:val="center"/>
              <w:rPr>
                <w:rFonts w:ascii="Times New Roman" w:hAnsi="Times New Roman" w:cs="Times New Roman"/>
                <w:b/>
                <w:bCs/>
                <w:noProof/>
                <w:kern w:val="0"/>
                <w:sz w:val="24"/>
              </w:rPr>
            </w:pPr>
            <w:r w:rsidRPr="00CE7E55">
              <w:rPr>
                <w:rFonts w:ascii="Times New Roman" w:hAnsi="Times New Roman" w:cs="Times New Roman"/>
                <w:b/>
                <w:bCs/>
                <w:noProof/>
                <w:kern w:val="0"/>
                <w:sz w:val="24"/>
              </w:rPr>
              <w:t>Number of Articles</w:t>
            </w:r>
          </w:p>
        </w:tc>
      </w:tr>
      <w:tr w:rsidR="00CE7E55" w:rsidRPr="00CE7E55" w14:paraId="706FBE51" w14:textId="77777777" w:rsidTr="0059166D">
        <w:trPr>
          <w:trHeight w:val="290"/>
        </w:trPr>
        <w:tc>
          <w:tcPr>
            <w:tcW w:w="1271" w:type="dxa"/>
            <w:tcBorders>
              <w:top w:val="nil"/>
              <w:left w:val="single" w:sz="4" w:space="0" w:color="auto"/>
              <w:bottom w:val="single" w:sz="4" w:space="0" w:color="auto"/>
              <w:right w:val="single" w:sz="4" w:space="0" w:color="auto"/>
            </w:tcBorders>
            <w:noWrap/>
            <w:vAlign w:val="center"/>
            <w:hideMark/>
          </w:tcPr>
          <w:p w14:paraId="6061AE9F" w14:textId="77777777" w:rsidR="00CE7E55" w:rsidRPr="00CE7E55" w:rsidRDefault="00CE7E55" w:rsidP="0059166D">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t>PubMed/MEDLINE</w:t>
            </w:r>
          </w:p>
        </w:tc>
        <w:tc>
          <w:tcPr>
            <w:tcW w:w="6662" w:type="dxa"/>
            <w:tcBorders>
              <w:top w:val="nil"/>
              <w:left w:val="nil"/>
              <w:bottom w:val="single" w:sz="4" w:space="0" w:color="auto"/>
              <w:right w:val="single" w:sz="4" w:space="0" w:color="auto"/>
            </w:tcBorders>
            <w:noWrap/>
            <w:vAlign w:val="center"/>
            <w:hideMark/>
          </w:tcPr>
          <w:p w14:paraId="1E750373" w14:textId="39349E9C" w:rsidR="00CE7E55" w:rsidRPr="00CE7E55" w:rsidRDefault="00CE7E55" w:rsidP="0059166D">
            <w:pPr>
              <w:spacing w:after="0" w:line="240" w:lineRule="auto"/>
              <w:jc w:val="both"/>
              <w:rPr>
                <w:rFonts w:ascii="Times New Roman" w:hAnsi="Times New Roman" w:cs="Times New Roman"/>
                <w:noProof/>
                <w:kern w:val="0"/>
                <w:sz w:val="24"/>
              </w:rPr>
            </w:pPr>
            <w:r w:rsidRPr="00CE7E55">
              <w:rPr>
                <w:rFonts w:ascii="Times New Roman" w:hAnsi="Times New Roman" w:cs="Times New Roman"/>
                <w:noProof/>
                <w:kern w:val="0"/>
                <w:sz w:val="24"/>
              </w:rPr>
              <w:t>(“periodontitis” OR “periodontal disease” OR “periodontal health” OR “clinical attachment loss” OR “probing pocket depth” OR “alveolar bone loss” OR “tooth loss”) AND (“cognitive impairment” OR “cognitive decline” OR “mild cognitive impairment” OR dementia OR “Alzheimer disease” OR “Parkinson disease” OR “neurodegenerative disease”) AND (“</w:t>
            </w:r>
            <w:r w:rsidR="00735F64" w:rsidRPr="00735F64">
              <w:rPr>
                <w:rFonts w:ascii="Times New Roman" w:hAnsi="Times New Roman" w:cs="Times New Roman"/>
                <w:noProof/>
                <w:kern w:val="0"/>
                <w:sz w:val="24"/>
              </w:rPr>
              <w:t>odds ratio” OR “hazard ratio” OR “confidence interval” OR “p-value” OR association</w:t>
            </w:r>
            <w:r w:rsidRPr="00CE7E55">
              <w:rPr>
                <w:rFonts w:ascii="Times New Roman" w:hAnsi="Times New Roman" w:cs="Times New Roman"/>
                <w:noProof/>
                <w:kern w:val="0"/>
                <w:sz w:val="24"/>
              </w:rPr>
              <w:t>)</w:t>
            </w:r>
          </w:p>
        </w:tc>
        <w:tc>
          <w:tcPr>
            <w:tcW w:w="1418" w:type="dxa"/>
            <w:tcBorders>
              <w:top w:val="nil"/>
              <w:left w:val="nil"/>
              <w:bottom w:val="single" w:sz="4" w:space="0" w:color="auto"/>
              <w:right w:val="single" w:sz="4" w:space="0" w:color="auto"/>
            </w:tcBorders>
            <w:noWrap/>
            <w:vAlign w:val="center"/>
            <w:hideMark/>
          </w:tcPr>
          <w:p w14:paraId="0A1205A8" w14:textId="77777777" w:rsidR="00CE7E55" w:rsidRPr="00CE7E55" w:rsidRDefault="00CE7E55" w:rsidP="0059166D">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t>124</w:t>
            </w:r>
          </w:p>
        </w:tc>
      </w:tr>
      <w:tr w:rsidR="00CE7E55" w:rsidRPr="00CE7E55" w14:paraId="58E5CDD1" w14:textId="77777777" w:rsidTr="0059166D">
        <w:trPr>
          <w:trHeight w:val="290"/>
        </w:trPr>
        <w:tc>
          <w:tcPr>
            <w:tcW w:w="1271" w:type="dxa"/>
            <w:tcBorders>
              <w:top w:val="nil"/>
              <w:left w:val="single" w:sz="4" w:space="0" w:color="auto"/>
              <w:bottom w:val="single" w:sz="4" w:space="0" w:color="auto"/>
              <w:right w:val="single" w:sz="4" w:space="0" w:color="auto"/>
            </w:tcBorders>
            <w:noWrap/>
            <w:vAlign w:val="center"/>
            <w:hideMark/>
          </w:tcPr>
          <w:p w14:paraId="09E523CA" w14:textId="77777777" w:rsidR="00CE7E55" w:rsidRPr="00CE7E55" w:rsidRDefault="00CE7E55" w:rsidP="0059166D">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t>Scopus</w:t>
            </w:r>
          </w:p>
        </w:tc>
        <w:tc>
          <w:tcPr>
            <w:tcW w:w="6662" w:type="dxa"/>
            <w:tcBorders>
              <w:top w:val="nil"/>
              <w:left w:val="nil"/>
              <w:bottom w:val="single" w:sz="4" w:space="0" w:color="auto"/>
              <w:right w:val="single" w:sz="4" w:space="0" w:color="auto"/>
            </w:tcBorders>
            <w:noWrap/>
            <w:vAlign w:val="center"/>
            <w:hideMark/>
          </w:tcPr>
          <w:p w14:paraId="369AA153" w14:textId="77777777" w:rsidR="00CE7E55" w:rsidRPr="00CE7E55" w:rsidRDefault="00CE7E55" w:rsidP="0059166D">
            <w:pPr>
              <w:spacing w:after="0" w:line="240" w:lineRule="auto"/>
              <w:jc w:val="both"/>
              <w:rPr>
                <w:rFonts w:ascii="Times New Roman" w:hAnsi="Times New Roman" w:cs="Times New Roman"/>
                <w:noProof/>
                <w:kern w:val="0"/>
                <w:sz w:val="24"/>
              </w:rPr>
            </w:pPr>
            <w:r w:rsidRPr="00CE7E55">
              <w:rPr>
                <w:rFonts w:ascii="Times New Roman" w:hAnsi="Times New Roman" w:cs="Times New Roman"/>
                <w:noProof/>
                <w:kern w:val="0"/>
                <w:sz w:val="24"/>
              </w:rPr>
              <w:t>TITLE-ABS-KEY (“periodontitis” OR “periodontal disease” OR “periodontal health” OR “tooth loss” OR “alveolar bone loss”) AND TITLE-ABS-KEY (“cognitive impairment” OR “cognitive decline” OR dementia OR “Alzheimer disease” OR “Parkinson disease” OR “neurodegenerative disease”) AND TITLE-ABS-KEY (“odds ratio” OR “confidence interval” OR association OR “risk factor”) AND PUBYEAR &gt; 2016</w:t>
            </w:r>
          </w:p>
        </w:tc>
        <w:tc>
          <w:tcPr>
            <w:tcW w:w="1418" w:type="dxa"/>
            <w:tcBorders>
              <w:top w:val="nil"/>
              <w:left w:val="nil"/>
              <w:bottom w:val="single" w:sz="4" w:space="0" w:color="auto"/>
              <w:right w:val="single" w:sz="4" w:space="0" w:color="auto"/>
            </w:tcBorders>
            <w:noWrap/>
            <w:vAlign w:val="center"/>
            <w:hideMark/>
          </w:tcPr>
          <w:p w14:paraId="652BB5AE" w14:textId="77777777" w:rsidR="00CE7E55" w:rsidRPr="00CE7E55" w:rsidRDefault="00CE7E55" w:rsidP="0059166D">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t>156</w:t>
            </w:r>
          </w:p>
        </w:tc>
      </w:tr>
      <w:tr w:rsidR="00CE7E55" w:rsidRPr="00CE7E55" w14:paraId="17636DD9" w14:textId="77777777" w:rsidTr="0059166D">
        <w:trPr>
          <w:trHeight w:val="290"/>
        </w:trPr>
        <w:tc>
          <w:tcPr>
            <w:tcW w:w="1271" w:type="dxa"/>
            <w:tcBorders>
              <w:top w:val="nil"/>
              <w:left w:val="single" w:sz="4" w:space="0" w:color="auto"/>
              <w:bottom w:val="single" w:sz="4" w:space="0" w:color="auto"/>
              <w:right w:val="single" w:sz="4" w:space="0" w:color="auto"/>
            </w:tcBorders>
            <w:noWrap/>
            <w:vAlign w:val="center"/>
            <w:hideMark/>
          </w:tcPr>
          <w:p w14:paraId="0315C390" w14:textId="77777777" w:rsidR="00CE7E55" w:rsidRPr="00CE7E55" w:rsidRDefault="00CE7E55" w:rsidP="0059166D">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lastRenderedPageBreak/>
              <w:t>Web of Science</w:t>
            </w:r>
          </w:p>
        </w:tc>
        <w:tc>
          <w:tcPr>
            <w:tcW w:w="6662" w:type="dxa"/>
            <w:tcBorders>
              <w:top w:val="nil"/>
              <w:left w:val="nil"/>
              <w:bottom w:val="single" w:sz="4" w:space="0" w:color="auto"/>
              <w:right w:val="single" w:sz="4" w:space="0" w:color="auto"/>
            </w:tcBorders>
            <w:noWrap/>
            <w:vAlign w:val="center"/>
            <w:hideMark/>
          </w:tcPr>
          <w:p w14:paraId="74FC2FB8" w14:textId="77777777" w:rsidR="00CE7E55" w:rsidRPr="00CE7E55" w:rsidRDefault="00CE7E55" w:rsidP="0059166D">
            <w:pPr>
              <w:spacing w:after="0" w:line="240" w:lineRule="auto"/>
              <w:jc w:val="both"/>
              <w:rPr>
                <w:rFonts w:ascii="Times New Roman" w:hAnsi="Times New Roman" w:cs="Times New Roman"/>
                <w:noProof/>
                <w:kern w:val="0"/>
                <w:sz w:val="24"/>
              </w:rPr>
            </w:pPr>
            <w:r w:rsidRPr="00CE7E55">
              <w:rPr>
                <w:rFonts w:ascii="Times New Roman" w:hAnsi="Times New Roman" w:cs="Times New Roman"/>
                <w:noProof/>
                <w:kern w:val="0"/>
                <w:sz w:val="24"/>
              </w:rPr>
              <w:t>TS=(“periodontitis” OR “periodontal disease” OR “periodontal health” OR “clinical attachment loss” OR “probing pocket depth” OR “tooth loss”) AND TS=(“cognitive impairment” OR “cognitive decline” OR dementia OR “Alzheimer disease” OR “Parkinson disease” OR “neurodegenerative disease”) AND TS=(“odds ratio” OR “confidence interval” OR association OR “risk factor”)</w:t>
            </w:r>
          </w:p>
        </w:tc>
        <w:tc>
          <w:tcPr>
            <w:tcW w:w="1418" w:type="dxa"/>
            <w:tcBorders>
              <w:top w:val="nil"/>
              <w:left w:val="nil"/>
              <w:bottom w:val="single" w:sz="4" w:space="0" w:color="auto"/>
              <w:right w:val="single" w:sz="4" w:space="0" w:color="auto"/>
            </w:tcBorders>
            <w:noWrap/>
            <w:vAlign w:val="center"/>
            <w:hideMark/>
          </w:tcPr>
          <w:p w14:paraId="09BF9FD5" w14:textId="77777777" w:rsidR="00CE7E55" w:rsidRPr="00CE7E55" w:rsidRDefault="00CE7E55" w:rsidP="0059166D">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t>98</w:t>
            </w:r>
          </w:p>
        </w:tc>
      </w:tr>
      <w:tr w:rsidR="00CE7E55" w:rsidRPr="00CE7E55" w14:paraId="6AC45D51" w14:textId="77777777" w:rsidTr="0059166D">
        <w:trPr>
          <w:trHeight w:val="290"/>
        </w:trPr>
        <w:tc>
          <w:tcPr>
            <w:tcW w:w="7933" w:type="dxa"/>
            <w:gridSpan w:val="2"/>
            <w:tcBorders>
              <w:top w:val="single" w:sz="4" w:space="0" w:color="auto"/>
              <w:left w:val="single" w:sz="4" w:space="0" w:color="auto"/>
              <w:bottom w:val="single" w:sz="4" w:space="0" w:color="auto"/>
              <w:right w:val="single" w:sz="4" w:space="0" w:color="auto"/>
            </w:tcBorders>
            <w:noWrap/>
            <w:vAlign w:val="center"/>
            <w:hideMark/>
          </w:tcPr>
          <w:p w14:paraId="5C79CB89" w14:textId="77777777" w:rsidR="00CE7E55" w:rsidRPr="00CE7E55" w:rsidRDefault="00CE7E55" w:rsidP="0059166D">
            <w:pPr>
              <w:spacing w:after="0" w:line="240" w:lineRule="auto"/>
              <w:jc w:val="center"/>
              <w:rPr>
                <w:rFonts w:ascii="Times New Roman" w:hAnsi="Times New Roman" w:cs="Times New Roman"/>
                <w:b/>
                <w:bCs/>
                <w:noProof/>
                <w:kern w:val="0"/>
                <w:sz w:val="24"/>
              </w:rPr>
            </w:pPr>
            <w:r w:rsidRPr="00CE7E55">
              <w:rPr>
                <w:rFonts w:ascii="Times New Roman" w:hAnsi="Times New Roman" w:cs="Times New Roman"/>
                <w:b/>
                <w:bCs/>
                <w:noProof/>
                <w:kern w:val="0"/>
                <w:sz w:val="24"/>
              </w:rPr>
              <w:t>Total articles identified</w:t>
            </w:r>
          </w:p>
        </w:tc>
        <w:tc>
          <w:tcPr>
            <w:tcW w:w="1418" w:type="dxa"/>
            <w:tcBorders>
              <w:top w:val="nil"/>
              <w:left w:val="nil"/>
              <w:bottom w:val="single" w:sz="4" w:space="0" w:color="auto"/>
              <w:right w:val="single" w:sz="4" w:space="0" w:color="auto"/>
            </w:tcBorders>
            <w:noWrap/>
            <w:vAlign w:val="center"/>
            <w:hideMark/>
          </w:tcPr>
          <w:p w14:paraId="47823F54" w14:textId="77777777" w:rsidR="00CE7E55" w:rsidRPr="00CE7E55" w:rsidRDefault="00CE7E55" w:rsidP="0059166D">
            <w:pPr>
              <w:spacing w:after="0" w:line="240" w:lineRule="auto"/>
              <w:jc w:val="center"/>
              <w:rPr>
                <w:rFonts w:ascii="Times New Roman" w:hAnsi="Times New Roman" w:cs="Times New Roman"/>
                <w:b/>
                <w:bCs/>
                <w:noProof/>
                <w:kern w:val="0"/>
                <w:sz w:val="24"/>
              </w:rPr>
            </w:pPr>
            <w:r w:rsidRPr="00CE7E55">
              <w:rPr>
                <w:rFonts w:ascii="Times New Roman" w:hAnsi="Times New Roman" w:cs="Times New Roman"/>
                <w:b/>
                <w:bCs/>
                <w:noProof/>
                <w:kern w:val="0"/>
                <w:sz w:val="24"/>
              </w:rPr>
              <w:t>378</w:t>
            </w:r>
          </w:p>
        </w:tc>
      </w:tr>
    </w:tbl>
    <w:p w14:paraId="251C51CD" w14:textId="77777777" w:rsidR="00CE7E55" w:rsidRPr="00CE7E55" w:rsidRDefault="00CE7E55" w:rsidP="00CE7E55">
      <w:pPr>
        <w:jc w:val="both"/>
        <w:rPr>
          <w:rFonts w:ascii="Times New Roman" w:hAnsi="Times New Roman" w:cs="Times New Roman"/>
          <w:noProof/>
          <w:kern w:val="0"/>
          <w:sz w:val="24"/>
        </w:rPr>
      </w:pPr>
    </w:p>
    <w:p w14:paraId="4A7AF39F" w14:textId="77777777" w:rsidR="00CE7E55" w:rsidRPr="00CE7E55" w:rsidRDefault="00CE7E55" w:rsidP="00CE7E55">
      <w:pPr>
        <w:jc w:val="both"/>
        <w:rPr>
          <w:rFonts w:ascii="Times New Roman" w:hAnsi="Times New Roman" w:cs="Times New Roman"/>
          <w:noProof/>
          <w:kern w:val="0"/>
          <w:sz w:val="24"/>
        </w:rPr>
      </w:pPr>
      <w:r w:rsidRPr="00CE7E55">
        <w:rPr>
          <w:rFonts w:ascii="Times New Roman" w:hAnsi="Times New Roman" w:cs="Times New Roman"/>
          <w:b/>
          <w:bCs/>
          <w:noProof/>
          <w:kern w:val="0"/>
          <w:sz w:val="24"/>
        </w:rPr>
        <w:t>Table 3.</w:t>
      </w:r>
      <w:r w:rsidRPr="00CE7E55">
        <w:rPr>
          <w:rFonts w:ascii="Times New Roman" w:hAnsi="Times New Roman" w:cs="Times New Roman"/>
          <w:noProof/>
          <w:kern w:val="0"/>
          <w:sz w:val="24"/>
        </w:rPr>
        <w:t xml:space="preserve"> Frequency distribution of the characteristics of included articles</w:t>
      </w:r>
    </w:p>
    <w:tbl>
      <w:tblPr>
        <w:tblW w:w="9067" w:type="dxa"/>
        <w:tblLayout w:type="fixed"/>
        <w:tblLook w:val="04A0" w:firstRow="1" w:lastRow="0" w:firstColumn="1" w:lastColumn="0" w:noHBand="0" w:noVBand="1"/>
      </w:tblPr>
      <w:tblGrid>
        <w:gridCol w:w="1830"/>
        <w:gridCol w:w="3127"/>
        <w:gridCol w:w="1842"/>
        <w:gridCol w:w="2268"/>
      </w:tblGrid>
      <w:tr w:rsidR="0059166D" w:rsidRPr="0059166D" w14:paraId="4DA4CD6D" w14:textId="77777777" w:rsidTr="002B349D">
        <w:trPr>
          <w:trHeight w:val="300"/>
        </w:trPr>
        <w:tc>
          <w:tcPr>
            <w:tcW w:w="1830" w:type="dxa"/>
            <w:tcBorders>
              <w:top w:val="single" w:sz="4" w:space="0" w:color="auto"/>
              <w:left w:val="single" w:sz="4" w:space="0" w:color="auto"/>
              <w:bottom w:val="single" w:sz="4" w:space="0" w:color="auto"/>
              <w:right w:val="single" w:sz="4" w:space="0" w:color="auto"/>
            </w:tcBorders>
            <w:noWrap/>
            <w:vAlign w:val="center"/>
            <w:hideMark/>
          </w:tcPr>
          <w:p w14:paraId="7C6C1EFA" w14:textId="77777777" w:rsidR="0059166D" w:rsidRPr="0059166D" w:rsidRDefault="0059166D" w:rsidP="002B349D">
            <w:pPr>
              <w:jc w:val="center"/>
              <w:rPr>
                <w:rFonts w:ascii="Times New Roman" w:hAnsi="Times New Roman" w:cs="Times New Roman"/>
                <w:b/>
                <w:bCs/>
                <w:noProof/>
                <w:kern w:val="0"/>
                <w:sz w:val="24"/>
              </w:rPr>
            </w:pPr>
            <w:r w:rsidRPr="0059166D">
              <w:rPr>
                <w:rFonts w:ascii="Times New Roman" w:hAnsi="Times New Roman" w:cs="Times New Roman"/>
                <w:b/>
                <w:bCs/>
                <w:noProof/>
                <w:kern w:val="0"/>
                <w:sz w:val="24"/>
              </w:rPr>
              <w:t>Characteristic</w:t>
            </w:r>
          </w:p>
        </w:tc>
        <w:tc>
          <w:tcPr>
            <w:tcW w:w="3127" w:type="dxa"/>
            <w:tcBorders>
              <w:top w:val="single" w:sz="4" w:space="0" w:color="auto"/>
              <w:left w:val="nil"/>
              <w:bottom w:val="single" w:sz="4" w:space="0" w:color="auto"/>
              <w:right w:val="single" w:sz="4" w:space="0" w:color="auto"/>
            </w:tcBorders>
            <w:noWrap/>
            <w:vAlign w:val="center"/>
            <w:hideMark/>
          </w:tcPr>
          <w:p w14:paraId="5AED47E4" w14:textId="77777777" w:rsidR="0059166D" w:rsidRPr="0059166D" w:rsidRDefault="0059166D" w:rsidP="002B349D">
            <w:pPr>
              <w:jc w:val="center"/>
              <w:rPr>
                <w:rFonts w:ascii="Times New Roman" w:hAnsi="Times New Roman" w:cs="Times New Roman"/>
                <w:b/>
                <w:bCs/>
                <w:noProof/>
                <w:kern w:val="0"/>
                <w:sz w:val="24"/>
              </w:rPr>
            </w:pPr>
            <w:r w:rsidRPr="0059166D">
              <w:rPr>
                <w:rFonts w:ascii="Times New Roman" w:hAnsi="Times New Roman" w:cs="Times New Roman"/>
                <w:b/>
                <w:bCs/>
                <w:noProof/>
                <w:kern w:val="0"/>
                <w:sz w:val="24"/>
              </w:rPr>
              <w:t>Category</w:t>
            </w:r>
          </w:p>
        </w:tc>
        <w:tc>
          <w:tcPr>
            <w:tcW w:w="1842" w:type="dxa"/>
            <w:tcBorders>
              <w:top w:val="single" w:sz="4" w:space="0" w:color="auto"/>
              <w:left w:val="nil"/>
              <w:bottom w:val="single" w:sz="4" w:space="0" w:color="auto"/>
              <w:right w:val="single" w:sz="4" w:space="0" w:color="auto"/>
            </w:tcBorders>
            <w:noWrap/>
            <w:vAlign w:val="center"/>
            <w:hideMark/>
          </w:tcPr>
          <w:p w14:paraId="5BEBE565" w14:textId="77777777" w:rsidR="0059166D" w:rsidRPr="0059166D" w:rsidRDefault="0059166D" w:rsidP="002B349D">
            <w:pPr>
              <w:jc w:val="center"/>
              <w:rPr>
                <w:rFonts w:ascii="Times New Roman" w:hAnsi="Times New Roman" w:cs="Times New Roman"/>
                <w:b/>
                <w:bCs/>
                <w:noProof/>
                <w:kern w:val="0"/>
                <w:sz w:val="24"/>
              </w:rPr>
            </w:pPr>
            <w:r w:rsidRPr="0059166D">
              <w:rPr>
                <w:rFonts w:ascii="Times New Roman" w:hAnsi="Times New Roman" w:cs="Times New Roman"/>
                <w:b/>
                <w:bCs/>
                <w:noProof/>
                <w:kern w:val="0"/>
                <w:sz w:val="24"/>
              </w:rPr>
              <w:t>Frequency</w:t>
            </w:r>
          </w:p>
        </w:tc>
        <w:tc>
          <w:tcPr>
            <w:tcW w:w="2268" w:type="dxa"/>
            <w:tcBorders>
              <w:top w:val="single" w:sz="4" w:space="0" w:color="auto"/>
              <w:left w:val="nil"/>
              <w:bottom w:val="single" w:sz="4" w:space="0" w:color="auto"/>
              <w:right w:val="single" w:sz="4" w:space="0" w:color="auto"/>
            </w:tcBorders>
            <w:noWrap/>
            <w:vAlign w:val="center"/>
            <w:hideMark/>
          </w:tcPr>
          <w:p w14:paraId="03CC3F4B" w14:textId="77777777" w:rsidR="0059166D" w:rsidRPr="0059166D" w:rsidRDefault="0059166D" w:rsidP="002B349D">
            <w:pPr>
              <w:jc w:val="center"/>
              <w:rPr>
                <w:rFonts w:ascii="Times New Roman" w:hAnsi="Times New Roman" w:cs="Times New Roman"/>
                <w:b/>
                <w:bCs/>
                <w:noProof/>
                <w:kern w:val="0"/>
                <w:sz w:val="24"/>
              </w:rPr>
            </w:pPr>
            <w:r w:rsidRPr="0059166D">
              <w:rPr>
                <w:rFonts w:ascii="Times New Roman" w:hAnsi="Times New Roman" w:cs="Times New Roman"/>
                <w:b/>
                <w:bCs/>
                <w:noProof/>
                <w:kern w:val="0"/>
                <w:sz w:val="24"/>
              </w:rPr>
              <w:t>Percentage</w:t>
            </w:r>
          </w:p>
        </w:tc>
      </w:tr>
      <w:tr w:rsidR="0059166D" w:rsidRPr="0059166D" w14:paraId="699FDF22" w14:textId="77777777" w:rsidTr="00FA79AF">
        <w:trPr>
          <w:trHeight w:val="310"/>
        </w:trPr>
        <w:tc>
          <w:tcPr>
            <w:tcW w:w="1830" w:type="dxa"/>
            <w:vMerge w:val="restart"/>
            <w:tcBorders>
              <w:top w:val="nil"/>
              <w:left w:val="single" w:sz="4" w:space="0" w:color="auto"/>
              <w:bottom w:val="single" w:sz="4" w:space="0" w:color="auto"/>
              <w:right w:val="single" w:sz="4" w:space="0" w:color="auto"/>
            </w:tcBorders>
            <w:noWrap/>
            <w:vAlign w:val="center"/>
            <w:hideMark/>
          </w:tcPr>
          <w:p w14:paraId="4669BCBE"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Publication year</w:t>
            </w:r>
          </w:p>
        </w:tc>
        <w:tc>
          <w:tcPr>
            <w:tcW w:w="3127" w:type="dxa"/>
            <w:tcBorders>
              <w:top w:val="nil"/>
              <w:left w:val="nil"/>
              <w:bottom w:val="single" w:sz="4" w:space="0" w:color="auto"/>
              <w:right w:val="single" w:sz="4" w:space="0" w:color="auto"/>
            </w:tcBorders>
            <w:noWrap/>
            <w:vAlign w:val="center"/>
            <w:hideMark/>
          </w:tcPr>
          <w:p w14:paraId="617A9F4F"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2017</w:t>
            </w:r>
          </w:p>
        </w:tc>
        <w:tc>
          <w:tcPr>
            <w:tcW w:w="1842" w:type="dxa"/>
            <w:tcBorders>
              <w:top w:val="nil"/>
              <w:left w:val="nil"/>
              <w:bottom w:val="single" w:sz="4" w:space="0" w:color="auto"/>
              <w:right w:val="single" w:sz="4" w:space="0" w:color="auto"/>
            </w:tcBorders>
            <w:noWrap/>
            <w:vAlign w:val="center"/>
            <w:hideMark/>
          </w:tcPr>
          <w:p w14:paraId="383E952F"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3</w:t>
            </w:r>
          </w:p>
        </w:tc>
        <w:tc>
          <w:tcPr>
            <w:tcW w:w="2268" w:type="dxa"/>
            <w:tcBorders>
              <w:top w:val="nil"/>
              <w:left w:val="nil"/>
              <w:bottom w:val="single" w:sz="4" w:space="0" w:color="auto"/>
              <w:right w:val="single" w:sz="4" w:space="0" w:color="auto"/>
            </w:tcBorders>
            <w:noWrap/>
            <w:vAlign w:val="center"/>
            <w:hideMark/>
          </w:tcPr>
          <w:p w14:paraId="53EDECBD" w14:textId="1635F51C"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25</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42386812"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353FF857"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7226E50A"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2019</w:t>
            </w:r>
          </w:p>
        </w:tc>
        <w:tc>
          <w:tcPr>
            <w:tcW w:w="1842" w:type="dxa"/>
            <w:tcBorders>
              <w:top w:val="nil"/>
              <w:left w:val="nil"/>
              <w:bottom w:val="single" w:sz="4" w:space="0" w:color="auto"/>
              <w:right w:val="single" w:sz="4" w:space="0" w:color="auto"/>
            </w:tcBorders>
            <w:noWrap/>
            <w:vAlign w:val="center"/>
            <w:hideMark/>
          </w:tcPr>
          <w:p w14:paraId="592D9CC1"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w:t>
            </w:r>
          </w:p>
        </w:tc>
        <w:tc>
          <w:tcPr>
            <w:tcW w:w="2268" w:type="dxa"/>
            <w:tcBorders>
              <w:top w:val="nil"/>
              <w:left w:val="nil"/>
              <w:bottom w:val="single" w:sz="4" w:space="0" w:color="auto"/>
              <w:right w:val="single" w:sz="4" w:space="0" w:color="auto"/>
            </w:tcBorders>
            <w:noWrap/>
            <w:vAlign w:val="center"/>
            <w:hideMark/>
          </w:tcPr>
          <w:p w14:paraId="45E37626" w14:textId="03F55AF0"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16</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7%</w:t>
            </w:r>
          </w:p>
        </w:tc>
      </w:tr>
      <w:tr w:rsidR="0059166D" w:rsidRPr="0059166D" w14:paraId="5BF05198"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08FD5355"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7972A0B8"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2021</w:t>
            </w:r>
          </w:p>
        </w:tc>
        <w:tc>
          <w:tcPr>
            <w:tcW w:w="1842" w:type="dxa"/>
            <w:tcBorders>
              <w:top w:val="nil"/>
              <w:left w:val="nil"/>
              <w:bottom w:val="single" w:sz="4" w:space="0" w:color="auto"/>
              <w:right w:val="single" w:sz="4" w:space="0" w:color="auto"/>
            </w:tcBorders>
            <w:noWrap/>
            <w:vAlign w:val="center"/>
            <w:hideMark/>
          </w:tcPr>
          <w:p w14:paraId="3D8C9F91"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w:t>
            </w:r>
          </w:p>
        </w:tc>
        <w:tc>
          <w:tcPr>
            <w:tcW w:w="2268" w:type="dxa"/>
            <w:tcBorders>
              <w:top w:val="nil"/>
              <w:left w:val="nil"/>
              <w:bottom w:val="single" w:sz="4" w:space="0" w:color="auto"/>
              <w:right w:val="single" w:sz="4" w:space="0" w:color="auto"/>
            </w:tcBorders>
            <w:noWrap/>
            <w:vAlign w:val="center"/>
            <w:hideMark/>
          </w:tcPr>
          <w:p w14:paraId="56D246BB" w14:textId="18FDA4C1"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8</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02E4B18B"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2D771002"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4BADE3C2"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2022</w:t>
            </w:r>
          </w:p>
        </w:tc>
        <w:tc>
          <w:tcPr>
            <w:tcW w:w="1842" w:type="dxa"/>
            <w:tcBorders>
              <w:top w:val="nil"/>
              <w:left w:val="nil"/>
              <w:bottom w:val="single" w:sz="4" w:space="0" w:color="auto"/>
              <w:right w:val="single" w:sz="4" w:space="0" w:color="auto"/>
            </w:tcBorders>
            <w:noWrap/>
            <w:vAlign w:val="center"/>
            <w:hideMark/>
          </w:tcPr>
          <w:p w14:paraId="69076ACE"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w:t>
            </w:r>
          </w:p>
        </w:tc>
        <w:tc>
          <w:tcPr>
            <w:tcW w:w="2268" w:type="dxa"/>
            <w:tcBorders>
              <w:top w:val="nil"/>
              <w:left w:val="nil"/>
              <w:bottom w:val="single" w:sz="4" w:space="0" w:color="auto"/>
              <w:right w:val="single" w:sz="4" w:space="0" w:color="auto"/>
            </w:tcBorders>
            <w:noWrap/>
            <w:vAlign w:val="center"/>
            <w:hideMark/>
          </w:tcPr>
          <w:p w14:paraId="5C995F2A" w14:textId="646675E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8</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7141DACB"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1A7BC876"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19C61BBB"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2023</w:t>
            </w:r>
          </w:p>
        </w:tc>
        <w:tc>
          <w:tcPr>
            <w:tcW w:w="1842" w:type="dxa"/>
            <w:tcBorders>
              <w:top w:val="nil"/>
              <w:left w:val="nil"/>
              <w:bottom w:val="single" w:sz="4" w:space="0" w:color="auto"/>
              <w:right w:val="single" w:sz="4" w:space="0" w:color="auto"/>
            </w:tcBorders>
            <w:noWrap/>
            <w:vAlign w:val="center"/>
            <w:hideMark/>
          </w:tcPr>
          <w:p w14:paraId="60229CA3"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w:t>
            </w:r>
          </w:p>
        </w:tc>
        <w:tc>
          <w:tcPr>
            <w:tcW w:w="2268" w:type="dxa"/>
            <w:tcBorders>
              <w:top w:val="nil"/>
              <w:left w:val="nil"/>
              <w:bottom w:val="single" w:sz="4" w:space="0" w:color="auto"/>
              <w:right w:val="single" w:sz="4" w:space="0" w:color="auto"/>
            </w:tcBorders>
            <w:noWrap/>
            <w:vAlign w:val="center"/>
            <w:hideMark/>
          </w:tcPr>
          <w:p w14:paraId="2AE012E6" w14:textId="5087FB3A"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8</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1B7EC6BD"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06738467"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18AB1134"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2024</w:t>
            </w:r>
          </w:p>
        </w:tc>
        <w:tc>
          <w:tcPr>
            <w:tcW w:w="1842" w:type="dxa"/>
            <w:tcBorders>
              <w:top w:val="nil"/>
              <w:left w:val="nil"/>
              <w:bottom w:val="single" w:sz="4" w:space="0" w:color="auto"/>
              <w:right w:val="single" w:sz="4" w:space="0" w:color="auto"/>
            </w:tcBorders>
            <w:noWrap/>
            <w:vAlign w:val="center"/>
            <w:hideMark/>
          </w:tcPr>
          <w:p w14:paraId="75BFAAB0"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w:t>
            </w:r>
          </w:p>
        </w:tc>
        <w:tc>
          <w:tcPr>
            <w:tcW w:w="2268" w:type="dxa"/>
            <w:tcBorders>
              <w:top w:val="nil"/>
              <w:left w:val="nil"/>
              <w:bottom w:val="single" w:sz="4" w:space="0" w:color="auto"/>
              <w:right w:val="single" w:sz="4" w:space="0" w:color="auto"/>
            </w:tcBorders>
            <w:noWrap/>
            <w:vAlign w:val="center"/>
            <w:hideMark/>
          </w:tcPr>
          <w:p w14:paraId="550427FC" w14:textId="08EDED2E"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8</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0A6A2C89"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699B127B"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7D20E002"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2025</w:t>
            </w:r>
          </w:p>
        </w:tc>
        <w:tc>
          <w:tcPr>
            <w:tcW w:w="1842" w:type="dxa"/>
            <w:tcBorders>
              <w:top w:val="nil"/>
              <w:left w:val="nil"/>
              <w:bottom w:val="single" w:sz="4" w:space="0" w:color="auto"/>
              <w:right w:val="single" w:sz="4" w:space="0" w:color="auto"/>
            </w:tcBorders>
            <w:noWrap/>
            <w:vAlign w:val="center"/>
            <w:hideMark/>
          </w:tcPr>
          <w:p w14:paraId="713E9912"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3</w:t>
            </w:r>
          </w:p>
        </w:tc>
        <w:tc>
          <w:tcPr>
            <w:tcW w:w="2268" w:type="dxa"/>
            <w:tcBorders>
              <w:top w:val="nil"/>
              <w:left w:val="nil"/>
              <w:bottom w:val="single" w:sz="4" w:space="0" w:color="auto"/>
              <w:right w:val="single" w:sz="4" w:space="0" w:color="auto"/>
            </w:tcBorders>
            <w:noWrap/>
            <w:vAlign w:val="center"/>
            <w:hideMark/>
          </w:tcPr>
          <w:p w14:paraId="09833A8F" w14:textId="5AB4EBA3"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25</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1BC79186" w14:textId="77777777" w:rsidTr="00FA79AF">
        <w:trPr>
          <w:trHeight w:val="310"/>
        </w:trPr>
        <w:tc>
          <w:tcPr>
            <w:tcW w:w="1830" w:type="dxa"/>
            <w:vMerge w:val="restart"/>
            <w:tcBorders>
              <w:top w:val="nil"/>
              <w:left w:val="single" w:sz="4" w:space="0" w:color="auto"/>
              <w:bottom w:val="single" w:sz="4" w:space="0" w:color="auto"/>
              <w:right w:val="single" w:sz="4" w:space="0" w:color="auto"/>
            </w:tcBorders>
            <w:noWrap/>
            <w:vAlign w:val="center"/>
            <w:hideMark/>
          </w:tcPr>
          <w:p w14:paraId="263B3A2B" w14:textId="77777777" w:rsidR="0059166D" w:rsidRPr="0059166D" w:rsidRDefault="0059166D" w:rsidP="0059166D">
            <w:pPr>
              <w:rPr>
                <w:rFonts w:ascii="Times New Roman" w:hAnsi="Times New Roman" w:cs="Times New Roman"/>
                <w:noProof/>
                <w:kern w:val="0"/>
                <w:sz w:val="24"/>
              </w:rPr>
            </w:pPr>
            <w:r w:rsidRPr="0059166D">
              <w:rPr>
                <w:rFonts w:ascii="Times New Roman" w:hAnsi="Times New Roman" w:cs="Times New Roman"/>
                <w:noProof/>
                <w:kern w:val="0"/>
                <w:sz w:val="24"/>
              </w:rPr>
              <w:t>Country / data source</w:t>
            </w:r>
          </w:p>
        </w:tc>
        <w:tc>
          <w:tcPr>
            <w:tcW w:w="3127" w:type="dxa"/>
            <w:tcBorders>
              <w:top w:val="nil"/>
              <w:left w:val="nil"/>
              <w:bottom w:val="single" w:sz="4" w:space="0" w:color="auto"/>
              <w:right w:val="single" w:sz="4" w:space="0" w:color="auto"/>
            </w:tcBorders>
            <w:noWrap/>
            <w:vAlign w:val="center"/>
            <w:hideMark/>
          </w:tcPr>
          <w:p w14:paraId="49335884"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Taiwan</w:t>
            </w:r>
          </w:p>
        </w:tc>
        <w:tc>
          <w:tcPr>
            <w:tcW w:w="1842" w:type="dxa"/>
            <w:tcBorders>
              <w:top w:val="nil"/>
              <w:left w:val="nil"/>
              <w:bottom w:val="single" w:sz="4" w:space="0" w:color="auto"/>
              <w:right w:val="single" w:sz="4" w:space="0" w:color="auto"/>
            </w:tcBorders>
            <w:noWrap/>
            <w:vAlign w:val="center"/>
            <w:hideMark/>
          </w:tcPr>
          <w:p w14:paraId="51D79213"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3</w:t>
            </w:r>
          </w:p>
        </w:tc>
        <w:tc>
          <w:tcPr>
            <w:tcW w:w="2268" w:type="dxa"/>
            <w:tcBorders>
              <w:top w:val="nil"/>
              <w:left w:val="nil"/>
              <w:bottom w:val="single" w:sz="4" w:space="0" w:color="auto"/>
              <w:right w:val="single" w:sz="4" w:space="0" w:color="auto"/>
            </w:tcBorders>
            <w:noWrap/>
            <w:vAlign w:val="center"/>
            <w:hideMark/>
          </w:tcPr>
          <w:p w14:paraId="560BBFBD" w14:textId="22AE8AB8"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25</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4E46DCFA"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52268FAE"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2C62E36C"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South Korea</w:t>
            </w:r>
          </w:p>
        </w:tc>
        <w:tc>
          <w:tcPr>
            <w:tcW w:w="1842" w:type="dxa"/>
            <w:tcBorders>
              <w:top w:val="nil"/>
              <w:left w:val="nil"/>
              <w:bottom w:val="single" w:sz="4" w:space="0" w:color="auto"/>
              <w:right w:val="single" w:sz="4" w:space="0" w:color="auto"/>
            </w:tcBorders>
            <w:noWrap/>
            <w:vAlign w:val="center"/>
            <w:hideMark/>
          </w:tcPr>
          <w:p w14:paraId="68BB7E93"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3</w:t>
            </w:r>
          </w:p>
        </w:tc>
        <w:tc>
          <w:tcPr>
            <w:tcW w:w="2268" w:type="dxa"/>
            <w:tcBorders>
              <w:top w:val="nil"/>
              <w:left w:val="nil"/>
              <w:bottom w:val="single" w:sz="4" w:space="0" w:color="auto"/>
              <w:right w:val="single" w:sz="4" w:space="0" w:color="auto"/>
            </w:tcBorders>
            <w:noWrap/>
            <w:vAlign w:val="center"/>
            <w:hideMark/>
          </w:tcPr>
          <w:p w14:paraId="7BF3AD28" w14:textId="0454F210"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25</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0BBEE0E0"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0F984FFE"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61418FB3"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United States</w:t>
            </w:r>
          </w:p>
        </w:tc>
        <w:tc>
          <w:tcPr>
            <w:tcW w:w="1842" w:type="dxa"/>
            <w:tcBorders>
              <w:top w:val="nil"/>
              <w:left w:val="nil"/>
              <w:bottom w:val="single" w:sz="4" w:space="0" w:color="auto"/>
              <w:right w:val="single" w:sz="4" w:space="0" w:color="auto"/>
            </w:tcBorders>
            <w:noWrap/>
            <w:vAlign w:val="center"/>
            <w:hideMark/>
          </w:tcPr>
          <w:p w14:paraId="2B32AA5C"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3</w:t>
            </w:r>
          </w:p>
        </w:tc>
        <w:tc>
          <w:tcPr>
            <w:tcW w:w="2268" w:type="dxa"/>
            <w:tcBorders>
              <w:top w:val="nil"/>
              <w:left w:val="nil"/>
              <w:bottom w:val="single" w:sz="4" w:space="0" w:color="auto"/>
              <w:right w:val="single" w:sz="4" w:space="0" w:color="auto"/>
            </w:tcBorders>
            <w:noWrap/>
            <w:vAlign w:val="center"/>
            <w:hideMark/>
          </w:tcPr>
          <w:p w14:paraId="51BE4737" w14:textId="586102A8"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25</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0DFF5DDB"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34C5A753"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1DB0EC9A"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Mexico</w:t>
            </w:r>
          </w:p>
        </w:tc>
        <w:tc>
          <w:tcPr>
            <w:tcW w:w="1842" w:type="dxa"/>
            <w:tcBorders>
              <w:top w:val="nil"/>
              <w:left w:val="nil"/>
              <w:bottom w:val="single" w:sz="4" w:space="0" w:color="auto"/>
              <w:right w:val="single" w:sz="4" w:space="0" w:color="auto"/>
            </w:tcBorders>
            <w:noWrap/>
            <w:vAlign w:val="center"/>
            <w:hideMark/>
          </w:tcPr>
          <w:p w14:paraId="2771946E"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w:t>
            </w:r>
          </w:p>
        </w:tc>
        <w:tc>
          <w:tcPr>
            <w:tcW w:w="2268" w:type="dxa"/>
            <w:tcBorders>
              <w:top w:val="nil"/>
              <w:left w:val="nil"/>
              <w:bottom w:val="single" w:sz="4" w:space="0" w:color="auto"/>
              <w:right w:val="single" w:sz="4" w:space="0" w:color="auto"/>
            </w:tcBorders>
            <w:noWrap/>
            <w:vAlign w:val="center"/>
            <w:hideMark/>
          </w:tcPr>
          <w:p w14:paraId="4B581A8D" w14:textId="20C8972E"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8</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2EB49ED0"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18C04ABD"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240006A2"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Japan</w:t>
            </w:r>
          </w:p>
        </w:tc>
        <w:tc>
          <w:tcPr>
            <w:tcW w:w="1842" w:type="dxa"/>
            <w:tcBorders>
              <w:top w:val="nil"/>
              <w:left w:val="nil"/>
              <w:bottom w:val="single" w:sz="4" w:space="0" w:color="auto"/>
              <w:right w:val="single" w:sz="4" w:space="0" w:color="auto"/>
            </w:tcBorders>
            <w:noWrap/>
            <w:vAlign w:val="center"/>
            <w:hideMark/>
          </w:tcPr>
          <w:p w14:paraId="300B43C1"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w:t>
            </w:r>
          </w:p>
        </w:tc>
        <w:tc>
          <w:tcPr>
            <w:tcW w:w="2268" w:type="dxa"/>
            <w:tcBorders>
              <w:top w:val="nil"/>
              <w:left w:val="nil"/>
              <w:bottom w:val="single" w:sz="4" w:space="0" w:color="auto"/>
              <w:right w:val="single" w:sz="4" w:space="0" w:color="auto"/>
            </w:tcBorders>
            <w:noWrap/>
            <w:vAlign w:val="center"/>
            <w:hideMark/>
          </w:tcPr>
          <w:p w14:paraId="3B3300DB" w14:textId="5C8A12C2"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8</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2AB5A227"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623D4F74"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651DF054"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Spain</w:t>
            </w:r>
          </w:p>
        </w:tc>
        <w:tc>
          <w:tcPr>
            <w:tcW w:w="1842" w:type="dxa"/>
            <w:tcBorders>
              <w:top w:val="nil"/>
              <w:left w:val="nil"/>
              <w:bottom w:val="single" w:sz="4" w:space="0" w:color="auto"/>
              <w:right w:val="single" w:sz="4" w:space="0" w:color="auto"/>
            </w:tcBorders>
            <w:noWrap/>
            <w:vAlign w:val="center"/>
            <w:hideMark/>
          </w:tcPr>
          <w:p w14:paraId="4899A287"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w:t>
            </w:r>
          </w:p>
        </w:tc>
        <w:tc>
          <w:tcPr>
            <w:tcW w:w="2268" w:type="dxa"/>
            <w:tcBorders>
              <w:top w:val="nil"/>
              <w:left w:val="nil"/>
              <w:bottom w:val="single" w:sz="4" w:space="0" w:color="auto"/>
              <w:right w:val="single" w:sz="4" w:space="0" w:color="auto"/>
            </w:tcBorders>
            <w:noWrap/>
            <w:vAlign w:val="center"/>
            <w:hideMark/>
          </w:tcPr>
          <w:p w14:paraId="48FCF0FB" w14:textId="381F1253"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8</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784D00A3" w14:textId="77777777" w:rsidTr="00FA79AF">
        <w:trPr>
          <w:trHeight w:val="310"/>
        </w:trPr>
        <w:tc>
          <w:tcPr>
            <w:tcW w:w="1830" w:type="dxa"/>
            <w:vMerge w:val="restart"/>
            <w:tcBorders>
              <w:top w:val="nil"/>
              <w:left w:val="single" w:sz="4" w:space="0" w:color="auto"/>
              <w:bottom w:val="single" w:sz="4" w:space="0" w:color="auto"/>
              <w:right w:val="single" w:sz="4" w:space="0" w:color="auto"/>
            </w:tcBorders>
            <w:noWrap/>
            <w:vAlign w:val="center"/>
            <w:hideMark/>
          </w:tcPr>
          <w:p w14:paraId="151A8B43"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Research design</w:t>
            </w:r>
          </w:p>
        </w:tc>
        <w:tc>
          <w:tcPr>
            <w:tcW w:w="3127" w:type="dxa"/>
            <w:tcBorders>
              <w:top w:val="nil"/>
              <w:left w:val="nil"/>
              <w:bottom w:val="single" w:sz="4" w:space="0" w:color="auto"/>
              <w:right w:val="single" w:sz="4" w:space="0" w:color="auto"/>
            </w:tcBorders>
            <w:noWrap/>
            <w:vAlign w:val="center"/>
            <w:hideMark/>
          </w:tcPr>
          <w:p w14:paraId="365D3BB1"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Cohort / population-based cohort</w:t>
            </w:r>
          </w:p>
        </w:tc>
        <w:tc>
          <w:tcPr>
            <w:tcW w:w="1842" w:type="dxa"/>
            <w:tcBorders>
              <w:top w:val="nil"/>
              <w:left w:val="nil"/>
              <w:bottom w:val="single" w:sz="4" w:space="0" w:color="auto"/>
              <w:right w:val="single" w:sz="4" w:space="0" w:color="auto"/>
            </w:tcBorders>
            <w:noWrap/>
            <w:vAlign w:val="center"/>
            <w:hideMark/>
          </w:tcPr>
          <w:p w14:paraId="31C7D18A"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6</w:t>
            </w:r>
          </w:p>
        </w:tc>
        <w:tc>
          <w:tcPr>
            <w:tcW w:w="2268" w:type="dxa"/>
            <w:tcBorders>
              <w:top w:val="nil"/>
              <w:left w:val="nil"/>
              <w:bottom w:val="single" w:sz="4" w:space="0" w:color="auto"/>
              <w:right w:val="single" w:sz="4" w:space="0" w:color="auto"/>
            </w:tcBorders>
            <w:noWrap/>
            <w:vAlign w:val="center"/>
            <w:hideMark/>
          </w:tcPr>
          <w:p w14:paraId="59BE659C" w14:textId="1F21B46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50</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5035E4E6"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3D1E6DCB"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5366D2E5"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Cross-sectional / observational analytical study</w:t>
            </w:r>
          </w:p>
        </w:tc>
        <w:tc>
          <w:tcPr>
            <w:tcW w:w="1842" w:type="dxa"/>
            <w:tcBorders>
              <w:top w:val="nil"/>
              <w:left w:val="nil"/>
              <w:bottom w:val="single" w:sz="4" w:space="0" w:color="auto"/>
              <w:right w:val="single" w:sz="4" w:space="0" w:color="auto"/>
            </w:tcBorders>
            <w:noWrap/>
            <w:vAlign w:val="center"/>
            <w:hideMark/>
          </w:tcPr>
          <w:p w14:paraId="2AB58657"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6</w:t>
            </w:r>
          </w:p>
        </w:tc>
        <w:tc>
          <w:tcPr>
            <w:tcW w:w="2268" w:type="dxa"/>
            <w:tcBorders>
              <w:top w:val="nil"/>
              <w:left w:val="nil"/>
              <w:bottom w:val="single" w:sz="4" w:space="0" w:color="auto"/>
              <w:right w:val="single" w:sz="4" w:space="0" w:color="auto"/>
            </w:tcBorders>
            <w:noWrap/>
            <w:vAlign w:val="center"/>
            <w:hideMark/>
          </w:tcPr>
          <w:p w14:paraId="10EF87B5" w14:textId="41468B6F"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50</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6115484C" w14:textId="77777777" w:rsidTr="00FA79AF">
        <w:trPr>
          <w:trHeight w:val="310"/>
        </w:trPr>
        <w:tc>
          <w:tcPr>
            <w:tcW w:w="1830" w:type="dxa"/>
            <w:vMerge w:val="restart"/>
            <w:tcBorders>
              <w:top w:val="nil"/>
              <w:left w:val="single" w:sz="4" w:space="0" w:color="auto"/>
              <w:bottom w:val="single" w:sz="4" w:space="0" w:color="auto"/>
              <w:right w:val="single" w:sz="4" w:space="0" w:color="auto"/>
            </w:tcBorders>
            <w:noWrap/>
            <w:vAlign w:val="center"/>
            <w:hideMark/>
          </w:tcPr>
          <w:p w14:paraId="3E9B2399"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Type of outcome</w:t>
            </w:r>
          </w:p>
        </w:tc>
        <w:tc>
          <w:tcPr>
            <w:tcW w:w="3127" w:type="dxa"/>
            <w:tcBorders>
              <w:top w:val="nil"/>
              <w:left w:val="nil"/>
              <w:bottom w:val="single" w:sz="4" w:space="0" w:color="auto"/>
              <w:right w:val="single" w:sz="4" w:space="0" w:color="auto"/>
            </w:tcBorders>
            <w:noWrap/>
            <w:vAlign w:val="center"/>
            <w:hideMark/>
          </w:tcPr>
          <w:p w14:paraId="60B16877"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Cognitive impairment / mild cognitive impairment / amyloid pathology</w:t>
            </w:r>
          </w:p>
        </w:tc>
        <w:tc>
          <w:tcPr>
            <w:tcW w:w="1842" w:type="dxa"/>
            <w:tcBorders>
              <w:top w:val="nil"/>
              <w:left w:val="nil"/>
              <w:bottom w:val="single" w:sz="4" w:space="0" w:color="auto"/>
              <w:right w:val="single" w:sz="4" w:space="0" w:color="auto"/>
            </w:tcBorders>
            <w:noWrap/>
            <w:vAlign w:val="center"/>
            <w:hideMark/>
          </w:tcPr>
          <w:p w14:paraId="11018CCD"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6</w:t>
            </w:r>
          </w:p>
        </w:tc>
        <w:tc>
          <w:tcPr>
            <w:tcW w:w="2268" w:type="dxa"/>
            <w:tcBorders>
              <w:top w:val="nil"/>
              <w:left w:val="nil"/>
              <w:bottom w:val="single" w:sz="4" w:space="0" w:color="auto"/>
              <w:right w:val="single" w:sz="4" w:space="0" w:color="auto"/>
            </w:tcBorders>
            <w:noWrap/>
            <w:vAlign w:val="center"/>
            <w:hideMark/>
          </w:tcPr>
          <w:p w14:paraId="038359B6" w14:textId="5C30EE96"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50</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258F6396"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088379C2"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36E2BB67"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Dementia / Alzheimer’s disease / vascular dementia</w:t>
            </w:r>
          </w:p>
        </w:tc>
        <w:tc>
          <w:tcPr>
            <w:tcW w:w="1842" w:type="dxa"/>
            <w:tcBorders>
              <w:top w:val="nil"/>
              <w:left w:val="nil"/>
              <w:bottom w:val="single" w:sz="4" w:space="0" w:color="auto"/>
              <w:right w:val="single" w:sz="4" w:space="0" w:color="auto"/>
            </w:tcBorders>
            <w:noWrap/>
            <w:vAlign w:val="center"/>
            <w:hideMark/>
          </w:tcPr>
          <w:p w14:paraId="333C338A"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5</w:t>
            </w:r>
          </w:p>
        </w:tc>
        <w:tc>
          <w:tcPr>
            <w:tcW w:w="2268" w:type="dxa"/>
            <w:tcBorders>
              <w:top w:val="nil"/>
              <w:left w:val="nil"/>
              <w:bottom w:val="single" w:sz="4" w:space="0" w:color="auto"/>
              <w:right w:val="single" w:sz="4" w:space="0" w:color="auto"/>
            </w:tcBorders>
            <w:noWrap/>
            <w:vAlign w:val="center"/>
            <w:hideMark/>
          </w:tcPr>
          <w:p w14:paraId="2791F5CC" w14:textId="4DFFFD14"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41</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7%</w:t>
            </w:r>
          </w:p>
        </w:tc>
      </w:tr>
      <w:tr w:rsidR="0059166D" w:rsidRPr="0059166D" w14:paraId="5D619AAA"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08EC281E"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66CBCA55"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Parkinson’s disease</w:t>
            </w:r>
          </w:p>
        </w:tc>
        <w:tc>
          <w:tcPr>
            <w:tcW w:w="1842" w:type="dxa"/>
            <w:tcBorders>
              <w:top w:val="nil"/>
              <w:left w:val="nil"/>
              <w:bottom w:val="single" w:sz="4" w:space="0" w:color="auto"/>
              <w:right w:val="single" w:sz="4" w:space="0" w:color="auto"/>
            </w:tcBorders>
            <w:noWrap/>
            <w:vAlign w:val="center"/>
            <w:hideMark/>
          </w:tcPr>
          <w:p w14:paraId="331E0B00"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w:t>
            </w:r>
          </w:p>
        </w:tc>
        <w:tc>
          <w:tcPr>
            <w:tcW w:w="2268" w:type="dxa"/>
            <w:tcBorders>
              <w:top w:val="nil"/>
              <w:left w:val="nil"/>
              <w:bottom w:val="single" w:sz="4" w:space="0" w:color="auto"/>
              <w:right w:val="single" w:sz="4" w:space="0" w:color="auto"/>
            </w:tcBorders>
            <w:noWrap/>
            <w:vAlign w:val="center"/>
            <w:hideMark/>
          </w:tcPr>
          <w:p w14:paraId="2298DCF6" w14:textId="4A2847F6"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8</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2A1CED8E" w14:textId="77777777" w:rsidTr="00FA79AF">
        <w:trPr>
          <w:trHeight w:val="310"/>
        </w:trPr>
        <w:tc>
          <w:tcPr>
            <w:tcW w:w="1830" w:type="dxa"/>
            <w:vMerge w:val="restart"/>
            <w:tcBorders>
              <w:top w:val="nil"/>
              <w:left w:val="single" w:sz="4" w:space="0" w:color="auto"/>
              <w:bottom w:val="single" w:sz="4" w:space="0" w:color="auto"/>
              <w:right w:val="single" w:sz="4" w:space="0" w:color="auto"/>
            </w:tcBorders>
            <w:noWrap/>
            <w:vAlign w:val="center"/>
            <w:hideMark/>
          </w:tcPr>
          <w:p w14:paraId="047748AC" w14:textId="77777777" w:rsidR="0059166D" w:rsidRPr="0059166D" w:rsidRDefault="0059166D" w:rsidP="0059166D">
            <w:pPr>
              <w:rPr>
                <w:rFonts w:ascii="Times New Roman" w:hAnsi="Times New Roman" w:cs="Times New Roman"/>
                <w:noProof/>
                <w:kern w:val="0"/>
                <w:sz w:val="24"/>
              </w:rPr>
            </w:pPr>
            <w:r w:rsidRPr="0059166D">
              <w:rPr>
                <w:rFonts w:ascii="Times New Roman" w:hAnsi="Times New Roman" w:cs="Times New Roman"/>
                <w:noProof/>
                <w:kern w:val="0"/>
                <w:sz w:val="24"/>
              </w:rPr>
              <w:t>Main statistical measure</w:t>
            </w:r>
          </w:p>
        </w:tc>
        <w:tc>
          <w:tcPr>
            <w:tcW w:w="3127" w:type="dxa"/>
            <w:tcBorders>
              <w:top w:val="nil"/>
              <w:left w:val="nil"/>
              <w:bottom w:val="single" w:sz="4" w:space="0" w:color="auto"/>
              <w:right w:val="single" w:sz="4" w:space="0" w:color="auto"/>
            </w:tcBorders>
            <w:noWrap/>
            <w:vAlign w:val="center"/>
            <w:hideMark/>
          </w:tcPr>
          <w:p w14:paraId="6F2BAAF3"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HR / aHR</w:t>
            </w:r>
          </w:p>
        </w:tc>
        <w:tc>
          <w:tcPr>
            <w:tcW w:w="1842" w:type="dxa"/>
            <w:tcBorders>
              <w:top w:val="nil"/>
              <w:left w:val="nil"/>
              <w:bottom w:val="single" w:sz="4" w:space="0" w:color="auto"/>
              <w:right w:val="single" w:sz="4" w:space="0" w:color="auto"/>
            </w:tcBorders>
            <w:noWrap/>
            <w:vAlign w:val="center"/>
            <w:hideMark/>
          </w:tcPr>
          <w:p w14:paraId="794A1C84"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6</w:t>
            </w:r>
          </w:p>
        </w:tc>
        <w:tc>
          <w:tcPr>
            <w:tcW w:w="2268" w:type="dxa"/>
            <w:tcBorders>
              <w:top w:val="nil"/>
              <w:left w:val="nil"/>
              <w:bottom w:val="single" w:sz="4" w:space="0" w:color="auto"/>
              <w:right w:val="single" w:sz="4" w:space="0" w:color="auto"/>
            </w:tcBorders>
            <w:noWrap/>
            <w:vAlign w:val="center"/>
            <w:hideMark/>
          </w:tcPr>
          <w:p w14:paraId="2B34F80E" w14:textId="4CEE7633"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50</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6BC4AB16"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32D22A77"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43B3F4D1"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OR / AOR</w:t>
            </w:r>
          </w:p>
        </w:tc>
        <w:tc>
          <w:tcPr>
            <w:tcW w:w="1842" w:type="dxa"/>
            <w:tcBorders>
              <w:top w:val="nil"/>
              <w:left w:val="nil"/>
              <w:bottom w:val="single" w:sz="4" w:space="0" w:color="auto"/>
              <w:right w:val="single" w:sz="4" w:space="0" w:color="auto"/>
            </w:tcBorders>
            <w:noWrap/>
            <w:vAlign w:val="center"/>
            <w:hideMark/>
          </w:tcPr>
          <w:p w14:paraId="69C3CABE"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5</w:t>
            </w:r>
          </w:p>
        </w:tc>
        <w:tc>
          <w:tcPr>
            <w:tcW w:w="2268" w:type="dxa"/>
            <w:tcBorders>
              <w:top w:val="nil"/>
              <w:left w:val="nil"/>
              <w:bottom w:val="single" w:sz="4" w:space="0" w:color="auto"/>
              <w:right w:val="single" w:sz="4" w:space="0" w:color="auto"/>
            </w:tcBorders>
            <w:noWrap/>
            <w:vAlign w:val="center"/>
            <w:hideMark/>
          </w:tcPr>
          <w:p w14:paraId="1745CC8B" w14:textId="7CE9792D"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41</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7%</w:t>
            </w:r>
          </w:p>
        </w:tc>
      </w:tr>
      <w:tr w:rsidR="0059166D" w:rsidRPr="0059166D" w14:paraId="06962CBC"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72E46CD7"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40306C11"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β coefficient and p-value</w:t>
            </w:r>
          </w:p>
        </w:tc>
        <w:tc>
          <w:tcPr>
            <w:tcW w:w="1842" w:type="dxa"/>
            <w:tcBorders>
              <w:top w:val="nil"/>
              <w:left w:val="nil"/>
              <w:bottom w:val="single" w:sz="4" w:space="0" w:color="auto"/>
              <w:right w:val="single" w:sz="4" w:space="0" w:color="auto"/>
            </w:tcBorders>
            <w:noWrap/>
            <w:vAlign w:val="center"/>
            <w:hideMark/>
          </w:tcPr>
          <w:p w14:paraId="1CAE9AAD"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w:t>
            </w:r>
          </w:p>
        </w:tc>
        <w:tc>
          <w:tcPr>
            <w:tcW w:w="2268" w:type="dxa"/>
            <w:tcBorders>
              <w:top w:val="nil"/>
              <w:left w:val="nil"/>
              <w:bottom w:val="single" w:sz="4" w:space="0" w:color="auto"/>
              <w:right w:val="single" w:sz="4" w:space="0" w:color="auto"/>
            </w:tcBorders>
            <w:noWrap/>
            <w:vAlign w:val="center"/>
            <w:hideMark/>
          </w:tcPr>
          <w:p w14:paraId="717091CC" w14:textId="17580349"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8</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08E358A4" w14:textId="77777777" w:rsidTr="00FA79AF">
        <w:trPr>
          <w:trHeight w:val="310"/>
        </w:trPr>
        <w:tc>
          <w:tcPr>
            <w:tcW w:w="1830" w:type="dxa"/>
            <w:vMerge w:val="restart"/>
            <w:tcBorders>
              <w:top w:val="nil"/>
              <w:left w:val="single" w:sz="4" w:space="0" w:color="auto"/>
              <w:bottom w:val="single" w:sz="4" w:space="0" w:color="auto"/>
              <w:right w:val="single" w:sz="4" w:space="0" w:color="auto"/>
            </w:tcBorders>
            <w:noWrap/>
            <w:vAlign w:val="center"/>
            <w:hideMark/>
          </w:tcPr>
          <w:p w14:paraId="4A3ED1E2"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Sample size</w:t>
            </w:r>
          </w:p>
        </w:tc>
        <w:tc>
          <w:tcPr>
            <w:tcW w:w="3127" w:type="dxa"/>
            <w:tcBorders>
              <w:top w:val="nil"/>
              <w:left w:val="nil"/>
              <w:bottom w:val="single" w:sz="4" w:space="0" w:color="auto"/>
              <w:right w:val="single" w:sz="4" w:space="0" w:color="auto"/>
            </w:tcBorders>
            <w:noWrap/>
            <w:vAlign w:val="center"/>
            <w:hideMark/>
          </w:tcPr>
          <w:p w14:paraId="67069DAC"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&lt;500 respondents</w:t>
            </w:r>
          </w:p>
        </w:tc>
        <w:tc>
          <w:tcPr>
            <w:tcW w:w="1842" w:type="dxa"/>
            <w:tcBorders>
              <w:top w:val="nil"/>
              <w:left w:val="nil"/>
              <w:bottom w:val="single" w:sz="4" w:space="0" w:color="auto"/>
              <w:right w:val="single" w:sz="4" w:space="0" w:color="auto"/>
            </w:tcBorders>
            <w:noWrap/>
            <w:vAlign w:val="center"/>
            <w:hideMark/>
          </w:tcPr>
          <w:p w14:paraId="03DBAFC5"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3</w:t>
            </w:r>
          </w:p>
        </w:tc>
        <w:tc>
          <w:tcPr>
            <w:tcW w:w="2268" w:type="dxa"/>
            <w:tcBorders>
              <w:top w:val="nil"/>
              <w:left w:val="nil"/>
              <w:bottom w:val="single" w:sz="4" w:space="0" w:color="auto"/>
              <w:right w:val="single" w:sz="4" w:space="0" w:color="auto"/>
            </w:tcBorders>
            <w:noWrap/>
            <w:vAlign w:val="center"/>
            <w:hideMark/>
          </w:tcPr>
          <w:p w14:paraId="1DF2DBB4" w14:textId="7FBFC0A4"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25</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1FF9C59B"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14CC53A9"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7DB24A31"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500–4.999 respondents</w:t>
            </w:r>
          </w:p>
        </w:tc>
        <w:tc>
          <w:tcPr>
            <w:tcW w:w="1842" w:type="dxa"/>
            <w:tcBorders>
              <w:top w:val="nil"/>
              <w:left w:val="nil"/>
              <w:bottom w:val="single" w:sz="4" w:space="0" w:color="auto"/>
              <w:right w:val="single" w:sz="4" w:space="0" w:color="auto"/>
            </w:tcBorders>
            <w:noWrap/>
            <w:vAlign w:val="center"/>
            <w:hideMark/>
          </w:tcPr>
          <w:p w14:paraId="3BD524CD"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w:t>
            </w:r>
          </w:p>
        </w:tc>
        <w:tc>
          <w:tcPr>
            <w:tcW w:w="2268" w:type="dxa"/>
            <w:tcBorders>
              <w:top w:val="nil"/>
              <w:left w:val="nil"/>
              <w:bottom w:val="single" w:sz="4" w:space="0" w:color="auto"/>
              <w:right w:val="single" w:sz="4" w:space="0" w:color="auto"/>
            </w:tcBorders>
            <w:noWrap/>
            <w:vAlign w:val="center"/>
            <w:hideMark/>
          </w:tcPr>
          <w:p w14:paraId="7AF18EA2" w14:textId="2B63C0A6"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16</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7%</w:t>
            </w:r>
          </w:p>
        </w:tc>
      </w:tr>
      <w:tr w:rsidR="0059166D" w:rsidRPr="0059166D" w14:paraId="4BC1C3FD"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4C1E7C63"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4896BAD4"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5.000–99.999 respondents</w:t>
            </w:r>
          </w:p>
        </w:tc>
        <w:tc>
          <w:tcPr>
            <w:tcW w:w="1842" w:type="dxa"/>
            <w:tcBorders>
              <w:top w:val="nil"/>
              <w:left w:val="nil"/>
              <w:bottom w:val="single" w:sz="4" w:space="0" w:color="auto"/>
              <w:right w:val="single" w:sz="4" w:space="0" w:color="auto"/>
            </w:tcBorders>
            <w:noWrap/>
            <w:vAlign w:val="center"/>
            <w:hideMark/>
          </w:tcPr>
          <w:p w14:paraId="598A4130"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4</w:t>
            </w:r>
          </w:p>
        </w:tc>
        <w:tc>
          <w:tcPr>
            <w:tcW w:w="2268" w:type="dxa"/>
            <w:tcBorders>
              <w:top w:val="nil"/>
              <w:left w:val="nil"/>
              <w:bottom w:val="single" w:sz="4" w:space="0" w:color="auto"/>
              <w:right w:val="single" w:sz="4" w:space="0" w:color="auto"/>
            </w:tcBorders>
            <w:noWrap/>
            <w:vAlign w:val="center"/>
            <w:hideMark/>
          </w:tcPr>
          <w:p w14:paraId="27F3B70A" w14:textId="0278688A"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33</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4333059B"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63889414"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09A5B4EF"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≥100.000 respondents</w:t>
            </w:r>
          </w:p>
        </w:tc>
        <w:tc>
          <w:tcPr>
            <w:tcW w:w="1842" w:type="dxa"/>
            <w:tcBorders>
              <w:top w:val="nil"/>
              <w:left w:val="nil"/>
              <w:bottom w:val="single" w:sz="4" w:space="0" w:color="auto"/>
              <w:right w:val="single" w:sz="4" w:space="0" w:color="auto"/>
            </w:tcBorders>
            <w:noWrap/>
            <w:vAlign w:val="center"/>
            <w:hideMark/>
          </w:tcPr>
          <w:p w14:paraId="351AFD5B"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3</w:t>
            </w:r>
          </w:p>
        </w:tc>
        <w:tc>
          <w:tcPr>
            <w:tcW w:w="2268" w:type="dxa"/>
            <w:tcBorders>
              <w:top w:val="nil"/>
              <w:left w:val="nil"/>
              <w:bottom w:val="single" w:sz="4" w:space="0" w:color="auto"/>
              <w:right w:val="single" w:sz="4" w:space="0" w:color="auto"/>
            </w:tcBorders>
            <w:noWrap/>
            <w:vAlign w:val="center"/>
            <w:hideMark/>
          </w:tcPr>
          <w:p w14:paraId="67765F4D" w14:textId="562A6C4C"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25</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bl>
    <w:p w14:paraId="0E79D889" w14:textId="77777777" w:rsidR="00CE7E55" w:rsidRPr="00CE7E55" w:rsidRDefault="00CE7E55" w:rsidP="00CE7E55">
      <w:pPr>
        <w:jc w:val="both"/>
        <w:rPr>
          <w:rFonts w:ascii="Times New Roman" w:hAnsi="Times New Roman" w:cs="Times New Roman"/>
          <w:noProof/>
          <w:kern w:val="0"/>
          <w:sz w:val="24"/>
        </w:rPr>
      </w:pPr>
    </w:p>
    <w:p w14:paraId="456E1770" w14:textId="7374B172" w:rsidR="00CE7E55" w:rsidRDefault="00CE7E55" w:rsidP="00CE7E55">
      <w:pPr>
        <w:jc w:val="both"/>
        <w:rPr>
          <w:rFonts w:ascii="Times New Roman" w:hAnsi="Times New Roman" w:cs="Times New Roman"/>
          <w:noProof/>
          <w:kern w:val="0"/>
          <w:sz w:val="24"/>
        </w:rPr>
      </w:pPr>
      <w:r w:rsidRPr="00CE7E55">
        <w:rPr>
          <w:rFonts w:ascii="Times New Roman" w:hAnsi="Times New Roman" w:cs="Times New Roman"/>
          <w:b/>
          <w:bCs/>
          <w:noProof/>
          <w:kern w:val="0"/>
          <w:sz w:val="24"/>
        </w:rPr>
        <w:t>Table 4.</w:t>
      </w:r>
      <w:r w:rsidRPr="00CE7E55">
        <w:rPr>
          <w:rFonts w:ascii="Times New Roman" w:hAnsi="Times New Roman" w:cs="Times New Roman"/>
          <w:noProof/>
          <w:kern w:val="0"/>
          <w:sz w:val="24"/>
        </w:rPr>
        <w:t xml:space="preserve"> Summary of SLR articles on the association of periodontitis with cognitive impairment and neurodegenerative disease</w:t>
      </w:r>
    </w:p>
    <w:tbl>
      <w:tblPr>
        <w:tblW w:w="11166" w:type="dxa"/>
        <w:tblInd w:w="-998" w:type="dxa"/>
        <w:tblLook w:val="04A0" w:firstRow="1" w:lastRow="0" w:firstColumn="1" w:lastColumn="0" w:noHBand="0" w:noVBand="1"/>
      </w:tblPr>
      <w:tblGrid>
        <w:gridCol w:w="570"/>
        <w:gridCol w:w="1216"/>
        <w:gridCol w:w="1763"/>
        <w:gridCol w:w="2561"/>
        <w:gridCol w:w="2921"/>
        <w:gridCol w:w="2135"/>
      </w:tblGrid>
      <w:tr w:rsidR="003547C3" w:rsidRPr="003547C3" w14:paraId="2413D0C0" w14:textId="77777777" w:rsidTr="002B349D">
        <w:trPr>
          <w:trHeight w:val="310"/>
        </w:trPr>
        <w:tc>
          <w:tcPr>
            <w:tcW w:w="570" w:type="dxa"/>
            <w:tcBorders>
              <w:top w:val="single" w:sz="4" w:space="0" w:color="auto"/>
              <w:left w:val="single" w:sz="4" w:space="0" w:color="auto"/>
              <w:bottom w:val="single" w:sz="4" w:space="0" w:color="auto"/>
              <w:right w:val="single" w:sz="4" w:space="0" w:color="auto"/>
            </w:tcBorders>
            <w:noWrap/>
            <w:vAlign w:val="center"/>
            <w:hideMark/>
          </w:tcPr>
          <w:p w14:paraId="5FDB0DA3" w14:textId="77777777" w:rsidR="003547C3" w:rsidRPr="003547C3" w:rsidRDefault="003547C3" w:rsidP="002B349D">
            <w:pPr>
              <w:jc w:val="center"/>
              <w:rPr>
                <w:rFonts w:ascii="Times New Roman" w:hAnsi="Times New Roman" w:cs="Times New Roman"/>
                <w:b/>
                <w:bCs/>
                <w:noProof/>
                <w:kern w:val="0"/>
                <w:sz w:val="24"/>
              </w:rPr>
            </w:pPr>
            <w:r w:rsidRPr="003547C3">
              <w:rPr>
                <w:rFonts w:ascii="Times New Roman" w:hAnsi="Times New Roman" w:cs="Times New Roman"/>
                <w:b/>
                <w:bCs/>
                <w:noProof/>
                <w:kern w:val="0"/>
                <w:sz w:val="24"/>
              </w:rPr>
              <w:t>No.</w:t>
            </w:r>
          </w:p>
        </w:tc>
        <w:tc>
          <w:tcPr>
            <w:tcW w:w="1216" w:type="dxa"/>
            <w:tcBorders>
              <w:top w:val="single" w:sz="4" w:space="0" w:color="auto"/>
              <w:left w:val="nil"/>
              <w:bottom w:val="single" w:sz="4" w:space="0" w:color="auto"/>
              <w:right w:val="single" w:sz="4" w:space="0" w:color="auto"/>
            </w:tcBorders>
            <w:noWrap/>
            <w:vAlign w:val="center"/>
            <w:hideMark/>
          </w:tcPr>
          <w:p w14:paraId="71A7139C" w14:textId="77777777" w:rsidR="003547C3" w:rsidRPr="003547C3" w:rsidRDefault="003547C3" w:rsidP="002B349D">
            <w:pPr>
              <w:jc w:val="center"/>
              <w:rPr>
                <w:rFonts w:ascii="Times New Roman" w:hAnsi="Times New Roman" w:cs="Times New Roman"/>
                <w:b/>
                <w:bCs/>
                <w:noProof/>
                <w:kern w:val="0"/>
                <w:sz w:val="24"/>
              </w:rPr>
            </w:pPr>
            <w:r w:rsidRPr="003547C3">
              <w:rPr>
                <w:rFonts w:ascii="Times New Roman" w:hAnsi="Times New Roman" w:cs="Times New Roman"/>
                <w:b/>
                <w:bCs/>
                <w:noProof/>
                <w:kern w:val="0"/>
                <w:sz w:val="24"/>
              </w:rPr>
              <w:t>Author(s) (Year)</w:t>
            </w:r>
          </w:p>
        </w:tc>
        <w:tc>
          <w:tcPr>
            <w:tcW w:w="1763" w:type="dxa"/>
            <w:tcBorders>
              <w:top w:val="single" w:sz="4" w:space="0" w:color="auto"/>
              <w:left w:val="nil"/>
              <w:bottom w:val="single" w:sz="4" w:space="0" w:color="auto"/>
              <w:right w:val="single" w:sz="4" w:space="0" w:color="auto"/>
            </w:tcBorders>
            <w:noWrap/>
            <w:vAlign w:val="center"/>
            <w:hideMark/>
          </w:tcPr>
          <w:p w14:paraId="31A82901" w14:textId="77777777" w:rsidR="003547C3" w:rsidRPr="003547C3" w:rsidRDefault="003547C3" w:rsidP="002B349D">
            <w:pPr>
              <w:jc w:val="center"/>
              <w:rPr>
                <w:rFonts w:ascii="Times New Roman" w:hAnsi="Times New Roman" w:cs="Times New Roman"/>
                <w:b/>
                <w:bCs/>
                <w:noProof/>
                <w:kern w:val="0"/>
                <w:sz w:val="24"/>
              </w:rPr>
            </w:pPr>
            <w:r w:rsidRPr="003547C3">
              <w:rPr>
                <w:rFonts w:ascii="Times New Roman" w:hAnsi="Times New Roman" w:cs="Times New Roman"/>
                <w:b/>
                <w:bCs/>
                <w:noProof/>
                <w:kern w:val="0"/>
                <w:sz w:val="24"/>
              </w:rPr>
              <w:t>Objective</w:t>
            </w:r>
          </w:p>
        </w:tc>
        <w:tc>
          <w:tcPr>
            <w:tcW w:w="2561" w:type="dxa"/>
            <w:tcBorders>
              <w:top w:val="single" w:sz="4" w:space="0" w:color="auto"/>
              <w:left w:val="nil"/>
              <w:bottom w:val="single" w:sz="4" w:space="0" w:color="auto"/>
              <w:right w:val="single" w:sz="4" w:space="0" w:color="auto"/>
            </w:tcBorders>
            <w:noWrap/>
            <w:vAlign w:val="center"/>
            <w:hideMark/>
          </w:tcPr>
          <w:p w14:paraId="1B39E368" w14:textId="77777777" w:rsidR="003547C3" w:rsidRPr="003547C3" w:rsidRDefault="003547C3" w:rsidP="002B349D">
            <w:pPr>
              <w:jc w:val="center"/>
              <w:rPr>
                <w:rFonts w:ascii="Times New Roman" w:hAnsi="Times New Roman" w:cs="Times New Roman"/>
                <w:b/>
                <w:bCs/>
                <w:noProof/>
                <w:kern w:val="0"/>
                <w:sz w:val="24"/>
              </w:rPr>
            </w:pPr>
            <w:r w:rsidRPr="003547C3">
              <w:rPr>
                <w:rFonts w:ascii="Times New Roman" w:hAnsi="Times New Roman" w:cs="Times New Roman"/>
                <w:b/>
                <w:bCs/>
                <w:noProof/>
                <w:kern w:val="0"/>
                <w:sz w:val="24"/>
              </w:rPr>
              <w:t>Method</w:t>
            </w:r>
          </w:p>
        </w:tc>
        <w:tc>
          <w:tcPr>
            <w:tcW w:w="2921" w:type="dxa"/>
            <w:tcBorders>
              <w:top w:val="single" w:sz="4" w:space="0" w:color="auto"/>
              <w:left w:val="nil"/>
              <w:bottom w:val="single" w:sz="4" w:space="0" w:color="auto"/>
              <w:right w:val="single" w:sz="4" w:space="0" w:color="auto"/>
            </w:tcBorders>
            <w:noWrap/>
            <w:vAlign w:val="center"/>
            <w:hideMark/>
          </w:tcPr>
          <w:p w14:paraId="16D5D0AB" w14:textId="77777777" w:rsidR="003547C3" w:rsidRPr="003547C3" w:rsidRDefault="003547C3" w:rsidP="002B349D">
            <w:pPr>
              <w:jc w:val="center"/>
              <w:rPr>
                <w:rFonts w:ascii="Times New Roman" w:hAnsi="Times New Roman" w:cs="Times New Roman"/>
                <w:b/>
                <w:bCs/>
                <w:noProof/>
                <w:kern w:val="0"/>
                <w:sz w:val="24"/>
              </w:rPr>
            </w:pPr>
            <w:r w:rsidRPr="003547C3">
              <w:rPr>
                <w:rFonts w:ascii="Times New Roman" w:hAnsi="Times New Roman" w:cs="Times New Roman"/>
                <w:b/>
                <w:bCs/>
                <w:noProof/>
                <w:kern w:val="0"/>
                <w:sz w:val="24"/>
              </w:rPr>
              <w:t>Results</w:t>
            </w:r>
          </w:p>
        </w:tc>
        <w:tc>
          <w:tcPr>
            <w:tcW w:w="2135" w:type="dxa"/>
            <w:tcBorders>
              <w:top w:val="single" w:sz="4" w:space="0" w:color="auto"/>
              <w:left w:val="nil"/>
              <w:bottom w:val="single" w:sz="4" w:space="0" w:color="auto"/>
              <w:right w:val="single" w:sz="4" w:space="0" w:color="auto"/>
            </w:tcBorders>
            <w:noWrap/>
            <w:vAlign w:val="center"/>
            <w:hideMark/>
          </w:tcPr>
          <w:p w14:paraId="23B2F954" w14:textId="77777777" w:rsidR="003547C3" w:rsidRPr="003547C3" w:rsidRDefault="003547C3" w:rsidP="002B349D">
            <w:pPr>
              <w:jc w:val="center"/>
              <w:rPr>
                <w:rFonts w:ascii="Times New Roman" w:hAnsi="Times New Roman" w:cs="Times New Roman"/>
                <w:b/>
                <w:bCs/>
                <w:noProof/>
                <w:kern w:val="0"/>
                <w:sz w:val="24"/>
              </w:rPr>
            </w:pPr>
            <w:r w:rsidRPr="003547C3">
              <w:rPr>
                <w:rFonts w:ascii="Times New Roman" w:hAnsi="Times New Roman" w:cs="Times New Roman"/>
                <w:b/>
                <w:bCs/>
                <w:noProof/>
                <w:kern w:val="0"/>
                <w:sz w:val="24"/>
              </w:rPr>
              <w:t>Conclusion</w:t>
            </w:r>
          </w:p>
        </w:tc>
      </w:tr>
      <w:tr w:rsidR="003547C3" w:rsidRPr="003547C3" w14:paraId="12025105"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273C294C"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t>1</w:t>
            </w:r>
          </w:p>
        </w:tc>
        <w:tc>
          <w:tcPr>
            <w:tcW w:w="1216" w:type="dxa"/>
            <w:tcBorders>
              <w:top w:val="nil"/>
              <w:left w:val="nil"/>
              <w:bottom w:val="single" w:sz="4" w:space="0" w:color="auto"/>
              <w:right w:val="single" w:sz="4" w:space="0" w:color="auto"/>
            </w:tcBorders>
            <w:noWrap/>
            <w:hideMark/>
          </w:tcPr>
          <w:p w14:paraId="4A091064"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10.1186/s13195-017-0282-6","author":[{"dropping-particle":"","family":"Chen","given":"C.-K.","non-dropping-particle":"","parse-names":false,"suffix":""},{"dropping-particle":"","family":"Wu","given":"Y.-T.","non-dropping-particle":"","parse-names":false,"suffix":""},{"dropping-particle":"","family":"Chang","given":"Y.-C.","non-dropping-particle":"","parse-names":false,"suffix":""}],"container-title":"Alzheimer's Research &amp; Therapy","id":"ITEM-1","issued":{"date-parts":[["2017"]]},"page":"56","title":"Association between chronic periodontitis and the risk of Alzheimer's disease: A retrospective, population-based, matched-cohort study","type":"article-journal","volume":"9"},"uris":["http://www.mendeley.com/documents/?uuid=be0ac54d-a99c-41cc-b600-17f84376a21e"]}],"mendeley":{"formattedCitation":"(Chen et al., 2017)","manualFormatting":"Chen et al. (2017)","plainTextFormattedCitation":"(Chen et al., 2017)","previouslyFormattedCitation":"(Chen et al., 2017)"},"properties":{"noteIndex":0},"schema":"https://github.com/citation-style-language/schema/raw/master/csl-citation.json"}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Chen et al. (2017)</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58C6A69E"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To analyze the risk of Alzheimer’s disease in patients with chronic periodontitis.</w:t>
            </w:r>
          </w:p>
        </w:tc>
        <w:tc>
          <w:tcPr>
            <w:tcW w:w="2561" w:type="dxa"/>
            <w:tcBorders>
              <w:top w:val="nil"/>
              <w:left w:val="nil"/>
              <w:bottom w:val="single" w:sz="4" w:space="0" w:color="auto"/>
              <w:right w:val="single" w:sz="4" w:space="0" w:color="auto"/>
            </w:tcBorders>
            <w:noWrap/>
            <w:hideMark/>
          </w:tcPr>
          <w:p w14:paraId="57F2D084"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 retrospective population-based matched cohort study in Taiwan. The sample consisted of 9,291 patients with chronic periodontitis and 18,672 controls without chronic periodontitis. The analysis used Cox proportional hazards regression.</w:t>
            </w:r>
          </w:p>
        </w:tc>
        <w:tc>
          <w:tcPr>
            <w:tcW w:w="2921" w:type="dxa"/>
            <w:tcBorders>
              <w:top w:val="nil"/>
              <w:left w:val="nil"/>
              <w:bottom w:val="single" w:sz="4" w:space="0" w:color="auto"/>
              <w:right w:val="single" w:sz="4" w:space="0" w:color="auto"/>
            </w:tcBorders>
            <w:noWrap/>
            <w:hideMark/>
          </w:tcPr>
          <w:p w14:paraId="19363EFB"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Patients with 10 years of exposure to chronic periodontitis had a higher risk of Alzheimer’s disease than those without chronic periodontitis. The adjusted HR was 1.707; 95% CI = 1.152–2.528; p = 0.0077.</w:t>
            </w:r>
          </w:p>
        </w:tc>
        <w:tc>
          <w:tcPr>
            <w:tcW w:w="2135" w:type="dxa"/>
            <w:tcBorders>
              <w:top w:val="nil"/>
              <w:left w:val="nil"/>
              <w:bottom w:val="single" w:sz="4" w:space="0" w:color="auto"/>
              <w:right w:val="single" w:sz="4" w:space="0" w:color="auto"/>
            </w:tcBorders>
            <w:noWrap/>
            <w:hideMark/>
          </w:tcPr>
          <w:p w14:paraId="511AF3A8"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Long-term exposure to chronic periodontitis is associated with an increased risk of Alzheimer’s disease. Preventing the progression of periodontal disease is important to reduce the risk of neurodegenerative disorders.</w:t>
            </w:r>
          </w:p>
        </w:tc>
      </w:tr>
      <w:tr w:rsidR="003547C3" w:rsidRPr="003547C3" w14:paraId="07DE77B6"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7DEAF040"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t>2</w:t>
            </w:r>
          </w:p>
        </w:tc>
        <w:tc>
          <w:tcPr>
            <w:tcW w:w="1216" w:type="dxa"/>
            <w:tcBorders>
              <w:top w:val="nil"/>
              <w:left w:val="nil"/>
              <w:bottom w:val="single" w:sz="4" w:space="0" w:color="auto"/>
              <w:right w:val="single" w:sz="4" w:space="0" w:color="auto"/>
            </w:tcBorders>
            <w:noWrap/>
            <w:hideMark/>
          </w:tcPr>
          <w:p w14:paraId="390FB35F"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10.1111/jgs.14449","author":[{"dropping-particle":"","family":"Lee","given":"Yu-Ting","non-dropping-particle":"","parse-names":false,"suffix":""},{"dropping-particle":"","family":"Lee","given":"Hsiu-Chen","non-dropping-particle":"","parse-names":false,"suffix":""},{"dropping-particle":"","family":"Hu","given":"Chaur-Jong","non-dropping-particle":"","parse-names":false,"suffix":""},{"dropping-particle":"","family":"Huang","given":"Li-Kai","non-dropping-particle":"","parse-names":false,"suffix":""},{"dropping-particle":"","family":"Chao","given":"Shih-Pin","non-dropping-particle":"","parse-names":false,"suffix":""},{"dropping-particle":"","family":"Lin","given":"Chien-Ping","non-dropping-particle":"","parse-names":false,"suffix":""},{"dropping-particle":"","family":"Su","given":"Eric Chih-Yuan","non-dropping-particle":"","parse-names":false,"suffix":""},{"dropping-particle":"","family":"Lee","given":"Yi-Chun","non-dropping-particle":"","parse-names":false,"suffix":""},{"dropping-particle":"","family":"Chen","given":"Chien-Chang","non-dropping-particle":"","parse-names":false,"suffix":""}],"container-title":"Journal of the American Geriatrics Society","id":"ITEM-1","issue":"2","issued":{"date-parts":[["2017"]]},"page":"301-305","title":"Periodontitis as a modifiable risk factor for dementia: A nationwide population-based cohort study","type":"article-journal","volume":"65"},"uris":["http://www.mendeley.com/documents/?uuid=6d8233c8-4c89-48b4-8f96-4fb58b2324ce"]}],"mendeley":{"formattedCitation":"(Y.-T. Lee et al., 2017)","manualFormatting":"Y.-T. Lee et al. (2017)","plainTextFormattedCitation":"(Y.-T. Lee et al., 2017)","previouslyFormattedCitation":"(Y.-T. Lee et al., 2017)"},"properties":{"noteIndex":0},"schema":"https://github.com/citation-style-language/schema/raw/master/csl-citation.json"}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Y.-T. Lee et al. (2017)</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2A61218C"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To assess whether periodontitis can serve as a modifiable risk factor for incident dementia.</w:t>
            </w:r>
          </w:p>
        </w:tc>
        <w:tc>
          <w:tcPr>
            <w:tcW w:w="2561" w:type="dxa"/>
            <w:tcBorders>
              <w:top w:val="nil"/>
              <w:left w:val="nil"/>
              <w:bottom w:val="single" w:sz="4" w:space="0" w:color="auto"/>
              <w:right w:val="single" w:sz="4" w:space="0" w:color="auto"/>
            </w:tcBorders>
            <w:noWrap/>
            <w:hideMark/>
          </w:tcPr>
          <w:p w14:paraId="6B50D01F"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 prospective cohort study using the Taiwan National Health Insurance Research Database. The sample consisted of 3,028 older adults with periodontitis and 3,028 age- and sex-matched controls.</w:t>
            </w:r>
          </w:p>
        </w:tc>
        <w:tc>
          <w:tcPr>
            <w:tcW w:w="2921" w:type="dxa"/>
            <w:tcBorders>
              <w:top w:val="nil"/>
              <w:left w:val="nil"/>
              <w:bottom w:val="single" w:sz="4" w:space="0" w:color="auto"/>
              <w:right w:val="single" w:sz="4" w:space="0" w:color="auto"/>
            </w:tcBorders>
            <w:noWrap/>
            <w:hideMark/>
          </w:tcPr>
          <w:p w14:paraId="164D346B"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The risk of dementia was higher in the periodontitis group than in the control group. The HR was 1.16; 95% CI = 1.01–1.32; p = 0.03.</w:t>
            </w:r>
          </w:p>
        </w:tc>
        <w:tc>
          <w:tcPr>
            <w:tcW w:w="2135" w:type="dxa"/>
            <w:tcBorders>
              <w:top w:val="nil"/>
              <w:left w:val="nil"/>
              <w:bottom w:val="single" w:sz="4" w:space="0" w:color="auto"/>
              <w:right w:val="single" w:sz="4" w:space="0" w:color="auto"/>
            </w:tcBorders>
            <w:noWrap/>
            <w:hideMark/>
          </w:tcPr>
          <w:p w14:paraId="2AE0A9CA"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Periodontitis is associated with the risk of new-onset dementia. Periodontal infection may be considered a potentially modifiable factor through periodontal treatment.</w:t>
            </w:r>
          </w:p>
        </w:tc>
      </w:tr>
      <w:tr w:rsidR="003547C3" w:rsidRPr="003547C3" w14:paraId="7D867DA8"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7CA345F9"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t>3</w:t>
            </w:r>
          </w:p>
        </w:tc>
        <w:tc>
          <w:tcPr>
            <w:tcW w:w="1216" w:type="dxa"/>
            <w:tcBorders>
              <w:top w:val="nil"/>
              <w:left w:val="nil"/>
              <w:bottom w:val="single" w:sz="4" w:space="0" w:color="auto"/>
              <w:right w:val="single" w:sz="4" w:space="0" w:color="auto"/>
            </w:tcBorders>
            <w:noWrap/>
            <w:hideMark/>
          </w:tcPr>
          <w:p w14:paraId="1EC05EE4"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10.1111/jgs.14944","author":[{"dropping-particle":"","family":"Lee","given":"Yea-Ling","non-dropping-particle":"","parse-names":false,"suffix":""},{"dropping-particle":"","family":"Hu","given":"Hsiao-Yun","non-dropping-particle":"","parse-names":false,"suffix":""},{"dropping-particle":"","family":"Huang","given":"Li-Yu","non-dropping-particle":"","parse-names":false,"suffix":""},{"dropping-particle":"","family":"Chou","given":"Pesus","non-dropping-particle":"","parse-names":false,"suffix":""},{"dropping-particle":"","family":"Chu","given":"De-Kuang","non-dropping-particle":"","parse-names":false,"suffix":""}],"container-title":"Journal of the American Geriatrics Society","id":"ITEM-1","issue":"9","issued":{"date-parts":[["2017"]]},"page":"1975-1980","title":"Periodontal disease associated with higher risk of dementia: Population-based cohort study in Taiwan","type":"article-journal","volume":"65"},"uris":["http://www.mendeley.com/documents/?uuid=7a204a72-3b58-4e6b-a3c3-dbcda3bf214c"]}],"mendeley":{"formattedCitation":"(Y.-L. Lee et al., 2017)","manualFormatting":"Y.-L. Lee et al. (2017)","plainTextFormattedCitation":"(Y.-L. Lee et al., 2017)","previouslyFormattedCitation":"(Y.-L. Lee et al., 2017)"},"properties":{"noteIndex":0},"schema":"https://github.com/citation-style-language/schema/raw/master/csl-citation.json"}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Y.-L. Lee et al. (2017)</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55050700"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 xml:space="preserve">To assess the magnitude and temporal aspects of the association </w:t>
            </w:r>
            <w:r w:rsidRPr="003547C3">
              <w:rPr>
                <w:rFonts w:ascii="Times New Roman" w:hAnsi="Times New Roman" w:cs="Times New Roman"/>
                <w:noProof/>
                <w:kern w:val="0"/>
                <w:sz w:val="24"/>
              </w:rPr>
              <w:lastRenderedPageBreak/>
              <w:t>between periodontal disease and dementia risk.</w:t>
            </w:r>
          </w:p>
        </w:tc>
        <w:tc>
          <w:tcPr>
            <w:tcW w:w="2561" w:type="dxa"/>
            <w:tcBorders>
              <w:top w:val="nil"/>
              <w:left w:val="nil"/>
              <w:bottom w:val="single" w:sz="4" w:space="0" w:color="auto"/>
              <w:right w:val="single" w:sz="4" w:space="0" w:color="auto"/>
            </w:tcBorders>
            <w:noWrap/>
            <w:hideMark/>
          </w:tcPr>
          <w:p w14:paraId="3CEA715A"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A retrospective cohort study based on the Taiwan National Health Insurance Research Database. The sample </w:t>
            </w:r>
            <w:r w:rsidRPr="003547C3">
              <w:rPr>
                <w:rFonts w:ascii="Times New Roman" w:hAnsi="Times New Roman" w:cs="Times New Roman"/>
                <w:noProof/>
                <w:kern w:val="0"/>
                <w:sz w:val="24"/>
              </w:rPr>
              <w:lastRenderedPageBreak/>
              <w:t>included 182,747 individuals with newly diagnosed periodontal disease. The analysis compared dental prophylaxis, intensive periodontal treatment, tooth extraction, and no treatment groups.</w:t>
            </w:r>
          </w:p>
        </w:tc>
        <w:tc>
          <w:tcPr>
            <w:tcW w:w="2921" w:type="dxa"/>
            <w:tcBorders>
              <w:top w:val="nil"/>
              <w:left w:val="nil"/>
              <w:bottom w:val="single" w:sz="4" w:space="0" w:color="auto"/>
              <w:right w:val="single" w:sz="4" w:space="0" w:color="auto"/>
            </w:tcBorders>
            <w:noWrap/>
            <w:hideMark/>
          </w:tcPr>
          <w:p w14:paraId="090B682F"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The incidence of dementia was higher in the untreated periodontal disease group at 0.76% per year and in the tooth extraction group at </w:t>
            </w:r>
            <w:r w:rsidRPr="003547C3">
              <w:rPr>
                <w:rFonts w:ascii="Times New Roman" w:hAnsi="Times New Roman" w:cs="Times New Roman"/>
                <w:noProof/>
                <w:kern w:val="0"/>
                <w:sz w:val="24"/>
              </w:rPr>
              <w:lastRenderedPageBreak/>
              <w:t>0.57% per year. The untreated group had an HR of 1.14; 95% CI = 1.04–1.24. The tooth extraction group had an HR of 1.10; 95% CI = 1.04–1.16. Differences in incidence between groups were significant, with p &lt; 0.001.</w:t>
            </w:r>
          </w:p>
        </w:tc>
        <w:tc>
          <w:tcPr>
            <w:tcW w:w="2135" w:type="dxa"/>
            <w:tcBorders>
              <w:top w:val="nil"/>
              <w:left w:val="nil"/>
              <w:bottom w:val="single" w:sz="4" w:space="0" w:color="auto"/>
              <w:right w:val="single" w:sz="4" w:space="0" w:color="auto"/>
            </w:tcBorders>
            <w:noWrap/>
            <w:hideMark/>
          </w:tcPr>
          <w:p w14:paraId="15A8886D"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More severe or untreated periodontal disease is associated with a higher risk of </w:t>
            </w:r>
            <w:r w:rsidRPr="003547C3">
              <w:rPr>
                <w:rFonts w:ascii="Times New Roman" w:hAnsi="Times New Roman" w:cs="Times New Roman"/>
                <w:noProof/>
                <w:kern w:val="0"/>
                <w:sz w:val="24"/>
              </w:rPr>
              <w:lastRenderedPageBreak/>
              <w:t>dementia. Periodontal treatment appears to have a protective role in reducing dementia risk.</w:t>
            </w:r>
          </w:p>
        </w:tc>
      </w:tr>
      <w:tr w:rsidR="003547C3" w:rsidRPr="003547C3" w14:paraId="0A7251DD"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2B8FA1D9"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lastRenderedPageBreak/>
              <w:t>4</w:t>
            </w:r>
          </w:p>
        </w:tc>
        <w:tc>
          <w:tcPr>
            <w:tcW w:w="1216" w:type="dxa"/>
            <w:tcBorders>
              <w:top w:val="nil"/>
              <w:left w:val="nil"/>
              <w:bottom w:val="single" w:sz="4" w:space="0" w:color="auto"/>
              <w:right w:val="single" w:sz="4" w:space="0" w:color="auto"/>
            </w:tcBorders>
            <w:noWrap/>
            <w:hideMark/>
          </w:tcPr>
          <w:p w14:paraId="4040D993"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10.1111/jgs.15828","author":[{"dropping-particle":"","family":"Choi","given":"S","non-dropping-particle":"","parse-names":false,"suffix":""},{"dropping-particle":"","family":"Kim","given":"K","non-dropping-particle":"","parse-names":false,"suffix":""},{"dropping-particle":"","family":"Chang","given":"J","non-dropping-particle":"","parse-names":false,"suffix":""},{"dropping-particle":"","family":"Kim","given":"S M","non-dropping-particle":"","parse-names":false,"suffix":""},{"dropping-particle":"","family":"Kim","given":"S J","non-dropping-particle":"","parse-names":false,"suffix":""},{"dropping-particle":"","family":"Cho","given":"H.-J.","non-dropping-particle":"","parse-names":false,"suffix":""},{"dropping-particle":"","family":"Park","given":"S M","non-dropping-particle":"","parse-names":false,"suffix":""}],"container-title":"Journal of the American Geriatrics Society","id":"ITEM-1","issue":"6","issued":{"date-parts":[["2019"]]},"page":"1234-1239","title":"Association of chronic periodontitis on Alzheimer's disease or vascular dementia","type":"article-journal","volume":"67"},"uris":["http://www.mendeley.com/documents/?uuid=414ef788-9064-4c87-9925-a657149eb023"]}],"mendeley":{"formattedCitation":"(Choi et al., 2019)","manualFormatting":"Choi et al. (2019)","plainTextFormattedCitation":"(Choi et al., 2019)","previouslyFormattedCitation":"(Choi et al., 2019)"},"properties":{"noteIndex":0},"schema":"https://github.com/citation-style-language/schema/raw/master/csl-citation.json"}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Choi et al. (2019)</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12E7AAC8"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To analyze the association between chronic periodontitis and overall dementia, Alzheimer’s disease, and vascular dementia.</w:t>
            </w:r>
          </w:p>
        </w:tc>
        <w:tc>
          <w:tcPr>
            <w:tcW w:w="2561" w:type="dxa"/>
            <w:tcBorders>
              <w:top w:val="nil"/>
              <w:left w:val="nil"/>
              <w:bottom w:val="single" w:sz="4" w:space="0" w:color="auto"/>
              <w:right w:val="single" w:sz="4" w:space="0" w:color="auto"/>
            </w:tcBorders>
            <w:noWrap/>
            <w:hideMark/>
          </w:tcPr>
          <w:p w14:paraId="5C8F6DFB"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 retrospective cohort study based on the Korean National Health Insurance Service-Health Screening Cohort. The sample consisted of 262,349 participants. The analysis used Cox proportional hazards regression.</w:t>
            </w:r>
          </w:p>
        </w:tc>
        <w:tc>
          <w:tcPr>
            <w:tcW w:w="2921" w:type="dxa"/>
            <w:tcBorders>
              <w:top w:val="nil"/>
              <w:left w:val="nil"/>
              <w:bottom w:val="single" w:sz="4" w:space="0" w:color="auto"/>
              <w:right w:val="single" w:sz="4" w:space="0" w:color="auto"/>
            </w:tcBorders>
            <w:noWrap/>
            <w:hideMark/>
          </w:tcPr>
          <w:p w14:paraId="057B2049"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Chronic periodontitis was associated with an increased risk of overall dementia, with an aHR of 1.06; 95% CI = 1.01–1.11; p = 0.015. The risk of Alzheimer’s disease also increased, with an aHR of 1.05; 95% CI = 1.00–1.11; p = 0.042. The risk of vascular dementia increased but was not statistically significant, with an aHR of 1.10; 95% CI = 0.98–1.22; p = 0.088.</w:t>
            </w:r>
          </w:p>
        </w:tc>
        <w:tc>
          <w:tcPr>
            <w:tcW w:w="2135" w:type="dxa"/>
            <w:tcBorders>
              <w:top w:val="nil"/>
              <w:left w:val="nil"/>
              <w:bottom w:val="single" w:sz="4" w:space="0" w:color="auto"/>
              <w:right w:val="single" w:sz="4" w:space="0" w:color="auto"/>
            </w:tcBorders>
            <w:noWrap/>
            <w:hideMark/>
          </w:tcPr>
          <w:p w14:paraId="5F924BC9"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Chronic periodontitis is associated with a higher risk of dementia and Alzheimer’s disease. The association with vascular dementia appears to increase but is not statistically significant.</w:t>
            </w:r>
          </w:p>
        </w:tc>
      </w:tr>
      <w:tr w:rsidR="003547C3" w:rsidRPr="003547C3" w14:paraId="5CCB0AC5"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5EBB37B7"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t>5</w:t>
            </w:r>
          </w:p>
        </w:tc>
        <w:tc>
          <w:tcPr>
            <w:tcW w:w="1216" w:type="dxa"/>
            <w:tcBorders>
              <w:top w:val="nil"/>
              <w:left w:val="nil"/>
              <w:bottom w:val="single" w:sz="4" w:space="0" w:color="auto"/>
              <w:right w:val="single" w:sz="4" w:space="0" w:color="auto"/>
            </w:tcBorders>
            <w:noWrap/>
            <w:hideMark/>
          </w:tcPr>
          <w:p w14:paraId="4F555CAB"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10.1111/jcpe.13155","author":[{"dropping-particle":"","family":"Sung","given":"Chien-En","non-dropping-particle":"","parse-names":false,"suffix":""},{"dropping-particle":"","family":"Huang","given":"Rong-Yi","non-dropping-particle":"","parse-names":false,"suffix":""},{"dropping-particle":"","family":"Cheng","given":"Wen-Chieh","non-dropping-particle":"","parse-names":false,"suffix":""},{"dropping-particle":"","family":"Kao","given":"Tsai-Wang","non-dropping-particle":"","parse-names":false,"suffix":""},{"dropping-particle":"","family":"Chen","given":"Wei-Liang","non-dropping-particle":"","parse-names":false,"suffix":""}],"container-title":"Journal of Clinical Periodontology","id":"ITEM-1","issue":"8","issued":{"date-parts":[["2019"]]},"page":"790-798","title":"Association between periodontitis and cognitive impairment: Analysis of National Health and Nutrition Examination Survey (NHANES) III","type":"article-journal","volume":"46"},"uris":["http://www.mendeley.com/documents/?uuid=7817265b-da6c-45bf-b45d-d46cf8f8c7a9"]}],"mendeley":{"formattedCitation":"(Sung et al., 2019)","manualFormatting":"Sung et al. (2019)","plainTextFormattedCitation":"(Sung et al., 2019)","previouslyFormattedCitation":"(Sung et al., 2019)"},"properties":{"noteIndex":0},"schema":"https://github.com/citation-style-language/schema/raw/master/csl-citation.json"}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Sung et al. (2019)</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18D0E942"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To analyze the association between periodontitis and impaired cognitive function in the adult population of the United States.</w:t>
            </w:r>
          </w:p>
        </w:tc>
        <w:tc>
          <w:tcPr>
            <w:tcW w:w="2561" w:type="dxa"/>
            <w:tcBorders>
              <w:top w:val="nil"/>
              <w:left w:val="nil"/>
              <w:bottom w:val="single" w:sz="4" w:space="0" w:color="auto"/>
              <w:right w:val="single" w:sz="4" w:space="0" w:color="auto"/>
            </w:tcBorders>
            <w:noWrap/>
            <w:hideMark/>
          </w:tcPr>
          <w:p w14:paraId="21915A5A"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 cross-sectional study using NHANES III. The sample consisted of 4,663 participants aged 20–59 years. Periodontitis status was categorized as normal, mild, moderate, and severe. Cognitive function was assessed using SRTT, SDST, and SDLT.</w:t>
            </w:r>
          </w:p>
        </w:tc>
        <w:tc>
          <w:tcPr>
            <w:tcW w:w="2921" w:type="dxa"/>
            <w:tcBorders>
              <w:top w:val="nil"/>
              <w:left w:val="nil"/>
              <w:bottom w:val="single" w:sz="4" w:space="0" w:color="auto"/>
              <w:right w:val="single" w:sz="4" w:space="0" w:color="auto"/>
            </w:tcBorders>
            <w:noWrap/>
            <w:hideMark/>
          </w:tcPr>
          <w:p w14:paraId="6043EC36"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After adjustment for demographic factors, education, smoking, cardiovascular disease, and laboratory data, periodontitis was significantly associated with increased SDST and SDLT scores. The p for trend was 0.014 for SDST and 0.038 for SDLT. In the fully adjusted model, moderate-to-severe periodontitis was associated with the SDLT total score, with β = 0.146; 95% CI = 0.010–0.282; p = 0.036.</w:t>
            </w:r>
          </w:p>
        </w:tc>
        <w:tc>
          <w:tcPr>
            <w:tcW w:w="2135" w:type="dxa"/>
            <w:tcBorders>
              <w:top w:val="nil"/>
              <w:left w:val="nil"/>
              <w:bottom w:val="single" w:sz="4" w:space="0" w:color="auto"/>
              <w:right w:val="single" w:sz="4" w:space="0" w:color="auto"/>
            </w:tcBorders>
            <w:noWrap/>
            <w:hideMark/>
          </w:tcPr>
          <w:p w14:paraId="28C9B254"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Periodontal status is associated with reduced cognitive function in a national adult sample. Individuals with cognitive impairment require attention in periodontal care.</w:t>
            </w:r>
          </w:p>
        </w:tc>
      </w:tr>
      <w:tr w:rsidR="003547C3" w:rsidRPr="003547C3" w14:paraId="716C136F"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746901A1"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t>6</w:t>
            </w:r>
          </w:p>
        </w:tc>
        <w:tc>
          <w:tcPr>
            <w:tcW w:w="1216" w:type="dxa"/>
            <w:tcBorders>
              <w:top w:val="nil"/>
              <w:left w:val="nil"/>
              <w:bottom w:val="single" w:sz="4" w:space="0" w:color="auto"/>
              <w:right w:val="single" w:sz="4" w:space="0" w:color="auto"/>
            </w:tcBorders>
            <w:noWrap/>
            <w:hideMark/>
          </w:tcPr>
          <w:p w14:paraId="7B706410"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10.1038/s41598-021-96147-4","author":[{"dropping-particle":"","family":"Jeong","given":"Eun","non-dropping-particle":"","parse-names":false,"suffix":""},{"dropping-particle":"","family":"Park","given":"Jin-Bom","non-dropping-particle":"","parse-names":false,"suffix":""},{"dropping-particle":"","family":"Park","given":"Yong-Gyu","non-dropping-particle":"","parse-names":false,"suffix":""}],"container-title":"Scientific Reports","id":"ITEM-1","issued":{"date-parts":[["2021"]]},"page":"16594","title":"Evaluation of the association between periodontitis and risk of Parkinson's disease: A nationwide retrospective cohort study","type":"article-journal","volume":"11"},"uris":["http://www.mendeley.com/documents/?uuid=32a23e44-b1a8-4678-9d8d-84d51ac50a03"]}],"mendeley":{"formattedCitation":"(Jeong et al., 2021)","manualFormatting":"Jeong et al. (2021)","plainTextFormattedCitation":"(Jeong et al., 2021)","previouslyFormattedCitation":"(Jeong et al., 2021)"},"properties":{"noteIndex":0},"schema":"https://github.com/citation-style-language/schema/raw/master/csl-citation.json"}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Jeong et al. (2021)</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21BBAD47"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 xml:space="preserve">To evaluate the association between periodontitis </w:t>
            </w:r>
            <w:r w:rsidRPr="003547C3">
              <w:rPr>
                <w:rFonts w:ascii="Times New Roman" w:hAnsi="Times New Roman" w:cs="Times New Roman"/>
                <w:noProof/>
                <w:kern w:val="0"/>
                <w:sz w:val="24"/>
              </w:rPr>
              <w:lastRenderedPageBreak/>
              <w:t>and the risk of Parkinson’s disease.</w:t>
            </w:r>
          </w:p>
        </w:tc>
        <w:tc>
          <w:tcPr>
            <w:tcW w:w="2561" w:type="dxa"/>
            <w:tcBorders>
              <w:top w:val="nil"/>
              <w:left w:val="nil"/>
              <w:bottom w:val="single" w:sz="4" w:space="0" w:color="auto"/>
              <w:right w:val="single" w:sz="4" w:space="0" w:color="auto"/>
            </w:tcBorders>
            <w:noWrap/>
            <w:hideMark/>
          </w:tcPr>
          <w:p w14:paraId="37F35330"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A nationwide retrospective cohort study using data from the South Korean </w:t>
            </w:r>
            <w:r w:rsidRPr="003547C3">
              <w:rPr>
                <w:rFonts w:ascii="Times New Roman" w:hAnsi="Times New Roman" w:cs="Times New Roman"/>
                <w:noProof/>
                <w:kern w:val="0"/>
                <w:sz w:val="24"/>
              </w:rPr>
              <w:lastRenderedPageBreak/>
              <w:t>National Health Insurance Service. The final sample consisted of 6,825,684 participants aged ≥40 years. The analysis used the Cox proportional hazards model.</w:t>
            </w:r>
          </w:p>
        </w:tc>
        <w:tc>
          <w:tcPr>
            <w:tcW w:w="2921" w:type="dxa"/>
            <w:tcBorders>
              <w:top w:val="nil"/>
              <w:left w:val="nil"/>
              <w:bottom w:val="single" w:sz="4" w:space="0" w:color="auto"/>
              <w:right w:val="single" w:sz="4" w:space="0" w:color="auto"/>
            </w:tcBorders>
            <w:noWrap/>
            <w:hideMark/>
          </w:tcPr>
          <w:p w14:paraId="0CCB1C7A"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The risk of Parkinson’s disease increased among individuals requiring further dental visits, with an </w:t>
            </w:r>
            <w:r w:rsidRPr="003547C3">
              <w:rPr>
                <w:rFonts w:ascii="Times New Roman" w:hAnsi="Times New Roman" w:cs="Times New Roman"/>
                <w:noProof/>
                <w:kern w:val="0"/>
                <w:sz w:val="24"/>
              </w:rPr>
              <w:lastRenderedPageBreak/>
              <w:t>HR of 1.142; 95% CI = 1.094–1.193. The group with periodontitis and a need for further dental visits had the highest risk, with an HR of 1.167; 95% CI = 1.118–1.219.</w:t>
            </w:r>
          </w:p>
        </w:tc>
        <w:tc>
          <w:tcPr>
            <w:tcW w:w="2135" w:type="dxa"/>
            <w:tcBorders>
              <w:top w:val="nil"/>
              <w:left w:val="nil"/>
              <w:bottom w:val="single" w:sz="4" w:space="0" w:color="auto"/>
              <w:right w:val="single" w:sz="4" w:space="0" w:color="auto"/>
            </w:tcBorders>
            <w:noWrap/>
            <w:hideMark/>
          </w:tcPr>
          <w:p w14:paraId="67102519"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Periodontitis is associated with an increased risk of Parkinson’s </w:t>
            </w:r>
            <w:r w:rsidRPr="003547C3">
              <w:rPr>
                <w:rFonts w:ascii="Times New Roman" w:hAnsi="Times New Roman" w:cs="Times New Roman"/>
                <w:noProof/>
                <w:kern w:val="0"/>
                <w:sz w:val="24"/>
              </w:rPr>
              <w:lastRenderedPageBreak/>
              <w:t>disease. Regular dental and periodontal care may be part of preventing the risk of neurodegenerative disease.</w:t>
            </w:r>
          </w:p>
        </w:tc>
      </w:tr>
      <w:tr w:rsidR="003547C3" w:rsidRPr="003547C3" w14:paraId="4609DDE8"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5A3283FB"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lastRenderedPageBreak/>
              <w:t>7</w:t>
            </w:r>
          </w:p>
        </w:tc>
        <w:tc>
          <w:tcPr>
            <w:tcW w:w="1216" w:type="dxa"/>
            <w:tcBorders>
              <w:top w:val="nil"/>
              <w:left w:val="nil"/>
              <w:bottom w:val="single" w:sz="4" w:space="0" w:color="auto"/>
              <w:right w:val="single" w:sz="4" w:space="0" w:color="auto"/>
            </w:tcBorders>
            <w:noWrap/>
            <w:hideMark/>
          </w:tcPr>
          <w:p w14:paraId="5EFE1B5C"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10.4178/epih.e2022077","author":[{"dropping-particle":"","family":"Kim","given":"Seong-Ryeol","non-dropping-particle":"","parse-names":false,"suffix":""},{"dropping-particle":"","family":"Son","given":"Miri","non-dropping-particle":"","parse-names":false,"suffix":""},{"dropping-particle":"","family":"Kim","given":"Yu-Ri","non-dropping-particle":"","parse-names":false,"suffix":""},{"dropping-particle":"","family":"Kang","given":"Hyun-Kyung","non-dropping-particle":"","parse-names":false,"suffix":""}],"container-title":"Epidemiology and Health","id":"ITEM-1","issued":{"date-parts":[["2022"]]},"page":"e2022077","title":"Risk of dementia according to the severity of chronic periodontitis in Korea: A nationwide retrospective cohort study","type":"article-journal","volume":"44"},"uris":["http://www.mendeley.com/documents/?uuid=ad14a9d6-7835-4495-86dd-6846c5f28dca"]}],"mendeley":{"formattedCitation":"(Kim et al., 2022)","manualFormatting":"Kim et al, (2022)","plainTextFormattedCitation":"(Kim et al., 2022)","previouslyFormattedCitation":"(Kim et al., 2022)"},"properties":{"noteIndex":0},"schema":"https://github.com/citation-style-language/schema/raw/master/csl-citation.json"}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Kim et al, (2022)</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556C76D5"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To analyze the risk of dementia among older adults with chronic periodontitis according to the severity of periodontitis.</w:t>
            </w:r>
          </w:p>
        </w:tc>
        <w:tc>
          <w:tcPr>
            <w:tcW w:w="2561" w:type="dxa"/>
            <w:tcBorders>
              <w:top w:val="nil"/>
              <w:left w:val="nil"/>
              <w:bottom w:val="single" w:sz="4" w:space="0" w:color="auto"/>
              <w:right w:val="single" w:sz="4" w:space="0" w:color="auto"/>
            </w:tcBorders>
            <w:noWrap/>
            <w:hideMark/>
          </w:tcPr>
          <w:p w14:paraId="3D179E20"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 nationwide retrospective cohort study based on the South Korean National Health Insurance Service-Senior cohort database. After propensity score matching, there were 8,624 patients with mild chronic periodontitis and 8,624 patients with severe chronic periodontitis.</w:t>
            </w:r>
          </w:p>
        </w:tc>
        <w:tc>
          <w:tcPr>
            <w:tcW w:w="2921" w:type="dxa"/>
            <w:tcBorders>
              <w:top w:val="nil"/>
              <w:left w:val="nil"/>
              <w:bottom w:val="single" w:sz="4" w:space="0" w:color="auto"/>
              <w:right w:val="single" w:sz="4" w:space="0" w:color="auto"/>
            </w:tcBorders>
            <w:noWrap/>
            <w:hideMark/>
          </w:tcPr>
          <w:p w14:paraId="4E19F5CF"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The severe chronic periodontitis group had a higher risk of dementia than the mild chronic periodontitis group. The HR was 1.15; 95% CI = 1.04–1.27; p = 0.009. Kaplan-Meier analysis showed a lower disease-free probability in the severe chronic periodontitis group, with p for log-rank = 0.001.</w:t>
            </w:r>
          </w:p>
        </w:tc>
        <w:tc>
          <w:tcPr>
            <w:tcW w:w="2135" w:type="dxa"/>
            <w:tcBorders>
              <w:top w:val="nil"/>
              <w:left w:val="nil"/>
              <w:bottom w:val="single" w:sz="4" w:space="0" w:color="auto"/>
              <w:right w:val="single" w:sz="4" w:space="0" w:color="auto"/>
            </w:tcBorders>
            <w:noWrap/>
            <w:hideMark/>
          </w:tcPr>
          <w:p w14:paraId="54F7EB47"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The severity of chronic periodontitis is associated with an increased risk of dementia. Management of periodontitis from the mild stage is needed to prevent the progression of dementia risk.</w:t>
            </w:r>
          </w:p>
        </w:tc>
      </w:tr>
      <w:tr w:rsidR="003547C3" w:rsidRPr="003547C3" w14:paraId="62DFC063"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0392E254"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t>8</w:t>
            </w:r>
          </w:p>
        </w:tc>
        <w:tc>
          <w:tcPr>
            <w:tcW w:w="1216" w:type="dxa"/>
            <w:tcBorders>
              <w:top w:val="nil"/>
              <w:left w:val="nil"/>
              <w:bottom w:val="single" w:sz="4" w:space="0" w:color="auto"/>
              <w:right w:val="single" w:sz="4" w:space="0" w:color="auto"/>
            </w:tcBorders>
            <w:noWrap/>
            <w:hideMark/>
          </w:tcPr>
          <w:p w14:paraId="35016A36"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10.1093/gerona/glac178","author":[{"dropping-particle":"","family":"Luo","given":"Huabin","non-dropping-particle":"","parse-names":false,"suffix":""},{"dropping-particle":"","family":"Wu","given":"Bei","non-dropping-particle":"","parse-names":false,"suffix":""},{"dropping-particle":"","family":"Gonz'alez","given":"Hector M","non-dropping-particle":"","parse-names":false,"suffix":""},{"dropping-particle":"","family":"Stickel","given":"Ariana","non-dropping-particle":"","parse-names":false,"suffix":""},{"dropping-particle":"","family":"Kaste","given":"Linda M","non-dropping-particle":"","parse-names":false,"suffix":""},{"dropping-particle":"","family":"Tarraf","given":"Wassim","non-dropping-particle":"","parse-names":false,"suffix":""},{"dropping-particle":"","family":"Daviglus","given":"Martha L","non-dropping-particle":"","parse-names":false,"suffix":""},{"dropping-particle":"","family":"Sanders","given":"Anne E","non-dropping-particle":"","parse-names":false,"suffix":""},{"dropping-particle":"","family":"Cai","given":"Jianwen","non-dropping-particle":"","parse-names":false,"suffix":""}],"container-title":"The Journals of Gerontology: Series A","id":"ITEM-1","issue":"6","issued":{"date-parts":[["2023"]]},"page":"949-957","title":"Tooth loss, periodontal disease, and mild cognitive impairment among Hispanic/Latino immigrants: The moderating effects of age at immigration","type":"article-journal","volume":"78"},"uris":["http://www.mendeley.com/documents/?uuid=dfe00faf-5d7a-4bea-897e-8fd0d5a96a17"]}],"mendeley":{"formattedCitation":"(Luo et al., 2023)","manualFormatting":"Luo et al. (2023)","plainTextFormattedCitation":"(Luo et al., 2023)","previouslyFormattedCitation":"(Luo et al., 2023)"},"properties":{"noteIndex":0},"schema":"https://github.com/citation-style-language/schema/raw/master/csl-citation.json"}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Luo et al. (2023)</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12546E37"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To assess the association of tooth loss and periodontal disease with mild cognitive impairment among Hispanic/Latino immigrants and to examine the role of age at immigration.</w:t>
            </w:r>
          </w:p>
        </w:tc>
        <w:tc>
          <w:tcPr>
            <w:tcW w:w="2561" w:type="dxa"/>
            <w:tcBorders>
              <w:top w:val="nil"/>
              <w:left w:val="nil"/>
              <w:bottom w:val="single" w:sz="4" w:space="0" w:color="auto"/>
              <w:right w:val="single" w:sz="4" w:space="0" w:color="auto"/>
            </w:tcBorders>
            <w:noWrap/>
            <w:hideMark/>
          </w:tcPr>
          <w:p w14:paraId="4C14EA3A"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An observational study using data from the Hispanic Community Health Study/Study of Latinos. The analyzed immigrant sample consisted of 5,709 participants. The analysis used adjusted regression models.</w:t>
            </w:r>
          </w:p>
        </w:tc>
        <w:tc>
          <w:tcPr>
            <w:tcW w:w="2921" w:type="dxa"/>
            <w:tcBorders>
              <w:top w:val="nil"/>
              <w:left w:val="nil"/>
              <w:bottom w:val="single" w:sz="4" w:space="0" w:color="auto"/>
              <w:right w:val="single" w:sz="4" w:space="0" w:color="auto"/>
            </w:tcBorders>
            <w:noWrap/>
            <w:hideMark/>
          </w:tcPr>
          <w:p w14:paraId="596AA064"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Severe tooth loss was associated with MCI, with an AOR of 1.36; 95% CI = 1.01–1.85. Overall, periodontal disease was associated with MCI, with p = 0.04. Comparisons of mild, moderate, and severe periodontal disease with no periodontal disease were not significant, with all p values &gt; 0.05. The interaction between periodontal disease and age at immigration was also not significant, with p = 0.10.</w:t>
            </w:r>
          </w:p>
        </w:tc>
        <w:tc>
          <w:tcPr>
            <w:tcW w:w="2135" w:type="dxa"/>
            <w:tcBorders>
              <w:top w:val="nil"/>
              <w:left w:val="nil"/>
              <w:bottom w:val="single" w:sz="4" w:space="0" w:color="auto"/>
              <w:right w:val="single" w:sz="4" w:space="0" w:color="auto"/>
            </w:tcBorders>
            <w:noWrap/>
            <w:hideMark/>
          </w:tcPr>
          <w:p w14:paraId="6A97F6B0"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Tooth loss appears to be a stronger oral health indicator of MCI than periodontal disease severity. Periodontal disease still shows a general association with MCI.</w:t>
            </w:r>
          </w:p>
        </w:tc>
      </w:tr>
      <w:tr w:rsidR="003547C3" w:rsidRPr="003547C3" w14:paraId="23CE260E"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3CE478DF"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t>9</w:t>
            </w:r>
          </w:p>
        </w:tc>
        <w:tc>
          <w:tcPr>
            <w:tcW w:w="1216" w:type="dxa"/>
            <w:tcBorders>
              <w:top w:val="nil"/>
              <w:left w:val="nil"/>
              <w:bottom w:val="single" w:sz="4" w:space="0" w:color="auto"/>
              <w:right w:val="single" w:sz="4" w:space="0" w:color="auto"/>
            </w:tcBorders>
            <w:noWrap/>
            <w:hideMark/>
          </w:tcPr>
          <w:p w14:paraId="23FDD3DD"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10.14283/jarlife.2024.16","author":[{"dropping-particle":"","family":"Igase","given":"Masashi","non-dropping-particle":"","parse-names":false,"suffix":""},{"dropping-particle":"","family":"Igase","given":"Kumiko","non-dropping-particle":"","parse-names":false,"suffix":""},{"dropping-particle":"","family":"Hino","given":"Sho","non-dropping-particle":"","parse-names":false,"suffix":""},{"dropping-particle":"","family":"Uchida","given":"Daijiro","non-dropping-particle":"","parse-names":false,"suffix":""},{"dropping-particle":"","family":"Okada","given":"Yuki","non-dropping-particle":"","parse-names":false,"suffix":""},{"dropping-particle":"","family":"Ochi","given":"Masayuki","non-dropping-particle":"","parse-names":false,"suffix":""},{"dropping-particle":"","family":"Tabara","given":"Yasuharu","non-dropping-particle":"","parse-names":false,"suffix":""},{"dropping-particle":"","family":"Ohyagi","given":"Yasumasa","non-dropping-particle":"","parse-names":false,"suffix":""}],"container-title":"The Journal of Aging Research &amp; Lifestyle","id":"ITEM-1","issued":{"date-parts":[["2024"]]},"page":"108-112","title":"Association of periodontitis with mild cognitive impairment in older adults","type":"article-journal","volume":"13"},"uris":["http://www.mendeley.com/documents/?uuid=a0be732b-d731-44d6-9804-b58d85f98326"]}],"mendeley":{"formattedCitation":"(Igase et al., 2024)","manualFormatting":"Igase et al. (2024)","plainTextFormattedCitation":"(Igase et al., 2024)","previouslyFormattedCitation":"(Igase et al., 2024)"},"properties":{"noteIndex":0},"schema":"https://github.com/citation-style-language/schema/raw/master/csl-citation.json"}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Igase et al. (2024)</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5BB57863"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 xml:space="preserve">To examine the association between severe periodontitis and mild cognitive impairment </w:t>
            </w:r>
            <w:r w:rsidRPr="003547C3">
              <w:rPr>
                <w:rFonts w:ascii="Times New Roman" w:hAnsi="Times New Roman" w:cs="Times New Roman"/>
                <w:noProof/>
                <w:kern w:val="0"/>
                <w:sz w:val="24"/>
              </w:rPr>
              <w:lastRenderedPageBreak/>
              <w:t>among community residents who underwent dental health examinations.</w:t>
            </w:r>
          </w:p>
        </w:tc>
        <w:tc>
          <w:tcPr>
            <w:tcW w:w="2561" w:type="dxa"/>
            <w:tcBorders>
              <w:top w:val="nil"/>
              <w:left w:val="nil"/>
              <w:bottom w:val="single" w:sz="4" w:space="0" w:color="auto"/>
              <w:right w:val="single" w:sz="4" w:space="0" w:color="auto"/>
            </w:tcBorders>
            <w:noWrap/>
            <w:hideMark/>
          </w:tcPr>
          <w:p w14:paraId="5BD84328"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A cross-sectional study involving 321 community participants in Japan. MCI was assessed using the MCI screening test. Periodontitis was </w:t>
            </w:r>
            <w:r w:rsidRPr="003547C3">
              <w:rPr>
                <w:rFonts w:ascii="Times New Roman" w:hAnsi="Times New Roman" w:cs="Times New Roman"/>
                <w:noProof/>
                <w:kern w:val="0"/>
                <w:sz w:val="24"/>
              </w:rPr>
              <w:lastRenderedPageBreak/>
              <w:t>diagnosed based on probing pocket depth. The analysis used multivariate logistic regression.</w:t>
            </w:r>
          </w:p>
        </w:tc>
        <w:tc>
          <w:tcPr>
            <w:tcW w:w="2921" w:type="dxa"/>
            <w:tcBorders>
              <w:top w:val="nil"/>
              <w:left w:val="nil"/>
              <w:bottom w:val="single" w:sz="4" w:space="0" w:color="auto"/>
              <w:right w:val="single" w:sz="4" w:space="0" w:color="auto"/>
            </w:tcBorders>
            <w:noWrap/>
            <w:hideMark/>
          </w:tcPr>
          <w:p w14:paraId="12954387"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MCI was found in 41 subjects. Severe periodontitis was found in 123 subjects. Severe periodontitis was significantly associated with MCI after including </w:t>
            </w:r>
            <w:r w:rsidRPr="003547C3">
              <w:rPr>
                <w:rFonts w:ascii="Times New Roman" w:hAnsi="Times New Roman" w:cs="Times New Roman"/>
                <w:noProof/>
                <w:kern w:val="0"/>
                <w:sz w:val="24"/>
              </w:rPr>
              <w:lastRenderedPageBreak/>
              <w:t>age, education, number of functional teeth, and the presence of severe periodontitis. The OR was 4.024; 95% CI = 1.768–9.161; p &lt; 0.001.</w:t>
            </w:r>
          </w:p>
        </w:tc>
        <w:tc>
          <w:tcPr>
            <w:tcW w:w="2135" w:type="dxa"/>
            <w:tcBorders>
              <w:top w:val="nil"/>
              <w:left w:val="nil"/>
              <w:bottom w:val="single" w:sz="4" w:space="0" w:color="auto"/>
              <w:right w:val="single" w:sz="4" w:space="0" w:color="auto"/>
            </w:tcBorders>
            <w:noWrap/>
            <w:hideMark/>
          </w:tcPr>
          <w:p w14:paraId="034C5E66"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Severe periodontitis is strongly associated with mild cognitive impairment. Patients with severe periodontitis </w:t>
            </w:r>
            <w:r w:rsidRPr="003547C3">
              <w:rPr>
                <w:rFonts w:ascii="Times New Roman" w:hAnsi="Times New Roman" w:cs="Times New Roman"/>
                <w:noProof/>
                <w:kern w:val="0"/>
                <w:sz w:val="24"/>
              </w:rPr>
              <w:lastRenderedPageBreak/>
              <w:t>should be considered for cognitive function screening.</w:t>
            </w:r>
          </w:p>
        </w:tc>
      </w:tr>
      <w:tr w:rsidR="003547C3" w:rsidRPr="003547C3" w14:paraId="0D03F63B"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3696A701"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lastRenderedPageBreak/>
              <w:t>10</w:t>
            </w:r>
          </w:p>
        </w:tc>
        <w:tc>
          <w:tcPr>
            <w:tcW w:w="1216" w:type="dxa"/>
            <w:tcBorders>
              <w:top w:val="nil"/>
              <w:left w:val="nil"/>
              <w:bottom w:val="single" w:sz="4" w:space="0" w:color="auto"/>
              <w:right w:val="single" w:sz="4" w:space="0" w:color="auto"/>
            </w:tcBorders>
            <w:noWrap/>
            <w:hideMark/>
          </w:tcPr>
          <w:p w14:paraId="4C919985"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{"citationItems":[{"id":"ITEM-1","itemData":{"DOI":"10.1016/j.nrleng.2025.07.008","author":[{"dropping-particle":"","family":"Gil-Montoya","given":"J A","non-dropping-particle":"","parse-names":false,"suffix":""},{"dropping-particle":"","family":"Gerez-Muñoz","given":"M J","non-dropping-particle":"","parse-names":false,"suffix":""},{"dropping-particle":"","family":"Triviño-Ibáñez","given":"E","non-dropping-particle":"","parse-names":false,"suffix":""},{"dropping-particle":"","family":"Carrera-Muñoz","given":"I","non-dropping-particle":"","parse-names":false,"suffix":""},{"dropping-particle":"","family":"Bravo","given":"M","non-dropping-particle":"","parse-names":false,"suffix":""},{"dropping-particle":"","family":"Rashki","given":"M","non-dropping-particle":"","parse-names":false,"suffix":""},{"dropping-particle":"","family":"Solis-Urra","given":"P","non-dropping-particle":"","parse-names":false,"suffix":""},{"dropping-particle":"","family":"Esteban-Cornejo","given":"I","non-dropping-particle":"","parse-names":false,"suffix":""},{"dropping-particle":"","family":"Gómez-Río","given":"M","non-dropping-particle":"","parse-names":false,"suffix":""}],"container-title":"Neurología (English Edition)","id":"ITEM-1","issue":"7","issued":{"date-parts":[["2025"]]},"page":"641-650","title":"Periodontal disease and brain amyloid pathology in mild cognitive impairment","type":"article-journal","volume":"40"},"uris":["http://www.mendeley.com/documents/?uuid=199ec3d4-cd2c-4ed6-b7fa-870b9f379dd4"]}],"mendeley":{"formattedCitation":"(Gil-Montoya et al., 2025)","manualFormatting":"Gil-Montoya et al. (2025)","plainTextFormattedCitation":"(Gil-Montoya et al., 2025)","previouslyFormattedCitation":"(Gil-Montoya et al., 2025)"},"properties":{"noteIndex":0},"schema":"https://github.com/citation-style-language/schema/raw/master/csl-citation.json"}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Gil-Montoya et al. (2025)</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08BB5A16"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To assess the association between periodontal disease and brain beta-amyloid accumulation in patients with mild cognitive impairment.</w:t>
            </w:r>
          </w:p>
        </w:tc>
        <w:tc>
          <w:tcPr>
            <w:tcW w:w="2561" w:type="dxa"/>
            <w:tcBorders>
              <w:top w:val="nil"/>
              <w:left w:val="nil"/>
              <w:bottom w:val="single" w:sz="4" w:space="0" w:color="auto"/>
              <w:right w:val="single" w:sz="4" w:space="0" w:color="auto"/>
            </w:tcBorders>
            <w:noWrap/>
            <w:hideMark/>
          </w:tcPr>
          <w:p w14:paraId="167BBE82"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An observational study in Spain. All participants underwent periodontal examination and amyloid-PET scanning. The sample consisted of MCI/Aβ+ n = 45, MCI/Aβ− n = 59, and non-MCI/Aβ− n = 60.</w:t>
            </w:r>
          </w:p>
        </w:tc>
        <w:tc>
          <w:tcPr>
            <w:tcW w:w="2921" w:type="dxa"/>
            <w:tcBorders>
              <w:top w:val="nil"/>
              <w:left w:val="nil"/>
              <w:bottom w:val="single" w:sz="4" w:space="0" w:color="auto"/>
              <w:right w:val="single" w:sz="4" w:space="0" w:color="auto"/>
            </w:tcBorders>
            <w:noWrap/>
            <w:hideMark/>
          </w:tcPr>
          <w:p w14:paraId="244843C4"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Patients with moderate-to-severe periodontitis had a higher risk of abnormal Aβ accumulation. The comparison between MCI/Aβ+ and MCI/Aβ− showed OR = 3.30; 95% CI = 1.30–8.26. The comparison between MCI/Aβ+ and non-MCI/Aβ− showed OR = 4.94; 95% CI = 1.65–14.84.</w:t>
            </w:r>
          </w:p>
        </w:tc>
        <w:tc>
          <w:tcPr>
            <w:tcW w:w="2135" w:type="dxa"/>
            <w:tcBorders>
              <w:top w:val="nil"/>
              <w:left w:val="nil"/>
              <w:bottom w:val="single" w:sz="4" w:space="0" w:color="auto"/>
              <w:right w:val="single" w:sz="4" w:space="0" w:color="auto"/>
            </w:tcBorders>
            <w:noWrap/>
            <w:hideMark/>
          </w:tcPr>
          <w:p w14:paraId="035C7512"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Periodontal disease is associated with brain beta-amyloid accumulation. These findings support the suspected link between periodontal disease and Alzheimer’s pathology at the MCI stage.</w:t>
            </w:r>
          </w:p>
        </w:tc>
      </w:tr>
      <w:tr w:rsidR="003547C3" w:rsidRPr="003547C3" w14:paraId="4AFA7C20"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6C09DBDF"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t>11</w:t>
            </w:r>
          </w:p>
        </w:tc>
        <w:tc>
          <w:tcPr>
            <w:tcW w:w="1216" w:type="dxa"/>
            <w:tcBorders>
              <w:top w:val="nil"/>
              <w:left w:val="nil"/>
              <w:bottom w:val="single" w:sz="4" w:space="0" w:color="auto"/>
              <w:right w:val="single" w:sz="4" w:space="0" w:color="auto"/>
            </w:tcBorders>
            <w:noWrap/>
            <w:hideMark/>
          </w:tcPr>
          <w:p w14:paraId="5144DAD1"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10.1016/j.cegh.2025.102020","author":[{"dropping-particle":"","family":"Sun","given":"Qian","non-dropping-particle":"","parse-names":false,"suffix":""},{"dropping-particle":"","family":"Li","given":"Ming","non-dropping-particle":"","parse-names":false,"suffix":""}],"container-title":"Clinical Epidemiology and Global Health","id":"ITEM-1","issued":{"date-parts":[["2025"]]},"page":"102020","title":"Association between periodontitis and cognitive impairment in older adults: A cross-sectional study of the National Health and Nutrition Examination Survey","type":"article-journal","volume":"33"},"uris":["http://www.mendeley.com/documents/?uuid=d01be432-16db-4359-93b0-ac92fc70357c"]}],"mendeley":{"formattedCitation":"(Sun &amp; Li, 2025)","manualFormatting":"Sun &amp; Li (2025)","plainTextFormattedCitation":"(Sun &amp; Li, 2025)","previouslyFormattedCitation":"(Sun &amp; Li, 2025)"},"properties":{"noteIndex":0},"schema":"https://github.com/citation-style-language/schema/raw/master/csl-citation.json"}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Sun &amp; Li (2025)</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598B77D7"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To analyze the association between periodontitis and cognitive impairment among older adults in the United States.</w:t>
            </w:r>
          </w:p>
        </w:tc>
        <w:tc>
          <w:tcPr>
            <w:tcW w:w="2561" w:type="dxa"/>
            <w:tcBorders>
              <w:top w:val="nil"/>
              <w:left w:val="nil"/>
              <w:bottom w:val="single" w:sz="4" w:space="0" w:color="auto"/>
              <w:right w:val="single" w:sz="4" w:space="0" w:color="auto"/>
            </w:tcBorders>
            <w:noWrap/>
            <w:hideMark/>
          </w:tcPr>
          <w:p w14:paraId="56814CDE"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 cross-sectional study using NHANES 2011–2014. The sample consisted of 2,514 individuals aged ≥60 years. Periodontitis was categorized as no/mild and moderate/severe. Cognitive function was assessed using CERAD-WL, AFT, and DSST.</w:t>
            </w:r>
          </w:p>
        </w:tc>
        <w:tc>
          <w:tcPr>
            <w:tcW w:w="2921" w:type="dxa"/>
            <w:tcBorders>
              <w:top w:val="nil"/>
              <w:left w:val="nil"/>
              <w:bottom w:val="single" w:sz="4" w:space="0" w:color="auto"/>
              <w:right w:val="single" w:sz="4" w:space="0" w:color="auto"/>
            </w:tcBorders>
            <w:noWrap/>
            <w:hideMark/>
          </w:tcPr>
          <w:p w14:paraId="396ED1B7"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 total of 52.6% of the sample had moderate/severe periodontitis. Moderate/severe periodontitis was associated with cognitive impairment on the DSST. The fully adjusted model showed OR = 1.290; 95% CI = 1.021–1.630; p = 0.033. Differences in CERAD-WL and DSST scores across periodontal status were significant, with p = 0.046 and p = 0.010.</w:t>
            </w:r>
          </w:p>
        </w:tc>
        <w:tc>
          <w:tcPr>
            <w:tcW w:w="2135" w:type="dxa"/>
            <w:tcBorders>
              <w:top w:val="nil"/>
              <w:left w:val="nil"/>
              <w:bottom w:val="single" w:sz="4" w:space="0" w:color="auto"/>
              <w:right w:val="single" w:sz="4" w:space="0" w:color="auto"/>
            </w:tcBorders>
            <w:noWrap/>
            <w:hideMark/>
          </w:tcPr>
          <w:p w14:paraId="6B7036FD"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Periodontitis is significantly associated with cognitive impairment among older adults. Periodontal care should be considered in the management of older adult health to reduce cognitive decline.</w:t>
            </w:r>
          </w:p>
        </w:tc>
      </w:tr>
      <w:tr w:rsidR="003547C3" w:rsidRPr="003547C3" w14:paraId="1546F73F"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0678A6FA"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t>12</w:t>
            </w:r>
          </w:p>
        </w:tc>
        <w:tc>
          <w:tcPr>
            <w:tcW w:w="1216" w:type="dxa"/>
            <w:tcBorders>
              <w:top w:val="nil"/>
              <w:left w:val="nil"/>
              <w:bottom w:val="single" w:sz="4" w:space="0" w:color="auto"/>
              <w:right w:val="single" w:sz="4" w:space="0" w:color="auto"/>
            </w:tcBorders>
            <w:noWrap/>
            <w:hideMark/>
          </w:tcPr>
          <w:p w14:paraId="5DAA8602"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{"citationItems":[{"id":"ITEM-1","itemData":{"DOI":"10.17219/dmp/177412","author":[{"dropping-particle":"","family":"Aranda Romo","given":"Susana","non-dropping-particle":"","parse-names":false,"suffix":""},{"dropping-particle":"","family":"Garrocho-Rangel","given":"Arturo","non-dropping-particle":"","parse-names":false,"suffix":""},{"dropping-particle":"","family":"Mar'in Gonz'alez","given":"Adriana","non-dropping-particle":"","parse-names":false,"suffix":""},{"dropping-particle":"","family":"Cepeda-Bravo","given":"Antonio","non-dropping-particle":"","parse-names":false,"suffix":""},{"dropping-particle":"","family":"Jim'enez-Capdeville","given":"Mar'ia Elena","non-dropping-particle":"","parse-names":false,"suffix":""},{"dropping-particle":"","family":"Ortega Rodr'iguez","given":"Claudia","non-dropping-particle":"","parse-names":false,"suffix":""},{"dropping-particle":"","family":"Amaya Larios","given":"Irma Yolanda","non-dropping-particle":"","parse-names":false,"suffix":""},{"dropping-particle":"","family":"Pozos Guill'en","given":"Amaury","non-dropping-particle":"","parse-names":false,"suffix":""}],"container-title":"Dental and Medical Problems","id":"ITEM-1","issue":"4","issued":{"date-parts":[["2025"]]},"page":"591-600","title":"Cognitive status and periodontitis: Is there a correlation? A cross-sectional study","type":"article-journal","volume":"62"},"uris":["http://www.mendeley.com/documents/?uuid=090523c2-559d-4237-84e0-7cb365d57437"]}],"mendeley":{"formattedCitation":"(Aranda Romo et al., 2025)","manualFormatting":"Aranda Romo et al. (2025)","plainTextFormattedCitation":"(Aranda Romo et al., 2025)","previouslyFormattedCitation":"(Aranda Romo et al., 2025)"},"properties":{"noteIndex":0},"schema":"https://github.com/citation-style-language/schema/raw/master/csl-citation.json"}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Aranda Romo et al. (2025)</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71E3D59D"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 xml:space="preserve">To determine the correlation between gingival index, periodontitis staging, and mild cognitive impairment assessed using </w:t>
            </w:r>
            <w:r w:rsidRPr="003547C3">
              <w:rPr>
                <w:rFonts w:ascii="Times New Roman" w:hAnsi="Times New Roman" w:cs="Times New Roman"/>
                <w:noProof/>
                <w:kern w:val="0"/>
                <w:sz w:val="24"/>
              </w:rPr>
              <w:lastRenderedPageBreak/>
              <w:t>MoCA in adults aged ≥55 years.</w:t>
            </w:r>
          </w:p>
        </w:tc>
        <w:tc>
          <w:tcPr>
            <w:tcW w:w="2561" w:type="dxa"/>
            <w:tcBorders>
              <w:top w:val="nil"/>
              <w:left w:val="nil"/>
              <w:bottom w:val="single" w:sz="4" w:space="0" w:color="auto"/>
              <w:right w:val="single" w:sz="4" w:space="0" w:color="auto"/>
            </w:tcBorders>
            <w:noWrap/>
            <w:hideMark/>
          </w:tcPr>
          <w:p w14:paraId="4C86CE89"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A cross-sectional study involving 120 Mexican patients with or without periodontal disease. Periodontal examinations were conducted clinically and radiographically. MCI was assessed using </w:t>
            </w:r>
            <w:r w:rsidRPr="003547C3">
              <w:rPr>
                <w:rFonts w:ascii="Times New Roman" w:hAnsi="Times New Roman" w:cs="Times New Roman"/>
                <w:noProof/>
                <w:kern w:val="0"/>
                <w:sz w:val="24"/>
              </w:rPr>
              <w:lastRenderedPageBreak/>
              <w:t>the Montreal Cognitive Assessment.</w:t>
            </w:r>
          </w:p>
        </w:tc>
        <w:tc>
          <w:tcPr>
            <w:tcW w:w="2921" w:type="dxa"/>
            <w:tcBorders>
              <w:top w:val="nil"/>
              <w:left w:val="nil"/>
              <w:bottom w:val="single" w:sz="4" w:space="0" w:color="auto"/>
              <w:right w:val="single" w:sz="4" w:space="0" w:color="auto"/>
            </w:tcBorders>
            <w:noWrap/>
            <w:hideMark/>
          </w:tcPr>
          <w:p w14:paraId="6AAE4A30"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A total of 54% of subjects had MCI. Loss of clinical attachment level was associated with MCI, with OR = 1.68; 95% CI = 1.06–2.68; p = 0.027. Gingival index was also correlated with MCI, with p = 0.025. Other associated variables were sex, with OR = 2.97; </w:t>
            </w:r>
            <w:r w:rsidRPr="003547C3">
              <w:rPr>
                <w:rFonts w:ascii="Times New Roman" w:hAnsi="Times New Roman" w:cs="Times New Roman"/>
                <w:noProof/>
                <w:kern w:val="0"/>
                <w:sz w:val="24"/>
              </w:rPr>
              <w:lastRenderedPageBreak/>
              <w:t>p = 0.015, and education, with OR = 0.37; p = 0.021.</w:t>
            </w:r>
          </w:p>
        </w:tc>
        <w:tc>
          <w:tcPr>
            <w:tcW w:w="2135" w:type="dxa"/>
            <w:tcBorders>
              <w:top w:val="nil"/>
              <w:left w:val="nil"/>
              <w:bottom w:val="single" w:sz="4" w:space="0" w:color="auto"/>
              <w:right w:val="single" w:sz="4" w:space="0" w:color="auto"/>
            </w:tcBorders>
            <w:noWrap/>
            <w:hideMark/>
          </w:tcPr>
          <w:p w14:paraId="3B610D46"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Gingival and periodontal parameters, particularly clinical attachment loss, are associated with mild cognitive impairment in older adults. Periodontal examination may provide additional </w:t>
            </w:r>
            <w:r w:rsidRPr="003547C3">
              <w:rPr>
                <w:rFonts w:ascii="Times New Roman" w:hAnsi="Times New Roman" w:cs="Times New Roman"/>
                <w:noProof/>
                <w:kern w:val="0"/>
                <w:sz w:val="24"/>
              </w:rPr>
              <w:lastRenderedPageBreak/>
              <w:t>information for the early detection of cognitive impairment.</w:t>
            </w:r>
          </w:p>
        </w:tc>
      </w:tr>
    </w:tbl>
    <w:p w14:paraId="0B98302F" w14:textId="77777777" w:rsidR="002B349D" w:rsidRDefault="002B349D" w:rsidP="00CE7E55">
      <w:pPr>
        <w:jc w:val="both"/>
        <w:rPr>
          <w:rFonts w:ascii="Times New Roman" w:hAnsi="Times New Roman" w:cs="Times New Roman"/>
          <w:noProof/>
          <w:kern w:val="0"/>
          <w:sz w:val="24"/>
        </w:rPr>
      </w:pPr>
    </w:p>
    <w:p w14:paraId="57057033" w14:textId="77777777" w:rsidR="002B349D" w:rsidRPr="002B349D" w:rsidRDefault="002B349D" w:rsidP="002B349D">
      <w:pPr>
        <w:jc w:val="both"/>
        <w:rPr>
          <w:rFonts w:ascii="Times New Roman" w:hAnsi="Times New Roman" w:cs="Times New Roman"/>
          <w:b/>
          <w:bCs/>
          <w:sz w:val="24"/>
          <w:szCs w:val="24"/>
        </w:rPr>
      </w:pPr>
      <w:r w:rsidRPr="002B349D">
        <w:rPr>
          <w:rFonts w:ascii="Times New Roman" w:hAnsi="Times New Roman" w:cs="Times New Roman"/>
          <w:b/>
          <w:bCs/>
          <w:sz w:val="24"/>
          <w:szCs w:val="24"/>
        </w:rPr>
        <w:t>Figure legends</w:t>
      </w:r>
    </w:p>
    <w:p w14:paraId="06AE2993" w14:textId="77777777" w:rsidR="002B349D" w:rsidRPr="002B349D" w:rsidRDefault="002B349D" w:rsidP="002B349D">
      <w:pPr>
        <w:jc w:val="both"/>
        <w:rPr>
          <w:rFonts w:ascii="Times New Roman" w:hAnsi="Times New Roman" w:cs="Times New Roman"/>
          <w:sz w:val="24"/>
          <w:szCs w:val="24"/>
        </w:rPr>
      </w:pPr>
      <w:r w:rsidRPr="002B349D">
        <w:rPr>
          <w:rFonts w:ascii="Times New Roman" w:hAnsi="Times New Roman" w:cs="Times New Roman"/>
          <w:b/>
          <w:bCs/>
          <w:sz w:val="24"/>
          <w:szCs w:val="24"/>
        </w:rPr>
        <w:t>Figure 1.</w:t>
      </w:r>
      <w:r w:rsidRPr="002B349D">
        <w:rPr>
          <w:rFonts w:ascii="Times New Roman" w:hAnsi="Times New Roman" w:cs="Times New Roman"/>
          <w:sz w:val="24"/>
          <w:szCs w:val="24"/>
        </w:rPr>
        <w:t xml:space="preserve"> PRISMA flow diagram of study selection.</w:t>
      </w:r>
    </w:p>
    <w:p w14:paraId="627DA618" w14:textId="77777777" w:rsidR="002B349D" w:rsidRPr="002B349D" w:rsidRDefault="002B349D" w:rsidP="002B349D">
      <w:pPr>
        <w:jc w:val="both"/>
        <w:rPr>
          <w:rFonts w:ascii="Times New Roman" w:hAnsi="Times New Roman" w:cs="Times New Roman"/>
          <w:sz w:val="24"/>
          <w:szCs w:val="24"/>
        </w:rPr>
      </w:pPr>
      <w:r w:rsidRPr="002B349D">
        <w:rPr>
          <w:rFonts w:ascii="Times New Roman" w:hAnsi="Times New Roman" w:cs="Times New Roman"/>
          <w:sz w:val="24"/>
          <w:szCs w:val="24"/>
        </w:rPr>
        <w:t>The diagram shows the identification, screening, eligibility assessment, and inclusion process of articles in this systematic review and meta-analysis.</w:t>
      </w:r>
    </w:p>
    <w:p w14:paraId="0959E1AE" w14:textId="1AADC3EE" w:rsidR="002B349D" w:rsidRDefault="002B349D" w:rsidP="002B349D">
      <w:pPr>
        <w:jc w:val="both"/>
        <w:rPr>
          <w:rFonts w:ascii="Times New Roman" w:hAnsi="Times New Roman" w:cs="Times New Roman"/>
          <w:sz w:val="24"/>
          <w:szCs w:val="24"/>
        </w:rPr>
      </w:pPr>
      <w:r w:rsidRPr="007F0F25">
        <w:rPr>
          <w:rFonts w:ascii="Times New Roman" w:hAnsi="Times New Roman" w:cs="Times New Roman"/>
          <w:noProof/>
          <w:sz w:val="24"/>
          <w:szCs w:val="24"/>
        </w:rPr>
        <w:drawing>
          <wp:inline distT="0" distB="0" distL="0" distR="0" wp14:anchorId="17425203" wp14:editId="73A28856">
            <wp:extent cx="5731510" cy="4599668"/>
            <wp:effectExtent l="0" t="0" r="2540" b="0"/>
            <wp:docPr id="134155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599668"/>
                    </a:xfrm>
                    <a:prstGeom prst="rect">
                      <a:avLst/>
                    </a:prstGeom>
                    <a:noFill/>
                  </pic:spPr>
                </pic:pic>
              </a:graphicData>
            </a:graphic>
          </wp:inline>
        </w:drawing>
      </w:r>
    </w:p>
    <w:p w14:paraId="08DDCCF6" w14:textId="77777777" w:rsidR="002B349D" w:rsidRPr="002B349D" w:rsidRDefault="002B349D" w:rsidP="002B349D">
      <w:pPr>
        <w:jc w:val="both"/>
        <w:rPr>
          <w:rFonts w:ascii="Times New Roman" w:hAnsi="Times New Roman" w:cs="Times New Roman"/>
          <w:sz w:val="24"/>
          <w:szCs w:val="24"/>
        </w:rPr>
      </w:pPr>
    </w:p>
    <w:p w14:paraId="58338675" w14:textId="77777777" w:rsidR="002B349D" w:rsidRPr="002B349D" w:rsidRDefault="002B349D" w:rsidP="002B349D">
      <w:pPr>
        <w:jc w:val="both"/>
        <w:rPr>
          <w:rFonts w:ascii="Times New Roman" w:hAnsi="Times New Roman" w:cs="Times New Roman"/>
          <w:sz w:val="24"/>
          <w:szCs w:val="24"/>
        </w:rPr>
      </w:pPr>
      <w:r w:rsidRPr="002B349D">
        <w:rPr>
          <w:rFonts w:ascii="Times New Roman" w:hAnsi="Times New Roman" w:cs="Times New Roman"/>
          <w:b/>
          <w:bCs/>
          <w:sz w:val="24"/>
          <w:szCs w:val="24"/>
        </w:rPr>
        <w:t>Figure 2.</w:t>
      </w:r>
      <w:r w:rsidRPr="002B349D">
        <w:rPr>
          <w:rFonts w:ascii="Times New Roman" w:hAnsi="Times New Roman" w:cs="Times New Roman"/>
          <w:sz w:val="24"/>
          <w:szCs w:val="24"/>
        </w:rPr>
        <w:t xml:space="preserve"> Funnel plot of the relationship between periodontitis, cognitive impairment, and neurodegenerative disease.</w:t>
      </w:r>
    </w:p>
    <w:p w14:paraId="4BBA23D3" w14:textId="77777777" w:rsidR="002B349D" w:rsidRPr="002B349D" w:rsidRDefault="002B349D" w:rsidP="002B349D">
      <w:pPr>
        <w:jc w:val="both"/>
        <w:rPr>
          <w:rFonts w:ascii="Times New Roman" w:hAnsi="Times New Roman" w:cs="Times New Roman"/>
          <w:sz w:val="24"/>
          <w:szCs w:val="24"/>
        </w:rPr>
      </w:pPr>
      <w:r w:rsidRPr="002B349D">
        <w:rPr>
          <w:rFonts w:ascii="Times New Roman" w:hAnsi="Times New Roman" w:cs="Times New Roman"/>
          <w:sz w:val="24"/>
          <w:szCs w:val="24"/>
        </w:rPr>
        <w:t>The funnel plot presents the distribution of included studies based on residual values and standard errors to visually assess possible publication bias and variation across studies.</w:t>
      </w:r>
    </w:p>
    <w:p w14:paraId="3EFD3004" w14:textId="088B574B" w:rsidR="002B349D" w:rsidRPr="002B349D" w:rsidRDefault="002B349D" w:rsidP="002B349D">
      <w:pPr>
        <w:jc w:val="both"/>
        <w:rPr>
          <w:rFonts w:ascii="Times New Roman" w:hAnsi="Times New Roman" w:cs="Times New Roman"/>
          <w:sz w:val="24"/>
          <w:szCs w:val="24"/>
        </w:rPr>
      </w:pPr>
      <w:r>
        <w:rPr>
          <w:noProof/>
        </w:rPr>
        <w:lastRenderedPageBreak/>
        <w:drawing>
          <wp:inline distT="0" distB="0" distL="0" distR="0" wp14:anchorId="64A09A55" wp14:editId="089763A9">
            <wp:extent cx="5731510" cy="3526790"/>
            <wp:effectExtent l="0" t="0" r="2540" b="0"/>
            <wp:docPr id="172907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26790"/>
                    </a:xfrm>
                    <a:prstGeom prst="rect">
                      <a:avLst/>
                    </a:prstGeom>
                    <a:noFill/>
                    <a:ln>
                      <a:noFill/>
                    </a:ln>
                  </pic:spPr>
                </pic:pic>
              </a:graphicData>
            </a:graphic>
          </wp:inline>
        </w:drawing>
      </w:r>
    </w:p>
    <w:p w14:paraId="7C54CB80" w14:textId="77777777" w:rsidR="002B349D" w:rsidRDefault="002B349D" w:rsidP="002B349D">
      <w:pPr>
        <w:jc w:val="both"/>
        <w:rPr>
          <w:rFonts w:ascii="Times New Roman" w:hAnsi="Times New Roman" w:cs="Times New Roman"/>
          <w:b/>
          <w:bCs/>
          <w:sz w:val="24"/>
          <w:szCs w:val="24"/>
        </w:rPr>
      </w:pPr>
    </w:p>
    <w:p w14:paraId="1227E58B" w14:textId="32D6FA80" w:rsidR="002B349D" w:rsidRPr="002B349D" w:rsidRDefault="002B349D" w:rsidP="002B349D">
      <w:pPr>
        <w:jc w:val="both"/>
        <w:rPr>
          <w:rFonts w:ascii="Times New Roman" w:hAnsi="Times New Roman" w:cs="Times New Roman"/>
          <w:sz w:val="24"/>
          <w:szCs w:val="24"/>
        </w:rPr>
      </w:pPr>
      <w:r w:rsidRPr="002B349D">
        <w:rPr>
          <w:rFonts w:ascii="Times New Roman" w:hAnsi="Times New Roman" w:cs="Times New Roman"/>
          <w:b/>
          <w:bCs/>
          <w:sz w:val="24"/>
          <w:szCs w:val="24"/>
        </w:rPr>
        <w:t>Figure 3.</w:t>
      </w:r>
      <w:r w:rsidRPr="002B349D">
        <w:rPr>
          <w:rFonts w:ascii="Times New Roman" w:hAnsi="Times New Roman" w:cs="Times New Roman"/>
          <w:sz w:val="24"/>
          <w:szCs w:val="24"/>
        </w:rPr>
        <w:t xml:space="preserve"> Forest plot of the association between periodontitis, cognitive impairment, and neurodegenerative disease.</w:t>
      </w:r>
    </w:p>
    <w:p w14:paraId="27F0AC0E" w14:textId="0229CA7C" w:rsidR="002B349D" w:rsidRDefault="002B349D" w:rsidP="00CE7E55">
      <w:pPr>
        <w:jc w:val="both"/>
        <w:rPr>
          <w:rFonts w:ascii="Times New Roman" w:hAnsi="Times New Roman" w:cs="Times New Roman"/>
          <w:sz w:val="24"/>
          <w:szCs w:val="24"/>
        </w:rPr>
      </w:pPr>
      <w:r w:rsidRPr="002B349D">
        <w:rPr>
          <w:rFonts w:ascii="Times New Roman" w:hAnsi="Times New Roman" w:cs="Times New Roman"/>
          <w:sz w:val="24"/>
          <w:szCs w:val="24"/>
        </w:rPr>
        <w:t>The forest plot presents the effect estimate, confidence interval, pooled effect, and heterogeneity of the included studies.</w:t>
      </w:r>
    </w:p>
    <w:p w14:paraId="69194FD4" w14:textId="40F79383" w:rsidR="002B349D" w:rsidRPr="002B349D" w:rsidRDefault="002B349D" w:rsidP="00CE7E55">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63572C" wp14:editId="3B7CE204">
            <wp:extent cx="5730875" cy="2237740"/>
            <wp:effectExtent l="0" t="0" r="3175" b="0"/>
            <wp:docPr id="201064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875" cy="2237740"/>
                    </a:xfrm>
                    <a:prstGeom prst="rect">
                      <a:avLst/>
                    </a:prstGeom>
                    <a:noFill/>
                  </pic:spPr>
                </pic:pic>
              </a:graphicData>
            </a:graphic>
          </wp:inline>
        </w:drawing>
      </w:r>
    </w:p>
    <w:sectPr w:rsidR="002B349D" w:rsidRPr="002B349D" w:rsidSect="007F0F2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A28A7"/>
    <w:multiLevelType w:val="hybridMultilevel"/>
    <w:tmpl w:val="AB184E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0827FAE"/>
    <w:multiLevelType w:val="hybridMultilevel"/>
    <w:tmpl w:val="F6666B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7331058">
    <w:abstractNumId w:val="1"/>
  </w:num>
  <w:num w:numId="2" w16cid:durableId="131656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E7D"/>
    <w:rsid w:val="000245B1"/>
    <w:rsid w:val="00052596"/>
    <w:rsid w:val="00057562"/>
    <w:rsid w:val="00063423"/>
    <w:rsid w:val="000946A8"/>
    <w:rsid w:val="00193728"/>
    <w:rsid w:val="001A17D1"/>
    <w:rsid w:val="001F407B"/>
    <w:rsid w:val="00273299"/>
    <w:rsid w:val="002B349D"/>
    <w:rsid w:val="002B5E7D"/>
    <w:rsid w:val="002D5DA7"/>
    <w:rsid w:val="002F26B6"/>
    <w:rsid w:val="003547C3"/>
    <w:rsid w:val="003C4BD7"/>
    <w:rsid w:val="00451960"/>
    <w:rsid w:val="004D5CA1"/>
    <w:rsid w:val="0054266D"/>
    <w:rsid w:val="0059166D"/>
    <w:rsid w:val="006779F7"/>
    <w:rsid w:val="006B4C84"/>
    <w:rsid w:val="006E41C2"/>
    <w:rsid w:val="00723618"/>
    <w:rsid w:val="00735F64"/>
    <w:rsid w:val="007466F6"/>
    <w:rsid w:val="00762B5B"/>
    <w:rsid w:val="00794B79"/>
    <w:rsid w:val="007F0F25"/>
    <w:rsid w:val="008218C8"/>
    <w:rsid w:val="00880D88"/>
    <w:rsid w:val="00891B12"/>
    <w:rsid w:val="00897916"/>
    <w:rsid w:val="0091331C"/>
    <w:rsid w:val="009431E0"/>
    <w:rsid w:val="00991CE5"/>
    <w:rsid w:val="009B2946"/>
    <w:rsid w:val="00A55FC1"/>
    <w:rsid w:val="00BD7278"/>
    <w:rsid w:val="00C04F0B"/>
    <w:rsid w:val="00C378B9"/>
    <w:rsid w:val="00CA0B19"/>
    <w:rsid w:val="00CB5F4D"/>
    <w:rsid w:val="00CE7E55"/>
    <w:rsid w:val="00CF6612"/>
    <w:rsid w:val="00E9604E"/>
    <w:rsid w:val="00F07A35"/>
    <w:rsid w:val="00F10BC9"/>
    <w:rsid w:val="00F65DE1"/>
    <w:rsid w:val="00FA2D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233FA"/>
  <w15:chartTrackingRefBased/>
  <w15:docId w15:val="{83BC9925-32FE-4354-86EA-082155644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66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5E7D"/>
    <w:rPr>
      <w:color w:val="0563C1" w:themeColor="hyperlink"/>
      <w:u w:val="single"/>
    </w:rPr>
  </w:style>
  <w:style w:type="character" w:styleId="UnresolvedMention">
    <w:name w:val="Unresolved Mention"/>
    <w:basedOn w:val="DefaultParagraphFont"/>
    <w:uiPriority w:val="99"/>
    <w:semiHidden/>
    <w:unhideWhenUsed/>
    <w:rsid w:val="002B5E7D"/>
    <w:rPr>
      <w:color w:val="605E5C"/>
      <w:shd w:val="clear" w:color="auto" w:fill="E1DFDD"/>
    </w:rPr>
  </w:style>
  <w:style w:type="paragraph" w:styleId="ListParagraph">
    <w:name w:val="List Paragraph"/>
    <w:basedOn w:val="Normal"/>
    <w:uiPriority w:val="34"/>
    <w:qFormat/>
    <w:rsid w:val="009431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15919">
      <w:bodyDiv w:val="1"/>
      <w:marLeft w:val="0"/>
      <w:marRight w:val="0"/>
      <w:marTop w:val="0"/>
      <w:marBottom w:val="0"/>
      <w:divBdr>
        <w:top w:val="none" w:sz="0" w:space="0" w:color="auto"/>
        <w:left w:val="none" w:sz="0" w:space="0" w:color="auto"/>
        <w:bottom w:val="none" w:sz="0" w:space="0" w:color="auto"/>
        <w:right w:val="none" w:sz="0" w:space="0" w:color="auto"/>
      </w:divBdr>
    </w:div>
    <w:div w:id="497890852">
      <w:bodyDiv w:val="1"/>
      <w:marLeft w:val="0"/>
      <w:marRight w:val="0"/>
      <w:marTop w:val="0"/>
      <w:marBottom w:val="0"/>
      <w:divBdr>
        <w:top w:val="none" w:sz="0" w:space="0" w:color="auto"/>
        <w:left w:val="none" w:sz="0" w:space="0" w:color="auto"/>
        <w:bottom w:val="none" w:sz="0" w:space="0" w:color="auto"/>
        <w:right w:val="none" w:sz="0" w:space="0" w:color="auto"/>
      </w:divBdr>
    </w:div>
    <w:div w:id="652953011">
      <w:bodyDiv w:val="1"/>
      <w:marLeft w:val="0"/>
      <w:marRight w:val="0"/>
      <w:marTop w:val="0"/>
      <w:marBottom w:val="0"/>
      <w:divBdr>
        <w:top w:val="none" w:sz="0" w:space="0" w:color="auto"/>
        <w:left w:val="none" w:sz="0" w:space="0" w:color="auto"/>
        <w:bottom w:val="none" w:sz="0" w:space="0" w:color="auto"/>
        <w:right w:val="none" w:sz="0" w:space="0" w:color="auto"/>
      </w:divBdr>
    </w:div>
    <w:div w:id="659115251">
      <w:bodyDiv w:val="1"/>
      <w:marLeft w:val="0"/>
      <w:marRight w:val="0"/>
      <w:marTop w:val="0"/>
      <w:marBottom w:val="0"/>
      <w:divBdr>
        <w:top w:val="none" w:sz="0" w:space="0" w:color="auto"/>
        <w:left w:val="none" w:sz="0" w:space="0" w:color="auto"/>
        <w:bottom w:val="none" w:sz="0" w:space="0" w:color="auto"/>
        <w:right w:val="none" w:sz="0" w:space="0" w:color="auto"/>
      </w:divBdr>
    </w:div>
    <w:div w:id="671104312">
      <w:bodyDiv w:val="1"/>
      <w:marLeft w:val="0"/>
      <w:marRight w:val="0"/>
      <w:marTop w:val="0"/>
      <w:marBottom w:val="0"/>
      <w:divBdr>
        <w:top w:val="none" w:sz="0" w:space="0" w:color="auto"/>
        <w:left w:val="none" w:sz="0" w:space="0" w:color="auto"/>
        <w:bottom w:val="none" w:sz="0" w:space="0" w:color="auto"/>
        <w:right w:val="none" w:sz="0" w:space="0" w:color="auto"/>
      </w:divBdr>
    </w:div>
    <w:div w:id="679893843">
      <w:bodyDiv w:val="1"/>
      <w:marLeft w:val="0"/>
      <w:marRight w:val="0"/>
      <w:marTop w:val="0"/>
      <w:marBottom w:val="0"/>
      <w:divBdr>
        <w:top w:val="none" w:sz="0" w:space="0" w:color="auto"/>
        <w:left w:val="none" w:sz="0" w:space="0" w:color="auto"/>
        <w:bottom w:val="none" w:sz="0" w:space="0" w:color="auto"/>
        <w:right w:val="none" w:sz="0" w:space="0" w:color="auto"/>
      </w:divBdr>
    </w:div>
    <w:div w:id="856651563">
      <w:bodyDiv w:val="1"/>
      <w:marLeft w:val="0"/>
      <w:marRight w:val="0"/>
      <w:marTop w:val="0"/>
      <w:marBottom w:val="0"/>
      <w:divBdr>
        <w:top w:val="none" w:sz="0" w:space="0" w:color="auto"/>
        <w:left w:val="none" w:sz="0" w:space="0" w:color="auto"/>
        <w:bottom w:val="none" w:sz="0" w:space="0" w:color="auto"/>
        <w:right w:val="none" w:sz="0" w:space="0" w:color="auto"/>
      </w:divBdr>
    </w:div>
    <w:div w:id="985621513">
      <w:bodyDiv w:val="1"/>
      <w:marLeft w:val="0"/>
      <w:marRight w:val="0"/>
      <w:marTop w:val="0"/>
      <w:marBottom w:val="0"/>
      <w:divBdr>
        <w:top w:val="none" w:sz="0" w:space="0" w:color="auto"/>
        <w:left w:val="none" w:sz="0" w:space="0" w:color="auto"/>
        <w:bottom w:val="none" w:sz="0" w:space="0" w:color="auto"/>
        <w:right w:val="none" w:sz="0" w:space="0" w:color="auto"/>
      </w:divBdr>
    </w:div>
    <w:div w:id="1025861406">
      <w:bodyDiv w:val="1"/>
      <w:marLeft w:val="0"/>
      <w:marRight w:val="0"/>
      <w:marTop w:val="0"/>
      <w:marBottom w:val="0"/>
      <w:divBdr>
        <w:top w:val="none" w:sz="0" w:space="0" w:color="auto"/>
        <w:left w:val="none" w:sz="0" w:space="0" w:color="auto"/>
        <w:bottom w:val="none" w:sz="0" w:space="0" w:color="auto"/>
        <w:right w:val="none" w:sz="0" w:space="0" w:color="auto"/>
      </w:divBdr>
    </w:div>
    <w:div w:id="1107770311">
      <w:bodyDiv w:val="1"/>
      <w:marLeft w:val="0"/>
      <w:marRight w:val="0"/>
      <w:marTop w:val="0"/>
      <w:marBottom w:val="0"/>
      <w:divBdr>
        <w:top w:val="none" w:sz="0" w:space="0" w:color="auto"/>
        <w:left w:val="none" w:sz="0" w:space="0" w:color="auto"/>
        <w:bottom w:val="none" w:sz="0" w:space="0" w:color="auto"/>
        <w:right w:val="none" w:sz="0" w:space="0" w:color="auto"/>
      </w:divBdr>
    </w:div>
    <w:div w:id="1110708655">
      <w:bodyDiv w:val="1"/>
      <w:marLeft w:val="0"/>
      <w:marRight w:val="0"/>
      <w:marTop w:val="0"/>
      <w:marBottom w:val="0"/>
      <w:divBdr>
        <w:top w:val="none" w:sz="0" w:space="0" w:color="auto"/>
        <w:left w:val="none" w:sz="0" w:space="0" w:color="auto"/>
        <w:bottom w:val="none" w:sz="0" w:space="0" w:color="auto"/>
        <w:right w:val="none" w:sz="0" w:space="0" w:color="auto"/>
      </w:divBdr>
      <w:divsChild>
        <w:div w:id="447238131">
          <w:marLeft w:val="0"/>
          <w:marRight w:val="0"/>
          <w:marTop w:val="0"/>
          <w:marBottom w:val="0"/>
          <w:divBdr>
            <w:top w:val="none" w:sz="0" w:space="0" w:color="auto"/>
            <w:left w:val="none" w:sz="0" w:space="0" w:color="auto"/>
            <w:bottom w:val="none" w:sz="0" w:space="0" w:color="auto"/>
            <w:right w:val="none" w:sz="0" w:space="0" w:color="auto"/>
          </w:divBdr>
          <w:divsChild>
            <w:div w:id="1290159717">
              <w:marLeft w:val="0"/>
              <w:marRight w:val="0"/>
              <w:marTop w:val="0"/>
              <w:marBottom w:val="0"/>
              <w:divBdr>
                <w:top w:val="none" w:sz="0" w:space="0" w:color="auto"/>
                <w:left w:val="none" w:sz="0" w:space="0" w:color="auto"/>
                <w:bottom w:val="none" w:sz="0" w:space="0" w:color="auto"/>
                <w:right w:val="none" w:sz="0" w:space="0" w:color="auto"/>
              </w:divBdr>
              <w:divsChild>
                <w:div w:id="409276305">
                  <w:marLeft w:val="0"/>
                  <w:marRight w:val="0"/>
                  <w:marTop w:val="0"/>
                  <w:marBottom w:val="0"/>
                  <w:divBdr>
                    <w:top w:val="none" w:sz="0" w:space="0" w:color="auto"/>
                    <w:left w:val="none" w:sz="0" w:space="0" w:color="auto"/>
                    <w:bottom w:val="none" w:sz="0" w:space="0" w:color="auto"/>
                    <w:right w:val="none" w:sz="0" w:space="0" w:color="auto"/>
                  </w:divBdr>
                  <w:divsChild>
                    <w:div w:id="12111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144451">
      <w:bodyDiv w:val="1"/>
      <w:marLeft w:val="0"/>
      <w:marRight w:val="0"/>
      <w:marTop w:val="0"/>
      <w:marBottom w:val="0"/>
      <w:divBdr>
        <w:top w:val="none" w:sz="0" w:space="0" w:color="auto"/>
        <w:left w:val="none" w:sz="0" w:space="0" w:color="auto"/>
        <w:bottom w:val="none" w:sz="0" w:space="0" w:color="auto"/>
        <w:right w:val="none" w:sz="0" w:space="0" w:color="auto"/>
      </w:divBdr>
    </w:div>
    <w:div w:id="1340230115">
      <w:bodyDiv w:val="1"/>
      <w:marLeft w:val="0"/>
      <w:marRight w:val="0"/>
      <w:marTop w:val="0"/>
      <w:marBottom w:val="0"/>
      <w:divBdr>
        <w:top w:val="none" w:sz="0" w:space="0" w:color="auto"/>
        <w:left w:val="none" w:sz="0" w:space="0" w:color="auto"/>
        <w:bottom w:val="none" w:sz="0" w:space="0" w:color="auto"/>
        <w:right w:val="none" w:sz="0" w:space="0" w:color="auto"/>
      </w:divBdr>
    </w:div>
    <w:div w:id="1349214484">
      <w:bodyDiv w:val="1"/>
      <w:marLeft w:val="0"/>
      <w:marRight w:val="0"/>
      <w:marTop w:val="0"/>
      <w:marBottom w:val="0"/>
      <w:divBdr>
        <w:top w:val="none" w:sz="0" w:space="0" w:color="auto"/>
        <w:left w:val="none" w:sz="0" w:space="0" w:color="auto"/>
        <w:bottom w:val="none" w:sz="0" w:space="0" w:color="auto"/>
        <w:right w:val="none" w:sz="0" w:space="0" w:color="auto"/>
      </w:divBdr>
    </w:div>
    <w:div w:id="1431581849">
      <w:bodyDiv w:val="1"/>
      <w:marLeft w:val="0"/>
      <w:marRight w:val="0"/>
      <w:marTop w:val="0"/>
      <w:marBottom w:val="0"/>
      <w:divBdr>
        <w:top w:val="none" w:sz="0" w:space="0" w:color="auto"/>
        <w:left w:val="none" w:sz="0" w:space="0" w:color="auto"/>
        <w:bottom w:val="none" w:sz="0" w:space="0" w:color="auto"/>
        <w:right w:val="none" w:sz="0" w:space="0" w:color="auto"/>
      </w:divBdr>
    </w:div>
    <w:div w:id="1442411356">
      <w:bodyDiv w:val="1"/>
      <w:marLeft w:val="0"/>
      <w:marRight w:val="0"/>
      <w:marTop w:val="0"/>
      <w:marBottom w:val="0"/>
      <w:divBdr>
        <w:top w:val="none" w:sz="0" w:space="0" w:color="auto"/>
        <w:left w:val="none" w:sz="0" w:space="0" w:color="auto"/>
        <w:bottom w:val="none" w:sz="0" w:space="0" w:color="auto"/>
        <w:right w:val="none" w:sz="0" w:space="0" w:color="auto"/>
      </w:divBdr>
    </w:div>
    <w:div w:id="1569614174">
      <w:bodyDiv w:val="1"/>
      <w:marLeft w:val="0"/>
      <w:marRight w:val="0"/>
      <w:marTop w:val="0"/>
      <w:marBottom w:val="0"/>
      <w:divBdr>
        <w:top w:val="none" w:sz="0" w:space="0" w:color="auto"/>
        <w:left w:val="none" w:sz="0" w:space="0" w:color="auto"/>
        <w:bottom w:val="none" w:sz="0" w:space="0" w:color="auto"/>
        <w:right w:val="none" w:sz="0" w:space="0" w:color="auto"/>
      </w:divBdr>
    </w:div>
    <w:div w:id="1628320227">
      <w:bodyDiv w:val="1"/>
      <w:marLeft w:val="0"/>
      <w:marRight w:val="0"/>
      <w:marTop w:val="0"/>
      <w:marBottom w:val="0"/>
      <w:divBdr>
        <w:top w:val="none" w:sz="0" w:space="0" w:color="auto"/>
        <w:left w:val="none" w:sz="0" w:space="0" w:color="auto"/>
        <w:bottom w:val="none" w:sz="0" w:space="0" w:color="auto"/>
        <w:right w:val="none" w:sz="0" w:space="0" w:color="auto"/>
      </w:divBdr>
    </w:div>
    <w:div w:id="1663116366">
      <w:bodyDiv w:val="1"/>
      <w:marLeft w:val="0"/>
      <w:marRight w:val="0"/>
      <w:marTop w:val="0"/>
      <w:marBottom w:val="0"/>
      <w:divBdr>
        <w:top w:val="none" w:sz="0" w:space="0" w:color="auto"/>
        <w:left w:val="none" w:sz="0" w:space="0" w:color="auto"/>
        <w:bottom w:val="none" w:sz="0" w:space="0" w:color="auto"/>
        <w:right w:val="none" w:sz="0" w:space="0" w:color="auto"/>
      </w:divBdr>
    </w:div>
    <w:div w:id="1842548727">
      <w:bodyDiv w:val="1"/>
      <w:marLeft w:val="0"/>
      <w:marRight w:val="0"/>
      <w:marTop w:val="0"/>
      <w:marBottom w:val="0"/>
      <w:divBdr>
        <w:top w:val="none" w:sz="0" w:space="0" w:color="auto"/>
        <w:left w:val="none" w:sz="0" w:space="0" w:color="auto"/>
        <w:bottom w:val="none" w:sz="0" w:space="0" w:color="auto"/>
        <w:right w:val="none" w:sz="0" w:space="0" w:color="auto"/>
      </w:divBdr>
    </w:div>
    <w:div w:id="1909534912">
      <w:bodyDiv w:val="1"/>
      <w:marLeft w:val="0"/>
      <w:marRight w:val="0"/>
      <w:marTop w:val="0"/>
      <w:marBottom w:val="0"/>
      <w:divBdr>
        <w:top w:val="none" w:sz="0" w:space="0" w:color="auto"/>
        <w:left w:val="none" w:sz="0" w:space="0" w:color="auto"/>
        <w:bottom w:val="none" w:sz="0" w:space="0" w:color="auto"/>
        <w:right w:val="none" w:sz="0" w:space="0" w:color="auto"/>
      </w:divBdr>
    </w:div>
    <w:div w:id="2048018463">
      <w:bodyDiv w:val="1"/>
      <w:marLeft w:val="0"/>
      <w:marRight w:val="0"/>
      <w:marTop w:val="0"/>
      <w:marBottom w:val="0"/>
      <w:divBdr>
        <w:top w:val="none" w:sz="0" w:space="0" w:color="auto"/>
        <w:left w:val="none" w:sz="0" w:space="0" w:color="auto"/>
        <w:bottom w:val="none" w:sz="0" w:space="0" w:color="auto"/>
        <w:right w:val="none" w:sz="0" w:space="0" w:color="auto"/>
      </w:divBdr>
    </w:div>
    <w:div w:id="2072265336">
      <w:bodyDiv w:val="1"/>
      <w:marLeft w:val="0"/>
      <w:marRight w:val="0"/>
      <w:marTop w:val="0"/>
      <w:marBottom w:val="0"/>
      <w:divBdr>
        <w:top w:val="none" w:sz="0" w:space="0" w:color="auto"/>
        <w:left w:val="none" w:sz="0" w:space="0" w:color="auto"/>
        <w:bottom w:val="none" w:sz="0" w:space="0" w:color="auto"/>
        <w:right w:val="none" w:sz="0" w:space="0" w:color="auto"/>
      </w:divBdr>
    </w:div>
    <w:div w:id="2104180399">
      <w:bodyDiv w:val="1"/>
      <w:marLeft w:val="0"/>
      <w:marRight w:val="0"/>
      <w:marTop w:val="0"/>
      <w:marBottom w:val="0"/>
      <w:divBdr>
        <w:top w:val="none" w:sz="0" w:space="0" w:color="auto"/>
        <w:left w:val="none" w:sz="0" w:space="0" w:color="auto"/>
        <w:bottom w:val="none" w:sz="0" w:space="0" w:color="auto"/>
        <w:right w:val="none" w:sz="0" w:space="0" w:color="auto"/>
      </w:divBdr>
      <w:divsChild>
        <w:div w:id="261956257">
          <w:marLeft w:val="0"/>
          <w:marRight w:val="0"/>
          <w:marTop w:val="0"/>
          <w:marBottom w:val="0"/>
          <w:divBdr>
            <w:top w:val="none" w:sz="0" w:space="0" w:color="auto"/>
            <w:left w:val="none" w:sz="0" w:space="0" w:color="auto"/>
            <w:bottom w:val="none" w:sz="0" w:space="0" w:color="auto"/>
            <w:right w:val="none" w:sz="0" w:space="0" w:color="auto"/>
          </w:divBdr>
          <w:divsChild>
            <w:div w:id="1864783988">
              <w:marLeft w:val="0"/>
              <w:marRight w:val="0"/>
              <w:marTop w:val="0"/>
              <w:marBottom w:val="0"/>
              <w:divBdr>
                <w:top w:val="none" w:sz="0" w:space="0" w:color="auto"/>
                <w:left w:val="none" w:sz="0" w:space="0" w:color="auto"/>
                <w:bottom w:val="none" w:sz="0" w:space="0" w:color="auto"/>
                <w:right w:val="none" w:sz="0" w:space="0" w:color="auto"/>
              </w:divBdr>
              <w:divsChild>
                <w:div w:id="608586066">
                  <w:marLeft w:val="0"/>
                  <w:marRight w:val="0"/>
                  <w:marTop w:val="0"/>
                  <w:marBottom w:val="0"/>
                  <w:divBdr>
                    <w:top w:val="none" w:sz="0" w:space="0" w:color="auto"/>
                    <w:left w:val="none" w:sz="0" w:space="0" w:color="auto"/>
                    <w:bottom w:val="none" w:sz="0" w:space="0" w:color="auto"/>
                    <w:right w:val="none" w:sz="0" w:space="0" w:color="auto"/>
                  </w:divBdr>
                  <w:divsChild>
                    <w:div w:id="205693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9414AFB-0CE0-4232-BF39-F3EDA3D90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18</Pages>
  <Words>10343</Words>
  <Characters>58961</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khairina putri</dc:creator>
  <cp:keywords/>
  <dc:description/>
  <cp:lastModifiedBy>PT ANOA MANDIRI SEJAHTERA</cp:lastModifiedBy>
  <cp:revision>8</cp:revision>
  <dcterms:created xsi:type="dcterms:W3CDTF">2026-05-28T08:21:00Z</dcterms:created>
  <dcterms:modified xsi:type="dcterms:W3CDTF">2026-06-05T08:30:00Z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http://www.zotero.org/styles/chicago-fullnote-bibliography</vt:lpwstr>
  </property>
  <property fmtid="{D5CDD505-2E9C-101B-9397-08002B2CF9AE}" pid="5" name="Mendeley Recent Style Name 1_1">
    <vt:lpwstr>Chicago Manual of Style 17th edition (full note)</vt:lpwstr>
  </property>
  <property fmtid="{D5CDD505-2E9C-101B-9397-08002B2CF9AE}" pid="6" name="Mendeley Recent Style Id 2_1">
    <vt:lpwstr>http://www.zotero.org/styles/chicago-notes-bibliography</vt:lpwstr>
  </property>
  <property fmtid="{D5CDD505-2E9C-101B-9397-08002B2CF9AE}" pid="7" name="Mendeley Recent Style Name 2_1">
    <vt:lpwstr>Chicago Manual of Style 18th edition (notes and bibliography)</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http://www.zotero.org/styles/oscola-journal-abbreviations</vt:lpwstr>
  </property>
  <property fmtid="{D5CDD505-2E9C-101B-9397-08002B2CF9AE}" pid="17" name="Mendeley Recent Style Name 7_1">
    <vt:lpwstr>OSCOLA 4th edition (journal abbreviations)</vt:lpwstr>
  </property>
  <property fmtid="{D5CDD505-2E9C-101B-9397-08002B2CF9AE}" pid="18" name="Mendeley Recent Style Id 8_1">
    <vt:lpwstr>http://www.zotero.org/styles/turabian-notes-bibliography</vt:lpwstr>
  </property>
  <property fmtid="{D5CDD505-2E9C-101B-9397-08002B2CF9AE}" pid="19" name="Mendeley Recent Style Name 8_1">
    <vt:lpwstr>Turabian 9th edition (notes and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Citation Style_1">
    <vt:lpwstr>http://www.zotero.org/styles/apa</vt:lpwstr>
  </property>
  <property fmtid="{D5CDD505-2E9C-101B-9397-08002B2CF9AE}" pid="23" name="Mendeley Document_1">
    <vt:lpwstr>True</vt:lpwstr>
  </property>
  <property fmtid="{D5CDD505-2E9C-101B-9397-08002B2CF9AE}" pid="24" name="Mendeley Unique User Id_1">
    <vt:lpwstr>3d8709cd-a97f-34f6-92d6-0e9aebb48ed3</vt:lpwstr>
  </property>
</Properties>
</file>