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8448" w14:textId="55C0A4DD" w:rsidR="00451960" w:rsidRPr="00D51E35" w:rsidRDefault="00EF1B4B" w:rsidP="00D51E35">
      <w:pPr>
        <w:jc w:val="center"/>
        <w:rPr>
          <w:rFonts w:ascii="Times New Roman" w:hAnsi="Times New Roman" w:cs="Times New Roman"/>
          <w:b/>
          <w:bCs/>
          <w:sz w:val="24"/>
          <w:szCs w:val="24"/>
        </w:rPr>
      </w:pPr>
      <w:r>
        <w:rPr>
          <w:rFonts w:ascii="Times New Roman" w:hAnsi="Times New Roman" w:cs="Times New Roman"/>
          <w:b/>
          <w:bCs/>
          <w:sz w:val="24"/>
          <w:szCs w:val="24"/>
        </w:rPr>
        <w:t>Oral supportive care interventions for radiotherapy-related xerostomia in head and neck cancer patients: a systematic review and meta-analysis</w:t>
      </w:r>
    </w:p>
    <w:p w14:paraId="719EA04D" w14:textId="77777777" w:rsidR="00F450BF" w:rsidRDefault="00F450BF">
      <w:pPr>
        <w:rPr>
          <w:rFonts w:ascii="Times New Roman" w:hAnsi="Times New Roman" w:cs="Times New Roman"/>
          <w:sz w:val="24"/>
          <w:szCs w:val="24"/>
        </w:rPr>
      </w:pPr>
    </w:p>
    <w:p w14:paraId="4DE2C670" w14:textId="16B83B77" w:rsidR="00CE1D51" w:rsidRPr="000A57D1" w:rsidRDefault="00CE1D51" w:rsidP="00EF1B4B">
      <w:pPr>
        <w:spacing w:after="0"/>
        <w:jc w:val="center"/>
        <w:rPr>
          <w:rFonts w:ascii="Times New Roman" w:hAnsi="Times New Roman" w:cs="Times New Roman"/>
          <w:b/>
          <w:bCs/>
          <w:sz w:val="24"/>
          <w:szCs w:val="24"/>
        </w:rPr>
      </w:pPr>
      <w:r w:rsidRPr="000A57D1">
        <w:rPr>
          <w:rFonts w:ascii="Times New Roman" w:hAnsi="Times New Roman" w:cs="Times New Roman"/>
          <w:b/>
          <w:bCs/>
          <w:sz w:val="24"/>
          <w:szCs w:val="24"/>
        </w:rPr>
        <w:t>ABSTRA</w:t>
      </w:r>
      <w:r w:rsidR="00FE18E8">
        <w:rPr>
          <w:rFonts w:ascii="Times New Roman" w:hAnsi="Times New Roman" w:cs="Times New Roman"/>
          <w:b/>
          <w:bCs/>
          <w:sz w:val="24"/>
          <w:szCs w:val="24"/>
        </w:rPr>
        <w:t>CT</w:t>
      </w:r>
    </w:p>
    <w:p w14:paraId="4F4F633A" w14:textId="07E93E43"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Background:</w:t>
      </w:r>
      <w:r w:rsidRPr="00EF1B4B">
        <w:rPr>
          <w:rFonts w:ascii="Times New Roman" w:hAnsi="Times New Roman" w:cs="Times New Roman"/>
          <w:sz w:val="24"/>
          <w:szCs w:val="24"/>
        </w:rPr>
        <w:t xml:space="preserve"> Radiotherapy-related xerostomia is a common oral complication in patients with head and neck cancer. This condition may impair salivary function, oral comfort, swallowing, nutritional status, and quality of life. Various preventive and therapeutic interventions have been proposed, but their effectiveness remains variable.</w:t>
      </w:r>
    </w:p>
    <w:p w14:paraId="62945D32" w14:textId="1A065726"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Methods:</w:t>
      </w:r>
      <w:r w:rsidRPr="00EF1B4B">
        <w:rPr>
          <w:rFonts w:ascii="Times New Roman" w:hAnsi="Times New Roman" w:cs="Times New Roman"/>
          <w:sz w:val="24"/>
          <w:szCs w:val="24"/>
        </w:rPr>
        <w:t xml:space="preserve"> This systematic review and meta-analysis evaluated preventive and therapeutic interventions for radiotherapy-related xerostomia in head and neck cancer patients. Articles were searched in PubMed/MEDLINE, Scopus, and Web of Science. Eligible studies were primary clinical studies published from 2017 onward, involving head and neck cancer patients receiving or having received radiotherapy, and reporting xerostomia-related outcomes. Data were synthesized descriptively and quantitatively. Effect estimates, confidence intervals, p-values, and heterogeneity were assessed.</w:t>
      </w:r>
    </w:p>
    <w:p w14:paraId="49DD6711" w14:textId="004A193C" w:rsidR="00EF1B4B" w:rsidRPr="00EF1B4B"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Results:</w:t>
      </w:r>
      <w:r w:rsidRPr="00EF1B4B">
        <w:rPr>
          <w:rFonts w:ascii="Times New Roman" w:hAnsi="Times New Roman" w:cs="Times New Roman"/>
          <w:sz w:val="24"/>
          <w:szCs w:val="24"/>
        </w:rPr>
        <w:t xml:space="preserve"> Twelve studies met the inclusion criteria. The interventions included acupuncture, </w:t>
      </w:r>
      <w:proofErr w:type="spellStart"/>
      <w:r w:rsidRPr="00EF1B4B">
        <w:rPr>
          <w:rFonts w:ascii="Times New Roman" w:hAnsi="Times New Roman" w:cs="Times New Roman"/>
          <w:sz w:val="24"/>
          <w:szCs w:val="24"/>
        </w:rPr>
        <w:t>photobiomodulation</w:t>
      </w:r>
      <w:proofErr w:type="spellEnd"/>
      <w:r w:rsidRPr="00EF1B4B">
        <w:rPr>
          <w:rFonts w:ascii="Times New Roman" w:hAnsi="Times New Roman" w:cs="Times New Roman"/>
          <w:sz w:val="24"/>
          <w:szCs w:val="24"/>
        </w:rPr>
        <w:t>, saliva substitutes, oral sprays, mouthwashes, transcutaneous electrical nerve stimulation, salivary electrostimulation, and thyme honey. Most interventions showed a positive direction of effect in reducing xerostomia symptoms or improving salivary function. The pooled effect was 1.26, with a confidence interval of 0.78–1.74 and p &lt; 0.001. Moderate heterogeneity was observed, with an I² value of 53.51%.</w:t>
      </w:r>
    </w:p>
    <w:p w14:paraId="7B519E1B" w14:textId="35B6D0C3" w:rsidR="00CE1D51" w:rsidRPr="00CE1D51" w:rsidRDefault="00EF1B4B" w:rsidP="00EF1B4B">
      <w:pPr>
        <w:spacing w:after="0"/>
        <w:jc w:val="both"/>
        <w:rPr>
          <w:rFonts w:ascii="Times New Roman" w:hAnsi="Times New Roman" w:cs="Times New Roman"/>
          <w:sz w:val="24"/>
          <w:szCs w:val="24"/>
        </w:rPr>
      </w:pPr>
      <w:r w:rsidRPr="00EF1B4B">
        <w:rPr>
          <w:rFonts w:ascii="Times New Roman" w:hAnsi="Times New Roman" w:cs="Times New Roman"/>
          <w:b/>
          <w:bCs/>
          <w:sz w:val="24"/>
          <w:szCs w:val="24"/>
        </w:rPr>
        <w:t>Conclusion:</w:t>
      </w:r>
      <w:r w:rsidRPr="00EF1B4B">
        <w:rPr>
          <w:rFonts w:ascii="Times New Roman" w:hAnsi="Times New Roman" w:cs="Times New Roman"/>
          <w:sz w:val="24"/>
          <w:szCs w:val="24"/>
        </w:rPr>
        <w:t xml:space="preserve"> Oral supportive care interventions may help reduce radiotherapy-related xerostomia and improve salivary-related outcomes in head and neck cancer patients. Acupuncture, saliva substitutes, oral moisturizers, and mouthwashes showed relatively consistent benefits, whereas </w:t>
      </w:r>
      <w:proofErr w:type="spellStart"/>
      <w:r w:rsidRPr="00EF1B4B">
        <w:rPr>
          <w:rFonts w:ascii="Times New Roman" w:hAnsi="Times New Roman" w:cs="Times New Roman"/>
          <w:sz w:val="24"/>
          <w:szCs w:val="24"/>
        </w:rPr>
        <w:t>photobiomodulation</w:t>
      </w:r>
      <w:proofErr w:type="spellEnd"/>
      <w:r w:rsidRPr="00EF1B4B">
        <w:rPr>
          <w:rFonts w:ascii="Times New Roman" w:hAnsi="Times New Roman" w:cs="Times New Roman"/>
          <w:sz w:val="24"/>
          <w:szCs w:val="24"/>
        </w:rPr>
        <w:t xml:space="preserve"> and electrical stimulation showed more variable findings.</w:t>
      </w:r>
    </w:p>
    <w:p w14:paraId="052B5FE2" w14:textId="6C410852" w:rsidR="00CE1D51" w:rsidRPr="00CE1D51" w:rsidRDefault="00FE18E8" w:rsidP="00F72B6D">
      <w:pPr>
        <w:jc w:val="both"/>
        <w:rPr>
          <w:rFonts w:ascii="Times New Roman" w:hAnsi="Times New Roman" w:cs="Times New Roman"/>
          <w:sz w:val="24"/>
          <w:szCs w:val="24"/>
        </w:rPr>
      </w:pPr>
      <w:r>
        <w:rPr>
          <w:rFonts w:ascii="Times New Roman" w:hAnsi="Times New Roman" w:cs="Times New Roman"/>
          <w:b/>
          <w:bCs/>
          <w:sz w:val="24"/>
          <w:szCs w:val="24"/>
        </w:rPr>
        <w:t>Keywords</w:t>
      </w:r>
      <w:r w:rsidR="00CE1D51" w:rsidRPr="00CE1D51">
        <w:rPr>
          <w:rFonts w:ascii="Times New Roman" w:hAnsi="Times New Roman" w:cs="Times New Roman"/>
          <w:b/>
          <w:bCs/>
          <w:sz w:val="24"/>
          <w:szCs w:val="24"/>
        </w:rPr>
        <w:t>:</w:t>
      </w:r>
      <w:r w:rsidR="00CE1D51" w:rsidRPr="00CE1D51">
        <w:rPr>
          <w:rFonts w:ascii="Times New Roman" w:hAnsi="Times New Roman" w:cs="Times New Roman"/>
          <w:sz w:val="24"/>
          <w:szCs w:val="24"/>
        </w:rPr>
        <w:t xml:space="preserve"> </w:t>
      </w:r>
      <w:r w:rsidR="00EF1B4B">
        <w:rPr>
          <w:rFonts w:ascii="Times New Roman" w:hAnsi="Times New Roman" w:cs="Times New Roman"/>
          <w:sz w:val="24"/>
          <w:szCs w:val="24"/>
        </w:rPr>
        <w:t>head and neck neoplasm</w:t>
      </w:r>
      <w:r w:rsidR="005B77CB">
        <w:rPr>
          <w:rFonts w:ascii="Times New Roman" w:hAnsi="Times New Roman" w:cs="Times New Roman"/>
          <w:sz w:val="24"/>
          <w:szCs w:val="24"/>
        </w:rPr>
        <w:t>s; meta-analysis; radiotherapy; saliva substitu</w:t>
      </w:r>
      <w:r w:rsidR="00CB09EC">
        <w:rPr>
          <w:rFonts w:ascii="Times New Roman" w:hAnsi="Times New Roman" w:cs="Times New Roman"/>
          <w:sz w:val="24"/>
          <w:szCs w:val="24"/>
        </w:rPr>
        <w:t>t</w:t>
      </w:r>
      <w:r w:rsidR="005B77CB">
        <w:rPr>
          <w:rFonts w:ascii="Times New Roman" w:hAnsi="Times New Roman" w:cs="Times New Roman"/>
          <w:sz w:val="24"/>
          <w:szCs w:val="24"/>
        </w:rPr>
        <w:t xml:space="preserve">es; salivary gland hypofunction; systematic review; </w:t>
      </w:r>
      <w:r w:rsidR="00F72B6D" w:rsidRPr="00F72B6D">
        <w:rPr>
          <w:rFonts w:ascii="Times New Roman" w:hAnsi="Times New Roman" w:cs="Times New Roman"/>
          <w:sz w:val="24"/>
          <w:szCs w:val="24"/>
        </w:rPr>
        <w:t>xerostomia</w:t>
      </w:r>
    </w:p>
    <w:p w14:paraId="11EA0998" w14:textId="77777777" w:rsidR="00CE1D51" w:rsidRPr="00D51E35" w:rsidRDefault="00CE1D51">
      <w:pPr>
        <w:rPr>
          <w:rFonts w:ascii="Times New Roman" w:hAnsi="Times New Roman" w:cs="Times New Roman"/>
          <w:sz w:val="24"/>
          <w:szCs w:val="24"/>
        </w:rPr>
      </w:pPr>
    </w:p>
    <w:p w14:paraId="7468B3BB" w14:textId="32A80859" w:rsidR="00F450BF" w:rsidRPr="00F450BF" w:rsidRDefault="0015374D" w:rsidP="0015374D">
      <w:pPr>
        <w:rPr>
          <w:rFonts w:ascii="Times New Roman" w:hAnsi="Times New Roman" w:cs="Times New Roman"/>
          <w:b/>
          <w:bCs/>
          <w:sz w:val="24"/>
          <w:szCs w:val="24"/>
        </w:rPr>
      </w:pPr>
      <w:r w:rsidRPr="0015374D">
        <w:rPr>
          <w:rFonts w:ascii="Times New Roman" w:hAnsi="Times New Roman" w:cs="Times New Roman"/>
          <w:b/>
          <w:bCs/>
          <w:sz w:val="24"/>
          <w:szCs w:val="24"/>
        </w:rPr>
        <w:t>INTRODUCTION</w:t>
      </w:r>
    </w:p>
    <w:p w14:paraId="68141974"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Head and neck cancer remains a major clinical problem because its burden is still substantial in global oncology services. Sun et al. reported that head and neck cancer accounted for approximately 947,211 new cases and 482,428 deaths in 2022.¹ These figures show that cancers of the oral cavity, pharynx, larynx, nasopharynx, oropharynx, hypopharynx, and salivary glands continue to require serious clinical attention. Radiotherapy is one of the main treatment modalities for these cancers. It may be used as definitive therapy, adjuvant therapy after surgery, or in combination with chemotherapy for locally advanced disease. Although radiotherapy improves </w:t>
      </w:r>
      <w:proofErr w:type="spellStart"/>
      <w:r w:rsidRPr="005B77CB">
        <w:rPr>
          <w:rFonts w:ascii="Times New Roman" w:hAnsi="Times New Roman" w:cs="Times New Roman"/>
          <w:sz w:val="24"/>
          <w:szCs w:val="24"/>
          <w:lang w:val="en-ID"/>
        </w:rPr>
        <w:t>tumor</w:t>
      </w:r>
      <w:proofErr w:type="spellEnd"/>
      <w:r w:rsidRPr="005B77CB">
        <w:rPr>
          <w:rFonts w:ascii="Times New Roman" w:hAnsi="Times New Roman" w:cs="Times New Roman"/>
          <w:sz w:val="24"/>
          <w:szCs w:val="24"/>
          <w:lang w:val="en-ID"/>
        </w:rPr>
        <w:t xml:space="preserve"> control and survival, radiation exposure to healthy tissues around the </w:t>
      </w:r>
      <w:proofErr w:type="spellStart"/>
      <w:r w:rsidRPr="005B77CB">
        <w:rPr>
          <w:rFonts w:ascii="Times New Roman" w:hAnsi="Times New Roman" w:cs="Times New Roman"/>
          <w:sz w:val="24"/>
          <w:szCs w:val="24"/>
          <w:lang w:val="en-ID"/>
        </w:rPr>
        <w:t>tumor</w:t>
      </w:r>
      <w:proofErr w:type="spellEnd"/>
      <w:r w:rsidRPr="005B77CB">
        <w:rPr>
          <w:rFonts w:ascii="Times New Roman" w:hAnsi="Times New Roman" w:cs="Times New Roman"/>
          <w:sz w:val="24"/>
          <w:szCs w:val="24"/>
          <w:lang w:val="en-ID"/>
        </w:rPr>
        <w:t xml:space="preserve"> may result in persistent oral complications, including mucosal problems, dental complications, swallowing difficulties, and salivary gland dysfunction.</w:t>
      </w:r>
    </w:p>
    <w:p w14:paraId="66216881"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lastRenderedPageBreak/>
        <w:t>Radiotherapy-related xerostomia is one of the most frequently reported oral complications in patients with head and neck cancer. Hong et al. distinguished xerostomia as a subjective sensation of dry mouth and salivary gland hypofunction as an objective reduction in salivary secretion.² This distinction is clinically important because patients’ dry mouth complaints do not always correspond directly with measured salivary flow rates. Salivary gland damage may occur when the parotid, submandibular, or minor salivary glands are exposed to radiation. Mercadante et al. stated that radiation-induced salivary gland damage may occur in 63–93% of patients when the salivary glands are located within the radiation field.³ Garcia et al. also reported that more than 50% of patients undergoing radiotherapy with salivary gland exposure experience a perception of hyposalivation at the end of treatment.⁴</w:t>
      </w:r>
    </w:p>
    <w:p w14:paraId="2AB31640"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Xerostomia should not be viewed only as a mild or temporary discomfort after radiotherapy. This condition can affect oral lubrication, chewing, swallowing, speech, sleep, oral hygiene, and nutritional intake. Jaguar et al. reported that post-radiotherapy xerostomia increases the risk of dental caries, chewing difficulties, swallowing disorders, and sleep disturbances.⁵ </w:t>
      </w:r>
      <w:proofErr w:type="spellStart"/>
      <w:r w:rsidRPr="005B77CB">
        <w:rPr>
          <w:rFonts w:ascii="Times New Roman" w:hAnsi="Times New Roman" w:cs="Times New Roman"/>
          <w:sz w:val="24"/>
          <w:szCs w:val="24"/>
          <w:lang w:val="en-ID"/>
        </w:rPr>
        <w:t>Alnaeem</w:t>
      </w:r>
      <w:proofErr w:type="spellEnd"/>
      <w:r w:rsidRPr="005B77CB">
        <w:rPr>
          <w:rFonts w:ascii="Times New Roman" w:hAnsi="Times New Roman" w:cs="Times New Roman"/>
          <w:sz w:val="24"/>
          <w:szCs w:val="24"/>
          <w:lang w:val="en-ID"/>
        </w:rPr>
        <w:t xml:space="preserve"> et al. also described xerostomia as a complaint associated with dysphagia, decreased nutritional status, poor sleep quality, and reduced quality of life in patients with head and neck cancer.⁶ Nathan et al. identified xerostomia as one of the main causes of reduced quality of life among head and neck cancer survivors who received radiation.⁷ These findings indicate that xerostomia is an important oral health problem and should be considered a clinically meaningful outcome in the supportive care of head and neck cancer patients.</w:t>
      </w:r>
    </w:p>
    <w:p w14:paraId="3369529E"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Preventive and therapeutic strategies for radiotherapy-related xerostomia have continued to develop. Preventive approaches include tissue-sparing radiotherapy techniques, radioprotectants, </w:t>
      </w:r>
      <w:proofErr w:type="spellStart"/>
      <w:r w:rsidRPr="005B77CB">
        <w:rPr>
          <w:rFonts w:ascii="Times New Roman" w:hAnsi="Times New Roman" w:cs="Times New Roman"/>
          <w:sz w:val="24"/>
          <w:szCs w:val="24"/>
          <w:lang w:val="en-ID"/>
        </w:rPr>
        <w:t>sialogogues</w:t>
      </w:r>
      <w:proofErr w:type="spellEnd"/>
      <w:r w:rsidRPr="005B77CB">
        <w:rPr>
          <w:rFonts w:ascii="Times New Roman" w:hAnsi="Times New Roman" w:cs="Times New Roman"/>
          <w:sz w:val="24"/>
          <w:szCs w:val="24"/>
          <w:lang w:val="en-ID"/>
        </w:rPr>
        <w:t xml:space="preserve">, acupuncture, bethanechol,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therapy, and selected surgical approaches such as submandibular gland transfer. Mercadante et al., through the ISOO/MASCC/ASCO guideline, emphasized that tissue-sparing radiation modalities have strong evidence for preventing salivary gland hypofunction and xerostomia in patients with head and neck cancer.⁸ The guideline also stated that bethanechol and acupuncture may be offered during radiotherapy to reduce the risk of xerostomia, although the strength of evidence is not as high as that for tissue-sparing radiotherapy.⁸ </w:t>
      </w:r>
      <w:proofErr w:type="spellStart"/>
      <w:r w:rsidRPr="005B77CB">
        <w:rPr>
          <w:rFonts w:ascii="Times New Roman" w:hAnsi="Times New Roman" w:cs="Times New Roman"/>
          <w:sz w:val="24"/>
          <w:szCs w:val="24"/>
          <w:lang w:val="en-ID"/>
        </w:rPr>
        <w:t>Louzeiro</w:t>
      </w:r>
      <w:proofErr w:type="spellEnd"/>
      <w:r w:rsidRPr="005B77CB">
        <w:rPr>
          <w:rFonts w:ascii="Times New Roman" w:hAnsi="Times New Roman" w:cs="Times New Roman"/>
          <w:sz w:val="24"/>
          <w:szCs w:val="24"/>
          <w:lang w:val="en-ID"/>
        </w:rPr>
        <w:t xml:space="preserve"> et al. showed that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therapy has the potential to minimize radiation-induced hyposalivation, particularly by increasing unstimulated and stimulated salivary flow.⁹ Garcia et al. also demonstrated that acupuncture administered during radiotherapy resulted in lower xerostomia scores at 12 months compared with standard care.⁴</w:t>
      </w:r>
    </w:p>
    <w:p w14:paraId="6A93482B"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Therapeutic interventions for established xerostomia also show variable evidence. Mercadante et al. concluded that pilocarpine and cevimeline may be considered first-line therapies for head and neck cancer survivors with post-radiotherapy xerostomia and hyposalivation.³ Yang et al. found that pilocarpine administration during radiation could increase unstimulated salivary flow rates and reduce clinician-rated xerostomia severity, although patient-reported outcomes did not always improve within the first three months.¹⁰ Gu et al. showed that </w:t>
      </w:r>
      <w:proofErr w:type="spellStart"/>
      <w:r w:rsidRPr="005B77CB">
        <w:rPr>
          <w:rFonts w:ascii="Times New Roman" w:hAnsi="Times New Roman" w:cs="Times New Roman"/>
          <w:sz w:val="24"/>
          <w:szCs w:val="24"/>
          <w:lang w:val="en-ID"/>
        </w:rPr>
        <w:t>amifostine</w:t>
      </w:r>
      <w:proofErr w:type="spellEnd"/>
      <w:r w:rsidRPr="005B77CB">
        <w:rPr>
          <w:rFonts w:ascii="Times New Roman" w:hAnsi="Times New Roman" w:cs="Times New Roman"/>
          <w:sz w:val="24"/>
          <w:szCs w:val="24"/>
          <w:lang w:val="en-ID"/>
        </w:rPr>
        <w:t xml:space="preserve"> could reduce the risk of acute and late xerostomia in head and neck cancer patients undergoing radiotherapy, but its clinical use still needs to consider adverse effects and patient acceptance.¹¹ Nakamura et al. assessed bethanechol chloride as potentially beneficial for patients with xerostomia and hyposalivation,¹² while Hong et al. emphasized that symptom management can be approached by </w:t>
      </w:r>
      <w:r w:rsidRPr="005B77CB">
        <w:rPr>
          <w:rFonts w:ascii="Times New Roman" w:hAnsi="Times New Roman" w:cs="Times New Roman"/>
          <w:sz w:val="24"/>
          <w:szCs w:val="24"/>
          <w:lang w:val="en-ID"/>
        </w:rPr>
        <w:lastRenderedPageBreak/>
        <w:t>stimulating saliva production in glands that still retain secretory capacity or by providing artificial lubrication of oral surfaces.²</w:t>
      </w:r>
    </w:p>
    <w:p w14:paraId="2F44927B"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Non-pharmacological and oral supportive care interventions are also receiving increased attention. Ni et al. concluded that acupuncture may improve xerostomia symptoms, although its effect on objective measurements of salivary flow has not been consistent.¹³ Tsai et al. stated that acupuncture may serve as a complementary therapy to reduce dry mouth symptoms and improve quality of life, but treatment protocols still need to be standardized.¹⁴ Cohen et al., through a </w:t>
      </w:r>
      <w:proofErr w:type="spellStart"/>
      <w:r w:rsidRPr="005B77CB">
        <w:rPr>
          <w:rFonts w:ascii="Times New Roman" w:hAnsi="Times New Roman" w:cs="Times New Roman"/>
          <w:sz w:val="24"/>
          <w:szCs w:val="24"/>
          <w:lang w:val="en-ID"/>
        </w:rPr>
        <w:t>multicenter</w:t>
      </w:r>
      <w:proofErr w:type="spellEnd"/>
      <w:r w:rsidRPr="005B77CB">
        <w:rPr>
          <w:rFonts w:ascii="Times New Roman" w:hAnsi="Times New Roman" w:cs="Times New Roman"/>
          <w:sz w:val="24"/>
          <w:szCs w:val="24"/>
          <w:lang w:val="en-ID"/>
        </w:rPr>
        <w:t xml:space="preserve"> clinical trial, showed that true acupuncture was more effective than sham acupuncture and standard oral hygiene for managing chronic xerostomia one year or more after radiotherapy.¹⁵ These findings support the potential role of non-pharmacological interventions in oral supportive care, but they also show that evidence remains influenced by differences in intervention protocols, comparators, outcome measures, and follow-up periods.</w:t>
      </w:r>
    </w:p>
    <w:p w14:paraId="74B451FF" w14:textId="77777777" w:rsidR="005B77CB"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 xml:space="preserve">Despite the availability of several guidelines and reviews, important gaps remain. Mercadante et al. provided an evidence-based guideline, but it combined older and newer evidence up to June 2020 and did not focus specifically on quantitative comparison across preventive and therapeutic oral supportive care interventions.⁸ Mercadante et al. reviewed interventions for radiotherapy-induced xerostomia and hyposalivation, but more recent evidence on </w:t>
      </w:r>
      <w:proofErr w:type="spellStart"/>
      <w:r w:rsidRPr="005B77CB">
        <w:rPr>
          <w:rFonts w:ascii="Times New Roman" w:hAnsi="Times New Roman" w:cs="Times New Roman"/>
          <w:sz w:val="24"/>
          <w:szCs w:val="24"/>
          <w:lang w:val="en-ID"/>
        </w:rPr>
        <w:t>photobiomodulation</w:t>
      </w:r>
      <w:proofErr w:type="spellEnd"/>
      <w:r w:rsidRPr="005B77CB">
        <w:rPr>
          <w:rFonts w:ascii="Times New Roman" w:hAnsi="Times New Roman" w:cs="Times New Roman"/>
          <w:sz w:val="24"/>
          <w:szCs w:val="24"/>
          <w:lang w:val="en-ID"/>
        </w:rPr>
        <w:t xml:space="preserve">, </w:t>
      </w:r>
      <w:proofErr w:type="spellStart"/>
      <w:r w:rsidRPr="005B77CB">
        <w:rPr>
          <w:rFonts w:ascii="Times New Roman" w:hAnsi="Times New Roman" w:cs="Times New Roman"/>
          <w:sz w:val="24"/>
          <w:szCs w:val="24"/>
          <w:lang w:val="en-ID"/>
        </w:rPr>
        <w:t>multicenter</w:t>
      </w:r>
      <w:proofErr w:type="spellEnd"/>
      <w:r w:rsidRPr="005B77CB">
        <w:rPr>
          <w:rFonts w:ascii="Times New Roman" w:hAnsi="Times New Roman" w:cs="Times New Roman"/>
          <w:sz w:val="24"/>
          <w:szCs w:val="24"/>
          <w:lang w:val="en-ID"/>
        </w:rPr>
        <w:t xml:space="preserve"> acupuncture trials, saliva substitutes, oral moisturizers, and electrical stimulation was not fully covered.³ </w:t>
      </w:r>
      <w:proofErr w:type="spellStart"/>
      <w:r w:rsidRPr="005B77CB">
        <w:rPr>
          <w:rFonts w:ascii="Times New Roman" w:hAnsi="Times New Roman" w:cs="Times New Roman"/>
          <w:sz w:val="24"/>
          <w:szCs w:val="24"/>
          <w:lang w:val="en-ID"/>
        </w:rPr>
        <w:t>Louzeiro</w:t>
      </w:r>
      <w:proofErr w:type="spellEnd"/>
      <w:r w:rsidRPr="005B77CB">
        <w:rPr>
          <w:rFonts w:ascii="Times New Roman" w:hAnsi="Times New Roman" w:cs="Times New Roman"/>
          <w:sz w:val="24"/>
          <w:szCs w:val="24"/>
          <w:lang w:val="en-ID"/>
        </w:rPr>
        <w:t xml:space="preserve"> et al., Ni et al., Tsai et al., and </w:t>
      </w:r>
      <w:proofErr w:type="spellStart"/>
      <w:r w:rsidRPr="005B77CB">
        <w:rPr>
          <w:rFonts w:ascii="Times New Roman" w:hAnsi="Times New Roman" w:cs="Times New Roman"/>
          <w:sz w:val="24"/>
          <w:szCs w:val="24"/>
          <w:lang w:val="en-ID"/>
        </w:rPr>
        <w:t>Shrateh</w:t>
      </w:r>
      <w:proofErr w:type="spellEnd"/>
      <w:r w:rsidRPr="005B77CB">
        <w:rPr>
          <w:rFonts w:ascii="Times New Roman" w:hAnsi="Times New Roman" w:cs="Times New Roman"/>
          <w:sz w:val="24"/>
          <w:szCs w:val="24"/>
          <w:lang w:val="en-ID"/>
        </w:rPr>
        <w:t xml:space="preserve"> et al. also made important contributions, but their focus was often limited to specific modalities or treatment categories.⁹,¹³,¹⁴,¹⁶ Therefore, a synthesis that compares preventive and therapeutic interventions together is needed to support clinical decision-making in dental and oral supportive care.</w:t>
      </w:r>
    </w:p>
    <w:p w14:paraId="4798970C" w14:textId="3F38CF1E" w:rsidR="00F450BF" w:rsidRPr="005B77CB" w:rsidRDefault="005B77CB" w:rsidP="005B77CB">
      <w:pPr>
        <w:spacing w:after="0"/>
        <w:ind w:firstLine="709"/>
        <w:jc w:val="both"/>
        <w:rPr>
          <w:rFonts w:ascii="Times New Roman" w:hAnsi="Times New Roman" w:cs="Times New Roman"/>
          <w:sz w:val="24"/>
          <w:szCs w:val="24"/>
          <w:lang w:val="en-ID"/>
        </w:rPr>
      </w:pPr>
      <w:r w:rsidRPr="005B77CB">
        <w:rPr>
          <w:rFonts w:ascii="Times New Roman" w:hAnsi="Times New Roman" w:cs="Times New Roman"/>
          <w:sz w:val="24"/>
          <w:szCs w:val="24"/>
          <w:lang w:val="en-ID"/>
        </w:rPr>
        <w:t>This systematic review and meta-analysis was conducted to evaluate the effectiveness of preventive and therapeutic oral supportive care interventions for radiotherapy-related xerostomia in patients with head and neck cancer. By summarizing evidence across different interventions, this study aims to clarify which approaches may be useful for reducing dry mouth symptoms, improving salivary function, supporting oral comfort, and improving quality of life. This evidence may help clinicians select interventions according to the treatment phase, severity of xerostomia, residual salivary function, and patient needs</w:t>
      </w:r>
      <w:r w:rsidR="009763DD" w:rsidRPr="009763DD">
        <w:rPr>
          <w:rFonts w:ascii="Times New Roman" w:hAnsi="Times New Roman" w:cs="Times New Roman"/>
          <w:sz w:val="24"/>
          <w:szCs w:val="24"/>
        </w:rPr>
        <w:t>.</w:t>
      </w:r>
    </w:p>
    <w:p w14:paraId="44C7247A" w14:textId="77777777" w:rsidR="00F450BF" w:rsidRPr="00D51E35" w:rsidRDefault="00F450BF">
      <w:pPr>
        <w:rPr>
          <w:rFonts w:ascii="Times New Roman" w:hAnsi="Times New Roman" w:cs="Times New Roman"/>
          <w:sz w:val="24"/>
          <w:szCs w:val="24"/>
        </w:rPr>
      </w:pPr>
    </w:p>
    <w:p w14:paraId="58B53BC7" w14:textId="7C511CDB" w:rsidR="00F450BF" w:rsidRPr="00B92EB4" w:rsidRDefault="007533A6" w:rsidP="007533A6">
      <w:pPr>
        <w:rPr>
          <w:rFonts w:ascii="Times New Roman" w:hAnsi="Times New Roman" w:cs="Times New Roman"/>
          <w:b/>
          <w:bCs/>
          <w:sz w:val="24"/>
          <w:szCs w:val="24"/>
        </w:rPr>
      </w:pPr>
      <w:r w:rsidRPr="007533A6">
        <w:rPr>
          <w:rFonts w:ascii="Times New Roman" w:hAnsi="Times New Roman" w:cs="Times New Roman"/>
          <w:b/>
          <w:bCs/>
          <w:sz w:val="24"/>
          <w:szCs w:val="24"/>
        </w:rPr>
        <w:t>METHOD</w:t>
      </w:r>
      <w:r w:rsidR="005B77CB">
        <w:rPr>
          <w:rFonts w:ascii="Times New Roman" w:hAnsi="Times New Roman" w:cs="Times New Roman"/>
          <w:b/>
          <w:bCs/>
          <w:sz w:val="24"/>
          <w:szCs w:val="24"/>
        </w:rPr>
        <w:t>S</w:t>
      </w:r>
    </w:p>
    <w:p w14:paraId="2BED56B0" w14:textId="2955B81B"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Study design</w:t>
      </w:r>
    </w:p>
    <w:p w14:paraId="29F087E4" w14:textId="5884A4B2"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This study used a systematic review and meta-analysis design to evaluate preventive and therapeutic interventions for radiotherapy-related xerostomia in patients with head and neck cancer. The reporting of this review followed the PRISMA 2020 guidance for systematic reviews.¹⁷ This design was selected because the study aimed not only to summarize previous evidence, but also to combine quantitative findings from primary clinical studies to estimate the overall effect of oral supportive care interventions on xerostomia-related outcomes.</w:t>
      </w:r>
    </w:p>
    <w:p w14:paraId="2CE56C7F" w14:textId="73AF260A"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The quantitative synthesis was conducted based on general principles of meta-analysis in clinical research. Higgins et al. explain that meta-analysis combines effect estimates from individual studies by selecting appropriate effect measures, calculating pooled estimates, and </w:t>
      </w:r>
      <w:r w:rsidRPr="005B77CB">
        <w:rPr>
          <w:rFonts w:ascii="Times New Roman" w:hAnsi="Times New Roman" w:cs="Times New Roman"/>
          <w:sz w:val="24"/>
          <w:szCs w:val="24"/>
        </w:rPr>
        <w:lastRenderedPageBreak/>
        <w:t>evaluating variation across studies.¹⁸ In this review, quantitative data such as odds ratios, confidence intervals, p-values, and other available statistical results were used to support the synthesis of intervention effectiveness.</w:t>
      </w:r>
    </w:p>
    <w:p w14:paraId="65D9F3B0" w14:textId="2153449F"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Research question and PICO framework</w:t>
      </w:r>
    </w:p>
    <w:p w14:paraId="7D18ADE7" w14:textId="127C4C53"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The research question was developed using the PICO framework. The population consisted of patients with head and neck cancer who were undergoing or had undergone radiotherapy, either alone or in combination with chemotherapy. The interventions included preventive and therapeutic approaches for xerostomia, such as pilocarpine, cevimeline, bethanechol, </w:t>
      </w:r>
      <w:proofErr w:type="spellStart"/>
      <w:r w:rsidRPr="005B77CB">
        <w:rPr>
          <w:rFonts w:ascii="Times New Roman" w:hAnsi="Times New Roman" w:cs="Times New Roman"/>
          <w:sz w:val="24"/>
          <w:szCs w:val="24"/>
        </w:rPr>
        <w:t>amifostine</w:t>
      </w:r>
      <w:proofErr w:type="spellEnd"/>
      <w:r w:rsidRPr="005B77CB">
        <w:rPr>
          <w:rFonts w:ascii="Times New Roman" w:hAnsi="Times New Roman" w:cs="Times New Roman"/>
          <w:sz w:val="24"/>
          <w:szCs w:val="24"/>
        </w:rPr>
        <w:t xml:space="preserve">, acupuncture, </w:t>
      </w:r>
      <w:proofErr w:type="spellStart"/>
      <w:r w:rsidRPr="005B77CB">
        <w:rPr>
          <w:rFonts w:ascii="Times New Roman" w:hAnsi="Times New Roman" w:cs="Times New Roman"/>
          <w:sz w:val="24"/>
          <w:szCs w:val="24"/>
        </w:rPr>
        <w:t>photobiomodulation</w:t>
      </w:r>
      <w:proofErr w:type="spellEnd"/>
      <w:r w:rsidRPr="005B77CB">
        <w:rPr>
          <w:rFonts w:ascii="Times New Roman" w:hAnsi="Times New Roman" w:cs="Times New Roman"/>
          <w:sz w:val="24"/>
          <w:szCs w:val="24"/>
        </w:rPr>
        <w:t xml:space="preserve"> therapy, intensity-modulated radiotherapy, saliva substitutes, oral lubricants, submandibular gland transfer, mouthwashes, oral sprays, electrical stimulation, and supportive oral care. The comparators included placebo, sham intervention, standard care, standard oral hygiene, no intervention, or other comparator interventions. The outcomes included xerostomia, severity of xerostomia, improvement of dry mouth symptoms, reduction in severe xerostomia, stimulated and unstimulated salivary flow rates, quality of life, and adverse effects.</w:t>
      </w:r>
    </w:p>
    <w:p w14:paraId="10692C52" w14:textId="4588C758"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Search strategy</w:t>
      </w:r>
    </w:p>
    <w:p w14:paraId="0754FA06" w14:textId="4C1417F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Articles were searched in PubMed/MEDLINE, Scopus, and Web of Science. These databases were selected because they cover literature relevant to oncology, radiotherapy, oral medicine, dentistry, salivary gland dysfunction, and supportive cancer care. The search strategy combined terms related to head and neck cancer, radiotherapy, xerostomia, salivary gland hypofunction, hyposalivation, and preventive or therapeutic interventions. Boolean operators AND </w:t>
      </w:r>
      <w:proofErr w:type="spellStart"/>
      <w:r w:rsidRPr="005B77CB">
        <w:rPr>
          <w:rFonts w:ascii="Times New Roman" w:hAnsi="Times New Roman" w:cs="Times New Roman"/>
          <w:sz w:val="24"/>
          <w:szCs w:val="24"/>
        </w:rPr>
        <w:t>and</w:t>
      </w:r>
      <w:proofErr w:type="spellEnd"/>
      <w:r w:rsidRPr="005B77CB">
        <w:rPr>
          <w:rFonts w:ascii="Times New Roman" w:hAnsi="Times New Roman" w:cs="Times New Roman"/>
          <w:sz w:val="24"/>
          <w:szCs w:val="24"/>
        </w:rPr>
        <w:t xml:space="preserve"> OR were used to combine the keywords.</w:t>
      </w:r>
    </w:p>
    <w:p w14:paraId="75CF57F4" w14:textId="39E84AC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The search was limited to articles published from 2017 onward. Only peer-reviewed primary studies written in English or Indonesian were considered eligible. The search was designed to identify studies that discussed interventions for radiotherapy-related xerostomia and reported quantitative data that could be used for descriptive or pooled analysis.</w:t>
      </w:r>
    </w:p>
    <w:p w14:paraId="5266FCDE" w14:textId="1F8999AC"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Eligibility criteria</w:t>
      </w:r>
    </w:p>
    <w:p w14:paraId="15DCC550" w14:textId="7CD92C1B"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Studies were included if they met the following criteria: articles published in 2017 or later; primary quantitative studies; study population consisting of patients with head and neck cancer who were undergoing or had undergone radiotherapy; evaluation of preventive or therapeutic interventions for radiotherapy-related xerostomia; presence of a comparison group, such as placebo, sham intervention, standard care, standard oral hygiene, no intervention, or another active intervention; reporting of xerostomia-related outcomes, salivary flow, swallowing-related outcomes, quality of life, or adverse effects; and availability of quantitative data such as odds ratios, confidence intervals, p-values, or other data that could support effect estimation.</w:t>
      </w:r>
    </w:p>
    <w:p w14:paraId="41AD6989" w14:textId="327DF2BC"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Studies were excluded if they were reviews, systematic reviews, meta-analyses, scoping reviews, narrative reviews, editorials, letters to the editor, protocols, case reports, or case series. Studies were also excluded if they did not focus on head and neck cancer patients, did not assess radiotherapy-related xerostomia, did not evaluate preventive or therapeutic interventions, did not report relevant clinical outcomes, did not provide usable quantitative data, or used duplicate datasets.</w:t>
      </w:r>
    </w:p>
    <w:p w14:paraId="593D0182" w14:textId="24D5D191"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Study selection</w:t>
      </w:r>
    </w:p>
    <w:p w14:paraId="1BCCEAD3" w14:textId="39D57527"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 xml:space="preserve">All identified records were first screened based on title and abstract. Articles that appeared relevant were then assessed in full text. Studies that did not meet the eligibility criteria were </w:t>
      </w:r>
      <w:r w:rsidRPr="005B77CB">
        <w:rPr>
          <w:rFonts w:ascii="Times New Roman" w:hAnsi="Times New Roman" w:cs="Times New Roman"/>
          <w:sz w:val="24"/>
          <w:szCs w:val="24"/>
        </w:rPr>
        <w:lastRenderedPageBreak/>
        <w:t>excluded with reasons. The final included studies were used for qualitative synthesis and quantitative meta-analysis. The study selection process was summarized using a PRISMA flow diagram.</w:t>
      </w:r>
    </w:p>
    <w:p w14:paraId="43A0C945" w14:textId="4CFC2BF7" w:rsidR="005B77CB" w:rsidRPr="005B77CB" w:rsidRDefault="005B77CB" w:rsidP="005B77CB">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Data extraction</w:t>
      </w:r>
    </w:p>
    <w:p w14:paraId="26E647E6" w14:textId="012F718F" w:rsidR="005B77CB" w:rsidRPr="005B77CB" w:rsidRDefault="005B77CB" w:rsidP="005B77CB">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Data were extracted from each included study, including author, year of publication, study objective, study design, sample size, intervention type, comparator, timing of intervention, xerostomia-related outcomes, salivary flow outcomes, quality-of-life outcomes, statistical results, and main conclusions. When available, odds ratios, confidence intervals, and p-values were extracted. If studies reported other quantitative data, the available results were reviewed to determine whether they could support effect estimation.</w:t>
      </w:r>
    </w:p>
    <w:p w14:paraId="549CCCF7" w14:textId="454058CC" w:rsidR="004D5F4C" w:rsidRPr="004D5F4C" w:rsidRDefault="004D5F4C" w:rsidP="004D5F4C">
      <w:pPr>
        <w:spacing w:after="0"/>
        <w:jc w:val="both"/>
        <w:rPr>
          <w:rFonts w:ascii="Times New Roman" w:hAnsi="Times New Roman" w:cs="Times New Roman"/>
          <w:b/>
          <w:bCs/>
          <w:sz w:val="24"/>
          <w:szCs w:val="24"/>
        </w:rPr>
      </w:pPr>
      <w:r w:rsidRPr="004D5F4C">
        <w:rPr>
          <w:rFonts w:ascii="Times New Roman" w:hAnsi="Times New Roman" w:cs="Times New Roman"/>
          <w:b/>
          <w:bCs/>
          <w:sz w:val="24"/>
          <w:szCs w:val="24"/>
        </w:rPr>
        <w:t>Quality consideration</w:t>
      </w:r>
    </w:p>
    <w:p w14:paraId="53A03C91" w14:textId="77777777" w:rsidR="004D5F4C" w:rsidRPr="004D5F4C" w:rsidRDefault="004D5F4C" w:rsidP="004D5F4C">
      <w:pPr>
        <w:spacing w:after="0"/>
        <w:ind w:firstLine="709"/>
        <w:jc w:val="both"/>
        <w:rPr>
          <w:rFonts w:ascii="Times New Roman" w:hAnsi="Times New Roman" w:cs="Times New Roman"/>
          <w:sz w:val="24"/>
          <w:szCs w:val="24"/>
        </w:rPr>
      </w:pPr>
      <w:r w:rsidRPr="004D5F4C">
        <w:rPr>
          <w:rFonts w:ascii="Times New Roman" w:hAnsi="Times New Roman" w:cs="Times New Roman"/>
          <w:sz w:val="24"/>
          <w:szCs w:val="24"/>
        </w:rPr>
        <w:t>The included studies were reviewed by considering key methodological characteristics, including study design, sample size, comparator, intervention timing, outcome measurement, and completeness of reported statistical data. A formal risk-of-bias assessment was not performed; therefore, the interpretation of the pooled findings was made cautiously, especially because the included studies varied in intervention type, outcome measures, and follow-up duration</w:t>
      </w:r>
    </w:p>
    <w:p w14:paraId="02247E93" w14:textId="47BDB39C" w:rsidR="005B77CB" w:rsidRPr="005B77CB" w:rsidRDefault="005B77CB" w:rsidP="004D5F4C">
      <w:pPr>
        <w:spacing w:after="0"/>
        <w:jc w:val="both"/>
        <w:rPr>
          <w:rFonts w:ascii="Times New Roman" w:hAnsi="Times New Roman" w:cs="Times New Roman"/>
          <w:b/>
          <w:bCs/>
          <w:sz w:val="24"/>
          <w:szCs w:val="24"/>
        </w:rPr>
      </w:pPr>
      <w:r w:rsidRPr="005B77CB">
        <w:rPr>
          <w:rFonts w:ascii="Times New Roman" w:hAnsi="Times New Roman" w:cs="Times New Roman"/>
          <w:b/>
          <w:bCs/>
          <w:sz w:val="24"/>
          <w:szCs w:val="24"/>
        </w:rPr>
        <w:t>Data synthesis and statistical analysis</w:t>
      </w:r>
    </w:p>
    <w:p w14:paraId="3E20DFEA" w14:textId="4B945794" w:rsidR="005B77CB" w:rsidRPr="005B77CB" w:rsidRDefault="005B77CB" w:rsidP="00DC30B1">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The findings were synthesized descriptively and quantitatively. The descriptive synthesis summarized the characteristics of included studies, intervention types, study designs, timing of intervention, sample sizes, and main findings. The quantitative synthesis used a forest plot to show the direction and magnitude of effect across studies. The pooled effect estimate was calculated to summarize the overall effectiveness of preventive and therapeutic interventions for radiotherapy-related xerostomia.</w:t>
      </w:r>
    </w:p>
    <w:p w14:paraId="30CFE79A" w14:textId="0E3AF891" w:rsidR="006040DF" w:rsidRDefault="005B77CB" w:rsidP="00DC30B1">
      <w:pPr>
        <w:spacing w:after="0"/>
        <w:ind w:firstLine="709"/>
        <w:jc w:val="both"/>
        <w:rPr>
          <w:rFonts w:ascii="Times New Roman" w:hAnsi="Times New Roman" w:cs="Times New Roman"/>
          <w:sz w:val="24"/>
          <w:szCs w:val="24"/>
        </w:rPr>
      </w:pPr>
      <w:r w:rsidRPr="005B77CB">
        <w:rPr>
          <w:rFonts w:ascii="Times New Roman" w:hAnsi="Times New Roman" w:cs="Times New Roman"/>
          <w:sz w:val="24"/>
          <w:szCs w:val="24"/>
        </w:rPr>
        <w:t>Heterogeneity was assessed using the Q statistic and I² value. A fixed-effect model was considered when heterogeneity was low, whereas a random-effects model was applied when heterogeneity indicated substantial variation across studies. A funnel plot was used to visually assess the distribution of study results and the possibility of small-study effects or publication bias</w:t>
      </w:r>
      <w:r w:rsidR="00386E52" w:rsidRPr="00386E52">
        <w:rPr>
          <w:rFonts w:ascii="Times New Roman" w:hAnsi="Times New Roman" w:cs="Times New Roman"/>
          <w:sz w:val="24"/>
          <w:szCs w:val="24"/>
        </w:rPr>
        <w:t>.</w:t>
      </w:r>
    </w:p>
    <w:p w14:paraId="67549C7D" w14:textId="77777777" w:rsidR="00033CEB" w:rsidRDefault="00033CEB" w:rsidP="00DC30B1">
      <w:pPr>
        <w:spacing w:after="0"/>
        <w:ind w:firstLine="709"/>
        <w:jc w:val="both"/>
        <w:rPr>
          <w:rFonts w:ascii="Times New Roman" w:hAnsi="Times New Roman" w:cs="Times New Roman"/>
          <w:sz w:val="24"/>
          <w:szCs w:val="24"/>
        </w:rPr>
      </w:pPr>
    </w:p>
    <w:p w14:paraId="5B77E5DC" w14:textId="77777777"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RESULTS</w:t>
      </w:r>
    </w:p>
    <w:p w14:paraId="7A02ADBF" w14:textId="7F69916E"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Study selection</w:t>
      </w:r>
    </w:p>
    <w:p w14:paraId="0027C52D" w14:textId="0FFD2917"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initial search in PubMed/MEDLINE, Scopus, and Web of Science identified 296 articles. After duplicate removal, 291 articles remained for title and abstract screening. At this stage, 224 articles were excluded because they were not aligned with the research focus, did not involve head and neck cancer patients, did not evaluate radiotherapy-related xerostomia, did not include preventive or therapeutic interventions, did not provide relevant quantitative data, or used ineligible publication designs.</w:t>
      </w:r>
    </w:p>
    <w:p w14:paraId="48B620F5" w14:textId="7E1E2235"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A total of 67 articles were assessed in full text. After full-text evaluation, 55 articles were excluded. The reasons for exclusion included unavailable relevant statistical data, populations not specific to head and neck cancer, lack of focus on interventions for xerostomia, unclear reporting of xerostomia or salivary outcomes, inappropriate study designs, descriptive data without comparators, and lack of full-text availability. Finally, 12 articles met the eligibility criteria and were included in the systematic review and meta-analysis.</w:t>
      </w:r>
    </w:p>
    <w:p w14:paraId="451B7D75" w14:textId="3B1F2897"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Characteristics of included studies</w:t>
      </w:r>
    </w:p>
    <w:p w14:paraId="692899F6" w14:textId="77777777" w:rsid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lastRenderedPageBreak/>
        <w:t>The 12 included studies evaluated preventive and therapeutic interventions for radiotherapy-related xerostomia in patients with head and neck cancer. The studies were published between 2017 and 2024. The highest number of included studies was published in 2024. Most studies used randomized controlled or clinical trial designs, showing that the available evidence was mainly derived from interventional clinical studies.</w:t>
      </w:r>
    </w:p>
    <w:p w14:paraId="57ED2353" w14:textId="55A75D5D"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interventions included thyme honey,¹⁹ acupuncture,⁴,¹⁵,²³ transcutaneous electrical nerve stimulation,²⁰ photobiomodulation,⁹,²⁶ saliva substitutes or oral moisturizing agents,²¹,²² oral sprays,²⁴ mouthwashes,²⁵ and salivary electrostimulation.²⁷ The most frequently assessed interventions were saliva substitutes, oral sprays, mouthwashes, or oral moisturizers. Acupuncture was also commonly evaluated. In terms of timing, most interventions were therapeutic and were administered after radiotherapy, while some were preventive and administered during radiotherapy. The total number of participants across the 12 included studies was 1,246 patients.</w:t>
      </w:r>
    </w:p>
    <w:p w14:paraId="6C542C8C" w14:textId="39A3010E" w:rsidR="00033CEB" w:rsidRPr="00033CEB" w:rsidRDefault="00033CEB" w:rsidP="00033CEB">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Summary of intervention effects</w:t>
      </w:r>
    </w:p>
    <w:p w14:paraId="07110003" w14:textId="3D6C4B0E"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included studies showed variable but generally positive findings. Acupuncture demonstrated relatively consistent benefits in reducing xerostomia symptoms and improving quality of life. Garcia et al. reported that true acupuncture administered during radiotherapy resulted in lower xerostomia scores compared with standard care at 12 months.⁴ Menezes et al. showed that a combination of traditional and auricular acupuncture reduced Xerostomia Inventory scores and improved saliva-related outcomes in patients undergoing radiotherapy.²³ Cohen et al. also found that true acupuncture was more effective than sham acupuncture and standard oral hygiene in reducing chronic radiation-induced xerostomia.¹⁵ These findings suggest that acupuncture may be useful as a non-pharmacological supportive intervention, especially for chronic or persistent xerostomia.</w:t>
      </w:r>
    </w:p>
    <w:p w14:paraId="7DE04395" w14:textId="7E88312C"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 xml:space="preserve">Saliva substitutes, oral moisturizers, oral sprays, and mouthwashes also showed favorable results. </w:t>
      </w:r>
      <w:proofErr w:type="spellStart"/>
      <w:r w:rsidRPr="00033CEB">
        <w:rPr>
          <w:rFonts w:ascii="Times New Roman" w:hAnsi="Times New Roman" w:cs="Times New Roman"/>
          <w:sz w:val="24"/>
          <w:szCs w:val="24"/>
        </w:rPr>
        <w:t>Nuchit</w:t>
      </w:r>
      <w:proofErr w:type="spellEnd"/>
      <w:r w:rsidRPr="00033CEB">
        <w:rPr>
          <w:rFonts w:ascii="Times New Roman" w:hAnsi="Times New Roman" w:cs="Times New Roman"/>
          <w:sz w:val="24"/>
          <w:szCs w:val="24"/>
        </w:rPr>
        <w:t xml:space="preserve"> et al. reported that oral moisturizing jelly and topical saliva gel improved dry mouth complaints, swallowing ability, and nutritional status in post-radiotherapy head and neck cancer patients.²¹ Marimuthu et al. found that an immunologically active saliva substitute mouthwash reduced subjective xerostomia scores and increased unstimulated whole saliva in nasopharyngeal cancer survivors.²² </w:t>
      </w:r>
      <w:proofErr w:type="spellStart"/>
      <w:r w:rsidRPr="00033CEB">
        <w:rPr>
          <w:rFonts w:ascii="Times New Roman" w:hAnsi="Times New Roman" w:cs="Times New Roman"/>
          <w:sz w:val="24"/>
          <w:szCs w:val="24"/>
        </w:rPr>
        <w:t>Piboonratanakit</w:t>
      </w:r>
      <w:proofErr w:type="spellEnd"/>
      <w:r w:rsidRPr="00033CEB">
        <w:rPr>
          <w:rFonts w:ascii="Times New Roman" w:hAnsi="Times New Roman" w:cs="Times New Roman"/>
          <w:sz w:val="24"/>
          <w:szCs w:val="24"/>
        </w:rPr>
        <w:t xml:space="preserve"> et al. showed that trehalose oral spray improved salivary pH and unstimulated salivary flow rate compared with carboxymethylcellulose spray, although quality-of-life improvement was not consistently superior between groups.²⁴ Rupe et al. reported that sodium-hyaluronate mouthwash reduced xerostomia symptoms and improved patient satisfaction without reported side effects.²⁵</w:t>
      </w:r>
    </w:p>
    <w:p w14:paraId="196B6832" w14:textId="49D36410" w:rsidR="00033CEB" w:rsidRPr="00033CEB" w:rsidRDefault="00033CEB" w:rsidP="00033CEB">
      <w:pPr>
        <w:spacing w:after="0"/>
        <w:ind w:firstLine="709"/>
        <w:jc w:val="both"/>
        <w:rPr>
          <w:rFonts w:ascii="Times New Roman" w:hAnsi="Times New Roman" w:cs="Times New Roman"/>
          <w:sz w:val="24"/>
          <w:szCs w:val="24"/>
        </w:rPr>
      </w:pP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showed mixed findings. </w:t>
      </w:r>
      <w:proofErr w:type="spellStart"/>
      <w:r w:rsidRPr="00033CEB">
        <w:rPr>
          <w:rFonts w:ascii="Times New Roman" w:hAnsi="Times New Roman" w:cs="Times New Roman"/>
          <w:sz w:val="24"/>
          <w:szCs w:val="24"/>
        </w:rPr>
        <w:t>Louzeiro</w:t>
      </w:r>
      <w:proofErr w:type="spellEnd"/>
      <w:r w:rsidRPr="00033CEB">
        <w:rPr>
          <w:rFonts w:ascii="Times New Roman" w:hAnsi="Times New Roman" w:cs="Times New Roman"/>
          <w:sz w:val="24"/>
          <w:szCs w:val="24"/>
        </w:rPr>
        <w:t xml:space="preserve"> et al. reported that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did not show clear between-group differences in salivary flow, saliva composition, xerostomia, or quality of life, although salivary pH was higher in the laser group at one assessment point.⁹ In contrast, Mozaffari et al. found that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increased stimulated saliva and reduced subjective xerostomia during the later weeks of radiotherapy.²⁶ These differences suggest that the effect of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xml:space="preserve"> may depend on laser parameters, application points, treatment frequency, timing, and baseline salivary gland condition.</w:t>
      </w:r>
    </w:p>
    <w:p w14:paraId="6373027F" w14:textId="77777777" w:rsid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 xml:space="preserve">Electrical stimulation also produced variable results. Paim et al. found that transcutaneous electrical nerve stimulation improved stimulated salivary flow, self-perception of salivary flow, and quality of life in patients with post-radiotherapy hyposalivation.²⁰ However, Mercadante et al. </w:t>
      </w:r>
      <w:r w:rsidRPr="00033CEB">
        <w:rPr>
          <w:rFonts w:ascii="Times New Roman" w:hAnsi="Times New Roman" w:cs="Times New Roman"/>
          <w:sz w:val="24"/>
          <w:szCs w:val="24"/>
        </w:rPr>
        <w:lastRenderedPageBreak/>
        <w:t>reported that intra-oral salivary electrostimulation did not meet its primary and secondary outcomes in a multicenter randomized phase 3 trial, although an exploratory dry mouth item showed a possible signal of improvement.²⁷ This contrast indicates that stimulation method, device type, treatment duration, and residual salivary gland function may influence clinical effectiveness.</w:t>
      </w:r>
    </w:p>
    <w:p w14:paraId="0D83D024" w14:textId="4E339C5A" w:rsidR="00033CEB" w:rsidRPr="00033CEB"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Charalambous et al. evaluated thyme honey as a supportive intervention and found significant improvements in xerostomia, quality of life, pain, and dysphagia-related outcomes.¹⁹ Although evidence for honey-based interventions remains limited, this study suggests that natural supportive therapies may have a role in symptom relief when used appropriately.</w:t>
      </w:r>
    </w:p>
    <w:p w14:paraId="3B95954E" w14:textId="0110577F" w:rsidR="00033CEB" w:rsidRPr="001E4D5A" w:rsidRDefault="00033CEB" w:rsidP="001E4D5A">
      <w:pPr>
        <w:spacing w:after="0"/>
        <w:jc w:val="both"/>
        <w:rPr>
          <w:rFonts w:ascii="Times New Roman" w:hAnsi="Times New Roman" w:cs="Times New Roman"/>
          <w:b/>
          <w:bCs/>
          <w:sz w:val="24"/>
          <w:szCs w:val="24"/>
        </w:rPr>
      </w:pPr>
      <w:r w:rsidRPr="00033CEB">
        <w:rPr>
          <w:rFonts w:ascii="Times New Roman" w:hAnsi="Times New Roman" w:cs="Times New Roman"/>
          <w:b/>
          <w:bCs/>
          <w:sz w:val="24"/>
          <w:szCs w:val="24"/>
        </w:rPr>
        <w:t>Meta-analysis findings</w:t>
      </w:r>
    </w:p>
    <w:p w14:paraId="77D8E6F1" w14:textId="6AF95A82" w:rsidR="00033CEB" w:rsidRPr="00033CEB" w:rsidRDefault="00033CEB" w:rsidP="001E4D5A">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 xml:space="preserve">The forest plot showed that most included studies had a positive direction of effect. Studies evaluating acupuncture, saliva substitutes, oral moisturizers, </w:t>
      </w:r>
      <w:proofErr w:type="spellStart"/>
      <w:r w:rsidRPr="00033CEB">
        <w:rPr>
          <w:rFonts w:ascii="Times New Roman" w:hAnsi="Times New Roman" w:cs="Times New Roman"/>
          <w:sz w:val="24"/>
          <w:szCs w:val="24"/>
        </w:rPr>
        <w:t>photobiomodulation</w:t>
      </w:r>
      <w:proofErr w:type="spellEnd"/>
      <w:r w:rsidRPr="00033CEB">
        <w:rPr>
          <w:rFonts w:ascii="Times New Roman" w:hAnsi="Times New Roman" w:cs="Times New Roman"/>
          <w:sz w:val="24"/>
          <w:szCs w:val="24"/>
        </w:rPr>
        <w:t>, transcutaneous electrical nerve stimulation, and thyme honey generally favored the intervention groups. One study evaluating intra-oral salivary electrostimulation showed a negative or non-significant main direction of effect.²⁷</w:t>
      </w:r>
    </w:p>
    <w:p w14:paraId="1AA0A5EA" w14:textId="7B120FFB" w:rsidR="00033CEB" w:rsidRPr="00033CEB" w:rsidRDefault="00033CEB" w:rsidP="001E4D5A">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pooled effect was 1.26, with a confidence interval of 0.78–1.74. The pooled result was statistically significant, with p &lt; 0.001. The heterogeneity test showed Q(11) = 23.16, p = 0.017, and I² = 53.51%. This indicates moderate heterogeneity among the included studies. The heterogeneity was likely influenced by differences in intervention type, timing of intervention, comparator, sample size, measurement tools, and follow-up duration.</w:t>
      </w:r>
    </w:p>
    <w:p w14:paraId="337ADA11" w14:textId="5EE2073E" w:rsidR="00033CEB" w:rsidRPr="001E4D5A" w:rsidRDefault="00033CEB"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Funnel plot assessment</w:t>
      </w:r>
    </w:p>
    <w:p w14:paraId="5E3456A0" w14:textId="0B0C9AA4" w:rsidR="00386E52" w:rsidRDefault="00033CEB" w:rsidP="00033CEB">
      <w:pPr>
        <w:spacing w:after="0"/>
        <w:ind w:firstLine="709"/>
        <w:jc w:val="both"/>
        <w:rPr>
          <w:rFonts w:ascii="Times New Roman" w:hAnsi="Times New Roman" w:cs="Times New Roman"/>
          <w:sz w:val="24"/>
          <w:szCs w:val="24"/>
        </w:rPr>
      </w:pPr>
      <w:r w:rsidRPr="00033CEB">
        <w:rPr>
          <w:rFonts w:ascii="Times New Roman" w:hAnsi="Times New Roman" w:cs="Times New Roman"/>
          <w:sz w:val="24"/>
          <w:szCs w:val="24"/>
        </w:rPr>
        <w:t>The funnel plot showed that most studies were distributed around the central line and remained within the funnel area. However, the distribution was not fully symmetrical. Some studies were concentrated on one side of the plot, and one study appeared to deviate from the general pattern.²⁷ This suggests that small-study effects, publication bias, or clinical heterogeneity may be present. However, because only 12 studies were included, the funnel plot should be interpreted cautiously.</w:t>
      </w:r>
    </w:p>
    <w:p w14:paraId="558778C8" w14:textId="77777777" w:rsidR="001E4D5A" w:rsidRDefault="001E4D5A" w:rsidP="001E4D5A">
      <w:pPr>
        <w:spacing w:after="0"/>
        <w:jc w:val="both"/>
        <w:rPr>
          <w:rFonts w:ascii="Times New Roman" w:hAnsi="Times New Roman" w:cs="Times New Roman"/>
          <w:sz w:val="24"/>
          <w:szCs w:val="24"/>
        </w:rPr>
      </w:pPr>
    </w:p>
    <w:p w14:paraId="7C2D026A" w14:textId="1B19244F"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DISCUSSION</w:t>
      </w:r>
    </w:p>
    <w:p w14:paraId="74145A1B" w14:textId="4684F0B8"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This systematic review and meta-analysis found that preventive and therapeutic oral supportive care interventions may provide benefits for radiotherapy-related xerostomia in patients with head and neck cancer. Most included studies showed a positive direction of effect, although the magnitude of benefit varied across interventions. The pooled effect was statistically significant, but moderate heterogeneity indicated that the findings should be interpreted with attention to differences in intervention type, timing, comparator, and outcome measurement.</w:t>
      </w:r>
    </w:p>
    <w:p w14:paraId="466B0252" w14:textId="75139A95"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The findings support the importance of addressing xerostomia as a clinically meaningful oral complication of radiotherapy. Xerostomia can impair oral lubrication, chewing, swallowing, speech, sleep, oral hygiene, nutritional intake, and quality of life.⁵⁻⁷ Therefore, its management should be integrated into dental and oral supportive care before, during, and after radiotherapy. This is particularly important because salivary gland damage may persist after treatment and may not always be fully reversible.²,³</w:t>
      </w:r>
    </w:p>
    <w:p w14:paraId="75C968BD" w14:textId="3287BE0F"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 xml:space="preserve">Acupuncture appeared to be one of the more consistent non-pharmacological interventions. The included acupuncture studies showed reductions in xerostomia scores and improvements in patient-reported outcomes.⁴,¹⁵,²³ These findings are consistent with previous reviews suggesting </w:t>
      </w:r>
      <w:r w:rsidRPr="001E4D5A">
        <w:rPr>
          <w:rFonts w:ascii="Times New Roman" w:hAnsi="Times New Roman" w:cs="Times New Roman"/>
          <w:sz w:val="24"/>
          <w:szCs w:val="24"/>
        </w:rPr>
        <w:lastRenderedPageBreak/>
        <w:t>that acupuncture may improve xerostomia symptoms, although effects on objective salivary flow are less consistent.¹³,¹⁴ From a clinical perspective, acupuncture may be considered as a complementary approach for patients with chronic xerostomia, especially when standard oral hygiene and symptomatic care do not provide adequate relief. However, treatment protocols, frequency, duration, and patient selection still need to be standardized</w:t>
      </w:r>
      <w:r w:rsidR="004D5F4C">
        <w:rPr>
          <w:rFonts w:ascii="Times New Roman" w:hAnsi="Times New Roman" w:cs="Times New Roman"/>
          <w:sz w:val="24"/>
          <w:szCs w:val="24"/>
        </w:rPr>
        <w:t>.</w:t>
      </w:r>
    </w:p>
    <w:p w14:paraId="5C117274" w14:textId="6DE1FD14"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Saliva substitutes, oral moisturizers, oral sprays, and mouthwashes also showed practical benefits.²¹⁻²⁵ These interventions are directly related to oral comfort and daily symptom relief. They may not always restore salivary gland function, but they can reduce dryness, improve swallowing comfort, support oral lubrication, and increase patient satisfaction. This distinction is important because xerostomia management does not always require restoration of salivary flow; in some patients, symptom relief and improved oral function may be realistic and meaningful treatment goals. This is aligned with the concept that xerostomia management can involve either stimulation of remaining salivary function or artificial lubrication of oral surfaces.²</w:t>
      </w:r>
    </w:p>
    <w:p w14:paraId="2C5BEDE1" w14:textId="11B6E82C" w:rsidR="001E4D5A" w:rsidRPr="001E4D5A" w:rsidRDefault="001E4D5A" w:rsidP="001E4D5A">
      <w:pPr>
        <w:spacing w:after="0"/>
        <w:ind w:firstLine="709"/>
        <w:jc w:val="both"/>
        <w:rPr>
          <w:rFonts w:ascii="Times New Roman" w:hAnsi="Times New Roman" w:cs="Times New Roman"/>
          <w:sz w:val="24"/>
          <w:szCs w:val="24"/>
        </w:rPr>
      </w:pP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showed promising but inconsistent results. </w:t>
      </w:r>
      <w:proofErr w:type="spellStart"/>
      <w:r w:rsidRPr="001E4D5A">
        <w:rPr>
          <w:rFonts w:ascii="Times New Roman" w:hAnsi="Times New Roman" w:cs="Times New Roman"/>
          <w:sz w:val="24"/>
          <w:szCs w:val="24"/>
        </w:rPr>
        <w:t>Louzeiro</w:t>
      </w:r>
      <w:proofErr w:type="spellEnd"/>
      <w:r w:rsidRPr="001E4D5A">
        <w:rPr>
          <w:rFonts w:ascii="Times New Roman" w:hAnsi="Times New Roman" w:cs="Times New Roman"/>
          <w:sz w:val="24"/>
          <w:szCs w:val="24"/>
        </w:rPr>
        <w:t xml:space="preserve"> et al. did not find clear superiority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over sham treatment for several salivary and xerostomia-related outcomes,⁹ whereas Mozaffari et al. reported improvements in stimulated saliva and subjective xerostomia.²⁶ These mixed findings suggest that the effectiveness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may depend on laser parameters, treatment schedule, number of application points, timing during radiotherapy, and baseline salivary function. Therefore, although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may be considered a potential preventive strategy, stronger evidence from larger trials with standardized protocols is still needed.</w:t>
      </w:r>
    </w:p>
    <w:p w14:paraId="6A0D1DAF" w14:textId="30F595DC"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Electrical stimulation also produced mixed evidence. Transcutaneous electrical nerve stimulation showed favorable findings in improving salivary flow and quality of life,²⁰ while intra-oral salivary electrostimulation did not demonstrate significant primary effectiveness in a larger randomized phase 3 trial.²⁷ This difference suggests that device design, stimulation site, treatment duration, and the degree of residual salivary gland function may influence outcomes. Electrical stimulation should therefore be interpreted as a potentially useful but not yet consistently established intervention.</w:t>
      </w:r>
    </w:p>
    <w:p w14:paraId="5FDA465F" w14:textId="5882E366"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The findings of this review suggest that no single intervention can be considered superior for all patient conditions. Preventive interventions during radiotherapy should aim to preserve salivary gland function and reduce the risk of severe xerostomia. Therapeutic interventions after radiotherapy should focus on reducing symptoms, improving oral comfort, supporting swallowing, and improving quality of life. Clinical selection should consider the severity of dry mouth, timing after radiotherapy, residual salivary function, availability of resources, and patient preference.</w:t>
      </w:r>
    </w:p>
    <w:p w14:paraId="07CF5BD0" w14:textId="41B7CC11" w:rsidR="001E4D5A" w:rsidRDefault="004D5F4C" w:rsidP="001E4D5A">
      <w:pPr>
        <w:spacing w:after="0"/>
        <w:ind w:firstLine="709"/>
        <w:jc w:val="both"/>
        <w:rPr>
          <w:rFonts w:ascii="Times New Roman" w:hAnsi="Times New Roman" w:cs="Times New Roman"/>
          <w:sz w:val="24"/>
          <w:szCs w:val="24"/>
        </w:rPr>
      </w:pPr>
      <w:r w:rsidRPr="004D5F4C">
        <w:rPr>
          <w:rFonts w:ascii="Times New Roman" w:hAnsi="Times New Roman" w:cs="Times New Roman"/>
          <w:sz w:val="24"/>
          <w:szCs w:val="24"/>
        </w:rPr>
        <w:t xml:space="preserve">This review has several limitations. The included studies varied in design, intervention type, sample size, comparator, outcome measure, and follow-up duration. Some studies reported subjective xerostomia scores, while others reported salivary flow, swallowing outcomes, quality of life, or composite outcomes. These variations contributed to moderate heterogeneity. A formal risk-of-bias assessment was not performed in this review. This should be considered when interpreting the strength of the evidence, although the included studies were screened based on eligibility criteria, comparator availability, and reported quantitative outcomes. In addition, the number of included studies was limited, so the interpretation of funnel plot asymmetry and publication bias should be cautious. Future studies should use larger randomized clinical trials, </w:t>
      </w:r>
      <w:r w:rsidRPr="004D5F4C">
        <w:rPr>
          <w:rFonts w:ascii="Times New Roman" w:hAnsi="Times New Roman" w:cs="Times New Roman"/>
          <w:sz w:val="24"/>
          <w:szCs w:val="24"/>
        </w:rPr>
        <w:lastRenderedPageBreak/>
        <w:t>standardized xerostomia outcomes, longer follow-up periods, and more complete reporting of effect estimates</w:t>
      </w:r>
      <w:r w:rsidR="001E4D5A" w:rsidRPr="001E4D5A">
        <w:rPr>
          <w:rFonts w:ascii="Times New Roman" w:hAnsi="Times New Roman" w:cs="Times New Roman"/>
          <w:sz w:val="24"/>
          <w:szCs w:val="24"/>
        </w:rPr>
        <w:t>.</w:t>
      </w:r>
    </w:p>
    <w:p w14:paraId="21F95365" w14:textId="77777777" w:rsidR="001E4D5A" w:rsidRDefault="001E4D5A" w:rsidP="001E4D5A">
      <w:pPr>
        <w:spacing w:after="0"/>
        <w:jc w:val="both"/>
        <w:rPr>
          <w:rFonts w:ascii="Times New Roman" w:hAnsi="Times New Roman" w:cs="Times New Roman"/>
          <w:sz w:val="24"/>
          <w:szCs w:val="24"/>
        </w:rPr>
      </w:pPr>
    </w:p>
    <w:p w14:paraId="7EE2A973" w14:textId="77777777"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CONCLUSION</w:t>
      </w:r>
    </w:p>
    <w:p w14:paraId="6A36A97A" w14:textId="1671CE14" w:rsidR="001E4D5A" w:rsidRP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 xml:space="preserve">This systematic review and meta-analysis showed that oral supportive care interventions may help reduce radiotherapy-related xerostomia in patients with head and neck cancer. Acupuncture, saliva substitutes, oral moisturizers, oral sprays, and mouthwashes showed relatively consistent benefits in improving dry mouth symptoms, oral comfort, salivary-related outcomes, or quality of life.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and electrical stimulation showed more variable findings, suggesting that their effectiveness may depend on treatment protocol, device type, timing, and patient condition.</w:t>
      </w:r>
    </w:p>
    <w:p w14:paraId="45FC7E41" w14:textId="4E108AC1" w:rsidR="001E4D5A" w:rsidRDefault="001E4D5A" w:rsidP="001E4D5A">
      <w:pPr>
        <w:spacing w:after="0"/>
        <w:ind w:firstLine="709"/>
        <w:jc w:val="both"/>
        <w:rPr>
          <w:rFonts w:ascii="Times New Roman" w:hAnsi="Times New Roman" w:cs="Times New Roman"/>
          <w:sz w:val="24"/>
          <w:szCs w:val="24"/>
        </w:rPr>
      </w:pPr>
      <w:r w:rsidRPr="001E4D5A">
        <w:rPr>
          <w:rFonts w:ascii="Times New Roman" w:hAnsi="Times New Roman" w:cs="Times New Roman"/>
          <w:sz w:val="24"/>
          <w:szCs w:val="24"/>
        </w:rPr>
        <w:t>The management of radiotherapy-related xerostomia should be individualized. Preventive interventions may be more appropriate during radiotherapy to preserve salivary gland function, while therapeutic interventions may be more useful for patients with persistent or chronic xerostomia after radiotherapy. Future studies should use standardized protocols and outcome measures to strengthen the evidence for clinical decision-making in dental and oral supportive care.</w:t>
      </w:r>
    </w:p>
    <w:p w14:paraId="1BD925C4" w14:textId="77777777" w:rsidR="001E4D5A" w:rsidRDefault="001E4D5A" w:rsidP="001E4D5A">
      <w:pPr>
        <w:spacing w:after="0"/>
        <w:jc w:val="both"/>
        <w:rPr>
          <w:rFonts w:ascii="Times New Roman" w:hAnsi="Times New Roman" w:cs="Times New Roman"/>
          <w:sz w:val="24"/>
          <w:szCs w:val="24"/>
        </w:rPr>
      </w:pPr>
    </w:p>
    <w:p w14:paraId="39F96434" w14:textId="3D7EC5D3" w:rsidR="001E4D5A" w:rsidRPr="001E4D5A" w:rsidRDefault="001E4D5A" w:rsidP="001E4D5A">
      <w:pPr>
        <w:spacing w:after="0"/>
        <w:jc w:val="both"/>
        <w:rPr>
          <w:rFonts w:ascii="Times New Roman" w:hAnsi="Times New Roman" w:cs="Times New Roman"/>
          <w:b/>
          <w:bCs/>
          <w:sz w:val="24"/>
          <w:szCs w:val="24"/>
        </w:rPr>
      </w:pPr>
      <w:r w:rsidRPr="001E4D5A">
        <w:rPr>
          <w:rFonts w:ascii="Times New Roman" w:hAnsi="Times New Roman" w:cs="Times New Roman"/>
          <w:b/>
          <w:bCs/>
          <w:sz w:val="24"/>
          <w:szCs w:val="24"/>
        </w:rPr>
        <w:t>REFERENCE</w:t>
      </w:r>
      <w:r w:rsidR="00CB09EC">
        <w:rPr>
          <w:rFonts w:ascii="Times New Roman" w:hAnsi="Times New Roman" w:cs="Times New Roman"/>
          <w:b/>
          <w:bCs/>
          <w:sz w:val="24"/>
          <w:szCs w:val="24"/>
        </w:rPr>
        <w:t>S</w:t>
      </w:r>
    </w:p>
    <w:p w14:paraId="629C2ABD"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Sun H, Zheng R, Zhang S, Zeng H, Chen R, He J. Global burden of head and neck cancer in 2022 and projections to 2050. Front Public Health. 2025;13:1555050.</w:t>
      </w:r>
    </w:p>
    <w:p w14:paraId="60F76B43"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Hong C, Jensen SB, </w:t>
      </w:r>
      <w:proofErr w:type="spellStart"/>
      <w:r w:rsidRPr="001E4D5A">
        <w:rPr>
          <w:rFonts w:ascii="Times New Roman" w:hAnsi="Times New Roman" w:cs="Times New Roman"/>
          <w:sz w:val="24"/>
          <w:szCs w:val="24"/>
        </w:rPr>
        <w:t>Vissink</w:t>
      </w:r>
      <w:proofErr w:type="spellEnd"/>
      <w:r w:rsidRPr="001E4D5A">
        <w:rPr>
          <w:rFonts w:ascii="Times New Roman" w:hAnsi="Times New Roman" w:cs="Times New Roman"/>
          <w:sz w:val="24"/>
          <w:szCs w:val="24"/>
        </w:rPr>
        <w:t xml:space="preserve"> A, Bonomo P, Santos-Silva AR, </w:t>
      </w:r>
      <w:proofErr w:type="spellStart"/>
      <w:r w:rsidRPr="001E4D5A">
        <w:rPr>
          <w:rFonts w:ascii="Times New Roman" w:hAnsi="Times New Roman" w:cs="Times New Roman"/>
          <w:sz w:val="24"/>
          <w:szCs w:val="24"/>
        </w:rPr>
        <w:t>Gueiros</w:t>
      </w:r>
      <w:proofErr w:type="spellEnd"/>
      <w:r w:rsidRPr="001E4D5A">
        <w:rPr>
          <w:rFonts w:ascii="Times New Roman" w:hAnsi="Times New Roman" w:cs="Times New Roman"/>
          <w:sz w:val="24"/>
          <w:szCs w:val="24"/>
        </w:rPr>
        <w:t xml:space="preserve"> LA, Epstein JB, Elad S. MASCC/ISOO clinical practice statement: Management of salivary gland hypofunction and xerostomia in cancer patients. Support Care Cancer. 2024;32(8):548. doi:10.1007/s00520-024-08688-9</w:t>
      </w:r>
    </w:p>
    <w:p w14:paraId="7FFDF29E"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Mercadante V, Al Hamad A, Lodi G, Porter S, Fedele S. Interventions for the management of radiotherapy-induced xerostomia and hyposalivation: A systematic review and meta-analysis. Oral Oncol. 2017;66:64-74. doi:10.1016/j.oraloncology.2016.12.031</w:t>
      </w:r>
    </w:p>
    <w:p w14:paraId="5B9E3284"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Garcia MK, Meng Z, Rosenthal DI, Shen Y, Chambers M, Yang P, et al. Effect of true and sham acupuncture on radiation-induced xerostomia among patients with head and neck cancer: A randomized clinical trial. JAMA </w:t>
      </w:r>
      <w:proofErr w:type="spellStart"/>
      <w:r w:rsidRPr="001E4D5A">
        <w:rPr>
          <w:rFonts w:ascii="Times New Roman" w:hAnsi="Times New Roman" w:cs="Times New Roman"/>
          <w:sz w:val="24"/>
          <w:szCs w:val="24"/>
        </w:rPr>
        <w:t>Netw</w:t>
      </w:r>
      <w:proofErr w:type="spellEnd"/>
      <w:r w:rsidRPr="001E4D5A">
        <w:rPr>
          <w:rFonts w:ascii="Times New Roman" w:hAnsi="Times New Roman" w:cs="Times New Roman"/>
          <w:sz w:val="24"/>
          <w:szCs w:val="24"/>
        </w:rPr>
        <w:t xml:space="preserve"> Open. 2019;2(12):e1916910. doi:10.1001/jamanetworkopen.2019.16910</w:t>
      </w:r>
    </w:p>
    <w:p w14:paraId="0DE20218"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Jaguar GC, Lima ENP, Kowalski LP, </w:t>
      </w:r>
      <w:proofErr w:type="spellStart"/>
      <w:r w:rsidRPr="001E4D5A">
        <w:rPr>
          <w:rFonts w:ascii="Times New Roman" w:hAnsi="Times New Roman" w:cs="Times New Roman"/>
          <w:sz w:val="24"/>
          <w:szCs w:val="24"/>
        </w:rPr>
        <w:t>Pellizzon</w:t>
      </w:r>
      <w:proofErr w:type="spellEnd"/>
      <w:r w:rsidRPr="001E4D5A">
        <w:rPr>
          <w:rFonts w:ascii="Times New Roman" w:hAnsi="Times New Roman" w:cs="Times New Roman"/>
          <w:sz w:val="24"/>
          <w:szCs w:val="24"/>
        </w:rPr>
        <w:t xml:space="preserve"> ACA, Carvalho AL, Alves FA. Clinical features and preventive therapies of radiation-induced xerostomia in head and neck cancer patient: A literature review. Appl Cancer Res. 2017;37:31. doi:10.1186/s41241-017-0037-5</w:t>
      </w:r>
    </w:p>
    <w:p w14:paraId="05268EB1"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1E4D5A">
        <w:rPr>
          <w:rFonts w:ascii="Times New Roman" w:hAnsi="Times New Roman" w:cs="Times New Roman"/>
          <w:sz w:val="24"/>
          <w:szCs w:val="24"/>
        </w:rPr>
        <w:t>Alnaeem</w:t>
      </w:r>
      <w:proofErr w:type="spellEnd"/>
      <w:r w:rsidRPr="001E4D5A">
        <w:rPr>
          <w:rFonts w:ascii="Times New Roman" w:hAnsi="Times New Roman" w:cs="Times New Roman"/>
          <w:sz w:val="24"/>
          <w:szCs w:val="24"/>
        </w:rPr>
        <w:t xml:space="preserve"> MM, Darwish SK, Nashwan AJ. Radiation-induced xerostomia in head and neck cancers: A comprehensive review for burden and impact on nutrition, sleep, and quality of life. </w:t>
      </w:r>
      <w:proofErr w:type="spellStart"/>
      <w:r w:rsidRPr="001E4D5A">
        <w:rPr>
          <w:rFonts w:ascii="Times New Roman" w:hAnsi="Times New Roman" w:cs="Times New Roman"/>
          <w:sz w:val="24"/>
          <w:szCs w:val="24"/>
        </w:rPr>
        <w:t>Discov</w:t>
      </w:r>
      <w:proofErr w:type="spellEnd"/>
      <w:r w:rsidRPr="001E4D5A">
        <w:rPr>
          <w:rFonts w:ascii="Times New Roman" w:hAnsi="Times New Roman" w:cs="Times New Roman"/>
          <w:sz w:val="24"/>
          <w:szCs w:val="24"/>
        </w:rPr>
        <w:t xml:space="preserve"> Med. 2025;2:143. doi:10.1007/s44337-025-00362-1</w:t>
      </w:r>
    </w:p>
    <w:p w14:paraId="7E45A559"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Nathan CAO, Asarkar AA, Entezami P, Corry J, </w:t>
      </w:r>
      <w:proofErr w:type="spellStart"/>
      <w:r w:rsidRPr="001E4D5A">
        <w:rPr>
          <w:rFonts w:ascii="Times New Roman" w:hAnsi="Times New Roman" w:cs="Times New Roman"/>
          <w:sz w:val="24"/>
          <w:szCs w:val="24"/>
        </w:rPr>
        <w:t>Strojan</w:t>
      </w:r>
      <w:proofErr w:type="spellEnd"/>
      <w:r w:rsidRPr="001E4D5A">
        <w:rPr>
          <w:rFonts w:ascii="Times New Roman" w:hAnsi="Times New Roman" w:cs="Times New Roman"/>
          <w:sz w:val="24"/>
          <w:szCs w:val="24"/>
        </w:rPr>
        <w:t xml:space="preserve"> P, Vander </w:t>
      </w:r>
      <w:proofErr w:type="spellStart"/>
      <w:r w:rsidRPr="001E4D5A">
        <w:rPr>
          <w:rFonts w:ascii="Times New Roman" w:hAnsi="Times New Roman" w:cs="Times New Roman"/>
          <w:sz w:val="24"/>
          <w:szCs w:val="24"/>
        </w:rPr>
        <w:t>Poorten</w:t>
      </w:r>
      <w:proofErr w:type="spellEnd"/>
      <w:r w:rsidRPr="001E4D5A">
        <w:rPr>
          <w:rFonts w:ascii="Times New Roman" w:hAnsi="Times New Roman" w:cs="Times New Roman"/>
          <w:sz w:val="24"/>
          <w:szCs w:val="24"/>
        </w:rPr>
        <w:t xml:space="preserve"> V, et al. Current management of xerostomia in head and neck cancer patients. Am J Otolaryngol. 2023;44(4):103867.</w:t>
      </w:r>
    </w:p>
    <w:p w14:paraId="211EC23A" w14:textId="77777777" w:rsidR="001E4D5A"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1E4D5A">
        <w:rPr>
          <w:rFonts w:ascii="Times New Roman" w:hAnsi="Times New Roman" w:cs="Times New Roman"/>
          <w:sz w:val="24"/>
          <w:szCs w:val="24"/>
        </w:rPr>
        <w:t xml:space="preserve">Mercadante V, Jensen SB, Smith DK, Bohlke K, Bauman J, Brennan MT, et al. Salivary gland hypofunction and/or xerostomia induced by nonsurgical cancer therapies: </w:t>
      </w:r>
      <w:r w:rsidRPr="001E4D5A">
        <w:rPr>
          <w:rFonts w:ascii="Times New Roman" w:hAnsi="Times New Roman" w:cs="Times New Roman"/>
          <w:sz w:val="24"/>
          <w:szCs w:val="24"/>
        </w:rPr>
        <w:lastRenderedPageBreak/>
        <w:t>ISOO/MASCC/ASCO guideline. J Clin Oncol. 2021;39(25):2825-2843. doi:10.1200/JCO.21.01208</w:t>
      </w:r>
    </w:p>
    <w:p w14:paraId="3C5850CE"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1E4D5A">
        <w:rPr>
          <w:rFonts w:ascii="Times New Roman" w:hAnsi="Times New Roman" w:cs="Times New Roman"/>
          <w:sz w:val="24"/>
          <w:szCs w:val="24"/>
        </w:rPr>
        <w:t>Louzeiro</w:t>
      </w:r>
      <w:proofErr w:type="spellEnd"/>
      <w:r w:rsidRPr="001E4D5A">
        <w:rPr>
          <w:rFonts w:ascii="Times New Roman" w:hAnsi="Times New Roman" w:cs="Times New Roman"/>
          <w:sz w:val="24"/>
          <w:szCs w:val="24"/>
        </w:rPr>
        <w:t xml:space="preserve"> GC, Cherubini K, de Figueiredo MAZ, Salum FG. Effect of </w:t>
      </w:r>
      <w:proofErr w:type="spellStart"/>
      <w:r w:rsidRPr="001E4D5A">
        <w:rPr>
          <w:rFonts w:ascii="Times New Roman" w:hAnsi="Times New Roman" w:cs="Times New Roman"/>
          <w:sz w:val="24"/>
          <w:szCs w:val="24"/>
        </w:rPr>
        <w:t>photobiomodulation</w:t>
      </w:r>
      <w:proofErr w:type="spellEnd"/>
      <w:r w:rsidRPr="001E4D5A">
        <w:rPr>
          <w:rFonts w:ascii="Times New Roman" w:hAnsi="Times New Roman" w:cs="Times New Roman"/>
          <w:sz w:val="24"/>
          <w:szCs w:val="24"/>
        </w:rPr>
        <w:t xml:space="preserve"> on radiotherapy-induced xerostomia and hyposalivation: A systematic review and meta-analysis. Support Care Cancer. 2020;28(6):2911-2921.</w:t>
      </w:r>
    </w:p>
    <w:p w14:paraId="3C4425F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Yang WF, Liao GQ, Hakim SG, Ouyang DQ, </w:t>
      </w:r>
      <w:proofErr w:type="spellStart"/>
      <w:r w:rsidRPr="002974E2">
        <w:rPr>
          <w:rFonts w:ascii="Times New Roman" w:hAnsi="Times New Roman" w:cs="Times New Roman"/>
          <w:sz w:val="24"/>
          <w:szCs w:val="24"/>
        </w:rPr>
        <w:t>Ringash</w:t>
      </w:r>
      <w:proofErr w:type="spellEnd"/>
      <w:r w:rsidRPr="002974E2">
        <w:rPr>
          <w:rFonts w:ascii="Times New Roman" w:hAnsi="Times New Roman" w:cs="Times New Roman"/>
          <w:sz w:val="24"/>
          <w:szCs w:val="24"/>
        </w:rPr>
        <w:t xml:space="preserve"> J, Su YX. Is pilocarpine effective in preventing radiation-induced xerostomia? A systematic review and meta-analysis. Int J </w:t>
      </w:r>
      <w:proofErr w:type="spellStart"/>
      <w:r w:rsidRPr="002974E2">
        <w:rPr>
          <w:rFonts w:ascii="Times New Roman" w:hAnsi="Times New Roman" w:cs="Times New Roman"/>
          <w:sz w:val="24"/>
          <w:szCs w:val="24"/>
        </w:rPr>
        <w:t>Radiat</w:t>
      </w:r>
      <w:proofErr w:type="spellEnd"/>
      <w:r w:rsidRPr="002974E2">
        <w:rPr>
          <w:rFonts w:ascii="Times New Roman" w:hAnsi="Times New Roman" w:cs="Times New Roman"/>
          <w:sz w:val="24"/>
          <w:szCs w:val="24"/>
        </w:rPr>
        <w:t xml:space="preserve"> Oncol Biol Phys. 2016;95(2):591-599.</w:t>
      </w:r>
    </w:p>
    <w:p w14:paraId="3BBE7FD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Gu J, Zhu S, Li X, Wu H, Li Y, Hua F. Effect of </w:t>
      </w:r>
      <w:proofErr w:type="spellStart"/>
      <w:r w:rsidRPr="002974E2">
        <w:rPr>
          <w:rFonts w:ascii="Times New Roman" w:hAnsi="Times New Roman" w:cs="Times New Roman"/>
          <w:sz w:val="24"/>
          <w:szCs w:val="24"/>
        </w:rPr>
        <w:t>amifostine</w:t>
      </w:r>
      <w:proofErr w:type="spellEnd"/>
      <w:r w:rsidRPr="002974E2">
        <w:rPr>
          <w:rFonts w:ascii="Times New Roman" w:hAnsi="Times New Roman" w:cs="Times New Roman"/>
          <w:sz w:val="24"/>
          <w:szCs w:val="24"/>
        </w:rPr>
        <w:t xml:space="preserve"> in head and neck cancer patients treated with radiotherapy: A systematic review and meta-analysis. </w:t>
      </w:r>
      <w:proofErr w:type="spellStart"/>
      <w:r w:rsidRPr="002974E2">
        <w:rPr>
          <w:rFonts w:ascii="Times New Roman" w:hAnsi="Times New Roman" w:cs="Times New Roman"/>
          <w:sz w:val="24"/>
          <w:szCs w:val="24"/>
        </w:rPr>
        <w:t>PLoS</w:t>
      </w:r>
      <w:proofErr w:type="spellEnd"/>
      <w:r w:rsidRPr="002974E2">
        <w:rPr>
          <w:rFonts w:ascii="Times New Roman" w:hAnsi="Times New Roman" w:cs="Times New Roman"/>
          <w:sz w:val="24"/>
          <w:szCs w:val="24"/>
        </w:rPr>
        <w:t xml:space="preserve"> One. 2014;9(5):e95968. doi:10.1371/journal.pone.0095968</w:t>
      </w:r>
    </w:p>
    <w:p w14:paraId="598EB01A"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Nakamura DM, Pinto H da G, Elchin CB, Berard LT, Alves FA, Antunes LAA, Coto NP. Efficacy of bethanechol chloride in the treatment of radiation-induced xerostomia in patients with head and neck cancer. </w:t>
      </w:r>
      <w:proofErr w:type="spellStart"/>
      <w:r w:rsidRPr="002974E2">
        <w:rPr>
          <w:rFonts w:ascii="Times New Roman" w:hAnsi="Times New Roman" w:cs="Times New Roman"/>
          <w:sz w:val="24"/>
          <w:szCs w:val="24"/>
        </w:rPr>
        <w:t>Radiother</w:t>
      </w:r>
      <w:proofErr w:type="spellEnd"/>
      <w:r w:rsidRPr="002974E2">
        <w:rPr>
          <w:rFonts w:ascii="Times New Roman" w:hAnsi="Times New Roman" w:cs="Times New Roman"/>
          <w:sz w:val="24"/>
          <w:szCs w:val="24"/>
        </w:rPr>
        <w:t xml:space="preserve"> Oncol. 2023. doi:10.1016/j.radonc.2023.109715</w:t>
      </w:r>
    </w:p>
    <w:p w14:paraId="00106C83"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Ni X, Tian T, Chen D, Liu Y, Li H. Acupuncture for radiation-induced xerostomia in cancer patients: A systematic review and meta-analysis. </w:t>
      </w:r>
      <w:proofErr w:type="spellStart"/>
      <w:r w:rsidRPr="002974E2">
        <w:rPr>
          <w:rFonts w:ascii="Times New Roman" w:hAnsi="Times New Roman" w:cs="Times New Roman"/>
          <w:sz w:val="24"/>
          <w:szCs w:val="24"/>
        </w:rPr>
        <w:t>Integr</w:t>
      </w:r>
      <w:proofErr w:type="spellEnd"/>
      <w:r w:rsidRPr="002974E2">
        <w:rPr>
          <w:rFonts w:ascii="Times New Roman" w:hAnsi="Times New Roman" w:cs="Times New Roman"/>
          <w:sz w:val="24"/>
          <w:szCs w:val="24"/>
        </w:rPr>
        <w:t xml:space="preserve"> Cancer Ther. 2020;19:1534735420980825. doi:10.1177/1534735420980825</w:t>
      </w:r>
    </w:p>
    <w:p w14:paraId="31BF0AEF"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Tsai RY, Lin SY, Chen CC, Hsiao Y. Efficacy of acupuncture in managing radiation-induced xerostomia: An updated meta-analysis. Int J Med Sci. 2025;22(11):2802-2815. doi:10.7150/ijms.110366</w:t>
      </w:r>
    </w:p>
    <w:p w14:paraId="5C68225C"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Cohen L, Garcia MK, Lee R, Haddad R, Lee NY, Chen YH, Rosenthal DI. Acupuncture for chronic radiation-induced xerostomia in head and neck cancer: A multicenter randomized clinical trial. JAMA </w:t>
      </w:r>
      <w:proofErr w:type="spellStart"/>
      <w:r w:rsidRPr="002974E2">
        <w:rPr>
          <w:rFonts w:ascii="Times New Roman" w:hAnsi="Times New Roman" w:cs="Times New Roman"/>
          <w:sz w:val="24"/>
          <w:szCs w:val="24"/>
        </w:rPr>
        <w:t>Netw</w:t>
      </w:r>
      <w:proofErr w:type="spellEnd"/>
      <w:r w:rsidRPr="002974E2">
        <w:rPr>
          <w:rFonts w:ascii="Times New Roman" w:hAnsi="Times New Roman" w:cs="Times New Roman"/>
          <w:sz w:val="24"/>
          <w:szCs w:val="24"/>
        </w:rPr>
        <w:t xml:space="preserve"> Open. 2024;7(5):e248725. doi:10.1001/jamanetworkopen.2024.8725</w:t>
      </w:r>
    </w:p>
    <w:p w14:paraId="0018856D" w14:textId="77777777" w:rsidR="002974E2" w:rsidRDefault="002974E2"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Shrateh</w:t>
      </w:r>
      <w:proofErr w:type="spellEnd"/>
      <w:r w:rsidRPr="002974E2">
        <w:rPr>
          <w:rFonts w:ascii="Times New Roman" w:hAnsi="Times New Roman" w:cs="Times New Roman"/>
          <w:sz w:val="24"/>
          <w:szCs w:val="24"/>
        </w:rPr>
        <w:t xml:space="preserve"> ON, Habib A, Ur Rehman Shamsi H, et al. Treatment options for radiation-induced xerostomia in patients with head and neck cancer: a systematic review and meta-analysis. British Journal of Oral and Maxillofacial Surgery. doi:10.1016/j.bjoms.2025.10.003</w:t>
      </w:r>
    </w:p>
    <w:p w14:paraId="1D03FE53" w14:textId="00455D4A"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Page MJ, McKenzie JE, Bossuyt PM, </w:t>
      </w:r>
      <w:proofErr w:type="spellStart"/>
      <w:r w:rsidRPr="002974E2">
        <w:rPr>
          <w:rFonts w:ascii="Times New Roman" w:hAnsi="Times New Roman" w:cs="Times New Roman"/>
          <w:sz w:val="24"/>
          <w:szCs w:val="24"/>
        </w:rPr>
        <w:t>Boutron</w:t>
      </w:r>
      <w:proofErr w:type="spellEnd"/>
      <w:r w:rsidRPr="002974E2">
        <w:rPr>
          <w:rFonts w:ascii="Times New Roman" w:hAnsi="Times New Roman" w:cs="Times New Roman"/>
          <w:sz w:val="24"/>
          <w:szCs w:val="24"/>
        </w:rPr>
        <w:t xml:space="preserve"> I, Hoffmann TC, Mulrow CD, et al. The PRISMA 2020 statement: An updated guideline for reporting systematic reviews. BMJ. 2021;372:n71. doi:10.1136/bmj.n71</w:t>
      </w:r>
    </w:p>
    <w:p w14:paraId="57676265"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Higgins JPT, Thomas J, Chandler J, Cumpston M, Li T, Page MJ, Welch VA, editors. Cochrane handbook for systematic reviews of interventions. Version 6.5. Cochrane; 2024.</w:t>
      </w:r>
    </w:p>
    <w:p w14:paraId="5682AD3D"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Charalambous A, </w:t>
      </w:r>
      <w:proofErr w:type="spellStart"/>
      <w:r w:rsidRPr="002974E2">
        <w:rPr>
          <w:rFonts w:ascii="Times New Roman" w:hAnsi="Times New Roman" w:cs="Times New Roman"/>
          <w:sz w:val="24"/>
          <w:szCs w:val="24"/>
        </w:rPr>
        <w:t>Lambrinou</w:t>
      </w:r>
      <w:proofErr w:type="spellEnd"/>
      <w:r w:rsidRPr="002974E2">
        <w:rPr>
          <w:rFonts w:ascii="Times New Roman" w:hAnsi="Times New Roman" w:cs="Times New Roman"/>
          <w:sz w:val="24"/>
          <w:szCs w:val="24"/>
        </w:rPr>
        <w:t xml:space="preserve"> E, </w:t>
      </w:r>
      <w:proofErr w:type="spellStart"/>
      <w:r w:rsidRPr="002974E2">
        <w:rPr>
          <w:rFonts w:ascii="Times New Roman" w:hAnsi="Times New Roman" w:cs="Times New Roman"/>
          <w:sz w:val="24"/>
          <w:szCs w:val="24"/>
        </w:rPr>
        <w:t>Katodritis</w:t>
      </w:r>
      <w:proofErr w:type="spellEnd"/>
      <w:r w:rsidRPr="002974E2">
        <w:rPr>
          <w:rFonts w:ascii="Times New Roman" w:hAnsi="Times New Roman" w:cs="Times New Roman"/>
          <w:sz w:val="24"/>
          <w:szCs w:val="24"/>
        </w:rPr>
        <w:t xml:space="preserve"> N, </w:t>
      </w:r>
      <w:proofErr w:type="spellStart"/>
      <w:r w:rsidRPr="002974E2">
        <w:rPr>
          <w:rFonts w:ascii="Times New Roman" w:hAnsi="Times New Roman" w:cs="Times New Roman"/>
          <w:sz w:val="24"/>
          <w:szCs w:val="24"/>
        </w:rPr>
        <w:t>Vomvas</w:t>
      </w:r>
      <w:proofErr w:type="spellEnd"/>
      <w:r w:rsidRPr="002974E2">
        <w:rPr>
          <w:rFonts w:ascii="Times New Roman" w:hAnsi="Times New Roman" w:cs="Times New Roman"/>
          <w:sz w:val="24"/>
          <w:szCs w:val="24"/>
        </w:rPr>
        <w:t xml:space="preserve"> D, Raftopoulos V, Georgiou M, et al. The effectiveness of thyme honey for the management of treatment-induced xerostomia in head and neck cancer patients: A feasibility randomized control trial. </w:t>
      </w:r>
      <w:proofErr w:type="spellStart"/>
      <w:r w:rsidRPr="002974E2">
        <w:rPr>
          <w:rFonts w:ascii="Times New Roman" w:hAnsi="Times New Roman" w:cs="Times New Roman"/>
          <w:sz w:val="24"/>
          <w:szCs w:val="24"/>
        </w:rPr>
        <w:t>Eur</w:t>
      </w:r>
      <w:proofErr w:type="spellEnd"/>
      <w:r w:rsidRPr="002974E2">
        <w:rPr>
          <w:rFonts w:ascii="Times New Roman" w:hAnsi="Times New Roman" w:cs="Times New Roman"/>
          <w:sz w:val="24"/>
          <w:szCs w:val="24"/>
        </w:rPr>
        <w:t xml:space="preserve"> J Oncol Nurs. 2017;27:1-8. doi:10.1016/j.ejon.2017.01.001</w:t>
      </w:r>
    </w:p>
    <w:p w14:paraId="5FF7B561"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Paim ÉD, Zanella VG, Martins VB, </w:t>
      </w:r>
      <w:proofErr w:type="spellStart"/>
      <w:r w:rsidRPr="002974E2">
        <w:rPr>
          <w:rFonts w:ascii="Times New Roman" w:hAnsi="Times New Roman" w:cs="Times New Roman"/>
          <w:sz w:val="24"/>
          <w:szCs w:val="24"/>
        </w:rPr>
        <w:t>Macagnan</w:t>
      </w:r>
      <w:proofErr w:type="spellEnd"/>
      <w:r w:rsidRPr="002974E2">
        <w:rPr>
          <w:rFonts w:ascii="Times New Roman" w:hAnsi="Times New Roman" w:cs="Times New Roman"/>
          <w:sz w:val="24"/>
          <w:szCs w:val="24"/>
        </w:rPr>
        <w:t xml:space="preserve"> FE, Berbert MCB. Effects of transcutaneous electrical nerve stimulation on the salivary flow of patients with hyposalivation induced by radiotherapy in the head and neck region: A randomized clinical trial. J Oral Rehabil. 2019;46(12):1142-1150. doi:10.1111/joor.12851</w:t>
      </w:r>
    </w:p>
    <w:p w14:paraId="4E06A2B4"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Nuchit</w:t>
      </w:r>
      <w:proofErr w:type="spellEnd"/>
      <w:r w:rsidRPr="002974E2">
        <w:rPr>
          <w:rFonts w:ascii="Times New Roman" w:hAnsi="Times New Roman" w:cs="Times New Roman"/>
          <w:sz w:val="24"/>
          <w:szCs w:val="24"/>
        </w:rPr>
        <w:t xml:space="preserve"> S, Lam-Ubol A, </w:t>
      </w:r>
      <w:proofErr w:type="spellStart"/>
      <w:r w:rsidRPr="002974E2">
        <w:rPr>
          <w:rFonts w:ascii="Times New Roman" w:hAnsi="Times New Roman" w:cs="Times New Roman"/>
          <w:sz w:val="24"/>
          <w:szCs w:val="24"/>
        </w:rPr>
        <w:t>Paemuang</w:t>
      </w:r>
      <w:proofErr w:type="spellEnd"/>
      <w:r w:rsidRPr="002974E2">
        <w:rPr>
          <w:rFonts w:ascii="Times New Roman" w:hAnsi="Times New Roman" w:cs="Times New Roman"/>
          <w:sz w:val="24"/>
          <w:szCs w:val="24"/>
        </w:rPr>
        <w:t xml:space="preserve"> W, </w:t>
      </w:r>
      <w:proofErr w:type="spellStart"/>
      <w:r w:rsidRPr="002974E2">
        <w:rPr>
          <w:rFonts w:ascii="Times New Roman" w:hAnsi="Times New Roman" w:cs="Times New Roman"/>
          <w:sz w:val="24"/>
          <w:szCs w:val="24"/>
        </w:rPr>
        <w:t>Talungchit</w:t>
      </w:r>
      <w:proofErr w:type="spellEnd"/>
      <w:r w:rsidRPr="002974E2">
        <w:rPr>
          <w:rFonts w:ascii="Times New Roman" w:hAnsi="Times New Roman" w:cs="Times New Roman"/>
          <w:sz w:val="24"/>
          <w:szCs w:val="24"/>
        </w:rPr>
        <w:t xml:space="preserve"> S, </w:t>
      </w:r>
      <w:proofErr w:type="spellStart"/>
      <w:r w:rsidRPr="002974E2">
        <w:rPr>
          <w:rFonts w:ascii="Times New Roman" w:hAnsi="Times New Roman" w:cs="Times New Roman"/>
          <w:sz w:val="24"/>
          <w:szCs w:val="24"/>
        </w:rPr>
        <w:t>Chokchaitam</w:t>
      </w:r>
      <w:proofErr w:type="spellEnd"/>
      <w:r w:rsidRPr="002974E2">
        <w:rPr>
          <w:rFonts w:ascii="Times New Roman" w:hAnsi="Times New Roman" w:cs="Times New Roman"/>
          <w:sz w:val="24"/>
          <w:szCs w:val="24"/>
        </w:rPr>
        <w:t xml:space="preserve"> O, </w:t>
      </w:r>
      <w:proofErr w:type="spellStart"/>
      <w:r w:rsidRPr="002974E2">
        <w:rPr>
          <w:rFonts w:ascii="Times New Roman" w:hAnsi="Times New Roman" w:cs="Times New Roman"/>
          <w:sz w:val="24"/>
          <w:szCs w:val="24"/>
        </w:rPr>
        <w:t>Mungkung</w:t>
      </w:r>
      <w:proofErr w:type="spellEnd"/>
      <w:r w:rsidRPr="002974E2">
        <w:rPr>
          <w:rFonts w:ascii="Times New Roman" w:hAnsi="Times New Roman" w:cs="Times New Roman"/>
          <w:sz w:val="24"/>
          <w:szCs w:val="24"/>
        </w:rPr>
        <w:t xml:space="preserve"> O, et al. Alleviation of dry mouth by saliva substitutes improved swallowing ability and clinical nutritional status of post-radiotherapy head and neck cancer patients: A randomized </w:t>
      </w:r>
      <w:r w:rsidRPr="002974E2">
        <w:rPr>
          <w:rFonts w:ascii="Times New Roman" w:hAnsi="Times New Roman" w:cs="Times New Roman"/>
          <w:sz w:val="24"/>
          <w:szCs w:val="24"/>
        </w:rPr>
        <w:lastRenderedPageBreak/>
        <w:t>controlled trial. Support Care Cancer. 2020;28(6):2817-2828. doi:10.1007/s00520-019-05132-1</w:t>
      </w:r>
    </w:p>
    <w:p w14:paraId="6EAC1A38"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Marimuthu D, Han KM, Mohamad MSF, Azman M. Saliva substitute mouthwash in nasopharyngeal cancer survivors with xerostomia: A randomized controlled trial. Clin Oral </w:t>
      </w:r>
      <w:proofErr w:type="spellStart"/>
      <w:r w:rsidRPr="002974E2">
        <w:rPr>
          <w:rFonts w:ascii="Times New Roman" w:hAnsi="Times New Roman" w:cs="Times New Roman"/>
          <w:sz w:val="24"/>
          <w:szCs w:val="24"/>
        </w:rPr>
        <w:t>Investig</w:t>
      </w:r>
      <w:proofErr w:type="spellEnd"/>
      <w:r w:rsidRPr="002974E2">
        <w:rPr>
          <w:rFonts w:ascii="Times New Roman" w:hAnsi="Times New Roman" w:cs="Times New Roman"/>
          <w:sz w:val="24"/>
          <w:szCs w:val="24"/>
        </w:rPr>
        <w:t>. 2021;25(5):3105-3115. doi:10.1007/s00784-020-03634-5</w:t>
      </w:r>
    </w:p>
    <w:p w14:paraId="3B5CCE18"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Menezes AS da S, Sanches GLG, Gomes ESB, Soares RG, Durães CP, Fonseca LL, et al. The combination of traditional and auricular acupuncture to prevent xerostomia and anxiety in irradiated patients with HNSCC: A preventive, parallel, single-blind, 2-arm controlled study. Oral Surg Oral Med Oral </w:t>
      </w:r>
      <w:proofErr w:type="spellStart"/>
      <w:r w:rsidRPr="002974E2">
        <w:rPr>
          <w:rFonts w:ascii="Times New Roman" w:hAnsi="Times New Roman" w:cs="Times New Roman"/>
          <w:sz w:val="24"/>
          <w:szCs w:val="24"/>
        </w:rPr>
        <w:t>Pathol</w:t>
      </w:r>
      <w:proofErr w:type="spellEnd"/>
      <w:r w:rsidRPr="002974E2">
        <w:rPr>
          <w:rFonts w:ascii="Times New Roman" w:hAnsi="Times New Roman" w:cs="Times New Roman"/>
          <w:sz w:val="24"/>
          <w:szCs w:val="24"/>
        </w:rPr>
        <w:t xml:space="preserve"> Oral </w:t>
      </w:r>
      <w:proofErr w:type="spellStart"/>
      <w:r w:rsidRPr="002974E2">
        <w:rPr>
          <w:rFonts w:ascii="Times New Roman" w:hAnsi="Times New Roman" w:cs="Times New Roman"/>
          <w:sz w:val="24"/>
          <w:szCs w:val="24"/>
        </w:rPr>
        <w:t>Radiol</w:t>
      </w:r>
      <w:proofErr w:type="spellEnd"/>
      <w:r w:rsidRPr="002974E2">
        <w:rPr>
          <w:rFonts w:ascii="Times New Roman" w:hAnsi="Times New Roman" w:cs="Times New Roman"/>
          <w:sz w:val="24"/>
          <w:szCs w:val="24"/>
        </w:rPr>
        <w:t>. 2021;131(6):675-683. doi:10.1016/j.oooo.2021.02.016</w:t>
      </w:r>
    </w:p>
    <w:p w14:paraId="7E6370F5"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Piboonratanakit</w:t>
      </w:r>
      <w:proofErr w:type="spellEnd"/>
      <w:r w:rsidRPr="002974E2">
        <w:rPr>
          <w:rFonts w:ascii="Times New Roman" w:hAnsi="Times New Roman" w:cs="Times New Roman"/>
          <w:sz w:val="24"/>
          <w:szCs w:val="24"/>
        </w:rPr>
        <w:t xml:space="preserve"> P, Ferreira JN, </w:t>
      </w:r>
      <w:proofErr w:type="spellStart"/>
      <w:r w:rsidRPr="002974E2">
        <w:rPr>
          <w:rFonts w:ascii="Times New Roman" w:hAnsi="Times New Roman" w:cs="Times New Roman"/>
          <w:sz w:val="24"/>
          <w:szCs w:val="24"/>
        </w:rPr>
        <w:t>Pravinvongvuthi</w:t>
      </w:r>
      <w:proofErr w:type="spellEnd"/>
      <w:r w:rsidRPr="002974E2">
        <w:rPr>
          <w:rFonts w:ascii="Times New Roman" w:hAnsi="Times New Roman" w:cs="Times New Roman"/>
          <w:sz w:val="24"/>
          <w:szCs w:val="24"/>
        </w:rPr>
        <w:t xml:space="preserve"> K, Maison K, </w:t>
      </w:r>
      <w:proofErr w:type="spellStart"/>
      <w:r w:rsidRPr="002974E2">
        <w:rPr>
          <w:rFonts w:ascii="Times New Roman" w:hAnsi="Times New Roman" w:cs="Times New Roman"/>
          <w:sz w:val="24"/>
          <w:szCs w:val="24"/>
        </w:rPr>
        <w:t>Urkasemsin</w:t>
      </w:r>
      <w:proofErr w:type="spellEnd"/>
      <w:r w:rsidRPr="002974E2">
        <w:rPr>
          <w:rFonts w:ascii="Times New Roman" w:hAnsi="Times New Roman" w:cs="Times New Roman"/>
          <w:sz w:val="24"/>
          <w:szCs w:val="24"/>
        </w:rPr>
        <w:t xml:space="preserve"> G, </w:t>
      </w:r>
      <w:proofErr w:type="spellStart"/>
      <w:r w:rsidRPr="002974E2">
        <w:rPr>
          <w:rFonts w:ascii="Times New Roman" w:hAnsi="Times New Roman" w:cs="Times New Roman"/>
          <w:sz w:val="24"/>
          <w:szCs w:val="24"/>
        </w:rPr>
        <w:t>Boonroung</w:t>
      </w:r>
      <w:proofErr w:type="spellEnd"/>
      <w:r w:rsidRPr="002974E2">
        <w:rPr>
          <w:rFonts w:ascii="Times New Roman" w:hAnsi="Times New Roman" w:cs="Times New Roman"/>
          <w:sz w:val="24"/>
          <w:szCs w:val="24"/>
        </w:rPr>
        <w:t xml:space="preserve"> T, et al. Trehalose versus carboxymethylcellulose oral spray for relieving radiation-induced xerostomia in head and neck cancer patients: A randomized controlled trial. BMC Oral Health. 2023;23:288. doi:10.1186/s12903-023-02966-4</w:t>
      </w:r>
    </w:p>
    <w:p w14:paraId="1C1827D4"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Rupe C, Basco A, Gioco G, </w:t>
      </w:r>
      <w:proofErr w:type="spellStart"/>
      <w:r w:rsidRPr="002974E2">
        <w:rPr>
          <w:rFonts w:ascii="Times New Roman" w:hAnsi="Times New Roman" w:cs="Times New Roman"/>
          <w:sz w:val="24"/>
          <w:szCs w:val="24"/>
        </w:rPr>
        <w:t>Patini</w:t>
      </w:r>
      <w:proofErr w:type="spellEnd"/>
      <w:r w:rsidRPr="002974E2">
        <w:rPr>
          <w:rFonts w:ascii="Times New Roman" w:hAnsi="Times New Roman" w:cs="Times New Roman"/>
          <w:sz w:val="24"/>
          <w:szCs w:val="24"/>
        </w:rPr>
        <w:t xml:space="preserve"> R, Lucchese A, </w:t>
      </w:r>
      <w:proofErr w:type="spellStart"/>
      <w:r w:rsidRPr="002974E2">
        <w:rPr>
          <w:rFonts w:ascii="Times New Roman" w:hAnsi="Times New Roman" w:cs="Times New Roman"/>
          <w:sz w:val="24"/>
          <w:szCs w:val="24"/>
        </w:rPr>
        <w:t>Miccichè</w:t>
      </w:r>
      <w:proofErr w:type="spellEnd"/>
      <w:r w:rsidRPr="002974E2">
        <w:rPr>
          <w:rFonts w:ascii="Times New Roman" w:hAnsi="Times New Roman" w:cs="Times New Roman"/>
          <w:sz w:val="24"/>
          <w:szCs w:val="24"/>
        </w:rPr>
        <w:t xml:space="preserve"> F, </w:t>
      </w:r>
      <w:proofErr w:type="spellStart"/>
      <w:r w:rsidRPr="002974E2">
        <w:rPr>
          <w:rFonts w:ascii="Times New Roman" w:hAnsi="Times New Roman" w:cs="Times New Roman"/>
          <w:sz w:val="24"/>
          <w:szCs w:val="24"/>
        </w:rPr>
        <w:t>Massaccesi</w:t>
      </w:r>
      <w:proofErr w:type="spellEnd"/>
      <w:r w:rsidRPr="002974E2">
        <w:rPr>
          <w:rFonts w:ascii="Times New Roman" w:hAnsi="Times New Roman" w:cs="Times New Roman"/>
          <w:sz w:val="24"/>
          <w:szCs w:val="24"/>
        </w:rPr>
        <w:t xml:space="preserve"> M, </w:t>
      </w:r>
      <w:proofErr w:type="spellStart"/>
      <w:r w:rsidRPr="002974E2">
        <w:rPr>
          <w:rFonts w:ascii="Times New Roman" w:hAnsi="Times New Roman" w:cs="Times New Roman"/>
          <w:sz w:val="24"/>
          <w:szCs w:val="24"/>
        </w:rPr>
        <w:t>Lajolo</w:t>
      </w:r>
      <w:proofErr w:type="spellEnd"/>
      <w:r w:rsidRPr="002974E2">
        <w:rPr>
          <w:rFonts w:ascii="Times New Roman" w:hAnsi="Times New Roman" w:cs="Times New Roman"/>
          <w:sz w:val="24"/>
          <w:szCs w:val="24"/>
        </w:rPr>
        <w:t xml:space="preserve"> C. Sodium-hyaluronate mouthwash on radiotherapy-induced xerostomia: A </w:t>
      </w:r>
      <w:proofErr w:type="spellStart"/>
      <w:r w:rsidRPr="002974E2">
        <w:rPr>
          <w:rFonts w:ascii="Times New Roman" w:hAnsi="Times New Roman" w:cs="Times New Roman"/>
          <w:sz w:val="24"/>
          <w:szCs w:val="24"/>
        </w:rPr>
        <w:t>randomised</w:t>
      </w:r>
      <w:proofErr w:type="spellEnd"/>
      <w:r w:rsidRPr="002974E2">
        <w:rPr>
          <w:rFonts w:ascii="Times New Roman" w:hAnsi="Times New Roman" w:cs="Times New Roman"/>
          <w:sz w:val="24"/>
          <w:szCs w:val="24"/>
        </w:rPr>
        <w:t xml:space="preserve"> clinical trial. Support Care Cancer. 2023;31:644. doi:10.1007/s00520-023-08090-x</w:t>
      </w:r>
    </w:p>
    <w:p w14:paraId="7C04FB6A" w14:textId="77777777" w:rsid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proofErr w:type="spellStart"/>
      <w:r w:rsidRPr="002974E2">
        <w:rPr>
          <w:rFonts w:ascii="Times New Roman" w:hAnsi="Times New Roman" w:cs="Times New Roman"/>
          <w:sz w:val="24"/>
          <w:szCs w:val="24"/>
        </w:rPr>
        <w:t>Mosannen</w:t>
      </w:r>
      <w:proofErr w:type="spellEnd"/>
      <w:r w:rsidRPr="002974E2">
        <w:rPr>
          <w:rFonts w:ascii="Times New Roman" w:hAnsi="Times New Roman" w:cs="Times New Roman"/>
          <w:sz w:val="24"/>
          <w:szCs w:val="24"/>
        </w:rPr>
        <w:t xml:space="preserve"> Mozaffari P, </w:t>
      </w:r>
      <w:proofErr w:type="spellStart"/>
      <w:r w:rsidRPr="002974E2">
        <w:rPr>
          <w:rFonts w:ascii="Times New Roman" w:hAnsi="Times New Roman" w:cs="Times New Roman"/>
          <w:sz w:val="24"/>
          <w:szCs w:val="24"/>
        </w:rPr>
        <w:t>Delavarian</w:t>
      </w:r>
      <w:proofErr w:type="spellEnd"/>
      <w:r w:rsidRPr="002974E2">
        <w:rPr>
          <w:rFonts w:ascii="Times New Roman" w:hAnsi="Times New Roman" w:cs="Times New Roman"/>
          <w:sz w:val="24"/>
          <w:szCs w:val="24"/>
        </w:rPr>
        <w:t xml:space="preserve"> Z, </w:t>
      </w:r>
      <w:proofErr w:type="spellStart"/>
      <w:r w:rsidRPr="002974E2">
        <w:rPr>
          <w:rFonts w:ascii="Times New Roman" w:hAnsi="Times New Roman" w:cs="Times New Roman"/>
          <w:sz w:val="24"/>
          <w:szCs w:val="24"/>
        </w:rPr>
        <w:t>Fekrazad</w:t>
      </w:r>
      <w:proofErr w:type="spellEnd"/>
      <w:r w:rsidRPr="002974E2">
        <w:rPr>
          <w:rFonts w:ascii="Times New Roman" w:hAnsi="Times New Roman" w:cs="Times New Roman"/>
          <w:sz w:val="24"/>
          <w:szCs w:val="24"/>
        </w:rPr>
        <w:t xml:space="preserve"> R, Fani Pakdel A, Rashed </w:t>
      </w:r>
      <w:proofErr w:type="spellStart"/>
      <w:r w:rsidRPr="002974E2">
        <w:rPr>
          <w:rFonts w:ascii="Times New Roman" w:hAnsi="Times New Roman" w:cs="Times New Roman"/>
          <w:sz w:val="24"/>
          <w:szCs w:val="24"/>
        </w:rPr>
        <w:t>Mohassel</w:t>
      </w:r>
      <w:proofErr w:type="spellEnd"/>
      <w:r w:rsidRPr="002974E2">
        <w:rPr>
          <w:rFonts w:ascii="Times New Roman" w:hAnsi="Times New Roman" w:cs="Times New Roman"/>
          <w:sz w:val="24"/>
          <w:szCs w:val="24"/>
        </w:rPr>
        <w:t xml:space="preserve"> M, Shakeri MT, Ghazi A. Evaluation of the effect of </w:t>
      </w:r>
      <w:proofErr w:type="spellStart"/>
      <w:r w:rsidRPr="002974E2">
        <w:rPr>
          <w:rFonts w:ascii="Times New Roman" w:hAnsi="Times New Roman" w:cs="Times New Roman"/>
          <w:sz w:val="24"/>
          <w:szCs w:val="24"/>
        </w:rPr>
        <w:t>photobiomodulation</w:t>
      </w:r>
      <w:proofErr w:type="spellEnd"/>
      <w:r w:rsidRPr="002974E2">
        <w:rPr>
          <w:rFonts w:ascii="Times New Roman" w:hAnsi="Times New Roman" w:cs="Times New Roman"/>
          <w:sz w:val="24"/>
          <w:szCs w:val="24"/>
        </w:rPr>
        <w:t xml:space="preserve"> on radiation-induced xerostomia in head and neck cancer patients: A randomized clinical trial. J Lasers Med Sci. 2024;15:e4. doi:10.34172/jlms.2024.04</w:t>
      </w:r>
    </w:p>
    <w:p w14:paraId="0254AB98" w14:textId="450F6E3D" w:rsidR="001E4D5A" w:rsidRPr="002974E2" w:rsidRDefault="001E4D5A" w:rsidP="001E4D5A">
      <w:pPr>
        <w:pStyle w:val="ListParagraph"/>
        <w:numPr>
          <w:ilvl w:val="0"/>
          <w:numId w:val="2"/>
        </w:numPr>
        <w:spacing w:after="0"/>
        <w:ind w:left="567" w:hanging="567"/>
        <w:jc w:val="both"/>
        <w:rPr>
          <w:rFonts w:ascii="Times New Roman" w:hAnsi="Times New Roman" w:cs="Times New Roman"/>
          <w:sz w:val="24"/>
          <w:szCs w:val="24"/>
        </w:rPr>
      </w:pPr>
      <w:r w:rsidRPr="002974E2">
        <w:rPr>
          <w:rFonts w:ascii="Times New Roman" w:hAnsi="Times New Roman" w:cs="Times New Roman"/>
          <w:sz w:val="24"/>
          <w:szCs w:val="24"/>
        </w:rPr>
        <w:t xml:space="preserve">Mercadante V, Al Hamad A, McCaul J, Nutting C, Harrington K, Carnell D, et al. Salivary electrostimulation in the treatment of radiation therapy-induced xerostomia (LEONIDAS-2): A multicenter, randomized, double-masked, sham-controlled, phase 3 trial. Int J </w:t>
      </w:r>
      <w:proofErr w:type="spellStart"/>
      <w:r w:rsidRPr="002974E2">
        <w:rPr>
          <w:rFonts w:ascii="Times New Roman" w:hAnsi="Times New Roman" w:cs="Times New Roman"/>
          <w:sz w:val="24"/>
          <w:szCs w:val="24"/>
        </w:rPr>
        <w:t>Radiat</w:t>
      </w:r>
      <w:proofErr w:type="spellEnd"/>
      <w:r w:rsidRPr="002974E2">
        <w:rPr>
          <w:rFonts w:ascii="Times New Roman" w:hAnsi="Times New Roman" w:cs="Times New Roman"/>
          <w:sz w:val="24"/>
          <w:szCs w:val="24"/>
        </w:rPr>
        <w:t xml:space="preserve"> Oncol Biol Phys. 2024;118(1):142-153. doi:10.1016/j.ijrobp.2023.03.047</w:t>
      </w:r>
    </w:p>
    <w:p w14:paraId="22EE02D2" w14:textId="77777777" w:rsidR="002974E2" w:rsidRDefault="002974E2" w:rsidP="002974E2">
      <w:pPr>
        <w:rPr>
          <w:rFonts w:ascii="Times New Roman" w:hAnsi="Times New Roman" w:cs="Times New Roman"/>
          <w:b/>
          <w:bCs/>
          <w:sz w:val="24"/>
          <w:szCs w:val="24"/>
        </w:rPr>
      </w:pPr>
    </w:p>
    <w:p w14:paraId="2E163DAA" w14:textId="1095A508" w:rsidR="002974E2" w:rsidRDefault="002974E2" w:rsidP="002974E2">
      <w:pPr>
        <w:rPr>
          <w:rFonts w:ascii="Times New Roman" w:hAnsi="Times New Roman" w:cs="Times New Roman"/>
          <w:b/>
          <w:bCs/>
          <w:sz w:val="24"/>
          <w:szCs w:val="24"/>
        </w:rPr>
      </w:pPr>
      <w:r>
        <w:rPr>
          <w:rFonts w:ascii="Times New Roman" w:hAnsi="Times New Roman" w:cs="Times New Roman"/>
          <w:b/>
          <w:bCs/>
          <w:sz w:val="24"/>
          <w:szCs w:val="24"/>
        </w:rPr>
        <w:t>Tables</w:t>
      </w:r>
    </w:p>
    <w:p w14:paraId="32F4CA66" w14:textId="47C35A26" w:rsidR="006040DF" w:rsidRPr="00D51E35" w:rsidRDefault="00FB72FC" w:rsidP="002974E2">
      <w:pPr>
        <w:rPr>
          <w:rFonts w:ascii="Times New Roman" w:hAnsi="Times New Roman" w:cs="Times New Roman"/>
          <w:b/>
          <w:bCs/>
          <w:sz w:val="24"/>
          <w:szCs w:val="24"/>
        </w:rPr>
      </w:pPr>
      <w:r w:rsidRPr="00FB72FC">
        <w:rPr>
          <w:rFonts w:ascii="Times New Roman" w:hAnsi="Times New Roman" w:cs="Times New Roman"/>
          <w:b/>
          <w:bCs/>
          <w:sz w:val="24"/>
          <w:szCs w:val="24"/>
        </w:rPr>
        <w:t xml:space="preserve">Table 1. </w:t>
      </w:r>
      <w:r w:rsidRPr="002974E2">
        <w:rPr>
          <w:rFonts w:ascii="Times New Roman" w:hAnsi="Times New Roman" w:cs="Times New Roman"/>
          <w:sz w:val="24"/>
          <w:szCs w:val="24"/>
        </w:rPr>
        <w:t>Research PICO</w:t>
      </w:r>
    </w:p>
    <w:tbl>
      <w:tblPr>
        <w:tblW w:w="9350" w:type="dxa"/>
        <w:tblLook w:val="04A0" w:firstRow="1" w:lastRow="0" w:firstColumn="1" w:lastColumn="0" w:noHBand="0" w:noVBand="1"/>
      </w:tblPr>
      <w:tblGrid>
        <w:gridCol w:w="1696"/>
        <w:gridCol w:w="7654"/>
      </w:tblGrid>
      <w:tr w:rsidR="006040DF" w:rsidRPr="006040DF" w14:paraId="23113D49" w14:textId="77777777" w:rsidTr="006040DF">
        <w:trPr>
          <w:trHeight w:val="290"/>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697B01C4" w14:textId="6C3B48E1"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Component</w:t>
            </w:r>
          </w:p>
        </w:tc>
        <w:tc>
          <w:tcPr>
            <w:tcW w:w="7654" w:type="dxa"/>
            <w:tcBorders>
              <w:top w:val="single" w:sz="4" w:space="0" w:color="auto"/>
              <w:left w:val="nil"/>
              <w:bottom w:val="single" w:sz="4" w:space="0" w:color="auto"/>
              <w:right w:val="single" w:sz="4" w:space="0" w:color="auto"/>
            </w:tcBorders>
            <w:noWrap/>
            <w:vAlign w:val="center"/>
            <w:hideMark/>
          </w:tcPr>
          <w:p w14:paraId="2EFFB6B6" w14:textId="192E863C" w:rsidR="006040DF" w:rsidRPr="006040DF" w:rsidRDefault="00FB72FC" w:rsidP="00FB72FC">
            <w:pPr>
              <w:spacing w:after="0" w:line="240" w:lineRule="auto"/>
              <w:jc w:val="center"/>
              <w:rPr>
                <w:rFonts w:ascii="Times New Roman" w:eastAsia="Times New Roman" w:hAnsi="Times New Roman" w:cs="Times New Roman"/>
                <w:b/>
                <w:bCs/>
                <w:color w:val="000000"/>
                <w:kern w:val="0"/>
                <w:sz w:val="24"/>
                <w:szCs w:val="24"/>
                <w14:ligatures w14:val="none"/>
              </w:rPr>
            </w:pPr>
            <w:r w:rsidRPr="00FB72FC">
              <w:rPr>
                <w:rFonts w:ascii="Times New Roman" w:eastAsia="Times New Roman" w:hAnsi="Times New Roman" w:cs="Times New Roman"/>
                <w:b/>
                <w:bCs/>
                <w:color w:val="000000"/>
                <w:kern w:val="0"/>
                <w:sz w:val="24"/>
                <w:szCs w:val="24"/>
                <w14:ligatures w14:val="none"/>
              </w:rPr>
              <w:t>Description</w:t>
            </w:r>
          </w:p>
        </w:tc>
      </w:tr>
      <w:tr w:rsidR="006040DF" w:rsidRPr="006040DF" w14:paraId="6D2B078F"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6768D2D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 (</w:t>
            </w:r>
            <w:r w:rsidRPr="006040DF">
              <w:rPr>
                <w:rFonts w:ascii="Times New Roman" w:eastAsia="Times New Roman" w:hAnsi="Times New Roman" w:cs="Times New Roman"/>
                <w:i/>
                <w:iCs/>
                <w:color w:val="000000"/>
                <w:kern w:val="0"/>
                <w:sz w:val="24"/>
                <w:szCs w:val="24"/>
                <w14:ligatures w14:val="none"/>
              </w:rPr>
              <w:t>Population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3B6D5A39" w14:textId="366AB70A"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Head and neck cancer patients who are undergoing or have undergone radiotherapy, either radiotherapy alone or in combination with chemotherapy</w:t>
            </w:r>
            <w:r w:rsidR="006040DF" w:rsidRPr="006040DF">
              <w:rPr>
                <w:rFonts w:ascii="Times New Roman" w:eastAsia="Times New Roman" w:hAnsi="Times New Roman" w:cs="Times New Roman"/>
                <w:color w:val="000000"/>
                <w:kern w:val="0"/>
                <w:sz w:val="24"/>
                <w:szCs w:val="24"/>
                <w14:ligatures w14:val="none"/>
              </w:rPr>
              <w:t>.</w:t>
            </w:r>
          </w:p>
        </w:tc>
      </w:tr>
      <w:tr w:rsidR="006040DF" w:rsidRPr="006040DF" w14:paraId="336D2386"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26CDE466"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I (</w:t>
            </w:r>
            <w:r w:rsidRPr="006040DF">
              <w:rPr>
                <w:rFonts w:ascii="Times New Roman" w:eastAsia="Times New Roman" w:hAnsi="Times New Roman" w:cs="Times New Roman"/>
                <w:i/>
                <w:iCs/>
                <w:color w:val="000000"/>
                <w:kern w:val="0"/>
                <w:sz w:val="24"/>
                <w:szCs w:val="24"/>
                <w14:ligatures w14:val="none"/>
              </w:rPr>
              <w:t>Intervention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43BFE2D0" w14:textId="5F7F85C1"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 xml:space="preserve">Preventive and therapeutic interventions for xerostomia, such as pilocarpine, cevimeline, bethanechol, </w:t>
            </w:r>
            <w:proofErr w:type="spellStart"/>
            <w:r w:rsidRPr="00720322">
              <w:rPr>
                <w:rFonts w:ascii="Times New Roman" w:eastAsia="Times New Roman" w:hAnsi="Times New Roman" w:cs="Times New Roman"/>
                <w:color w:val="000000"/>
                <w:kern w:val="0"/>
                <w:sz w:val="24"/>
                <w:szCs w:val="24"/>
                <w14:ligatures w14:val="none"/>
              </w:rPr>
              <w:t>amifostine</w:t>
            </w:r>
            <w:proofErr w:type="spellEnd"/>
            <w:r w:rsidRPr="00720322">
              <w:rPr>
                <w:rFonts w:ascii="Times New Roman" w:eastAsia="Times New Roman" w:hAnsi="Times New Roman" w:cs="Times New Roman"/>
                <w:color w:val="000000"/>
                <w:kern w:val="0"/>
                <w:sz w:val="24"/>
                <w:szCs w:val="24"/>
                <w14:ligatures w14:val="none"/>
              </w:rPr>
              <w:t xml:space="preserve">, acupuncture, </w:t>
            </w:r>
            <w:proofErr w:type="spellStart"/>
            <w:r w:rsidRPr="00720322">
              <w:rPr>
                <w:rFonts w:ascii="Times New Roman" w:eastAsia="Times New Roman" w:hAnsi="Times New Roman" w:cs="Times New Roman"/>
                <w:color w:val="000000"/>
                <w:kern w:val="0"/>
                <w:sz w:val="24"/>
                <w:szCs w:val="24"/>
                <w14:ligatures w14:val="none"/>
              </w:rPr>
              <w:t>photobiomodulation</w:t>
            </w:r>
            <w:proofErr w:type="spellEnd"/>
            <w:r w:rsidRPr="00720322">
              <w:rPr>
                <w:rFonts w:ascii="Times New Roman" w:eastAsia="Times New Roman" w:hAnsi="Times New Roman" w:cs="Times New Roman"/>
                <w:color w:val="000000"/>
                <w:kern w:val="0"/>
                <w:sz w:val="24"/>
                <w:szCs w:val="24"/>
                <w14:ligatures w14:val="none"/>
              </w:rPr>
              <w:t xml:space="preserve"> therapy, intensity-modulated radiotherapy, saliva substitute, oral lubricant, submandibular gland transfer, and supportive oral care.</w:t>
            </w:r>
          </w:p>
        </w:tc>
      </w:tr>
      <w:tr w:rsidR="006040DF" w:rsidRPr="006040DF" w14:paraId="03218BC5"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7CF89CF9"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C (</w:t>
            </w:r>
            <w:r w:rsidRPr="006040DF">
              <w:rPr>
                <w:rFonts w:ascii="Times New Roman" w:eastAsia="Times New Roman" w:hAnsi="Times New Roman" w:cs="Times New Roman"/>
                <w:i/>
                <w:iCs/>
                <w:color w:val="000000"/>
                <w:kern w:val="0"/>
                <w:sz w:val="24"/>
                <w:szCs w:val="24"/>
                <w14:ligatures w14:val="none"/>
              </w:rPr>
              <w:t>Comparison</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68AAFFBB" w14:textId="349A26A6"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Placebo, sham intervention, standard care, standard oral hygiene, no intervention, or other comparator interventions.</w:t>
            </w:r>
          </w:p>
        </w:tc>
      </w:tr>
      <w:tr w:rsidR="006040DF" w:rsidRPr="006040DF" w14:paraId="30F728CE" w14:textId="77777777" w:rsidTr="006040DF">
        <w:trPr>
          <w:trHeight w:val="290"/>
        </w:trPr>
        <w:tc>
          <w:tcPr>
            <w:tcW w:w="1696" w:type="dxa"/>
            <w:tcBorders>
              <w:top w:val="nil"/>
              <w:left w:val="single" w:sz="4" w:space="0" w:color="auto"/>
              <w:bottom w:val="single" w:sz="4" w:space="0" w:color="auto"/>
              <w:right w:val="single" w:sz="4" w:space="0" w:color="auto"/>
            </w:tcBorders>
            <w:noWrap/>
            <w:vAlign w:val="center"/>
            <w:hideMark/>
          </w:tcPr>
          <w:p w14:paraId="38FBA815"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O (</w:t>
            </w:r>
            <w:r w:rsidRPr="006040DF">
              <w:rPr>
                <w:rFonts w:ascii="Times New Roman" w:eastAsia="Times New Roman" w:hAnsi="Times New Roman" w:cs="Times New Roman"/>
                <w:i/>
                <w:iCs/>
                <w:color w:val="000000"/>
                <w:kern w:val="0"/>
                <w:sz w:val="24"/>
                <w:szCs w:val="24"/>
                <w14:ligatures w14:val="none"/>
              </w:rPr>
              <w:t>Outcome</w:t>
            </w:r>
            <w:r w:rsidRPr="006040DF">
              <w:rPr>
                <w:rFonts w:ascii="Times New Roman" w:eastAsia="Times New Roman" w:hAnsi="Times New Roman" w:cs="Times New Roman"/>
                <w:color w:val="000000"/>
                <w:kern w:val="0"/>
                <w:sz w:val="24"/>
                <w:szCs w:val="24"/>
                <w14:ligatures w14:val="none"/>
              </w:rPr>
              <w:t>)</w:t>
            </w:r>
          </w:p>
        </w:tc>
        <w:tc>
          <w:tcPr>
            <w:tcW w:w="7654" w:type="dxa"/>
            <w:tcBorders>
              <w:top w:val="nil"/>
              <w:left w:val="nil"/>
              <w:bottom w:val="single" w:sz="4" w:space="0" w:color="auto"/>
              <w:right w:val="single" w:sz="4" w:space="0" w:color="auto"/>
            </w:tcBorders>
            <w:noWrap/>
            <w:vAlign w:val="center"/>
            <w:hideMark/>
          </w:tcPr>
          <w:p w14:paraId="296C0B38" w14:textId="32E2B683" w:rsidR="006040DF" w:rsidRPr="006040DF" w:rsidRDefault="00720322" w:rsidP="002974E2">
            <w:pPr>
              <w:spacing w:after="0" w:line="240" w:lineRule="auto"/>
              <w:rPr>
                <w:rFonts w:ascii="Times New Roman" w:eastAsia="Times New Roman" w:hAnsi="Times New Roman" w:cs="Times New Roman"/>
                <w:color w:val="000000"/>
                <w:kern w:val="0"/>
                <w:sz w:val="24"/>
                <w:szCs w:val="24"/>
                <w14:ligatures w14:val="none"/>
              </w:rPr>
            </w:pPr>
            <w:r w:rsidRPr="00720322">
              <w:rPr>
                <w:rFonts w:ascii="Times New Roman" w:eastAsia="Times New Roman" w:hAnsi="Times New Roman" w:cs="Times New Roman"/>
                <w:color w:val="000000"/>
                <w:kern w:val="0"/>
                <w:sz w:val="24"/>
                <w:szCs w:val="24"/>
                <w14:ligatures w14:val="none"/>
              </w:rPr>
              <w:t>Xerostomia, severity of xerostomia, improvement of dry mouth symptoms, reduction in severe xerostomia, stimulated and unstimulated salivary flow rates, quality of life, and adverse effects of the intervention.</w:t>
            </w:r>
          </w:p>
        </w:tc>
      </w:tr>
    </w:tbl>
    <w:p w14:paraId="31BD77E3" w14:textId="77777777" w:rsidR="00720322" w:rsidRDefault="00720322" w:rsidP="006040DF">
      <w:pPr>
        <w:ind w:firstLine="709"/>
        <w:jc w:val="both"/>
        <w:rPr>
          <w:rFonts w:ascii="Times New Roman" w:hAnsi="Times New Roman" w:cs="Times New Roman"/>
          <w:sz w:val="24"/>
          <w:szCs w:val="24"/>
        </w:rPr>
      </w:pPr>
    </w:p>
    <w:p w14:paraId="6307AEB9" w14:textId="30DAADED" w:rsidR="006040DF" w:rsidRPr="00D51E35" w:rsidRDefault="00D34758" w:rsidP="002974E2">
      <w:pPr>
        <w:rPr>
          <w:rFonts w:ascii="Times New Roman" w:hAnsi="Times New Roman" w:cs="Times New Roman"/>
          <w:b/>
          <w:bCs/>
          <w:sz w:val="24"/>
          <w:szCs w:val="24"/>
        </w:rPr>
      </w:pPr>
      <w:r w:rsidRPr="00D34758">
        <w:rPr>
          <w:rFonts w:ascii="Times New Roman" w:hAnsi="Times New Roman" w:cs="Times New Roman"/>
          <w:b/>
          <w:bCs/>
          <w:sz w:val="24"/>
          <w:szCs w:val="24"/>
        </w:rPr>
        <w:lastRenderedPageBreak/>
        <w:t xml:space="preserve">Table 2. </w:t>
      </w:r>
      <w:r w:rsidRPr="002974E2">
        <w:rPr>
          <w:rFonts w:ascii="Times New Roman" w:hAnsi="Times New Roman" w:cs="Times New Roman"/>
          <w:sz w:val="24"/>
          <w:szCs w:val="24"/>
        </w:rPr>
        <w:t>Number of Articles Based on Search Databases</w:t>
      </w:r>
    </w:p>
    <w:tbl>
      <w:tblPr>
        <w:tblW w:w="9350" w:type="dxa"/>
        <w:tblLook w:val="04A0" w:firstRow="1" w:lastRow="0" w:firstColumn="1" w:lastColumn="0" w:noHBand="0" w:noVBand="1"/>
      </w:tblPr>
      <w:tblGrid>
        <w:gridCol w:w="2102"/>
        <w:gridCol w:w="5782"/>
        <w:gridCol w:w="1466"/>
      </w:tblGrid>
      <w:tr w:rsidR="006040DF" w:rsidRPr="006040DF" w14:paraId="36699DBC" w14:textId="77777777" w:rsidTr="00D51E35">
        <w:trPr>
          <w:trHeight w:val="290"/>
        </w:trPr>
        <w:tc>
          <w:tcPr>
            <w:tcW w:w="1835" w:type="dxa"/>
            <w:tcBorders>
              <w:top w:val="single" w:sz="4" w:space="0" w:color="auto"/>
              <w:left w:val="single" w:sz="4" w:space="0" w:color="auto"/>
              <w:bottom w:val="single" w:sz="4" w:space="0" w:color="auto"/>
              <w:right w:val="single" w:sz="4" w:space="0" w:color="auto"/>
            </w:tcBorders>
            <w:noWrap/>
            <w:vAlign w:val="center"/>
            <w:hideMark/>
          </w:tcPr>
          <w:p w14:paraId="33147261" w14:textId="34FA0E40"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Database</w:t>
            </w:r>
          </w:p>
        </w:tc>
        <w:tc>
          <w:tcPr>
            <w:tcW w:w="6000" w:type="dxa"/>
            <w:tcBorders>
              <w:top w:val="single" w:sz="4" w:space="0" w:color="auto"/>
              <w:left w:val="nil"/>
              <w:bottom w:val="single" w:sz="4" w:space="0" w:color="auto"/>
              <w:right w:val="single" w:sz="4" w:space="0" w:color="auto"/>
            </w:tcBorders>
            <w:noWrap/>
            <w:vAlign w:val="center"/>
            <w:hideMark/>
          </w:tcPr>
          <w:p w14:paraId="3274CA3B" w14:textId="77777777" w:rsidR="006040DF" w:rsidRPr="006040DF" w:rsidRDefault="006040DF"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Keyword</w:t>
            </w:r>
          </w:p>
        </w:tc>
        <w:tc>
          <w:tcPr>
            <w:tcW w:w="1515" w:type="dxa"/>
            <w:tcBorders>
              <w:top w:val="single" w:sz="4" w:space="0" w:color="auto"/>
              <w:left w:val="nil"/>
              <w:bottom w:val="single" w:sz="4" w:space="0" w:color="auto"/>
              <w:right w:val="single" w:sz="4" w:space="0" w:color="auto"/>
            </w:tcBorders>
            <w:noWrap/>
            <w:vAlign w:val="center"/>
            <w:hideMark/>
          </w:tcPr>
          <w:p w14:paraId="457F0EDA" w14:textId="03947947" w:rsidR="006040DF" w:rsidRPr="006040DF" w:rsidRDefault="00D34758" w:rsidP="00D34758">
            <w:pPr>
              <w:spacing w:after="0" w:line="240" w:lineRule="auto"/>
              <w:jc w:val="center"/>
              <w:rPr>
                <w:rFonts w:ascii="Times New Roman" w:eastAsia="Times New Roman" w:hAnsi="Times New Roman" w:cs="Times New Roman"/>
                <w:b/>
                <w:bCs/>
                <w:color w:val="000000"/>
                <w:kern w:val="0"/>
                <w:sz w:val="24"/>
                <w:szCs w:val="24"/>
                <w14:ligatures w14:val="none"/>
              </w:rPr>
            </w:pPr>
            <w:r w:rsidRPr="00D34758">
              <w:rPr>
                <w:rFonts w:ascii="Times New Roman" w:eastAsia="Times New Roman" w:hAnsi="Times New Roman" w:cs="Times New Roman"/>
                <w:b/>
                <w:bCs/>
                <w:color w:val="000000"/>
                <w:kern w:val="0"/>
                <w:sz w:val="24"/>
                <w:szCs w:val="24"/>
                <w14:ligatures w14:val="none"/>
              </w:rPr>
              <w:t>Number of Articles</w:t>
            </w:r>
          </w:p>
        </w:tc>
      </w:tr>
      <w:tr w:rsidR="006040DF" w:rsidRPr="006040DF" w14:paraId="362AC955"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0CD4F54A"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PubMed/MEDLINE</w:t>
            </w:r>
          </w:p>
        </w:tc>
        <w:tc>
          <w:tcPr>
            <w:tcW w:w="6000" w:type="dxa"/>
            <w:tcBorders>
              <w:top w:val="nil"/>
              <w:left w:val="nil"/>
              <w:bottom w:val="single" w:sz="4" w:space="0" w:color="auto"/>
              <w:right w:val="single" w:sz="4" w:space="0" w:color="auto"/>
            </w:tcBorders>
            <w:noWrap/>
            <w:vAlign w:val="center"/>
            <w:hideMark/>
          </w:tcPr>
          <w:p w14:paraId="60D2D001"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(“head and neck cancer” OR “head and neck neoplasms” OR “oral cancer” OR “nasopharyngeal cancer” OR “oropharyngeal cancer”) AND (radiotherapy OR radiation OR “radiation therapy” OR chemoradiotherapy) AND (xerostomia OR “dry mouth” OR “salivary hypofunction” OR hyposalivation) AND (pilocarpine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OR “low-level laser therapy” OR “intensity-modulated radiotherapy” OR IMRT OR “saliva substitute” OR “oral lubricant” OR “submandibular gland transfer”) AND (“odds ratio” OR “confidence interval” OR “p value” OR trial OR intervention)</w:t>
            </w:r>
          </w:p>
        </w:tc>
        <w:tc>
          <w:tcPr>
            <w:tcW w:w="1515" w:type="dxa"/>
            <w:tcBorders>
              <w:top w:val="nil"/>
              <w:left w:val="nil"/>
              <w:bottom w:val="single" w:sz="4" w:space="0" w:color="auto"/>
              <w:right w:val="single" w:sz="4" w:space="0" w:color="auto"/>
            </w:tcBorders>
            <w:noWrap/>
            <w:vAlign w:val="center"/>
            <w:hideMark/>
          </w:tcPr>
          <w:p w14:paraId="12829214"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96</w:t>
            </w:r>
          </w:p>
        </w:tc>
      </w:tr>
      <w:tr w:rsidR="006040DF" w:rsidRPr="006040DF" w14:paraId="2B762DCF"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227A80F8"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Scopus</w:t>
            </w:r>
          </w:p>
        </w:tc>
        <w:tc>
          <w:tcPr>
            <w:tcW w:w="6000" w:type="dxa"/>
            <w:tcBorders>
              <w:top w:val="nil"/>
              <w:left w:val="nil"/>
              <w:bottom w:val="single" w:sz="4" w:space="0" w:color="auto"/>
              <w:right w:val="single" w:sz="4" w:space="0" w:color="auto"/>
            </w:tcBorders>
            <w:noWrap/>
            <w:vAlign w:val="center"/>
            <w:hideMark/>
          </w:tcPr>
          <w:p w14:paraId="50B281AF"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TITLE-ABS-KEY (“head and neck cancer” OR “head and neck neoplasm” OR “oral cancer” OR “nasopharyngeal cancer” OR “oropharyngeal cancer”) AND TITLE-ABS-KEY (radiotherapy OR radiation OR chemoradiotherapy) AND TITLE-ABS-KEY (xerostomia OR “dry mouth” OR hyposalivation OR “salivary gland hypofunction”) AND TITLE-ABS-KEY (pilocarpine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xml:space="preserve"> OR “low-level laser therapy” OR IMRT OR “saliva substitute” OR “oral lubricant”) AND PUBYEAR &gt; 2016</w:t>
            </w:r>
          </w:p>
        </w:tc>
        <w:tc>
          <w:tcPr>
            <w:tcW w:w="1515" w:type="dxa"/>
            <w:tcBorders>
              <w:top w:val="nil"/>
              <w:left w:val="nil"/>
              <w:bottom w:val="single" w:sz="4" w:space="0" w:color="auto"/>
              <w:right w:val="single" w:sz="4" w:space="0" w:color="auto"/>
            </w:tcBorders>
            <w:noWrap/>
            <w:vAlign w:val="center"/>
            <w:hideMark/>
          </w:tcPr>
          <w:p w14:paraId="6B25FD60"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118</w:t>
            </w:r>
          </w:p>
        </w:tc>
      </w:tr>
      <w:tr w:rsidR="006040DF" w:rsidRPr="006040DF" w14:paraId="2E82A5F9" w14:textId="77777777" w:rsidTr="00D51E35">
        <w:trPr>
          <w:trHeight w:val="290"/>
        </w:trPr>
        <w:tc>
          <w:tcPr>
            <w:tcW w:w="1835" w:type="dxa"/>
            <w:tcBorders>
              <w:top w:val="nil"/>
              <w:left w:val="single" w:sz="4" w:space="0" w:color="auto"/>
              <w:bottom w:val="single" w:sz="4" w:space="0" w:color="auto"/>
              <w:right w:val="single" w:sz="4" w:space="0" w:color="auto"/>
            </w:tcBorders>
            <w:noWrap/>
            <w:vAlign w:val="center"/>
            <w:hideMark/>
          </w:tcPr>
          <w:p w14:paraId="6FC82142" w14:textId="77777777" w:rsidR="006040DF" w:rsidRPr="006040DF" w:rsidRDefault="006040DF" w:rsidP="006040DF">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Web of Science</w:t>
            </w:r>
          </w:p>
        </w:tc>
        <w:tc>
          <w:tcPr>
            <w:tcW w:w="6000" w:type="dxa"/>
            <w:tcBorders>
              <w:top w:val="nil"/>
              <w:left w:val="nil"/>
              <w:bottom w:val="single" w:sz="4" w:space="0" w:color="auto"/>
              <w:right w:val="single" w:sz="4" w:space="0" w:color="auto"/>
            </w:tcBorders>
            <w:noWrap/>
            <w:vAlign w:val="center"/>
            <w:hideMark/>
          </w:tcPr>
          <w:p w14:paraId="6BB0D09E" w14:textId="77777777" w:rsidR="006040DF" w:rsidRPr="006040DF" w:rsidRDefault="006040DF" w:rsidP="002974E2">
            <w:pPr>
              <w:spacing w:after="0" w:line="240" w:lineRule="auto"/>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 xml:space="preserve">TS=(“head and neck cancer” OR “head and neck neoplasms” OR “oral cancer” OR “nasopharyngeal cancer” OR “oropharyngeal cancer”) AND TS=(radiotherapy OR radiation OR chemoradiotherapy) AND TS=(xerostomia OR “dry mouth” OR hyposalivation OR “salivary gland hypofunction”) AND TS=(pilocarpine OR cevimeline OR bethanechol OR </w:t>
            </w:r>
            <w:proofErr w:type="spellStart"/>
            <w:r w:rsidRPr="006040DF">
              <w:rPr>
                <w:rFonts w:ascii="Times New Roman" w:eastAsia="Times New Roman" w:hAnsi="Times New Roman" w:cs="Times New Roman"/>
                <w:color w:val="000000"/>
                <w:kern w:val="0"/>
                <w:sz w:val="24"/>
                <w:szCs w:val="24"/>
                <w14:ligatures w14:val="none"/>
              </w:rPr>
              <w:t>amifostine</w:t>
            </w:r>
            <w:proofErr w:type="spellEnd"/>
            <w:r w:rsidRPr="006040DF">
              <w:rPr>
                <w:rFonts w:ascii="Times New Roman" w:eastAsia="Times New Roman" w:hAnsi="Times New Roman" w:cs="Times New Roman"/>
                <w:color w:val="000000"/>
                <w:kern w:val="0"/>
                <w:sz w:val="24"/>
                <w:szCs w:val="24"/>
                <w14:ligatures w14:val="none"/>
              </w:rPr>
              <w:t xml:space="preserve"> OR acupuncture OR </w:t>
            </w:r>
            <w:proofErr w:type="spellStart"/>
            <w:r w:rsidRPr="006040DF">
              <w:rPr>
                <w:rFonts w:ascii="Times New Roman" w:eastAsia="Times New Roman" w:hAnsi="Times New Roman" w:cs="Times New Roman"/>
                <w:color w:val="000000"/>
                <w:kern w:val="0"/>
                <w:sz w:val="24"/>
                <w:szCs w:val="24"/>
                <w14:ligatures w14:val="none"/>
              </w:rPr>
              <w:t>photobiomodulation</w:t>
            </w:r>
            <w:proofErr w:type="spellEnd"/>
            <w:r w:rsidRPr="006040DF">
              <w:rPr>
                <w:rFonts w:ascii="Times New Roman" w:eastAsia="Times New Roman" w:hAnsi="Times New Roman" w:cs="Times New Roman"/>
                <w:color w:val="000000"/>
                <w:kern w:val="0"/>
                <w:sz w:val="24"/>
                <w:szCs w:val="24"/>
                <w14:ligatures w14:val="none"/>
              </w:rPr>
              <w:t xml:space="preserve"> OR “low-level laser therapy” OR IMRT OR “saliva substitute” OR “oral lubricant” OR “submandibular gland transfer”)</w:t>
            </w:r>
          </w:p>
        </w:tc>
        <w:tc>
          <w:tcPr>
            <w:tcW w:w="1515" w:type="dxa"/>
            <w:tcBorders>
              <w:top w:val="nil"/>
              <w:left w:val="nil"/>
              <w:bottom w:val="single" w:sz="4" w:space="0" w:color="auto"/>
              <w:right w:val="single" w:sz="4" w:space="0" w:color="auto"/>
            </w:tcBorders>
            <w:noWrap/>
            <w:vAlign w:val="center"/>
            <w:hideMark/>
          </w:tcPr>
          <w:p w14:paraId="7940301C" w14:textId="77777777" w:rsidR="006040DF" w:rsidRPr="006040DF" w:rsidRDefault="006040DF" w:rsidP="002974E2">
            <w:pPr>
              <w:spacing w:after="0" w:line="240" w:lineRule="auto"/>
              <w:jc w:val="center"/>
              <w:rPr>
                <w:rFonts w:ascii="Times New Roman" w:eastAsia="Times New Roman" w:hAnsi="Times New Roman" w:cs="Times New Roman"/>
                <w:color w:val="000000"/>
                <w:kern w:val="0"/>
                <w:sz w:val="24"/>
                <w:szCs w:val="24"/>
                <w14:ligatures w14:val="none"/>
              </w:rPr>
            </w:pPr>
            <w:r w:rsidRPr="006040DF">
              <w:rPr>
                <w:rFonts w:ascii="Times New Roman" w:eastAsia="Times New Roman" w:hAnsi="Times New Roman" w:cs="Times New Roman"/>
                <w:color w:val="000000"/>
                <w:kern w:val="0"/>
                <w:sz w:val="24"/>
                <w:szCs w:val="24"/>
                <w14:ligatures w14:val="none"/>
              </w:rPr>
              <w:t>82</w:t>
            </w:r>
          </w:p>
        </w:tc>
      </w:tr>
      <w:tr w:rsidR="00D51E35" w:rsidRPr="00D51E35" w14:paraId="65C4310F" w14:textId="77777777" w:rsidTr="00D51E35">
        <w:trPr>
          <w:trHeight w:val="290"/>
        </w:trPr>
        <w:tc>
          <w:tcPr>
            <w:tcW w:w="7835" w:type="dxa"/>
            <w:gridSpan w:val="2"/>
            <w:tcBorders>
              <w:top w:val="nil"/>
              <w:left w:val="single" w:sz="4" w:space="0" w:color="auto"/>
              <w:bottom w:val="single" w:sz="4" w:space="0" w:color="auto"/>
              <w:right w:val="single" w:sz="4" w:space="0" w:color="auto"/>
            </w:tcBorders>
            <w:noWrap/>
            <w:vAlign w:val="center"/>
            <w:hideMark/>
          </w:tcPr>
          <w:p w14:paraId="7F1DA4DE" w14:textId="4A0A3FC3" w:rsidR="00D51E35" w:rsidRPr="006040DF" w:rsidRDefault="00995180" w:rsidP="00995180">
            <w:pPr>
              <w:spacing w:after="0" w:line="240" w:lineRule="auto"/>
              <w:jc w:val="center"/>
              <w:rPr>
                <w:rFonts w:ascii="Times New Roman" w:eastAsia="Times New Roman" w:hAnsi="Times New Roman" w:cs="Times New Roman"/>
                <w:b/>
                <w:bCs/>
                <w:color w:val="000000"/>
                <w:kern w:val="0"/>
                <w:sz w:val="24"/>
                <w:szCs w:val="24"/>
                <w14:ligatures w14:val="none"/>
              </w:rPr>
            </w:pPr>
            <w:r w:rsidRPr="00995180">
              <w:rPr>
                <w:rFonts w:ascii="Times New Roman" w:eastAsia="Times New Roman" w:hAnsi="Times New Roman" w:cs="Times New Roman"/>
                <w:b/>
                <w:bCs/>
                <w:color w:val="000000"/>
                <w:kern w:val="0"/>
                <w:sz w:val="24"/>
                <w:szCs w:val="24"/>
                <w14:ligatures w14:val="none"/>
              </w:rPr>
              <w:t>Total articles identified</w:t>
            </w:r>
          </w:p>
        </w:tc>
        <w:tc>
          <w:tcPr>
            <w:tcW w:w="1515" w:type="dxa"/>
            <w:tcBorders>
              <w:top w:val="nil"/>
              <w:left w:val="nil"/>
              <w:bottom w:val="single" w:sz="4" w:space="0" w:color="auto"/>
              <w:right w:val="single" w:sz="4" w:space="0" w:color="auto"/>
            </w:tcBorders>
            <w:noWrap/>
            <w:vAlign w:val="center"/>
            <w:hideMark/>
          </w:tcPr>
          <w:p w14:paraId="2F4ADB1A" w14:textId="77777777" w:rsidR="00D51E35" w:rsidRPr="006040DF" w:rsidRDefault="00D51E35" w:rsidP="006040DF">
            <w:pPr>
              <w:spacing w:after="0" w:line="240" w:lineRule="auto"/>
              <w:jc w:val="center"/>
              <w:rPr>
                <w:rFonts w:ascii="Times New Roman" w:eastAsia="Times New Roman" w:hAnsi="Times New Roman" w:cs="Times New Roman"/>
                <w:b/>
                <w:bCs/>
                <w:color w:val="000000"/>
                <w:kern w:val="0"/>
                <w:sz w:val="24"/>
                <w:szCs w:val="24"/>
                <w14:ligatures w14:val="none"/>
              </w:rPr>
            </w:pPr>
            <w:r w:rsidRPr="006040DF">
              <w:rPr>
                <w:rFonts w:ascii="Times New Roman" w:eastAsia="Times New Roman" w:hAnsi="Times New Roman" w:cs="Times New Roman"/>
                <w:b/>
                <w:bCs/>
                <w:color w:val="000000"/>
                <w:kern w:val="0"/>
                <w:sz w:val="24"/>
                <w:szCs w:val="24"/>
                <w14:ligatures w14:val="none"/>
              </w:rPr>
              <w:t>296</w:t>
            </w:r>
          </w:p>
        </w:tc>
      </w:tr>
    </w:tbl>
    <w:p w14:paraId="64F2418B" w14:textId="77777777" w:rsidR="00FD6632" w:rsidRDefault="00FD6632" w:rsidP="00FD6632">
      <w:pPr>
        <w:jc w:val="both"/>
        <w:rPr>
          <w:rFonts w:ascii="Times New Roman" w:hAnsi="Times New Roman" w:cs="Times New Roman"/>
          <w:sz w:val="24"/>
          <w:szCs w:val="24"/>
        </w:rPr>
      </w:pPr>
    </w:p>
    <w:p w14:paraId="6857B51E" w14:textId="77777777" w:rsidR="00FD6632" w:rsidRPr="00FD6632" w:rsidRDefault="00FD6632" w:rsidP="00FD6632">
      <w:pPr>
        <w:rPr>
          <w:rFonts w:ascii="Times New Roman" w:hAnsi="Times New Roman" w:cs="Times New Roman"/>
          <w:sz w:val="24"/>
          <w:szCs w:val="24"/>
        </w:rPr>
      </w:pPr>
      <w:r w:rsidRPr="00A52798">
        <w:rPr>
          <w:rFonts w:ascii="Times New Roman" w:hAnsi="Times New Roman" w:cs="Times New Roman"/>
          <w:b/>
          <w:bCs/>
          <w:sz w:val="24"/>
          <w:szCs w:val="24"/>
        </w:rPr>
        <w:t xml:space="preserve">Table 3. </w:t>
      </w:r>
      <w:r w:rsidRPr="00FD6632">
        <w:rPr>
          <w:rFonts w:ascii="Times New Roman" w:hAnsi="Times New Roman" w:cs="Times New Roman"/>
          <w:sz w:val="24"/>
          <w:szCs w:val="24"/>
        </w:rPr>
        <w:t>Frequency Distribution of the Characteristics of Included Articles</w:t>
      </w:r>
    </w:p>
    <w:tbl>
      <w:tblPr>
        <w:tblW w:w="9350" w:type="dxa"/>
        <w:tblLook w:val="04A0" w:firstRow="1" w:lastRow="0" w:firstColumn="1" w:lastColumn="0" w:noHBand="0" w:noVBand="1"/>
      </w:tblPr>
      <w:tblGrid>
        <w:gridCol w:w="2171"/>
        <w:gridCol w:w="3725"/>
        <w:gridCol w:w="1896"/>
        <w:gridCol w:w="1558"/>
      </w:tblGrid>
      <w:tr w:rsidR="00FD6632" w:rsidRPr="00882EBD" w14:paraId="2DBE5283" w14:textId="77777777" w:rsidTr="00175E9C">
        <w:trPr>
          <w:trHeight w:val="300"/>
        </w:trPr>
        <w:tc>
          <w:tcPr>
            <w:tcW w:w="2171" w:type="dxa"/>
            <w:tcBorders>
              <w:top w:val="single" w:sz="4" w:space="0" w:color="auto"/>
              <w:left w:val="single" w:sz="4" w:space="0" w:color="auto"/>
              <w:bottom w:val="single" w:sz="4" w:space="0" w:color="auto"/>
              <w:right w:val="single" w:sz="4" w:space="0" w:color="auto"/>
            </w:tcBorders>
            <w:noWrap/>
            <w:vAlign w:val="center"/>
            <w:hideMark/>
          </w:tcPr>
          <w:p w14:paraId="07CC3A56"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Characteristic</w:t>
            </w:r>
          </w:p>
        </w:tc>
        <w:tc>
          <w:tcPr>
            <w:tcW w:w="3725" w:type="dxa"/>
            <w:tcBorders>
              <w:top w:val="single" w:sz="4" w:space="0" w:color="auto"/>
              <w:left w:val="nil"/>
              <w:bottom w:val="single" w:sz="4" w:space="0" w:color="auto"/>
              <w:right w:val="single" w:sz="4" w:space="0" w:color="auto"/>
            </w:tcBorders>
            <w:noWrap/>
            <w:vAlign w:val="center"/>
            <w:hideMark/>
          </w:tcPr>
          <w:p w14:paraId="40E6A113"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A52798">
              <w:rPr>
                <w:rFonts w:ascii="Times New Roman" w:eastAsia="Times New Roman" w:hAnsi="Times New Roman" w:cs="Times New Roman"/>
                <w:b/>
                <w:bCs/>
                <w:color w:val="000000"/>
                <w:kern w:val="0"/>
                <w:sz w:val="24"/>
                <w:szCs w:val="24"/>
                <w14:ligatures w14:val="none"/>
              </w:rPr>
              <w:t>Category</w:t>
            </w:r>
          </w:p>
        </w:tc>
        <w:tc>
          <w:tcPr>
            <w:tcW w:w="1896" w:type="dxa"/>
            <w:tcBorders>
              <w:top w:val="single" w:sz="4" w:space="0" w:color="auto"/>
              <w:left w:val="nil"/>
              <w:bottom w:val="single" w:sz="4" w:space="0" w:color="auto"/>
              <w:right w:val="single" w:sz="4" w:space="0" w:color="auto"/>
            </w:tcBorders>
            <w:noWrap/>
            <w:vAlign w:val="center"/>
            <w:hideMark/>
          </w:tcPr>
          <w:p w14:paraId="6ABE39B4"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 xml:space="preserve">Frequency </w:t>
            </w:r>
            <w:r w:rsidRPr="00882EBD">
              <w:rPr>
                <w:rFonts w:ascii="Times New Roman" w:eastAsia="Times New Roman" w:hAnsi="Times New Roman" w:cs="Times New Roman"/>
                <w:b/>
                <w:bCs/>
                <w:color w:val="000000"/>
                <w:kern w:val="0"/>
                <w:sz w:val="24"/>
                <w:szCs w:val="24"/>
                <w14:ligatures w14:val="none"/>
              </w:rPr>
              <w:t>(N=12)</w:t>
            </w:r>
          </w:p>
        </w:tc>
        <w:tc>
          <w:tcPr>
            <w:tcW w:w="1558" w:type="dxa"/>
            <w:tcBorders>
              <w:top w:val="single" w:sz="4" w:space="0" w:color="auto"/>
              <w:left w:val="nil"/>
              <w:bottom w:val="single" w:sz="4" w:space="0" w:color="auto"/>
              <w:right w:val="single" w:sz="4" w:space="0" w:color="auto"/>
            </w:tcBorders>
            <w:noWrap/>
            <w:vAlign w:val="center"/>
            <w:hideMark/>
          </w:tcPr>
          <w:p w14:paraId="1EB8AC7F" w14:textId="77777777" w:rsidR="00FD6632" w:rsidRPr="00882EBD"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BD7AF0">
              <w:rPr>
                <w:rFonts w:ascii="Times New Roman" w:eastAsia="Times New Roman" w:hAnsi="Times New Roman" w:cs="Times New Roman"/>
                <w:b/>
                <w:bCs/>
                <w:color w:val="000000"/>
                <w:kern w:val="0"/>
                <w:sz w:val="24"/>
                <w:szCs w:val="24"/>
                <w14:ligatures w14:val="none"/>
              </w:rPr>
              <w:t>Percentage</w:t>
            </w:r>
          </w:p>
        </w:tc>
      </w:tr>
      <w:tr w:rsidR="00FD6632" w:rsidRPr="00882EBD" w14:paraId="186A90C4"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7970454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Year of publication</w:t>
            </w:r>
          </w:p>
        </w:tc>
        <w:tc>
          <w:tcPr>
            <w:tcW w:w="3725" w:type="dxa"/>
            <w:tcBorders>
              <w:top w:val="nil"/>
              <w:left w:val="nil"/>
              <w:bottom w:val="single" w:sz="4" w:space="0" w:color="auto"/>
              <w:right w:val="single" w:sz="4" w:space="0" w:color="auto"/>
            </w:tcBorders>
            <w:noWrap/>
            <w:vAlign w:val="center"/>
            <w:hideMark/>
          </w:tcPr>
          <w:p w14:paraId="631E9EE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2017</w:t>
            </w:r>
          </w:p>
        </w:tc>
        <w:tc>
          <w:tcPr>
            <w:tcW w:w="1896" w:type="dxa"/>
            <w:tcBorders>
              <w:top w:val="nil"/>
              <w:left w:val="nil"/>
              <w:bottom w:val="single" w:sz="4" w:space="0" w:color="auto"/>
              <w:right w:val="single" w:sz="4" w:space="0" w:color="auto"/>
            </w:tcBorders>
            <w:noWrap/>
            <w:vAlign w:val="center"/>
            <w:hideMark/>
          </w:tcPr>
          <w:p w14:paraId="28C2727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46ADE65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67ABF26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B407E07"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042FAFA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2019</w:t>
            </w:r>
          </w:p>
        </w:tc>
        <w:tc>
          <w:tcPr>
            <w:tcW w:w="1896" w:type="dxa"/>
            <w:tcBorders>
              <w:top w:val="nil"/>
              <w:left w:val="nil"/>
              <w:bottom w:val="single" w:sz="4" w:space="0" w:color="auto"/>
              <w:right w:val="single" w:sz="4" w:space="0" w:color="auto"/>
            </w:tcBorders>
            <w:noWrap/>
            <w:vAlign w:val="center"/>
            <w:hideMark/>
          </w:tcPr>
          <w:p w14:paraId="3473779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4CBF730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45825D29"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A807CF1"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3E46039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2020</w:t>
            </w:r>
          </w:p>
        </w:tc>
        <w:tc>
          <w:tcPr>
            <w:tcW w:w="1896" w:type="dxa"/>
            <w:tcBorders>
              <w:top w:val="nil"/>
              <w:left w:val="nil"/>
              <w:bottom w:val="single" w:sz="4" w:space="0" w:color="auto"/>
              <w:right w:val="single" w:sz="4" w:space="0" w:color="auto"/>
            </w:tcBorders>
            <w:noWrap/>
            <w:vAlign w:val="center"/>
            <w:hideMark/>
          </w:tcPr>
          <w:p w14:paraId="1F05849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31BD481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3DC9F7B5"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353CD57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79D5514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2021</w:t>
            </w:r>
          </w:p>
        </w:tc>
        <w:tc>
          <w:tcPr>
            <w:tcW w:w="1896" w:type="dxa"/>
            <w:tcBorders>
              <w:top w:val="nil"/>
              <w:left w:val="nil"/>
              <w:bottom w:val="single" w:sz="4" w:space="0" w:color="auto"/>
              <w:right w:val="single" w:sz="4" w:space="0" w:color="auto"/>
            </w:tcBorders>
            <w:noWrap/>
            <w:vAlign w:val="center"/>
            <w:hideMark/>
          </w:tcPr>
          <w:p w14:paraId="079CDD7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27E9576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2396A67A"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0830C1EF"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518CA5D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2023</w:t>
            </w:r>
          </w:p>
        </w:tc>
        <w:tc>
          <w:tcPr>
            <w:tcW w:w="1896" w:type="dxa"/>
            <w:tcBorders>
              <w:top w:val="nil"/>
              <w:left w:val="nil"/>
              <w:bottom w:val="single" w:sz="4" w:space="0" w:color="auto"/>
              <w:right w:val="single" w:sz="4" w:space="0" w:color="auto"/>
            </w:tcBorders>
            <w:noWrap/>
            <w:vAlign w:val="center"/>
            <w:hideMark/>
          </w:tcPr>
          <w:p w14:paraId="1BC430C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508F46A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147CEF85"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657D4B11"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2B5C69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2024</w:t>
            </w:r>
          </w:p>
        </w:tc>
        <w:tc>
          <w:tcPr>
            <w:tcW w:w="1896" w:type="dxa"/>
            <w:tcBorders>
              <w:top w:val="nil"/>
              <w:left w:val="nil"/>
              <w:bottom w:val="single" w:sz="4" w:space="0" w:color="auto"/>
              <w:right w:val="single" w:sz="4" w:space="0" w:color="auto"/>
            </w:tcBorders>
            <w:noWrap/>
            <w:vAlign w:val="center"/>
            <w:hideMark/>
          </w:tcPr>
          <w:p w14:paraId="6290222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4E7C600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727BF13C"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17FD884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Type of intervention</w:t>
            </w:r>
          </w:p>
        </w:tc>
        <w:tc>
          <w:tcPr>
            <w:tcW w:w="3725" w:type="dxa"/>
            <w:tcBorders>
              <w:top w:val="nil"/>
              <w:left w:val="nil"/>
              <w:bottom w:val="single" w:sz="4" w:space="0" w:color="auto"/>
              <w:right w:val="single" w:sz="4" w:space="0" w:color="auto"/>
            </w:tcBorders>
            <w:noWrap/>
            <w:vAlign w:val="center"/>
            <w:hideMark/>
          </w:tcPr>
          <w:p w14:paraId="7461BFC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BD7AF0">
              <w:rPr>
                <w:rFonts w:ascii="Times New Roman" w:eastAsia="Times New Roman" w:hAnsi="Times New Roman" w:cs="Times New Roman"/>
                <w:color w:val="000000"/>
                <w:kern w:val="0"/>
                <w:sz w:val="24"/>
                <w:szCs w:val="24"/>
                <w14:ligatures w14:val="none"/>
              </w:rPr>
              <w:t>Acupuncture</w:t>
            </w:r>
          </w:p>
        </w:tc>
        <w:tc>
          <w:tcPr>
            <w:tcW w:w="1896" w:type="dxa"/>
            <w:tcBorders>
              <w:top w:val="nil"/>
              <w:left w:val="nil"/>
              <w:bottom w:val="single" w:sz="4" w:space="0" w:color="auto"/>
              <w:right w:val="single" w:sz="4" w:space="0" w:color="auto"/>
            </w:tcBorders>
            <w:noWrap/>
            <w:vAlign w:val="center"/>
            <w:hideMark/>
          </w:tcPr>
          <w:p w14:paraId="6507AAD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7231905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1BCE9FC3"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7E2868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84ED88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882EBD">
              <w:rPr>
                <w:rFonts w:ascii="Times New Roman" w:eastAsia="Times New Roman" w:hAnsi="Times New Roman" w:cs="Times New Roman"/>
                <w:color w:val="000000"/>
                <w:kern w:val="0"/>
                <w:sz w:val="24"/>
                <w:szCs w:val="24"/>
                <w14:ligatures w14:val="none"/>
              </w:rPr>
              <w:t>Photobiomodulation</w:t>
            </w:r>
            <w:proofErr w:type="spellEnd"/>
          </w:p>
        </w:tc>
        <w:tc>
          <w:tcPr>
            <w:tcW w:w="1896" w:type="dxa"/>
            <w:tcBorders>
              <w:top w:val="nil"/>
              <w:left w:val="nil"/>
              <w:bottom w:val="single" w:sz="4" w:space="0" w:color="auto"/>
              <w:right w:val="single" w:sz="4" w:space="0" w:color="auto"/>
            </w:tcBorders>
            <w:noWrap/>
            <w:vAlign w:val="center"/>
            <w:hideMark/>
          </w:tcPr>
          <w:p w14:paraId="33D4BE4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0395905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441D2CF3"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60D3CCFC"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386BD4E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Saliva substitute, oral spray, mouthwash, </w:t>
            </w:r>
            <w:r>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oral moisturizer</w:t>
            </w:r>
          </w:p>
        </w:tc>
        <w:tc>
          <w:tcPr>
            <w:tcW w:w="1896" w:type="dxa"/>
            <w:tcBorders>
              <w:top w:val="nil"/>
              <w:left w:val="nil"/>
              <w:bottom w:val="single" w:sz="4" w:space="0" w:color="auto"/>
              <w:right w:val="single" w:sz="4" w:space="0" w:color="auto"/>
            </w:tcBorders>
            <w:noWrap/>
            <w:vAlign w:val="center"/>
            <w:hideMark/>
          </w:tcPr>
          <w:p w14:paraId="1BD2CD2D"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0116007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FD6632" w:rsidRPr="00882EBD" w14:paraId="246A4284"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2E523DF2"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241F3FC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Electrical stimulation </w:t>
            </w:r>
            <w:r>
              <w:rPr>
                <w:rFonts w:ascii="Times New Roman" w:eastAsia="Times New Roman" w:hAnsi="Times New Roman" w:cs="Times New Roman"/>
                <w:color w:val="000000"/>
                <w:kern w:val="0"/>
                <w:sz w:val="24"/>
                <w:szCs w:val="24"/>
                <w14:ligatures w14:val="none"/>
              </w:rPr>
              <w:t>or</w:t>
            </w:r>
            <w:r w:rsidRPr="00882EBD">
              <w:rPr>
                <w:rFonts w:ascii="Times New Roman" w:eastAsia="Times New Roman" w:hAnsi="Times New Roman" w:cs="Times New Roman"/>
                <w:color w:val="000000"/>
                <w:kern w:val="0"/>
                <w:sz w:val="24"/>
                <w:szCs w:val="24"/>
                <w14:ligatures w14:val="none"/>
              </w:rPr>
              <w:t xml:space="preserve"> electrostimulation</w:t>
            </w:r>
          </w:p>
        </w:tc>
        <w:tc>
          <w:tcPr>
            <w:tcW w:w="1896" w:type="dxa"/>
            <w:tcBorders>
              <w:top w:val="nil"/>
              <w:left w:val="nil"/>
              <w:bottom w:val="single" w:sz="4" w:space="0" w:color="auto"/>
              <w:right w:val="single" w:sz="4" w:space="0" w:color="auto"/>
            </w:tcBorders>
            <w:noWrap/>
            <w:vAlign w:val="center"/>
            <w:hideMark/>
          </w:tcPr>
          <w:p w14:paraId="5DDED7D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w:t>
            </w:r>
          </w:p>
        </w:tc>
        <w:tc>
          <w:tcPr>
            <w:tcW w:w="1558" w:type="dxa"/>
            <w:tcBorders>
              <w:top w:val="nil"/>
              <w:left w:val="nil"/>
              <w:bottom w:val="single" w:sz="4" w:space="0" w:color="auto"/>
              <w:right w:val="single" w:sz="4" w:space="0" w:color="auto"/>
            </w:tcBorders>
            <w:noWrap/>
            <w:vAlign w:val="center"/>
            <w:hideMark/>
          </w:tcPr>
          <w:p w14:paraId="490A1F9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16,7%</w:t>
            </w:r>
          </w:p>
        </w:tc>
      </w:tr>
      <w:tr w:rsidR="00FD6632" w:rsidRPr="00882EBD" w14:paraId="27C2A0A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B867BF3"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14DE36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Honey-based natural products</w:t>
            </w:r>
          </w:p>
        </w:tc>
        <w:tc>
          <w:tcPr>
            <w:tcW w:w="1896" w:type="dxa"/>
            <w:tcBorders>
              <w:top w:val="nil"/>
              <w:left w:val="nil"/>
              <w:bottom w:val="single" w:sz="4" w:space="0" w:color="auto"/>
              <w:right w:val="single" w:sz="4" w:space="0" w:color="auto"/>
            </w:tcBorders>
            <w:noWrap/>
            <w:vAlign w:val="center"/>
            <w:hideMark/>
          </w:tcPr>
          <w:p w14:paraId="7418F2B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7C24B86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6BFF66CD"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709B10A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9D5AFD">
              <w:rPr>
                <w:rFonts w:ascii="Times New Roman" w:eastAsia="Times New Roman" w:hAnsi="Times New Roman" w:cs="Times New Roman"/>
                <w:color w:val="000000"/>
                <w:kern w:val="0"/>
                <w:sz w:val="24"/>
                <w:szCs w:val="24"/>
                <w14:ligatures w14:val="none"/>
              </w:rPr>
              <w:t>Research design</w:t>
            </w:r>
          </w:p>
        </w:tc>
        <w:tc>
          <w:tcPr>
            <w:tcW w:w="3725" w:type="dxa"/>
            <w:tcBorders>
              <w:top w:val="nil"/>
              <w:left w:val="nil"/>
              <w:bottom w:val="single" w:sz="4" w:space="0" w:color="auto"/>
              <w:right w:val="single" w:sz="4" w:space="0" w:color="auto"/>
            </w:tcBorders>
            <w:noWrap/>
            <w:vAlign w:val="center"/>
            <w:hideMark/>
          </w:tcPr>
          <w:p w14:paraId="07DA773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Randomized controlled/clinical trial</w:t>
            </w:r>
          </w:p>
        </w:tc>
        <w:tc>
          <w:tcPr>
            <w:tcW w:w="1896" w:type="dxa"/>
            <w:tcBorders>
              <w:top w:val="nil"/>
              <w:left w:val="nil"/>
              <w:bottom w:val="single" w:sz="4" w:space="0" w:color="auto"/>
              <w:right w:val="single" w:sz="4" w:space="0" w:color="auto"/>
            </w:tcBorders>
            <w:noWrap/>
            <w:vAlign w:val="center"/>
            <w:hideMark/>
          </w:tcPr>
          <w:p w14:paraId="631B3FF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11</w:t>
            </w:r>
          </w:p>
        </w:tc>
        <w:tc>
          <w:tcPr>
            <w:tcW w:w="1558" w:type="dxa"/>
            <w:tcBorders>
              <w:top w:val="nil"/>
              <w:left w:val="nil"/>
              <w:bottom w:val="single" w:sz="4" w:space="0" w:color="auto"/>
              <w:right w:val="single" w:sz="4" w:space="0" w:color="auto"/>
            </w:tcBorders>
            <w:noWrap/>
            <w:vAlign w:val="center"/>
            <w:hideMark/>
          </w:tcPr>
          <w:p w14:paraId="27726E5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91,7%</w:t>
            </w:r>
          </w:p>
        </w:tc>
      </w:tr>
      <w:tr w:rsidR="00FD6632" w:rsidRPr="00882EBD" w14:paraId="47381CB0"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017C1F4"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6A7894A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Preventive parallel single-blind controlled study</w:t>
            </w:r>
          </w:p>
        </w:tc>
        <w:tc>
          <w:tcPr>
            <w:tcW w:w="1896" w:type="dxa"/>
            <w:tcBorders>
              <w:top w:val="nil"/>
              <w:left w:val="nil"/>
              <w:bottom w:val="single" w:sz="4" w:space="0" w:color="auto"/>
              <w:right w:val="single" w:sz="4" w:space="0" w:color="auto"/>
            </w:tcBorders>
            <w:noWrap/>
            <w:vAlign w:val="center"/>
            <w:hideMark/>
          </w:tcPr>
          <w:p w14:paraId="2EEC349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36AA8835"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54C8BD32"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4EB1780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Timing of intervention</w:t>
            </w:r>
          </w:p>
        </w:tc>
        <w:tc>
          <w:tcPr>
            <w:tcW w:w="3725" w:type="dxa"/>
            <w:tcBorders>
              <w:top w:val="nil"/>
              <w:left w:val="nil"/>
              <w:bottom w:val="single" w:sz="4" w:space="0" w:color="auto"/>
              <w:right w:val="single" w:sz="4" w:space="0" w:color="auto"/>
            </w:tcBorders>
            <w:noWrap/>
            <w:vAlign w:val="center"/>
            <w:hideMark/>
          </w:tcPr>
          <w:p w14:paraId="0957B56A"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radiotherapy or preventive</w:t>
            </w:r>
          </w:p>
        </w:tc>
        <w:tc>
          <w:tcPr>
            <w:tcW w:w="1896" w:type="dxa"/>
            <w:tcBorders>
              <w:top w:val="nil"/>
              <w:left w:val="nil"/>
              <w:bottom w:val="single" w:sz="4" w:space="0" w:color="auto"/>
              <w:right w:val="single" w:sz="4" w:space="0" w:color="auto"/>
            </w:tcBorders>
            <w:noWrap/>
            <w:vAlign w:val="center"/>
            <w:hideMark/>
          </w:tcPr>
          <w:p w14:paraId="04D74E72"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4</w:t>
            </w:r>
          </w:p>
        </w:tc>
        <w:tc>
          <w:tcPr>
            <w:tcW w:w="1558" w:type="dxa"/>
            <w:tcBorders>
              <w:top w:val="nil"/>
              <w:left w:val="nil"/>
              <w:bottom w:val="single" w:sz="4" w:space="0" w:color="auto"/>
              <w:right w:val="single" w:sz="4" w:space="0" w:color="auto"/>
            </w:tcBorders>
            <w:noWrap/>
            <w:vAlign w:val="center"/>
            <w:hideMark/>
          </w:tcPr>
          <w:p w14:paraId="52E921F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33,3%</w:t>
            </w:r>
          </w:p>
        </w:tc>
      </w:tr>
      <w:tr w:rsidR="00FD6632" w:rsidRPr="00882EBD" w14:paraId="207712D9"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340F1768"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4201CE5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After radiotherapy or therapeutic</w:t>
            </w:r>
          </w:p>
        </w:tc>
        <w:tc>
          <w:tcPr>
            <w:tcW w:w="1896" w:type="dxa"/>
            <w:tcBorders>
              <w:top w:val="nil"/>
              <w:left w:val="nil"/>
              <w:bottom w:val="single" w:sz="4" w:space="0" w:color="auto"/>
              <w:right w:val="single" w:sz="4" w:space="0" w:color="auto"/>
            </w:tcBorders>
            <w:noWrap/>
            <w:vAlign w:val="center"/>
            <w:hideMark/>
          </w:tcPr>
          <w:p w14:paraId="5A56C0F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7</w:t>
            </w:r>
          </w:p>
        </w:tc>
        <w:tc>
          <w:tcPr>
            <w:tcW w:w="1558" w:type="dxa"/>
            <w:tcBorders>
              <w:top w:val="nil"/>
              <w:left w:val="nil"/>
              <w:bottom w:val="single" w:sz="4" w:space="0" w:color="auto"/>
              <w:right w:val="single" w:sz="4" w:space="0" w:color="auto"/>
            </w:tcBorders>
            <w:noWrap/>
            <w:vAlign w:val="center"/>
            <w:hideMark/>
          </w:tcPr>
          <w:p w14:paraId="4D35B53F"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58,3%</w:t>
            </w:r>
          </w:p>
        </w:tc>
      </w:tr>
      <w:tr w:rsidR="00FD6632" w:rsidRPr="00882EBD" w14:paraId="688D3C4F"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131AC3F6"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04DC5F88"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During and/or after cancer therapy</w:t>
            </w:r>
          </w:p>
        </w:tc>
        <w:tc>
          <w:tcPr>
            <w:tcW w:w="1896" w:type="dxa"/>
            <w:tcBorders>
              <w:top w:val="nil"/>
              <w:left w:val="nil"/>
              <w:bottom w:val="single" w:sz="4" w:space="0" w:color="auto"/>
              <w:right w:val="single" w:sz="4" w:space="0" w:color="auto"/>
            </w:tcBorders>
            <w:noWrap/>
            <w:vAlign w:val="center"/>
            <w:hideMark/>
          </w:tcPr>
          <w:p w14:paraId="15498980"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1</w:t>
            </w:r>
          </w:p>
        </w:tc>
        <w:tc>
          <w:tcPr>
            <w:tcW w:w="1558" w:type="dxa"/>
            <w:tcBorders>
              <w:top w:val="nil"/>
              <w:left w:val="nil"/>
              <w:bottom w:val="single" w:sz="4" w:space="0" w:color="auto"/>
              <w:right w:val="single" w:sz="4" w:space="0" w:color="auto"/>
            </w:tcBorders>
            <w:noWrap/>
            <w:vAlign w:val="center"/>
            <w:hideMark/>
          </w:tcPr>
          <w:p w14:paraId="412CA39B"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8,3%</w:t>
            </w:r>
          </w:p>
        </w:tc>
      </w:tr>
      <w:tr w:rsidR="00FD6632" w:rsidRPr="00882EBD" w14:paraId="2616AFC9" w14:textId="77777777" w:rsidTr="00175E9C">
        <w:trPr>
          <w:trHeight w:val="310"/>
        </w:trPr>
        <w:tc>
          <w:tcPr>
            <w:tcW w:w="2171" w:type="dxa"/>
            <w:vMerge w:val="restart"/>
            <w:tcBorders>
              <w:top w:val="nil"/>
              <w:left w:val="single" w:sz="4" w:space="0" w:color="auto"/>
              <w:bottom w:val="single" w:sz="4" w:space="0" w:color="auto"/>
              <w:right w:val="single" w:sz="4" w:space="0" w:color="auto"/>
            </w:tcBorders>
            <w:noWrap/>
            <w:vAlign w:val="center"/>
            <w:hideMark/>
          </w:tcPr>
          <w:p w14:paraId="0D4F9C16"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520382">
              <w:rPr>
                <w:rFonts w:ascii="Times New Roman" w:eastAsia="Times New Roman" w:hAnsi="Times New Roman" w:cs="Times New Roman"/>
                <w:color w:val="000000"/>
                <w:kern w:val="0"/>
                <w:sz w:val="24"/>
                <w:szCs w:val="24"/>
                <w14:ligatures w14:val="none"/>
              </w:rPr>
              <w:t>Sample size</w:t>
            </w:r>
          </w:p>
        </w:tc>
        <w:tc>
          <w:tcPr>
            <w:tcW w:w="3725" w:type="dxa"/>
            <w:tcBorders>
              <w:top w:val="nil"/>
              <w:left w:val="nil"/>
              <w:bottom w:val="single" w:sz="4" w:space="0" w:color="auto"/>
              <w:right w:val="single" w:sz="4" w:space="0" w:color="auto"/>
            </w:tcBorders>
            <w:noWrap/>
            <w:vAlign w:val="center"/>
            <w:hideMark/>
          </w:tcPr>
          <w:p w14:paraId="4223B55C"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&lt; 50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6EF15B31"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3C445FA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r w:rsidR="00FD6632" w:rsidRPr="00882EBD" w14:paraId="1C2B9B1E"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F62803E"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10DEBCA4"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50–99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4BF7AB8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6</w:t>
            </w:r>
          </w:p>
        </w:tc>
        <w:tc>
          <w:tcPr>
            <w:tcW w:w="1558" w:type="dxa"/>
            <w:tcBorders>
              <w:top w:val="nil"/>
              <w:left w:val="nil"/>
              <w:bottom w:val="single" w:sz="4" w:space="0" w:color="auto"/>
              <w:right w:val="single" w:sz="4" w:space="0" w:color="auto"/>
            </w:tcBorders>
            <w:noWrap/>
            <w:vAlign w:val="center"/>
            <w:hideMark/>
          </w:tcPr>
          <w:p w14:paraId="777D4777"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50,0%</w:t>
            </w:r>
          </w:p>
        </w:tc>
      </w:tr>
      <w:tr w:rsidR="00FD6632" w:rsidRPr="00882EBD" w14:paraId="21A9515B" w14:textId="77777777" w:rsidTr="00175E9C">
        <w:trPr>
          <w:trHeight w:val="310"/>
        </w:trPr>
        <w:tc>
          <w:tcPr>
            <w:tcW w:w="2171" w:type="dxa"/>
            <w:vMerge/>
            <w:tcBorders>
              <w:top w:val="nil"/>
              <w:left w:val="single" w:sz="4" w:space="0" w:color="auto"/>
              <w:bottom w:val="single" w:sz="4" w:space="0" w:color="auto"/>
              <w:right w:val="single" w:sz="4" w:space="0" w:color="auto"/>
            </w:tcBorders>
            <w:vAlign w:val="center"/>
            <w:hideMark/>
          </w:tcPr>
          <w:p w14:paraId="4FEA7D2D" w14:textId="77777777" w:rsidR="00FD6632" w:rsidRPr="00882EBD" w:rsidRDefault="00FD6632" w:rsidP="00175E9C">
            <w:pPr>
              <w:spacing w:after="0" w:line="240" w:lineRule="auto"/>
              <w:rPr>
                <w:rFonts w:ascii="Times New Roman" w:eastAsia="Times New Roman" w:hAnsi="Times New Roman" w:cs="Times New Roman"/>
                <w:color w:val="000000"/>
                <w:kern w:val="0"/>
                <w:sz w:val="24"/>
                <w:szCs w:val="24"/>
                <w14:ligatures w14:val="none"/>
              </w:rPr>
            </w:pPr>
          </w:p>
        </w:tc>
        <w:tc>
          <w:tcPr>
            <w:tcW w:w="3725" w:type="dxa"/>
            <w:tcBorders>
              <w:top w:val="nil"/>
              <w:left w:val="nil"/>
              <w:bottom w:val="single" w:sz="4" w:space="0" w:color="auto"/>
              <w:right w:val="single" w:sz="4" w:space="0" w:color="auto"/>
            </w:tcBorders>
            <w:noWrap/>
            <w:vAlign w:val="center"/>
            <w:hideMark/>
          </w:tcPr>
          <w:p w14:paraId="71D118C9"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 xml:space="preserve">≥ 100 </w:t>
            </w:r>
            <w:r w:rsidRPr="003410F0">
              <w:rPr>
                <w:rFonts w:ascii="Times New Roman" w:eastAsia="Times New Roman" w:hAnsi="Times New Roman" w:cs="Times New Roman"/>
                <w:color w:val="000000"/>
                <w:kern w:val="0"/>
                <w:sz w:val="24"/>
                <w:szCs w:val="24"/>
                <w14:ligatures w14:val="none"/>
              </w:rPr>
              <w:t>respondents</w:t>
            </w:r>
          </w:p>
        </w:tc>
        <w:tc>
          <w:tcPr>
            <w:tcW w:w="1896" w:type="dxa"/>
            <w:tcBorders>
              <w:top w:val="nil"/>
              <w:left w:val="nil"/>
              <w:bottom w:val="single" w:sz="4" w:space="0" w:color="auto"/>
              <w:right w:val="single" w:sz="4" w:space="0" w:color="auto"/>
            </w:tcBorders>
            <w:noWrap/>
            <w:vAlign w:val="center"/>
            <w:hideMark/>
          </w:tcPr>
          <w:p w14:paraId="7DB0D75E"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3</w:t>
            </w:r>
          </w:p>
        </w:tc>
        <w:tc>
          <w:tcPr>
            <w:tcW w:w="1558" w:type="dxa"/>
            <w:tcBorders>
              <w:top w:val="nil"/>
              <w:left w:val="nil"/>
              <w:bottom w:val="single" w:sz="4" w:space="0" w:color="auto"/>
              <w:right w:val="single" w:sz="4" w:space="0" w:color="auto"/>
            </w:tcBorders>
            <w:noWrap/>
            <w:vAlign w:val="center"/>
            <w:hideMark/>
          </w:tcPr>
          <w:p w14:paraId="04433733" w14:textId="77777777" w:rsidR="00FD6632" w:rsidRPr="00882EBD"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882EBD">
              <w:rPr>
                <w:rFonts w:ascii="Times New Roman" w:eastAsia="Times New Roman" w:hAnsi="Times New Roman" w:cs="Times New Roman"/>
                <w:color w:val="000000"/>
                <w:kern w:val="0"/>
                <w:sz w:val="24"/>
                <w:szCs w:val="24"/>
                <w14:ligatures w14:val="none"/>
              </w:rPr>
              <w:t>25,0%</w:t>
            </w:r>
          </w:p>
        </w:tc>
      </w:tr>
    </w:tbl>
    <w:p w14:paraId="4005F863" w14:textId="77777777" w:rsidR="00FD6632" w:rsidRDefault="00FD6632" w:rsidP="00FD6632">
      <w:pPr>
        <w:rPr>
          <w:rFonts w:ascii="Times New Roman" w:hAnsi="Times New Roman" w:cs="Times New Roman"/>
          <w:b/>
          <w:bCs/>
          <w:sz w:val="24"/>
          <w:szCs w:val="24"/>
        </w:rPr>
      </w:pPr>
    </w:p>
    <w:p w14:paraId="33CF04C6" w14:textId="27F6BEE4" w:rsidR="00FD6632" w:rsidRPr="00882EBD" w:rsidRDefault="00FD6632" w:rsidP="00FD6632">
      <w:pPr>
        <w:rPr>
          <w:rFonts w:ascii="Times New Roman" w:hAnsi="Times New Roman" w:cs="Times New Roman"/>
          <w:b/>
          <w:bCs/>
          <w:sz w:val="24"/>
          <w:szCs w:val="24"/>
        </w:rPr>
      </w:pPr>
      <w:r w:rsidRPr="00422666">
        <w:rPr>
          <w:rFonts w:ascii="Times New Roman" w:hAnsi="Times New Roman" w:cs="Times New Roman"/>
          <w:b/>
          <w:bCs/>
          <w:sz w:val="24"/>
          <w:szCs w:val="24"/>
        </w:rPr>
        <w:t>Table 4. Summary of Articles Included in the SLR</w:t>
      </w:r>
    </w:p>
    <w:tbl>
      <w:tblPr>
        <w:tblW w:w="9618" w:type="dxa"/>
        <w:tblLayout w:type="fixed"/>
        <w:tblLook w:val="04A0" w:firstRow="1" w:lastRow="0" w:firstColumn="1" w:lastColumn="0" w:noHBand="0" w:noVBand="1"/>
      </w:tblPr>
      <w:tblGrid>
        <w:gridCol w:w="512"/>
        <w:gridCol w:w="1751"/>
        <w:gridCol w:w="1686"/>
        <w:gridCol w:w="1701"/>
        <w:gridCol w:w="2118"/>
        <w:gridCol w:w="1850"/>
      </w:tblGrid>
      <w:tr w:rsidR="00FD6632" w:rsidRPr="006E49B5" w14:paraId="15EE3FBB" w14:textId="77777777" w:rsidTr="00175E9C">
        <w:trPr>
          <w:trHeight w:val="300"/>
        </w:trPr>
        <w:tc>
          <w:tcPr>
            <w:tcW w:w="512" w:type="dxa"/>
            <w:tcBorders>
              <w:top w:val="single" w:sz="4" w:space="0" w:color="auto"/>
              <w:left w:val="single" w:sz="4" w:space="0" w:color="auto"/>
              <w:bottom w:val="single" w:sz="4" w:space="0" w:color="auto"/>
              <w:right w:val="single" w:sz="4" w:space="0" w:color="auto"/>
            </w:tcBorders>
            <w:vAlign w:val="center"/>
          </w:tcPr>
          <w:p w14:paraId="27F6FB58" w14:textId="4016B359"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eastAsia="Times New Roman" w:hAnsi="Times New Roman" w:cs="Times New Roman"/>
                <w:b/>
                <w:bCs/>
                <w:color w:val="000000"/>
                <w:kern w:val="0"/>
                <w:sz w:val="24"/>
                <w:szCs w:val="24"/>
                <w14:ligatures w14:val="none"/>
              </w:rPr>
              <w:t>No</w:t>
            </w:r>
          </w:p>
        </w:tc>
        <w:tc>
          <w:tcPr>
            <w:tcW w:w="1751" w:type="dxa"/>
            <w:tcBorders>
              <w:top w:val="single" w:sz="4" w:space="0" w:color="auto"/>
              <w:left w:val="single" w:sz="4" w:space="0" w:color="auto"/>
              <w:bottom w:val="single" w:sz="4" w:space="0" w:color="auto"/>
              <w:right w:val="single" w:sz="4" w:space="0" w:color="auto"/>
            </w:tcBorders>
            <w:noWrap/>
            <w:vAlign w:val="center"/>
            <w:hideMark/>
          </w:tcPr>
          <w:p w14:paraId="49152986"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Author(s) (Year)</w:t>
            </w:r>
          </w:p>
        </w:tc>
        <w:tc>
          <w:tcPr>
            <w:tcW w:w="1686" w:type="dxa"/>
            <w:tcBorders>
              <w:top w:val="single" w:sz="4" w:space="0" w:color="auto"/>
              <w:left w:val="nil"/>
              <w:bottom w:val="single" w:sz="4" w:space="0" w:color="auto"/>
              <w:right w:val="single" w:sz="4" w:space="0" w:color="auto"/>
            </w:tcBorders>
            <w:noWrap/>
            <w:vAlign w:val="center"/>
            <w:hideMark/>
          </w:tcPr>
          <w:p w14:paraId="4BE6C941"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Objective</w:t>
            </w:r>
          </w:p>
        </w:tc>
        <w:tc>
          <w:tcPr>
            <w:tcW w:w="1701" w:type="dxa"/>
            <w:tcBorders>
              <w:top w:val="single" w:sz="4" w:space="0" w:color="auto"/>
              <w:left w:val="nil"/>
              <w:bottom w:val="single" w:sz="4" w:space="0" w:color="auto"/>
              <w:right w:val="single" w:sz="4" w:space="0" w:color="auto"/>
            </w:tcBorders>
            <w:noWrap/>
            <w:vAlign w:val="center"/>
            <w:hideMark/>
          </w:tcPr>
          <w:p w14:paraId="6FC398B4"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Method</w:t>
            </w:r>
          </w:p>
        </w:tc>
        <w:tc>
          <w:tcPr>
            <w:tcW w:w="2118" w:type="dxa"/>
            <w:tcBorders>
              <w:top w:val="single" w:sz="4" w:space="0" w:color="auto"/>
              <w:left w:val="nil"/>
              <w:bottom w:val="single" w:sz="4" w:space="0" w:color="auto"/>
              <w:right w:val="single" w:sz="4" w:space="0" w:color="auto"/>
            </w:tcBorders>
            <w:noWrap/>
            <w:vAlign w:val="center"/>
            <w:hideMark/>
          </w:tcPr>
          <w:p w14:paraId="3DC62647"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Research Findings</w:t>
            </w:r>
          </w:p>
        </w:tc>
        <w:tc>
          <w:tcPr>
            <w:tcW w:w="1850" w:type="dxa"/>
            <w:tcBorders>
              <w:top w:val="single" w:sz="4" w:space="0" w:color="auto"/>
              <w:left w:val="nil"/>
              <w:bottom w:val="single" w:sz="4" w:space="0" w:color="auto"/>
              <w:right w:val="single" w:sz="4" w:space="0" w:color="auto"/>
            </w:tcBorders>
            <w:noWrap/>
            <w:vAlign w:val="center"/>
            <w:hideMark/>
          </w:tcPr>
          <w:p w14:paraId="75B7596A" w14:textId="77777777" w:rsidR="00FD6632" w:rsidRPr="006E49B5" w:rsidRDefault="00FD6632" w:rsidP="00175E9C">
            <w:pPr>
              <w:spacing w:after="0" w:line="240" w:lineRule="auto"/>
              <w:jc w:val="center"/>
              <w:rPr>
                <w:rFonts w:ascii="Times New Roman" w:eastAsia="Times New Roman" w:hAnsi="Times New Roman" w:cs="Times New Roman"/>
                <w:b/>
                <w:bCs/>
                <w:color w:val="000000"/>
                <w:kern w:val="0"/>
                <w:sz w:val="24"/>
                <w:szCs w:val="24"/>
                <w14:ligatures w14:val="none"/>
              </w:rPr>
            </w:pPr>
            <w:r w:rsidRPr="006E49B5">
              <w:rPr>
                <w:rFonts w:ascii="Times New Roman" w:hAnsi="Times New Roman" w:cs="Times New Roman"/>
                <w:b/>
                <w:bCs/>
                <w:sz w:val="24"/>
                <w:szCs w:val="24"/>
              </w:rPr>
              <w:t>Conclusion</w:t>
            </w:r>
          </w:p>
        </w:tc>
      </w:tr>
      <w:tr w:rsidR="00FD6632" w:rsidRPr="006E49B5" w14:paraId="0DA45F28" w14:textId="77777777" w:rsidTr="00175E9C">
        <w:trPr>
          <w:trHeight w:val="310"/>
        </w:trPr>
        <w:tc>
          <w:tcPr>
            <w:tcW w:w="512" w:type="dxa"/>
            <w:tcBorders>
              <w:top w:val="nil"/>
              <w:left w:val="single" w:sz="4" w:space="0" w:color="auto"/>
              <w:bottom w:val="single" w:sz="4" w:space="0" w:color="auto"/>
              <w:right w:val="single" w:sz="4" w:space="0" w:color="auto"/>
            </w:tcBorders>
          </w:tcPr>
          <w:p w14:paraId="700FA51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w:t>
            </w:r>
          </w:p>
        </w:tc>
        <w:tc>
          <w:tcPr>
            <w:tcW w:w="1751" w:type="dxa"/>
            <w:tcBorders>
              <w:top w:val="nil"/>
              <w:left w:val="single" w:sz="4" w:space="0" w:color="auto"/>
              <w:bottom w:val="single" w:sz="4" w:space="0" w:color="auto"/>
              <w:right w:val="single" w:sz="4" w:space="0" w:color="auto"/>
            </w:tcBorders>
            <w:noWrap/>
            <w:hideMark/>
          </w:tcPr>
          <w:p w14:paraId="233DAAD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ejon.2017.01.001","author":[{"dropping-particle":"","family":"Charalambous","given":"Andreas","non-dropping-particle":"","parse-names":false,"suffix":""},{"dropping-particle":"","family":"Lambrinou","given":"Ekaterini","non-dropping-particle":"","parse-names":false,"suffix":""},{"dropping-particle":"","family":"Katodritis","given":"Nikolaos","non-dropping-particle":"","parse-names":false,"suffix":""},{"dropping-particle":"","family":"Vomvas","given":"Dimitrios","non-dropping-particle":"","parse-names":false,"suffix":""},{"dropping-particle":"","family":"Raftopoulos","given":"Vasilios","non-dropping-particle":"","parse-names":false,"suffix":""},{"dropping-particle":"","family":"Georgiou","given":"Marios","non-dropping-particle":"","parse-names":false,"suffix":""},{"dropping-particle":"","family":"Paikousis","given":"Leonidas","non-dropping-particle":"","parse-names":false,"suffix":""},{"dropping-particle":"","family":"Charalambous","given":"Marios","non-dropping-particle":"","parse-names":false,"suffix":""},{"dropping-particle":"","family":"Kouloulias","given":"Vassilis","non-dropping-particle":"","parse-names":false,"suffix":""}],"container-title":"European Journal of Oncology Nursing","id":"ITEM-1","issued":{"date-parts":[["2017"]]},"page":"1-8","title":"The effectiveness of thyme honey for the management of treatment-induced xerostomia in head and neck cancer patients: A feasibility randomized control trial","type":"article-journal","volume":"27"},"uris":["http://www.mendeley.com/documents/?uuid=baa5efcf-3bab-4694-b679-7ab39b1d4e82"]}],"mendeley":{"formattedCitation":"(Charalambous et al., 2017)","manualFormatting":"Charalambous et al. (2017)","plainTextFormattedCitation":"(Charalambous et al., 2017)","previouslyFormattedCitation":"(Charalambous et al., 2017)"},"properties":{"noteIndex":0},"schema":"https://github.com/citation-style-language/schema/raw/master/csl-citation.json"}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Charalambous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2017)</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0FCEDBC9"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effectiveness of thyme honey in managing therapy-induced xerostomia in patients with head and neck cancer.</w:t>
            </w:r>
          </w:p>
        </w:tc>
        <w:tc>
          <w:tcPr>
            <w:tcW w:w="1701" w:type="dxa"/>
            <w:tcBorders>
              <w:top w:val="nil"/>
              <w:left w:val="nil"/>
              <w:bottom w:val="single" w:sz="4" w:space="0" w:color="auto"/>
              <w:right w:val="single" w:sz="4" w:space="0" w:color="auto"/>
            </w:tcBorders>
            <w:noWrap/>
            <w:hideMark/>
          </w:tcPr>
          <w:p w14:paraId="0DD268E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A parallel randomized controlled trial involving 72 patients. The intervention group received thyme honey, while the control group received saline. Assessment was conducted using the NCI xerostomia scale and the </w:t>
            </w:r>
            <w:r w:rsidRPr="006E49B5">
              <w:rPr>
                <w:rFonts w:ascii="Times New Roman" w:hAnsi="Times New Roman" w:cs="Times New Roman"/>
                <w:sz w:val="24"/>
                <w:szCs w:val="24"/>
              </w:rPr>
              <w:lastRenderedPageBreak/>
              <w:t>Xerostomia Questionnaire.</w:t>
            </w:r>
          </w:p>
        </w:tc>
        <w:tc>
          <w:tcPr>
            <w:tcW w:w="2118" w:type="dxa"/>
            <w:tcBorders>
              <w:top w:val="nil"/>
              <w:left w:val="nil"/>
              <w:bottom w:val="single" w:sz="4" w:space="0" w:color="auto"/>
              <w:right w:val="single" w:sz="4" w:space="0" w:color="auto"/>
            </w:tcBorders>
            <w:noWrap/>
            <w:hideMark/>
          </w:tcPr>
          <w:p w14:paraId="5C0FAA0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intervention had a significant effect on xerostomia, with F = 8.474 and p &lt; 0.001. Quality of life also improved significantly, with F = 13.158 and p &lt; 0.001. Effects were also observed in severe or unbearable pain, with F = 10.524 and p &lt; 0.001. Dysphagia decreased significantly, with </w:t>
            </w:r>
            <w:r w:rsidRPr="006E49B5">
              <w:rPr>
                <w:rFonts w:ascii="Times New Roman" w:hAnsi="Times New Roman" w:cs="Times New Roman"/>
                <w:sz w:val="24"/>
                <w:szCs w:val="24"/>
              </w:rPr>
              <w:lastRenderedPageBreak/>
              <w:t>F = 4.525 and p = 0.033.</w:t>
            </w:r>
          </w:p>
        </w:tc>
        <w:tc>
          <w:tcPr>
            <w:tcW w:w="1850" w:type="dxa"/>
            <w:tcBorders>
              <w:top w:val="nil"/>
              <w:left w:val="nil"/>
              <w:bottom w:val="single" w:sz="4" w:space="0" w:color="auto"/>
              <w:right w:val="single" w:sz="4" w:space="0" w:color="auto"/>
            </w:tcBorders>
            <w:noWrap/>
            <w:hideMark/>
          </w:tcPr>
          <w:p w14:paraId="5FF9CFC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Thyme honey was considered safe and effective as a supportive therapy for reducing xerostomia caused by head and neck cancer therapy.</w:t>
            </w:r>
          </w:p>
        </w:tc>
      </w:tr>
      <w:tr w:rsidR="00FD6632" w:rsidRPr="006E49B5" w14:paraId="165D17E8" w14:textId="77777777" w:rsidTr="00175E9C">
        <w:trPr>
          <w:trHeight w:val="310"/>
        </w:trPr>
        <w:tc>
          <w:tcPr>
            <w:tcW w:w="512" w:type="dxa"/>
            <w:tcBorders>
              <w:top w:val="nil"/>
              <w:left w:val="single" w:sz="4" w:space="0" w:color="auto"/>
              <w:bottom w:val="single" w:sz="4" w:space="0" w:color="auto"/>
              <w:right w:val="single" w:sz="4" w:space="0" w:color="auto"/>
            </w:tcBorders>
          </w:tcPr>
          <w:p w14:paraId="75E349E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2</w:t>
            </w:r>
          </w:p>
        </w:tc>
        <w:tc>
          <w:tcPr>
            <w:tcW w:w="1751" w:type="dxa"/>
            <w:tcBorders>
              <w:top w:val="nil"/>
              <w:left w:val="single" w:sz="4" w:space="0" w:color="auto"/>
              <w:bottom w:val="single" w:sz="4" w:space="0" w:color="auto"/>
              <w:right w:val="single" w:sz="4" w:space="0" w:color="auto"/>
            </w:tcBorders>
            <w:noWrap/>
            <w:hideMark/>
          </w:tcPr>
          <w:p w14:paraId="2B975B5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{"citationItems":[{"id":"ITEM-1","itemData":{"DOI":"10.1001/jamanetworkopen.2019.16910","author":[{"dropping-particle":"","family":"Garcia","given":"M K","non-dropping-particle":"","parse-names":false,"suffix":""},{"dropping-particle":"","family":"Meng","given":"Z","non-dropping-particle":"","parse-names":false,"suffix":""},{"dropping-particle":"","family":"Rosenthal","given":"D I","non-dropping-particle":"","parse-names":false,"suffix":""},{"dropping-particle":"","family":"Shen","given":"Y","non-dropping-particle":"","parse-names":false,"suffix":""},{"dropping-particle":"","family":"Chambers","given":"M","non-dropping-particle":"","parse-names":false,"suffix":""},{"dropping-particle":"","family":"Yang","given":"P","non-dropping-particle":"","parse-names":false,"suffix":""},{"dropping-particle":"","family":"Wei","given":"Q","non-dropping-particle":"","parse-names":false,"suffix":""},{"dropping-particle":"","family":"Hu","given":"C","non-dropping-particle":"","parse-names":false,"suffix":""},{"dropping-particle":"","family":"Wu","given":"C","non-dropping-particle":"","parse-names":false,"suffix":""},{"dropping-particle":"","family":"Bei","given":"W","non-dropping-particle":"","parse-names":false,"suffix":""},{"dropping-particle":"","family":"Prinsloo","given":"S","non-dropping-particle":"","parse-names":false,"suffix":""},{"dropping-particle":"","family":"Chiang","given":"J","non-dropping-particle":"","parse-names":false,"suffix":""},{"dropping-particle":"","family":"Lopez","given":"G","non-dropping-particle":"","parse-names":false,"suffix":""},{"dropping-particle":"","family":"Cohen","given":"L","non-dropping-particle":"","parse-names":false,"suffix":""}],"container-title":"JAMA Network Open","id":"ITEM-1","issue":"12","issued":{"date-parts":[["2019"]]},"page":"e1916910","title":"Effect of true and sham acupuncture on radiation-induced xerostomia among patients with head and neck cancer: A randomized clinical trial","type":"article-journal","volume":"2"},"uris":["http://www.mendeley.com/documents/?uuid=a30c50f0-0e8c-4cf3-b3ef-27e46190d5b1"]}],"mendeley":{"formattedCitation":"(Garcia et al., 2019)","manualFormatting":"Garcia et al. (2019)","plainTextFormattedCitation":"(Garcia et al., 2019)","previouslyFormattedCitation":"(Garcia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C95337">
              <w:rPr>
                <w:rFonts w:ascii="Times New Roman" w:eastAsia="Times New Roman" w:hAnsi="Times New Roman" w:cs="Times New Roman"/>
                <w:noProof/>
                <w:color w:val="000000"/>
                <w:kern w:val="0"/>
                <w:sz w:val="24"/>
                <w:szCs w:val="24"/>
                <w14:ligatures w14:val="none"/>
              </w:rPr>
              <w:t xml:space="preserve">Garcia et al. </w:t>
            </w:r>
            <w:r>
              <w:rPr>
                <w:rFonts w:ascii="Times New Roman" w:eastAsia="Times New Roman" w:hAnsi="Times New Roman" w:cs="Times New Roman"/>
                <w:noProof/>
                <w:color w:val="000000"/>
                <w:kern w:val="0"/>
                <w:sz w:val="24"/>
                <w:szCs w:val="24"/>
                <w14:ligatures w14:val="none"/>
              </w:rPr>
              <w:t>(</w:t>
            </w:r>
            <w:r w:rsidRPr="00C95337">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68970D0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true acupuncture, sham acupuncture, and standard care in preventing radiation-induced xerostomia in patients with head and neck cancer.</w:t>
            </w:r>
          </w:p>
        </w:tc>
        <w:tc>
          <w:tcPr>
            <w:tcW w:w="1701" w:type="dxa"/>
            <w:tcBorders>
              <w:top w:val="nil"/>
              <w:left w:val="nil"/>
              <w:bottom w:val="single" w:sz="4" w:space="0" w:color="auto"/>
              <w:right w:val="single" w:sz="4" w:space="0" w:color="auto"/>
            </w:tcBorders>
            <w:noWrap/>
            <w:hideMark/>
          </w:tcPr>
          <w:p w14:paraId="05DB1D1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clinical trial. A total of 399 patients were randomized and 339 patients were analyzed. True acupuncture was administered three times per week during 6–7 weeks of radiotherapy.</w:t>
            </w:r>
          </w:p>
        </w:tc>
        <w:tc>
          <w:tcPr>
            <w:tcW w:w="2118" w:type="dxa"/>
            <w:tcBorders>
              <w:top w:val="nil"/>
              <w:left w:val="nil"/>
              <w:bottom w:val="single" w:sz="4" w:space="0" w:color="auto"/>
              <w:right w:val="single" w:sz="4" w:space="0" w:color="auto"/>
            </w:tcBorders>
            <w:noWrap/>
            <w:hideMark/>
          </w:tcPr>
          <w:p w14:paraId="41F7852C"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Xerostomia scores in the true acupuncture group were lower than those in the standard care group, namely 26.6 vs. 34.8 with p = 0.001. The difference between true acupuncture and sham acupuncture approached significance, namely 26.6 vs. 31.3 with p = 0.06. The incidence of clinically significant xerostomia was 34.6% in the true acupuncture group, 47.8% in the sham acupuncture group, and 55.1% in the standard care group, with p = 0.009.</w:t>
            </w:r>
          </w:p>
        </w:tc>
        <w:tc>
          <w:tcPr>
            <w:tcW w:w="1850" w:type="dxa"/>
            <w:tcBorders>
              <w:top w:val="nil"/>
              <w:left w:val="nil"/>
              <w:bottom w:val="single" w:sz="4" w:space="0" w:color="auto"/>
              <w:right w:val="single" w:sz="4" w:space="0" w:color="auto"/>
            </w:tcBorders>
            <w:noWrap/>
            <w:hideMark/>
          </w:tcPr>
          <w:p w14:paraId="4FBCBAF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True acupuncture was more effective than standard care in reducing xerostomia symptoms one year after radiotherapy.</w:t>
            </w:r>
          </w:p>
        </w:tc>
      </w:tr>
      <w:tr w:rsidR="00FD6632" w:rsidRPr="006E49B5" w14:paraId="17431CA7" w14:textId="77777777" w:rsidTr="00175E9C">
        <w:trPr>
          <w:trHeight w:val="310"/>
        </w:trPr>
        <w:tc>
          <w:tcPr>
            <w:tcW w:w="512" w:type="dxa"/>
            <w:tcBorders>
              <w:top w:val="nil"/>
              <w:left w:val="single" w:sz="4" w:space="0" w:color="auto"/>
              <w:bottom w:val="single" w:sz="4" w:space="0" w:color="auto"/>
              <w:right w:val="single" w:sz="4" w:space="0" w:color="auto"/>
            </w:tcBorders>
          </w:tcPr>
          <w:p w14:paraId="0C6ADD07"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3</w:t>
            </w:r>
          </w:p>
        </w:tc>
        <w:tc>
          <w:tcPr>
            <w:tcW w:w="1751" w:type="dxa"/>
            <w:tcBorders>
              <w:top w:val="nil"/>
              <w:left w:val="single" w:sz="4" w:space="0" w:color="auto"/>
              <w:bottom w:val="single" w:sz="4" w:space="0" w:color="auto"/>
              <w:right w:val="single" w:sz="4" w:space="0" w:color="auto"/>
            </w:tcBorders>
            <w:noWrap/>
            <w:hideMark/>
          </w:tcPr>
          <w:p w14:paraId="7AADFC6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{"citationItems":[{"id":"ITEM-1","itemData":{"DOI":"10.1111/joor.12851","author":[{"dropping-particle":"","family":"Paim","given":"É D","non-dropping-particle":"","parse-names":false,"suffix":""},{"dropping-particle":"","family":"Zanella","given":"V G","non-dropping-particle":"","parse-names":false,"suffix":""},{"dropping-particle":"","family":"Martins","given":"V B","non-dropping-particle":"","parse-names":false,"suffix":""},{"dropping-particle":"","family":"Macagnan","given":"F E","non-dropping-particle":"","parse-names":false,"suffix":""},{"dropping-particle":"","family":"Berbert","given":"M C B","non-dropping-particle":"","parse-names":false,"suffix":""}],"container-title":"Journal of Oral Rehabilitation","id":"ITEM-1","issue":"12","issued":{"date-parts":[["2019"]]},"page":"1142-1150","title":"Effects of transcutaneous electrical nerve stimulation on the salivary flow of patients with hyposalivation induced by radiotherapy in the head and neck region: A randomized clinical trial","type":"article-journal","volume":"46"},"uris":["http://www.mendeley.com/documents/?uuid=9169f61b-f0a2-4ed5-8800-c34a254f3a55"]}],"mendeley":{"formattedCitation":"(Paim et al., 2019)","manualFormatting":"Paim et al. (2019)","plainTextFormattedCitation":"(Paim et al., 2019)","previouslyFormattedCitation":"(Paim et al., 2019)"},"properties":{"noteIndex":0},"schema":"https://github.com/citation-style-language/schema/raw/master/csl-citation.json"}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Paim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2019)</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7FB9EC3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the effectiveness of transcutaneous electrical nerve stimulation for hyposalivation after head and neck radiotherapy.</w:t>
            </w:r>
          </w:p>
        </w:tc>
        <w:tc>
          <w:tcPr>
            <w:tcW w:w="1701" w:type="dxa"/>
            <w:tcBorders>
              <w:top w:val="nil"/>
              <w:left w:val="nil"/>
              <w:bottom w:val="single" w:sz="4" w:space="0" w:color="auto"/>
              <w:right w:val="single" w:sz="4" w:space="0" w:color="auto"/>
            </w:tcBorders>
            <w:noWrap/>
            <w:hideMark/>
          </w:tcPr>
          <w:p w14:paraId="1AA7D55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A clinical trial involving 68 patients with hyposalivation. The TENS group consisted of 37 patients, while the control group consisted of 31 patients. The intervention was delivered in eight </w:t>
            </w:r>
            <w:r w:rsidRPr="006E49B5">
              <w:rPr>
                <w:rFonts w:ascii="Times New Roman" w:hAnsi="Times New Roman" w:cs="Times New Roman"/>
                <w:sz w:val="24"/>
                <w:szCs w:val="24"/>
              </w:rPr>
              <w:lastRenderedPageBreak/>
              <w:t>sessions over four weeks.</w:t>
            </w:r>
          </w:p>
        </w:tc>
        <w:tc>
          <w:tcPr>
            <w:tcW w:w="2118" w:type="dxa"/>
            <w:tcBorders>
              <w:top w:val="nil"/>
              <w:left w:val="nil"/>
              <w:bottom w:val="single" w:sz="4" w:space="0" w:color="auto"/>
              <w:right w:val="single" w:sz="4" w:space="0" w:color="auto"/>
            </w:tcBorders>
            <w:noWrap/>
            <w:hideMark/>
          </w:tcPr>
          <w:p w14:paraId="33AF6E7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The TENS group showed a significant increase in stimulated salivary flow at six months, with F = 9.5 and p = 0.0001. Self-perception of salivary flow also improved, with H = 143.77 and p &lt; 0.0001. Quality of life improved, with X² = 9.162 and p = 0.02.</w:t>
            </w:r>
          </w:p>
        </w:tc>
        <w:tc>
          <w:tcPr>
            <w:tcW w:w="1850" w:type="dxa"/>
            <w:tcBorders>
              <w:top w:val="nil"/>
              <w:left w:val="nil"/>
              <w:bottom w:val="single" w:sz="4" w:space="0" w:color="auto"/>
              <w:right w:val="single" w:sz="4" w:space="0" w:color="auto"/>
            </w:tcBorders>
            <w:noWrap/>
            <w:hideMark/>
          </w:tcPr>
          <w:p w14:paraId="6C2D0C70"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TENS was effective in increasing salivary flow, improving salivary perception, and enhancing quality of life in patients with post-radiotherapy hyposalivation.</w:t>
            </w:r>
          </w:p>
        </w:tc>
      </w:tr>
      <w:tr w:rsidR="00FD6632" w:rsidRPr="006E49B5" w14:paraId="2B2D02B9" w14:textId="77777777" w:rsidTr="00175E9C">
        <w:trPr>
          <w:trHeight w:val="310"/>
        </w:trPr>
        <w:tc>
          <w:tcPr>
            <w:tcW w:w="512" w:type="dxa"/>
            <w:tcBorders>
              <w:top w:val="nil"/>
              <w:left w:val="single" w:sz="4" w:space="0" w:color="auto"/>
              <w:bottom w:val="single" w:sz="4" w:space="0" w:color="auto"/>
              <w:right w:val="single" w:sz="4" w:space="0" w:color="auto"/>
            </w:tcBorders>
          </w:tcPr>
          <w:p w14:paraId="04AEDECE"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4</w:t>
            </w:r>
          </w:p>
        </w:tc>
        <w:tc>
          <w:tcPr>
            <w:tcW w:w="1751" w:type="dxa"/>
            <w:tcBorders>
              <w:top w:val="nil"/>
              <w:left w:val="single" w:sz="4" w:space="0" w:color="auto"/>
              <w:bottom w:val="single" w:sz="4" w:space="0" w:color="auto"/>
              <w:right w:val="single" w:sz="4" w:space="0" w:color="auto"/>
            </w:tcBorders>
            <w:noWrap/>
            <w:hideMark/>
          </w:tcPr>
          <w:p w14:paraId="43A637CA"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{"citationItems":[{"id":"ITEM-1","itemData":{"author":[{"dropping-particle":"","family":"Louzeiro","given":"G C","non-dropping-particle":"","parse-names":false,"suffix":""},{"dropping-particle":"","family":"Cherubini","given":"K","non-dropping-particle":"","parse-names":false,"suffix":""},{"dropping-particle":"","family":"Figueiredo","given":"M A Z","non-dropping-particle":"de","parse-names":false,"suffix":""},{"dropping-particle":"","family":"Salum","given":"F G","non-dropping-particle":"","parse-names":false,"suffix":""}],"container-title":"Supportive Care in Cancer","id":"ITEM-1","issued":{"date-parts":[["2020"]]},"page":"2911-2921","title":"Effect of photobiomodulation on radiotherapy-induced xerostomia and hyposalivation: A systematic review and meta-analysis","type":"article-journal","volume":"28"},"uris":["http://www.mendeley.com/documents/?uuid=01ed638d-3991-4c19-b9ba-d252de977e36"]}],"mendeley":{"formattedCitation":"(Louzeiro et al., 2020)","manualFormatting":"Louzeiro et al. (2020)","plainTextFormattedCitation":"(Louzeiro et al., 2020)","previouslyFormattedCitation":"(Louzeiro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A0035B">
              <w:rPr>
                <w:rFonts w:ascii="Times New Roman" w:eastAsia="Times New Roman" w:hAnsi="Times New Roman" w:cs="Times New Roman"/>
                <w:noProof/>
                <w:color w:val="000000"/>
                <w:kern w:val="0"/>
                <w:sz w:val="24"/>
                <w:szCs w:val="24"/>
                <w14:ligatures w14:val="none"/>
              </w:rPr>
              <w:t>Louzeiro et al.</w:t>
            </w:r>
            <w:r>
              <w:rPr>
                <w:rFonts w:ascii="Times New Roman" w:eastAsia="Times New Roman" w:hAnsi="Times New Roman" w:cs="Times New Roman"/>
                <w:noProof/>
                <w:color w:val="000000"/>
                <w:kern w:val="0"/>
                <w:sz w:val="24"/>
                <w:szCs w:val="24"/>
                <w14:ligatures w14:val="none"/>
              </w:rPr>
              <w:t xml:space="preserve"> (</w:t>
            </w:r>
            <w:r w:rsidRPr="00A0035B">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AB707A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whether </w:t>
            </w: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could reduce hyposalivation, xerostomia, changes in saliva quality, and deterioration in quality of life during radiotherapy.</w:t>
            </w:r>
          </w:p>
        </w:tc>
        <w:tc>
          <w:tcPr>
            <w:tcW w:w="1701" w:type="dxa"/>
            <w:tcBorders>
              <w:top w:val="nil"/>
              <w:left w:val="nil"/>
              <w:bottom w:val="single" w:sz="4" w:space="0" w:color="auto"/>
              <w:right w:val="single" w:sz="4" w:space="0" w:color="auto"/>
            </w:tcBorders>
            <w:noWrap/>
            <w:hideMark/>
          </w:tcPr>
          <w:p w14:paraId="3AACEE74"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randomized controlled clinical trial involving 21 patients. The laser group was compared with the sham group. The intervention was administered three times per week during the radiotherapy period.</w:t>
            </w:r>
          </w:p>
        </w:tc>
        <w:tc>
          <w:tcPr>
            <w:tcW w:w="2118" w:type="dxa"/>
            <w:tcBorders>
              <w:top w:val="nil"/>
              <w:left w:val="nil"/>
              <w:bottom w:val="single" w:sz="4" w:space="0" w:color="auto"/>
              <w:right w:val="single" w:sz="4" w:space="0" w:color="auto"/>
            </w:tcBorders>
            <w:noWrap/>
            <w:hideMark/>
          </w:tcPr>
          <w:p w14:paraId="1744A3B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All patients experienced a decrease in unstimulated salivary flow, with p = 0.003, and stimulated salivary flow, with p &lt; 0.001. Xerostomia worsened, with p &lt; 0.05, and quality of life deteriorated, with p = 0.001. Salivary pH was higher in the laser group at T3, with p = 0.037. No significant between-group differences were found in salivary flow, saliva composition, xerostomia, or quality of life.</w:t>
            </w:r>
          </w:p>
        </w:tc>
        <w:tc>
          <w:tcPr>
            <w:tcW w:w="1850" w:type="dxa"/>
            <w:tcBorders>
              <w:top w:val="nil"/>
              <w:left w:val="nil"/>
              <w:bottom w:val="single" w:sz="4" w:space="0" w:color="auto"/>
              <w:right w:val="single" w:sz="4" w:space="0" w:color="auto"/>
            </w:tcBorders>
            <w:noWrap/>
            <w:hideMark/>
          </w:tcPr>
          <w:p w14:paraId="3F4A946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may have the potential to maintain salivary pH during radiotherapy. However, its effect on xerostomia and salivary flow has not been proven to be superior to sham treatment.</w:t>
            </w:r>
          </w:p>
        </w:tc>
      </w:tr>
      <w:tr w:rsidR="00FD6632" w:rsidRPr="006E49B5" w14:paraId="42DE5947" w14:textId="77777777" w:rsidTr="00175E9C">
        <w:trPr>
          <w:trHeight w:val="310"/>
        </w:trPr>
        <w:tc>
          <w:tcPr>
            <w:tcW w:w="512" w:type="dxa"/>
            <w:tcBorders>
              <w:top w:val="nil"/>
              <w:left w:val="single" w:sz="4" w:space="0" w:color="auto"/>
              <w:bottom w:val="single" w:sz="4" w:space="0" w:color="auto"/>
              <w:right w:val="single" w:sz="4" w:space="0" w:color="auto"/>
            </w:tcBorders>
          </w:tcPr>
          <w:p w14:paraId="78CE46F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5</w:t>
            </w:r>
          </w:p>
        </w:tc>
        <w:tc>
          <w:tcPr>
            <w:tcW w:w="1751" w:type="dxa"/>
            <w:tcBorders>
              <w:top w:val="nil"/>
              <w:left w:val="single" w:sz="4" w:space="0" w:color="auto"/>
              <w:bottom w:val="single" w:sz="4" w:space="0" w:color="auto"/>
              <w:right w:val="single" w:sz="4" w:space="0" w:color="auto"/>
            </w:tcBorders>
            <w:noWrap/>
            <w:hideMark/>
          </w:tcPr>
          <w:p w14:paraId="1C85C182"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-019-05132-1","author":[{"dropping-particle":"","family":"Nuchit","given":"Sumalee","non-dropping-particle":"","parse-names":false,"suffix":""},{"dropping-particle":"","family":"Lam-Ubol","given":"Aroonwan","non-dropping-particle":"","parse-names":false,"suffix":""},{"dropping-particle":"","family":"Paemuang","given":"Wannaporn","non-dropping-particle":"","parse-names":false,"suffix":""},{"dropping-particle":"","family":"Talungchit","given":"Sineepat","non-dropping-particle":"","parse-names":false,"suffix":""},{"dropping-particle":"","family":"Chokchaitam","given":"Orapin","non-dropping-particle":"","parse-names":false,"suffix":""},{"dropping-particle":"","family":"Mungkung","given":"On-ong","non-dropping-particle":"","parse-names":false,"suffix":""},{"dropping-particle":"","family":"Pongcharoen","given":"Tippawan","non-dropping-particle":"","parse-names":false,"suffix":""},{"dropping-particle":"","family":"Trachootham","given":"Dunyaporn","non-dropping-particle":"","parse-names":false,"suffix":""}],"container-title":"Supportive Care in Cancer","id":"ITEM-1","issue":"6","issued":{"date-parts":[["2020"]]},"page":"2817-2828","title":"Alleviation of dry mouth by saliva substitutes improved swallowing ability and clinical nutritional status of post-radiotherapy head and neck cancer patients: A randomized controlled trial","type":"article-journal","volume":"28"},"uris":["http://www.mendeley.com/documents/?uuid=31ea358a-2bc1-4d1d-a584-5a6a5b2a7913"]}],"mendeley":{"formattedCitation":"(Nuchit et al., 2020)","manualFormatting":"Nuchit et al. (2020)","plainTextFormattedCitation":"(Nuchit et al., 2020)","previouslyFormattedCitation":"(Nuchit et al., 2020)"},"properties":{"noteIndex":0},"schema":"https://github.com/citation-style-language/schema/raw/master/csl-citation.json"}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FD1520">
              <w:rPr>
                <w:rFonts w:ascii="Times New Roman" w:eastAsia="Times New Roman" w:hAnsi="Times New Roman" w:cs="Times New Roman"/>
                <w:noProof/>
                <w:color w:val="000000"/>
                <w:kern w:val="0"/>
                <w:sz w:val="24"/>
                <w:szCs w:val="24"/>
                <w14:ligatures w14:val="none"/>
              </w:rPr>
              <w:t xml:space="preserve">Nuchit et al. </w:t>
            </w:r>
            <w:r>
              <w:rPr>
                <w:rFonts w:ascii="Times New Roman" w:eastAsia="Times New Roman" w:hAnsi="Times New Roman" w:cs="Times New Roman"/>
                <w:noProof/>
                <w:color w:val="000000"/>
                <w:kern w:val="0"/>
                <w:sz w:val="24"/>
                <w:szCs w:val="24"/>
                <w14:ligatures w14:val="none"/>
              </w:rPr>
              <w:t>(</w:t>
            </w:r>
            <w:r w:rsidRPr="00FD1520">
              <w:rPr>
                <w:rFonts w:ascii="Times New Roman" w:eastAsia="Times New Roman" w:hAnsi="Times New Roman" w:cs="Times New Roman"/>
                <w:noProof/>
                <w:color w:val="000000"/>
                <w:kern w:val="0"/>
                <w:sz w:val="24"/>
                <w:szCs w:val="24"/>
                <w14:ligatures w14:val="none"/>
              </w:rPr>
              <w:t>2020)</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25D663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effects of an edible saliva substitute in the form of oral moisturizing jelly and topical saliva gel on dry mouth, swallowing ability, and nutritional status in post-radiotherapy head and neck cancer patients.</w:t>
            </w:r>
          </w:p>
        </w:tc>
        <w:tc>
          <w:tcPr>
            <w:tcW w:w="1701" w:type="dxa"/>
            <w:tcBorders>
              <w:top w:val="nil"/>
              <w:left w:val="nil"/>
              <w:bottom w:val="single" w:sz="4" w:space="0" w:color="auto"/>
              <w:right w:val="single" w:sz="4" w:space="0" w:color="auto"/>
            </w:tcBorders>
            <w:noWrap/>
            <w:hideMark/>
          </w:tcPr>
          <w:p w14:paraId="64279C47"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blinded randomized controlled trial involving 62 patients. Oral moisturizing jelly was given to 31 patients, while topical saliva gel was given to 31 patients for two months.</w:t>
            </w:r>
          </w:p>
        </w:tc>
        <w:tc>
          <w:tcPr>
            <w:tcW w:w="2118" w:type="dxa"/>
            <w:tcBorders>
              <w:top w:val="nil"/>
              <w:left w:val="nil"/>
              <w:bottom w:val="single" w:sz="4" w:space="0" w:color="auto"/>
              <w:right w:val="single" w:sz="4" w:space="0" w:color="auto"/>
            </w:tcBorders>
            <w:noWrap/>
            <w:hideMark/>
          </w:tcPr>
          <w:p w14:paraId="5EA34E7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Both groups showed significant improvements in subjective and objective dry mouth scores, EAT-10, swallowing time, and PG-SGA, with p &lt; 0.0001. Oral moisturizing jelly produced a higher percentage of improvement in almost all outcomes, with p &lt; 0.001. Dry mouth scores correlated with swallowing problems, with r = </w:t>
            </w:r>
            <w:r w:rsidRPr="006E49B5">
              <w:rPr>
                <w:rFonts w:ascii="Times New Roman" w:hAnsi="Times New Roman" w:cs="Times New Roman"/>
                <w:sz w:val="24"/>
                <w:szCs w:val="24"/>
              </w:rPr>
              <w:lastRenderedPageBreak/>
              <w:t>0.5321 and p &lt; 0.0001.</w:t>
            </w:r>
          </w:p>
        </w:tc>
        <w:tc>
          <w:tcPr>
            <w:tcW w:w="1850" w:type="dxa"/>
            <w:tcBorders>
              <w:top w:val="nil"/>
              <w:left w:val="nil"/>
              <w:bottom w:val="single" w:sz="4" w:space="0" w:color="auto"/>
              <w:right w:val="single" w:sz="4" w:space="0" w:color="auto"/>
            </w:tcBorders>
            <w:noWrap/>
            <w:hideMark/>
          </w:tcPr>
          <w:p w14:paraId="3A073DE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Saliva substitutes improved dry mouth and swallowing ability. Oral moisturizing jelly was superior to topical saliva gel in most clinical outcomes.</w:t>
            </w:r>
          </w:p>
        </w:tc>
      </w:tr>
      <w:tr w:rsidR="00FD6632" w:rsidRPr="006E49B5" w14:paraId="4AFD7329" w14:textId="77777777" w:rsidTr="00175E9C">
        <w:trPr>
          <w:trHeight w:val="310"/>
        </w:trPr>
        <w:tc>
          <w:tcPr>
            <w:tcW w:w="512" w:type="dxa"/>
            <w:tcBorders>
              <w:top w:val="nil"/>
              <w:left w:val="single" w:sz="4" w:space="0" w:color="auto"/>
              <w:bottom w:val="single" w:sz="4" w:space="0" w:color="auto"/>
              <w:right w:val="single" w:sz="4" w:space="0" w:color="auto"/>
            </w:tcBorders>
          </w:tcPr>
          <w:p w14:paraId="6713BF86"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6</w:t>
            </w:r>
          </w:p>
        </w:tc>
        <w:tc>
          <w:tcPr>
            <w:tcW w:w="1751" w:type="dxa"/>
            <w:tcBorders>
              <w:top w:val="nil"/>
              <w:left w:val="single" w:sz="4" w:space="0" w:color="auto"/>
              <w:bottom w:val="single" w:sz="4" w:space="0" w:color="auto"/>
              <w:right w:val="single" w:sz="4" w:space="0" w:color="auto"/>
            </w:tcBorders>
            <w:noWrap/>
            <w:hideMark/>
          </w:tcPr>
          <w:p w14:paraId="7BA76380"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{"citationItems":[{"id":"ITEM-1","itemData":{"DOI":"10.1007/s00784-020-03634-5","author":[{"dropping-particle":"","family":"Marimuthu","given":"Dayaabaran","non-dropping-particle":"","parse-names":false,"suffix":""},{"dropping-particle":"","family":"Han","given":"K M","non-dropping-particle":"","parse-names":false,"suffix":""},{"dropping-particle":"","family":"Mohamad","given":"M S F","non-dropping-particle":"","parse-names":false,"suffix":""},{"dropping-particle":"","family":"Azman","given":"M","non-dropping-particle":"","parse-names":false,"suffix":""}],"container-title":"Clinical Oral Investigations","id":"ITEM-1","issued":{"date-parts":[["2021"]]},"page":"3105-3115","title":"Saliva substitute mouthwash in nasopharyngeal cancer survivors with xerostomia: A randomized controlled trial","type":"article-journal","volume":"25"},"uris":["http://www.mendeley.com/documents/?uuid=422f60d4-4a3f-4e6b-a40a-ffb8a0277542"]}],"mendeley":{"formattedCitation":"(Marimuthu et al., 2021)","manualFormatting":"Marimuthu et al. (2021)","plainTextFormattedCitation":"(Marimuthu et al., 2021)","previouslyFormattedCitation":"(Marimuthu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EC71C1">
              <w:rPr>
                <w:rFonts w:ascii="Times New Roman" w:eastAsia="Times New Roman" w:hAnsi="Times New Roman" w:cs="Times New Roman"/>
                <w:noProof/>
                <w:color w:val="000000"/>
                <w:kern w:val="0"/>
                <w:sz w:val="24"/>
                <w:szCs w:val="24"/>
                <w14:ligatures w14:val="none"/>
              </w:rPr>
              <w:t xml:space="preserve">Marimuthu et al. </w:t>
            </w:r>
            <w:r>
              <w:rPr>
                <w:rFonts w:ascii="Times New Roman" w:eastAsia="Times New Roman" w:hAnsi="Times New Roman" w:cs="Times New Roman"/>
                <w:noProof/>
                <w:color w:val="000000"/>
                <w:kern w:val="0"/>
                <w:sz w:val="24"/>
                <w:szCs w:val="24"/>
                <w14:ligatures w14:val="none"/>
              </w:rPr>
              <w:t>(</w:t>
            </w:r>
            <w:r w:rsidRPr="00EC71C1">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5FA10DF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an active saliva substitute mouthwash with a comparator mouthwash in nasopharyngeal cancer survivors experiencing xerostomia.</w:t>
            </w:r>
          </w:p>
        </w:tc>
        <w:tc>
          <w:tcPr>
            <w:tcW w:w="1701" w:type="dxa"/>
            <w:tcBorders>
              <w:top w:val="nil"/>
              <w:left w:val="nil"/>
              <w:bottom w:val="single" w:sz="4" w:space="0" w:color="auto"/>
              <w:right w:val="single" w:sz="4" w:space="0" w:color="auto"/>
            </w:tcBorders>
            <w:noWrap/>
            <w:hideMark/>
          </w:tcPr>
          <w:p w14:paraId="40A1053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prospective randomized clinical trial involving 94 patients. The intervention group received an immunologically active saliva substitute, while the control group received a non-immunologically active mouthwash. Evaluation was conducted over four weeks.</w:t>
            </w:r>
          </w:p>
        </w:tc>
        <w:tc>
          <w:tcPr>
            <w:tcW w:w="2118" w:type="dxa"/>
            <w:tcBorders>
              <w:top w:val="nil"/>
              <w:left w:val="nil"/>
              <w:bottom w:val="single" w:sz="4" w:space="0" w:color="auto"/>
              <w:right w:val="single" w:sz="4" w:space="0" w:color="auto"/>
            </w:tcBorders>
            <w:noWrap/>
            <w:hideMark/>
          </w:tcPr>
          <w:p w14:paraId="7C51AB9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difference in SXI between the intervention and control groups was significant, with p &lt; 0.0001. The difference in unstimulated whole saliva was also significant, with p &lt; 0.0001. No harmful side effects were observed during the study.</w:t>
            </w:r>
          </w:p>
        </w:tc>
        <w:tc>
          <w:tcPr>
            <w:tcW w:w="1850" w:type="dxa"/>
            <w:tcBorders>
              <w:top w:val="nil"/>
              <w:left w:val="nil"/>
              <w:bottom w:val="single" w:sz="4" w:space="0" w:color="auto"/>
              <w:right w:val="single" w:sz="4" w:space="0" w:color="auto"/>
            </w:tcBorders>
            <w:noWrap/>
            <w:hideMark/>
          </w:tcPr>
          <w:p w14:paraId="64311B9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immunologically active saliva substitute mouthwash was effective in reducing subjective xerostomia scores and increasing objective salivary flow in nasopharyngeal cancer survivors.</w:t>
            </w:r>
          </w:p>
        </w:tc>
      </w:tr>
      <w:tr w:rsidR="00FD6632" w:rsidRPr="006E49B5" w14:paraId="4618A719" w14:textId="77777777" w:rsidTr="00175E9C">
        <w:trPr>
          <w:trHeight w:val="310"/>
        </w:trPr>
        <w:tc>
          <w:tcPr>
            <w:tcW w:w="512" w:type="dxa"/>
            <w:tcBorders>
              <w:top w:val="nil"/>
              <w:left w:val="single" w:sz="4" w:space="0" w:color="auto"/>
              <w:bottom w:val="single" w:sz="4" w:space="0" w:color="auto"/>
              <w:right w:val="single" w:sz="4" w:space="0" w:color="auto"/>
            </w:tcBorders>
          </w:tcPr>
          <w:p w14:paraId="7837C1E9"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7</w:t>
            </w:r>
          </w:p>
        </w:tc>
        <w:tc>
          <w:tcPr>
            <w:tcW w:w="1751" w:type="dxa"/>
            <w:tcBorders>
              <w:top w:val="nil"/>
              <w:left w:val="single" w:sz="4" w:space="0" w:color="auto"/>
              <w:bottom w:val="single" w:sz="4" w:space="0" w:color="auto"/>
              <w:right w:val="single" w:sz="4" w:space="0" w:color="auto"/>
            </w:tcBorders>
            <w:noWrap/>
            <w:hideMark/>
          </w:tcPr>
          <w:p w14:paraId="0E16F591"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{"citationItems":[{"id":"ITEM-1","itemData":{"DOI":"10.1016/j.oooo.2021.02.016","author":[{"dropping-particle":"","family":"Menezes","given":"A S da S","non-dropping-particle":"","parse-names":false,"suffix":""},{"dropping-particle":"","family":"Sanches","given":"G L G","non-dropping-particle":"","parse-names":false,"suffix":""},{"dropping-particle":"","family":"Gomes","given":"E S B","non-dropping-particle":"","parse-names":false,"suffix":""},{"dropping-particle":"","family":"Soares","given":"R G","non-dropping-particle":"","parse-names":false,"suffix":""},{"dropping-particle":"","family":"Durães","given":"C P","non-dropping-particle":"","parse-names":false,"suffix":""},{"dropping-particle":"","family":"Fonseca","given":"L L","non-dropping-particle":"","parse-names":false,"suffix":""},{"dropping-particle":"","family":"Filho","given":"A P S","non-dropping-particle":"","parse-names":false,"suffix":""},{"dropping-particle":"","family":"Ribeiro","given":"A A A A","non-dropping-particle":"","parse-names":false,"suffix":""},{"dropping-particle":"","family":"Nascimento","given":"J E","non-dropping-particle":"","parse-names":false,"suffix":""},{"dropping-particle":"","family":"Santos","given":"S H S","non-dropping-particle":"","parse-names":false,"suffix":""},{"dropping-particle":"","family":"Paula","given":"A M B","non-dropping-particle":"de","parse-names":false,"suffix":""},{"dropping-particle":"","family":"Farias","given":"L C","non-dropping-particle":"","parse-names":false,"suffix":""},{"dropping-particle":"","family":"Guimarães","given":"A L S","non-dropping-particle":"","parse-names":false,"suffix":""}],"container-title":"Oral Surgery, Oral Medicine, Oral Pathology and Oral Radiology","id":"ITEM-1","issue":"6","issued":{"date-parts":[["2021"]]},"page":"675-683","title":"The combination of traditional and auricular acupuncture to prevent xerostomia and anxiety in irradiated patients with HNSCC: A preventive, parallel, single-blind, 2-arm controlled study","type":"article-journal","volume":"131"},"uris":["http://www.mendeley.com/documents/?uuid=0e89b056-b3c1-460f-bb1e-d17f46eab3c8"]}],"mendeley":{"formattedCitation":"(Menezes et al., 2021)","manualFormatting":"Menezes et al. (2021)","plainTextFormattedCitation":"(Menezes et al., 2021)","previouslyFormattedCitation":"(Menezes et al., 2021)"},"properties":{"noteIndex":0},"schema":"https://github.com/citation-style-language/schema/raw/master/csl-citation.json"}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B3D73">
              <w:rPr>
                <w:rFonts w:ascii="Times New Roman" w:eastAsia="Times New Roman" w:hAnsi="Times New Roman" w:cs="Times New Roman"/>
                <w:noProof/>
                <w:color w:val="000000"/>
                <w:kern w:val="0"/>
                <w:sz w:val="24"/>
                <w:szCs w:val="24"/>
                <w14:ligatures w14:val="none"/>
              </w:rPr>
              <w:t xml:space="preserve">Menezes et al. </w:t>
            </w:r>
            <w:r>
              <w:rPr>
                <w:rFonts w:ascii="Times New Roman" w:eastAsia="Times New Roman" w:hAnsi="Times New Roman" w:cs="Times New Roman"/>
                <w:noProof/>
                <w:color w:val="000000"/>
                <w:kern w:val="0"/>
                <w:sz w:val="24"/>
                <w:szCs w:val="24"/>
                <w14:ligatures w14:val="none"/>
              </w:rPr>
              <w:t>(</w:t>
            </w:r>
            <w:r w:rsidRPr="007B3D73">
              <w:rPr>
                <w:rFonts w:ascii="Times New Roman" w:eastAsia="Times New Roman" w:hAnsi="Times New Roman" w:cs="Times New Roman"/>
                <w:noProof/>
                <w:color w:val="000000"/>
                <w:kern w:val="0"/>
                <w:sz w:val="24"/>
                <w:szCs w:val="24"/>
                <w14:ligatures w14:val="none"/>
              </w:rPr>
              <w:t>2021)</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1D7812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effects of combined traditional acupuncture and auricular acupuncture on xerostomia and anxiety in patients with HNSCC undergoing radiotherapy.</w:t>
            </w:r>
          </w:p>
        </w:tc>
        <w:tc>
          <w:tcPr>
            <w:tcW w:w="1701" w:type="dxa"/>
            <w:tcBorders>
              <w:top w:val="nil"/>
              <w:left w:val="nil"/>
              <w:bottom w:val="single" w:sz="4" w:space="0" w:color="auto"/>
              <w:right w:val="single" w:sz="4" w:space="0" w:color="auto"/>
            </w:tcBorders>
            <w:noWrap/>
            <w:hideMark/>
          </w:tcPr>
          <w:p w14:paraId="6381DDC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preventive parallel single-blind controlled study. A total of 107 patients were enrolled. The control group consisted of 55 patients, while the intervention group consisted of 52 patients.</w:t>
            </w:r>
          </w:p>
        </w:tc>
        <w:tc>
          <w:tcPr>
            <w:tcW w:w="2118" w:type="dxa"/>
            <w:tcBorders>
              <w:top w:val="nil"/>
              <w:left w:val="nil"/>
              <w:bottom w:val="single" w:sz="4" w:space="0" w:color="auto"/>
              <w:right w:val="single" w:sz="4" w:space="0" w:color="auto"/>
            </w:tcBorders>
            <w:noWrap/>
            <w:hideMark/>
          </w:tcPr>
          <w:p w14:paraId="0826E34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The intervention group showed a significant reduction in Xerostomia Inventory scores, with p &lt; 0.001. Saliva volume and density increased without changes in salivary </w:t>
            </w:r>
            <w:proofErr w:type="spellStart"/>
            <w:r w:rsidRPr="006E49B5">
              <w:rPr>
                <w:rFonts w:ascii="Times New Roman" w:hAnsi="Times New Roman" w:cs="Times New Roman"/>
                <w:sz w:val="24"/>
                <w:szCs w:val="24"/>
              </w:rPr>
              <w:t>pH.</w:t>
            </w:r>
            <w:proofErr w:type="spellEnd"/>
            <w:r w:rsidRPr="006E49B5">
              <w:rPr>
                <w:rFonts w:ascii="Times New Roman" w:hAnsi="Times New Roman" w:cs="Times New Roman"/>
                <w:sz w:val="24"/>
                <w:szCs w:val="24"/>
              </w:rPr>
              <w:t xml:space="preserve"> Beck Anxiety Inventory scores also decreased after radiotherapy. Details of the design and main findings were reported in the article abstract.</w:t>
            </w:r>
          </w:p>
        </w:tc>
        <w:tc>
          <w:tcPr>
            <w:tcW w:w="1850" w:type="dxa"/>
            <w:tcBorders>
              <w:top w:val="nil"/>
              <w:left w:val="nil"/>
              <w:bottom w:val="single" w:sz="4" w:space="0" w:color="auto"/>
              <w:right w:val="single" w:sz="4" w:space="0" w:color="auto"/>
            </w:tcBorders>
            <w:noWrap/>
            <w:hideMark/>
          </w:tcPr>
          <w:p w14:paraId="56E9100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combination of traditional and auricular acupuncture may reduce xerostomia and anxiety and increase saliva volume in HNSCC patients undergoing radiotherapy.</w:t>
            </w:r>
          </w:p>
        </w:tc>
      </w:tr>
      <w:tr w:rsidR="00FD6632" w:rsidRPr="006E49B5" w14:paraId="4CC19522" w14:textId="77777777" w:rsidTr="00175E9C">
        <w:trPr>
          <w:trHeight w:val="310"/>
        </w:trPr>
        <w:tc>
          <w:tcPr>
            <w:tcW w:w="512" w:type="dxa"/>
            <w:tcBorders>
              <w:top w:val="nil"/>
              <w:left w:val="single" w:sz="4" w:space="0" w:color="auto"/>
              <w:bottom w:val="single" w:sz="4" w:space="0" w:color="auto"/>
              <w:right w:val="single" w:sz="4" w:space="0" w:color="auto"/>
            </w:tcBorders>
          </w:tcPr>
          <w:p w14:paraId="3ACF39A8"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8</w:t>
            </w:r>
          </w:p>
        </w:tc>
        <w:tc>
          <w:tcPr>
            <w:tcW w:w="1751" w:type="dxa"/>
            <w:tcBorders>
              <w:top w:val="nil"/>
              <w:left w:val="single" w:sz="4" w:space="0" w:color="auto"/>
              <w:bottom w:val="single" w:sz="4" w:space="0" w:color="auto"/>
              <w:right w:val="single" w:sz="4" w:space="0" w:color="auto"/>
            </w:tcBorders>
            <w:noWrap/>
            <w:hideMark/>
          </w:tcPr>
          <w:p w14:paraId="3AE3B820"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{"citationItems":[{"id":"ITEM-1","itemData":{"DOI":"10.1186/s12903-023-02966-4","author":[{"dropping-particle":"","family":"Piboonratanakit","given":"Pornpan","non-dropping-particle":"","parse-names":false,"suffix":""},{"dropping-particle":"","family":"Ferreira","given":"Joao N","non-dropping-particle":"","parse-names":false,"suffix":""},{"dropping-particle":"","family":"Pravinvongvuthi","given":"Kulpriya","non-dropping-particle":"","parse-names":false,"suffix":""},{"dropping-particle":"","family":"Maison","given":"Khwanchanok","non-dropping-particle":"","parse-names":false,"suffix":""},{"dropping-particle":"","family":"Urkasemsin","given":"Ganokon","non-dropping-particle":"","parse-names":false,"suffix":""},{"dropping-particle":"","family":"Boonroung","given":"Thirayu","non-dropping-particle":"","parse-names":false,"suffix":""},{"dropping-particle":"","family":"Prayongrat","given":"Anussara","non-dropping-particle":"","parse-names":false,"suffix":""},{"dropping-particle":"","family":"Lertbutsayanukul","given":"Chawalit","non-dropping-particle":"","parse-names":false,"suffix":""},{"dropping-particle":"","family":"Sucharitakul","given":"Jeerus","non-dropping-particle":"","parse-names":false,"suffix":""},{"dropping-particle":"","family":"Vacharaksa","given":"Anjalee","non-dropping-particle":"","parse-names":false,"suffix":""}],"container-title":"BMC Oral Health","id":"ITEM-1","issued":{"date-parts":[["2023"]]},"page":"288","title":"Trehalose versus carboxymethylcellulose oral spray for relieving radiation-induced xerostomia in head and neck cancer patients: A randomized controlled trial","type":"article-journal","volume":"23"},"uris":["http://www.mendeley.com/documents/?uuid=07ffebd0-a8f8-4e64-b06e-0c7eb6bfb873"]}],"mendeley":{"formattedCitation":"(Piboonratanakit et al., 2023)","manualFormatting":"Piboonratanakit et al. (2023)","plainTextFormattedCitation":"(Piboonratanakit et al., 2023)","previouslyFormattedCitation":"(Piboonratanakit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510FF3">
              <w:rPr>
                <w:rFonts w:ascii="Times New Roman" w:eastAsia="Times New Roman" w:hAnsi="Times New Roman" w:cs="Times New Roman"/>
                <w:noProof/>
                <w:color w:val="000000"/>
                <w:kern w:val="0"/>
                <w:sz w:val="24"/>
                <w:szCs w:val="24"/>
                <w14:ligatures w14:val="none"/>
              </w:rPr>
              <w:t xml:space="preserve">Piboonratanakit et al. </w:t>
            </w:r>
            <w:r>
              <w:rPr>
                <w:rFonts w:ascii="Times New Roman" w:eastAsia="Times New Roman" w:hAnsi="Times New Roman" w:cs="Times New Roman"/>
                <w:noProof/>
                <w:color w:val="000000"/>
                <w:kern w:val="0"/>
                <w:sz w:val="24"/>
                <w:szCs w:val="24"/>
                <w14:ligatures w14:val="none"/>
              </w:rPr>
              <w:t>(</w:t>
            </w:r>
            <w:r w:rsidRPr="00510FF3">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D1B7226"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assess the effectiveness of trehalose oral spray </w:t>
            </w:r>
            <w:r w:rsidRPr="006E49B5">
              <w:rPr>
                <w:rFonts w:ascii="Times New Roman" w:hAnsi="Times New Roman" w:cs="Times New Roman"/>
                <w:sz w:val="24"/>
                <w:szCs w:val="24"/>
              </w:rPr>
              <w:lastRenderedPageBreak/>
              <w:t>compared with carboxymethylcellulose oral spray in reducing radiation-induced xerostomia.</w:t>
            </w:r>
          </w:p>
        </w:tc>
        <w:tc>
          <w:tcPr>
            <w:tcW w:w="1701" w:type="dxa"/>
            <w:tcBorders>
              <w:top w:val="nil"/>
              <w:left w:val="nil"/>
              <w:bottom w:val="single" w:sz="4" w:space="0" w:color="auto"/>
              <w:right w:val="single" w:sz="4" w:space="0" w:color="auto"/>
            </w:tcBorders>
            <w:noWrap/>
            <w:hideMark/>
          </w:tcPr>
          <w:p w14:paraId="30F7036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double-blind randomized controlled trial involving 70 </w:t>
            </w:r>
            <w:r w:rsidRPr="006E49B5">
              <w:rPr>
                <w:rFonts w:ascii="Times New Roman" w:hAnsi="Times New Roman" w:cs="Times New Roman"/>
                <w:sz w:val="24"/>
                <w:szCs w:val="24"/>
              </w:rPr>
              <w:lastRenderedPageBreak/>
              <w:t>post-radiotherapy head and neck cancer patients. The intervention group received 10% trehalose spray, while the control group received CMC spray for 14 days.</w:t>
            </w:r>
          </w:p>
        </w:tc>
        <w:tc>
          <w:tcPr>
            <w:tcW w:w="2118" w:type="dxa"/>
            <w:tcBorders>
              <w:top w:val="nil"/>
              <w:left w:val="nil"/>
              <w:bottom w:val="single" w:sz="4" w:space="0" w:color="auto"/>
              <w:right w:val="single" w:sz="4" w:space="0" w:color="auto"/>
            </w:tcBorders>
            <w:noWrap/>
            <w:hideMark/>
          </w:tcPr>
          <w:p w14:paraId="0F4B74D2"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Salivary pH and unstimulated salivary flow rate increased </w:t>
            </w:r>
            <w:r w:rsidRPr="006E49B5">
              <w:rPr>
                <w:rFonts w:ascii="Times New Roman" w:hAnsi="Times New Roman" w:cs="Times New Roman"/>
                <w:sz w:val="24"/>
                <w:szCs w:val="24"/>
              </w:rPr>
              <w:lastRenderedPageBreak/>
              <w:t xml:space="preserve">significantly after 10% trehalose compared with CMC, with p &lt; 0.05. The physical, pain/discomfort, and psychological dimensions of </w:t>
            </w:r>
            <w:proofErr w:type="spellStart"/>
            <w:r w:rsidRPr="006E49B5">
              <w:rPr>
                <w:rFonts w:ascii="Times New Roman" w:hAnsi="Times New Roman" w:cs="Times New Roman"/>
                <w:sz w:val="24"/>
                <w:szCs w:val="24"/>
              </w:rPr>
              <w:t>XeQoLs</w:t>
            </w:r>
            <w:proofErr w:type="spellEnd"/>
            <w:r w:rsidRPr="006E49B5">
              <w:rPr>
                <w:rFonts w:ascii="Times New Roman" w:hAnsi="Times New Roman" w:cs="Times New Roman"/>
                <w:sz w:val="24"/>
                <w:szCs w:val="24"/>
              </w:rPr>
              <w:t xml:space="preserve"> improved in both groups, with p &lt; 0.05. The total </w:t>
            </w:r>
            <w:proofErr w:type="spellStart"/>
            <w:r w:rsidRPr="006E49B5">
              <w:rPr>
                <w:rFonts w:ascii="Times New Roman" w:hAnsi="Times New Roman" w:cs="Times New Roman"/>
                <w:sz w:val="24"/>
                <w:szCs w:val="24"/>
              </w:rPr>
              <w:t>XeQoLs</w:t>
            </w:r>
            <w:proofErr w:type="spellEnd"/>
            <w:r w:rsidRPr="006E49B5">
              <w:rPr>
                <w:rFonts w:ascii="Times New Roman" w:hAnsi="Times New Roman" w:cs="Times New Roman"/>
                <w:sz w:val="24"/>
                <w:szCs w:val="24"/>
              </w:rPr>
              <w:t xml:space="preserve"> score did not differ significantly between trehalose and CMC, with p &gt; 0.05.</w:t>
            </w:r>
          </w:p>
        </w:tc>
        <w:tc>
          <w:tcPr>
            <w:tcW w:w="1850" w:type="dxa"/>
            <w:tcBorders>
              <w:top w:val="nil"/>
              <w:left w:val="nil"/>
              <w:bottom w:val="single" w:sz="4" w:space="0" w:color="auto"/>
              <w:right w:val="single" w:sz="4" w:space="0" w:color="auto"/>
            </w:tcBorders>
            <w:noWrap/>
            <w:hideMark/>
          </w:tcPr>
          <w:p w14:paraId="5CCD584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Trehalose spray improved salivary pH and salivary flow. Its </w:t>
            </w:r>
            <w:r w:rsidRPr="006E49B5">
              <w:rPr>
                <w:rFonts w:ascii="Times New Roman" w:hAnsi="Times New Roman" w:cs="Times New Roman"/>
                <w:sz w:val="24"/>
                <w:szCs w:val="24"/>
              </w:rPr>
              <w:lastRenderedPageBreak/>
              <w:t>clinical effectiveness was comparable to CMC spray in relieving radiation-induced xerostomia.</w:t>
            </w:r>
          </w:p>
        </w:tc>
      </w:tr>
      <w:tr w:rsidR="00FD6632" w:rsidRPr="006E49B5" w14:paraId="5A45F3EB" w14:textId="77777777" w:rsidTr="00175E9C">
        <w:trPr>
          <w:trHeight w:val="310"/>
        </w:trPr>
        <w:tc>
          <w:tcPr>
            <w:tcW w:w="512" w:type="dxa"/>
            <w:tcBorders>
              <w:top w:val="nil"/>
              <w:left w:val="single" w:sz="4" w:space="0" w:color="auto"/>
              <w:bottom w:val="single" w:sz="4" w:space="0" w:color="auto"/>
              <w:right w:val="single" w:sz="4" w:space="0" w:color="auto"/>
            </w:tcBorders>
          </w:tcPr>
          <w:p w14:paraId="3983094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lastRenderedPageBreak/>
              <w:t>9</w:t>
            </w:r>
          </w:p>
        </w:tc>
        <w:tc>
          <w:tcPr>
            <w:tcW w:w="1751" w:type="dxa"/>
            <w:tcBorders>
              <w:top w:val="nil"/>
              <w:left w:val="single" w:sz="4" w:space="0" w:color="auto"/>
              <w:bottom w:val="single" w:sz="4" w:space="0" w:color="auto"/>
              <w:right w:val="single" w:sz="4" w:space="0" w:color="auto"/>
            </w:tcBorders>
            <w:noWrap/>
            <w:hideMark/>
          </w:tcPr>
          <w:p w14:paraId="7308A18A"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10.1007/s00520-023-08090-x","author":[{"dropping-particle":"","family":"Rupe","given":"Cosimo","non-dropping-particle":"","parse-names":false,"suffix":""},{"dropping-particle":"","family":"Basco","given":"Alessia","non-dropping-particle":"","parse-names":false,"suffix":""},{"dropping-particle":"","family":"Gioco","given":"Gioele","non-dropping-particle":"","parse-names":false,"suffix":""},{"dropping-particle":"","family":"Patini","given":"Romeo","non-dropping-particle":"","parse-names":false,"suffix":""},{"dropping-particle":"","family":"Lucchese","given":"Alberta","non-dropping-particle":"","parse-names":false,"suffix":""},{"dropping-particle":"","family":"Miccichè","given":"Francesco","non-dropping-particle":"","parse-names":false,"suffix":""},{"dropping-particle":"","family":"Massaccesi","given":"Mariangela","non-dropping-particle":"","parse-names":false,"suffix":""},{"dropping-particle":"","family":"Lajolo","given":"Carlo","non-dropping-particle":"","parse-names":false,"suffix":""}],"container-title":"Supportive Care in Cancer","id":"ITEM-1","issued":{"date-parts":[["2023"]]},"page":"644","title":"Sodium-hyaluronate mouthwash on radiotherapy-induced xerostomia: A randomised clinical trial","type":"article-journal","volume":"31"},"uris":["http://www.mendeley.com/documents/?uuid=f8162e51-3447-4258-855b-3cb427c5a628"]}],"mendeley":{"formattedCitation":"(Rupe et al., 2023)","manualFormatting":"Rupe et al. (2023)","plainTextFormattedCitation":"(Rupe et al., 2023)","previouslyFormattedCitation":"(Rupe et al., 2023)"},"properties":{"noteIndex":0},"schema":"https://github.com/citation-style-language/schema/raw/master/csl-citation.json"}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9101B8">
              <w:rPr>
                <w:rFonts w:ascii="Times New Roman" w:eastAsia="Times New Roman" w:hAnsi="Times New Roman" w:cs="Times New Roman"/>
                <w:noProof/>
                <w:color w:val="000000"/>
                <w:kern w:val="0"/>
                <w:sz w:val="24"/>
                <w:szCs w:val="24"/>
                <w14:ligatures w14:val="none"/>
              </w:rPr>
              <w:t xml:space="preserve">Rupe et al. </w:t>
            </w:r>
            <w:r>
              <w:rPr>
                <w:rFonts w:ascii="Times New Roman" w:eastAsia="Times New Roman" w:hAnsi="Times New Roman" w:cs="Times New Roman"/>
                <w:noProof/>
                <w:color w:val="000000"/>
                <w:kern w:val="0"/>
                <w:sz w:val="24"/>
                <w:szCs w:val="24"/>
                <w14:ligatures w14:val="none"/>
              </w:rPr>
              <w:t>(</w:t>
            </w:r>
            <w:r w:rsidRPr="009101B8">
              <w:rPr>
                <w:rFonts w:ascii="Times New Roman" w:eastAsia="Times New Roman" w:hAnsi="Times New Roman" w:cs="Times New Roman"/>
                <w:noProof/>
                <w:color w:val="000000"/>
                <w:kern w:val="0"/>
                <w:sz w:val="24"/>
                <w:szCs w:val="24"/>
                <w14:ligatures w14:val="none"/>
              </w:rPr>
              <w:t>2023)</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D2A31C8"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evaluate sodium-hyaluronate mouthwash for symptoms of radiotherapy-induced xerostomia.</w:t>
            </w:r>
          </w:p>
        </w:tc>
        <w:tc>
          <w:tcPr>
            <w:tcW w:w="1701" w:type="dxa"/>
            <w:tcBorders>
              <w:top w:val="nil"/>
              <w:left w:val="nil"/>
              <w:bottom w:val="single" w:sz="4" w:space="0" w:color="auto"/>
              <w:right w:val="single" w:sz="4" w:space="0" w:color="auto"/>
            </w:tcBorders>
            <w:noWrap/>
            <w:hideMark/>
          </w:tcPr>
          <w:p w14:paraId="46C488DE"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double-blind randomized clinical trial with a crossover design involving 32 patients with head and neck cancer. The intervention was compared with a placebo solution.</w:t>
            </w:r>
          </w:p>
        </w:tc>
        <w:tc>
          <w:tcPr>
            <w:tcW w:w="2118" w:type="dxa"/>
            <w:tcBorders>
              <w:top w:val="nil"/>
              <w:left w:val="nil"/>
              <w:bottom w:val="single" w:sz="4" w:space="0" w:color="auto"/>
              <w:right w:val="single" w:sz="4" w:space="0" w:color="auto"/>
            </w:tcBorders>
            <w:noWrap/>
            <w:hideMark/>
          </w:tcPr>
          <w:p w14:paraId="7CC383D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The modified Xerostomia Questionnaire score was lower after the use of sodium-hyaluronate mouthwash compared with placebo, based on the Mann–Whitney U test, with p = 0.01. Patient satisfaction was higher with sodium-hyaluronate mouthwash, with p = 0.001. No side effects were reported.</w:t>
            </w:r>
          </w:p>
        </w:tc>
        <w:tc>
          <w:tcPr>
            <w:tcW w:w="1850" w:type="dxa"/>
            <w:tcBorders>
              <w:top w:val="nil"/>
              <w:left w:val="nil"/>
              <w:bottom w:val="single" w:sz="4" w:space="0" w:color="auto"/>
              <w:right w:val="single" w:sz="4" w:space="0" w:color="auto"/>
            </w:tcBorders>
            <w:noWrap/>
            <w:hideMark/>
          </w:tcPr>
          <w:p w14:paraId="73A69F9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Sodium-hyaluronate mouthwash was effective in reducing xerostomia symptoms and increasing patient satisfaction, with no reported side effects.</w:t>
            </w:r>
          </w:p>
        </w:tc>
      </w:tr>
      <w:tr w:rsidR="00FD6632" w:rsidRPr="006E49B5" w14:paraId="0DF4005B" w14:textId="77777777" w:rsidTr="00175E9C">
        <w:trPr>
          <w:trHeight w:val="310"/>
        </w:trPr>
        <w:tc>
          <w:tcPr>
            <w:tcW w:w="512" w:type="dxa"/>
            <w:tcBorders>
              <w:top w:val="nil"/>
              <w:left w:val="single" w:sz="4" w:space="0" w:color="auto"/>
              <w:bottom w:val="single" w:sz="4" w:space="0" w:color="auto"/>
              <w:right w:val="single" w:sz="4" w:space="0" w:color="auto"/>
            </w:tcBorders>
          </w:tcPr>
          <w:p w14:paraId="48AB6CE4"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10</w:t>
            </w:r>
          </w:p>
        </w:tc>
        <w:tc>
          <w:tcPr>
            <w:tcW w:w="1751" w:type="dxa"/>
            <w:tcBorders>
              <w:top w:val="nil"/>
              <w:left w:val="single" w:sz="4" w:space="0" w:color="auto"/>
              <w:bottom w:val="single" w:sz="4" w:space="0" w:color="auto"/>
              <w:right w:val="single" w:sz="4" w:space="0" w:color="auto"/>
            </w:tcBorders>
            <w:noWrap/>
            <w:hideMark/>
          </w:tcPr>
          <w:p w14:paraId="737D3D98"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{"citationItems":[{"id":"ITEM-1","itemData":{"DOI":"10.34172/jlms.2024.04","author":[{"dropping-particle":"","family":"Mozaffari","given":"P M","non-dropping-particle":"","parse-names":false,"suffix":""},{"dropping-particle":"","family":"Esmaeilzadeh","given":"M","non-dropping-particle":"","parse-names":false,"suffix":""},{"dropping-particle":"","family":"Rahimian","given":"S","non-dropping-particle":"","parse-names":false,"suffix":""},{"dropping-particle":"","family":"Shirani","given":"A M","non-dropping-particle":"","parse-names":false,"suffix":""},{"dropping-particle":"","family":"Babaei","given":"M","non-dropping-particle":"","parse-names":false,"suffix":""},{"dropping-particle":"","family":"Amiri","given":"F","non-dropping-particle":"","parse-names":false,"suffix":""},{"dropping-particle":"","family":"Asnaashari","given":"M","non-dropping-particle":"","parse-names":false,"suffix":""},{"dropping-particle":"","family":"Mehdizadeh","given":"M","non-dropping-particle":"","parse-names":false,"suffix":""}],"container-title":"Journal of Lasers in Medical Sciences","id":"ITEM-1","issued":{"date-parts":[["2024"]]},"page":"e4","title":"Evaluation of the effect of photobiomodulation on radiation-induced xerostomia in head and neck cancer patients: A randomized clinical trial","type":"article-journal","volume":"15"},"uris":["http://www.mendeley.com/documents/?uuid=a4cb340a-d985-412f-b962-7a0e0c70c4eb"]}],"mendeley":{"formattedCitation":"(Mozaffari et al., 2024)","manualFormatting":"Mozaffari et al. (2024)","plainTextFormattedCitation":"(Mozaffari et al., 2024)","previouslyFormattedCitation":"(Mozaffari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Mozaffari et al.</w:t>
            </w:r>
            <w:r>
              <w:rPr>
                <w:rFonts w:ascii="Times New Roman" w:eastAsia="Times New Roman" w:hAnsi="Times New Roman" w:cs="Times New Roman"/>
                <w:noProof/>
                <w:color w:val="000000"/>
                <w:kern w:val="0"/>
                <w:sz w:val="24"/>
                <w:szCs w:val="24"/>
                <w14:ligatures w14:val="none"/>
              </w:rPr>
              <w:t xml:space="preserve"> (</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26B0D719"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To evaluate the effect of </w:t>
            </w:r>
            <w:proofErr w:type="spellStart"/>
            <w:r w:rsidRPr="006E49B5">
              <w:rPr>
                <w:rFonts w:ascii="Times New Roman" w:hAnsi="Times New Roman" w:cs="Times New Roman"/>
                <w:sz w:val="24"/>
                <w:szCs w:val="24"/>
              </w:rPr>
              <w:t>photobiomodulation</w:t>
            </w:r>
            <w:proofErr w:type="spellEnd"/>
            <w:r w:rsidRPr="006E49B5">
              <w:rPr>
                <w:rFonts w:ascii="Times New Roman" w:hAnsi="Times New Roman" w:cs="Times New Roman"/>
                <w:sz w:val="24"/>
                <w:szCs w:val="24"/>
              </w:rPr>
              <w:t xml:space="preserve"> on radiation-induced xerostomia in patients with </w:t>
            </w:r>
            <w:r w:rsidRPr="006E49B5">
              <w:rPr>
                <w:rFonts w:ascii="Times New Roman" w:hAnsi="Times New Roman" w:cs="Times New Roman"/>
                <w:sz w:val="24"/>
                <w:szCs w:val="24"/>
              </w:rPr>
              <w:lastRenderedPageBreak/>
              <w:t>head and neck cancer.</w:t>
            </w:r>
          </w:p>
        </w:tc>
        <w:tc>
          <w:tcPr>
            <w:tcW w:w="1701" w:type="dxa"/>
            <w:tcBorders>
              <w:top w:val="nil"/>
              <w:left w:val="nil"/>
              <w:bottom w:val="single" w:sz="4" w:space="0" w:color="auto"/>
              <w:right w:val="single" w:sz="4" w:space="0" w:color="auto"/>
            </w:tcBorders>
            <w:noWrap/>
            <w:hideMark/>
          </w:tcPr>
          <w:p w14:paraId="69389CB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A randomized clinical trial involving 37 patients. The case group received infrared diode laser therapy at </w:t>
            </w:r>
            <w:r w:rsidRPr="006E49B5">
              <w:rPr>
                <w:rFonts w:ascii="Times New Roman" w:hAnsi="Times New Roman" w:cs="Times New Roman"/>
                <w:sz w:val="24"/>
                <w:szCs w:val="24"/>
              </w:rPr>
              <w:lastRenderedPageBreak/>
              <w:t>16 salivary gland points, while the control group received sham laser therapy.</w:t>
            </w:r>
          </w:p>
        </w:tc>
        <w:tc>
          <w:tcPr>
            <w:tcW w:w="2118" w:type="dxa"/>
            <w:tcBorders>
              <w:top w:val="nil"/>
              <w:left w:val="nil"/>
              <w:bottom w:val="single" w:sz="4" w:space="0" w:color="auto"/>
              <w:right w:val="single" w:sz="4" w:space="0" w:color="auto"/>
            </w:tcBorders>
            <w:noWrap/>
            <w:hideMark/>
          </w:tcPr>
          <w:p w14:paraId="3BE01E7F"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In the sixth week, the case group produced higher stimulated saliva than the control group, with p = 0.006. The case group also had </w:t>
            </w:r>
            <w:r w:rsidRPr="006E49B5">
              <w:rPr>
                <w:rFonts w:ascii="Times New Roman" w:hAnsi="Times New Roman" w:cs="Times New Roman"/>
                <w:sz w:val="24"/>
                <w:szCs w:val="24"/>
              </w:rPr>
              <w:lastRenderedPageBreak/>
              <w:t>lower subjective xerostomia from the fourth to the sixth week.</w:t>
            </w:r>
          </w:p>
        </w:tc>
        <w:tc>
          <w:tcPr>
            <w:tcW w:w="1850" w:type="dxa"/>
            <w:tcBorders>
              <w:top w:val="nil"/>
              <w:left w:val="nil"/>
              <w:bottom w:val="single" w:sz="4" w:space="0" w:color="auto"/>
              <w:right w:val="single" w:sz="4" w:space="0" w:color="auto"/>
            </w:tcBorders>
            <w:noWrap/>
            <w:hideMark/>
          </w:tcPr>
          <w:p w14:paraId="1FFED311"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proofErr w:type="spellStart"/>
            <w:r w:rsidRPr="006E49B5">
              <w:rPr>
                <w:rFonts w:ascii="Times New Roman" w:hAnsi="Times New Roman" w:cs="Times New Roman"/>
                <w:sz w:val="24"/>
                <w:szCs w:val="24"/>
              </w:rPr>
              <w:lastRenderedPageBreak/>
              <w:t>Photobiomodulation</w:t>
            </w:r>
            <w:proofErr w:type="spellEnd"/>
            <w:r w:rsidRPr="006E49B5">
              <w:rPr>
                <w:rFonts w:ascii="Times New Roman" w:hAnsi="Times New Roman" w:cs="Times New Roman"/>
                <w:sz w:val="24"/>
                <w:szCs w:val="24"/>
              </w:rPr>
              <w:t xml:space="preserve"> had a preventive effect on stimulated saliva and subjective xerostomia. This intervention may </w:t>
            </w:r>
            <w:r w:rsidRPr="006E49B5">
              <w:rPr>
                <w:rFonts w:ascii="Times New Roman" w:hAnsi="Times New Roman" w:cs="Times New Roman"/>
                <w:sz w:val="24"/>
                <w:szCs w:val="24"/>
              </w:rPr>
              <w:lastRenderedPageBreak/>
              <w:t>be considered as a supportive therapy.</w:t>
            </w:r>
          </w:p>
        </w:tc>
      </w:tr>
      <w:tr w:rsidR="00FD6632" w:rsidRPr="006E49B5" w14:paraId="6E5F1B3A" w14:textId="77777777" w:rsidTr="00175E9C">
        <w:trPr>
          <w:trHeight w:val="310"/>
        </w:trPr>
        <w:tc>
          <w:tcPr>
            <w:tcW w:w="512" w:type="dxa"/>
            <w:tcBorders>
              <w:top w:val="nil"/>
              <w:left w:val="single" w:sz="4" w:space="0" w:color="auto"/>
              <w:bottom w:val="single" w:sz="4" w:space="0" w:color="auto"/>
              <w:right w:val="single" w:sz="4" w:space="0" w:color="auto"/>
            </w:tcBorders>
          </w:tcPr>
          <w:p w14:paraId="64BE59FB"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11</w:t>
            </w:r>
          </w:p>
        </w:tc>
        <w:tc>
          <w:tcPr>
            <w:tcW w:w="1751" w:type="dxa"/>
            <w:tcBorders>
              <w:top w:val="nil"/>
              <w:left w:val="single" w:sz="4" w:space="0" w:color="auto"/>
              <w:bottom w:val="single" w:sz="4" w:space="0" w:color="auto"/>
              <w:right w:val="single" w:sz="4" w:space="0" w:color="auto"/>
            </w:tcBorders>
            <w:noWrap/>
            <w:hideMark/>
          </w:tcPr>
          <w:p w14:paraId="758ED17D"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{"citationItems":[{"id":"ITEM-1","itemData":{"DOI":"10.1001/jamanetworkopen.2024.8725","author":[{"dropping-particle":"","family":"Cohen","given":"L","non-dropping-particle":"","parse-names":false,"suffix":""},{"dropping-particle":"","family":"Garcia","given":"M K","non-dropping-particle":"","parse-names":false,"suffix":""},{"dropping-particle":"","family":"Lee","given":"R","non-dropping-particle":"","parse-names":false,"suffix":""},{"dropping-particle":"","family":"Haddad","given":"R","non-dropping-particle":"","parse-names":false,"suffix":""},{"dropping-particle":"","family":"Lee","given":"N Y","non-dropping-particle":"","parse-names":false,"suffix":""},{"dropping-particle":"","family":"Chen","given":"Y H","non-dropping-particle":"","parse-names":false,"suffix":""},{"dropping-particle":"","family":"Rosenthal","given":"D I","non-dropping-particle":"","parse-names":false,"suffix":""}],"container-title":"JAMA Network Open","id":"ITEM-1","issue":"5","issued":{"date-parts":[["2024"]]},"page":"e248725","title":"Acupuncture for chronic radiation-induced xerostomia in head and neck cancer: A multicenter randomized clinical trial","type":"article-journal","volume":"7"},"uris":["http://www.mendeley.com/documents/?uuid=224bde62-9250-44cd-8e32-a6762a53580f"]}],"mendeley":{"formattedCitation":"(Cohen et al., 2024)","manualFormatting":"Cohen et al. (2024)","plainTextFormattedCitation":"(Cohen et al., 2024)","previouslyFormattedCitation":"(Cohen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7322D4">
              <w:rPr>
                <w:rFonts w:ascii="Times New Roman" w:eastAsia="Times New Roman" w:hAnsi="Times New Roman" w:cs="Times New Roman"/>
                <w:noProof/>
                <w:color w:val="000000"/>
                <w:kern w:val="0"/>
                <w:sz w:val="24"/>
                <w:szCs w:val="24"/>
                <w14:ligatures w14:val="none"/>
              </w:rPr>
              <w:t xml:space="preserve">Cohen et al. </w:t>
            </w:r>
            <w:r>
              <w:rPr>
                <w:rFonts w:ascii="Times New Roman" w:eastAsia="Times New Roman" w:hAnsi="Times New Roman" w:cs="Times New Roman"/>
                <w:noProof/>
                <w:color w:val="000000"/>
                <w:kern w:val="0"/>
                <w:sz w:val="24"/>
                <w:szCs w:val="24"/>
                <w14:ligatures w14:val="none"/>
              </w:rPr>
              <w:t>(</w:t>
            </w:r>
            <w:r w:rsidRPr="007322D4">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0307AA6A"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compare true acupuncture, sham acupuncture, and standard oral hygiene in treating chronic radiation-induced xerostomia.</w:t>
            </w:r>
          </w:p>
        </w:tc>
        <w:tc>
          <w:tcPr>
            <w:tcW w:w="1701" w:type="dxa"/>
            <w:tcBorders>
              <w:top w:val="nil"/>
              <w:left w:val="nil"/>
              <w:bottom w:val="single" w:sz="4" w:space="0" w:color="auto"/>
              <w:right w:val="single" w:sz="4" w:space="0" w:color="auto"/>
            </w:tcBorders>
            <w:noWrap/>
            <w:hideMark/>
          </w:tcPr>
          <w:p w14:paraId="58215DAD"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A multicenter randomized clinical trial involving 258 patients from 33 sites. Each group consisted of 86 patients. Assessments were conducted at weeks 4, 8, 12, and 26.</w:t>
            </w:r>
          </w:p>
        </w:tc>
        <w:tc>
          <w:tcPr>
            <w:tcW w:w="2118" w:type="dxa"/>
            <w:tcBorders>
              <w:top w:val="nil"/>
              <w:left w:val="nil"/>
              <w:bottom w:val="single" w:sz="4" w:space="0" w:color="auto"/>
              <w:right w:val="single" w:sz="4" w:space="0" w:color="auto"/>
            </w:tcBorders>
            <w:noWrap/>
            <w:hideMark/>
          </w:tcPr>
          <w:p w14:paraId="1313A665" w14:textId="77777777" w:rsidR="00FD6632" w:rsidRPr="006E49B5" w:rsidRDefault="00FD6632" w:rsidP="00FD6632">
            <w:pPr>
              <w:spacing w:after="0" w:line="240" w:lineRule="auto"/>
              <w:rPr>
                <w:rFonts w:ascii="Times New Roman" w:eastAsia="Times New Roman" w:hAnsi="Times New Roman" w:cs="Times New Roman"/>
                <w:kern w:val="0"/>
                <w:sz w:val="24"/>
                <w:szCs w:val="24"/>
                <w14:ligatures w14:val="none"/>
              </w:rPr>
            </w:pPr>
            <w:r w:rsidRPr="006E49B5">
              <w:rPr>
                <w:rFonts w:ascii="Times New Roman" w:hAnsi="Times New Roman" w:cs="Times New Roman"/>
                <w:sz w:val="24"/>
                <w:szCs w:val="24"/>
              </w:rPr>
              <w:t>At week 4, Xerostomia Questionnaire scores were lower in the true acupuncture group than in the standard oral hygiene group, with a difference of −6.67, 95% CI −11.08 to −2.27, and p = 0.003. True acupuncture was also superior to sham acupuncture, with a difference of −4.41, 95% CI −8.62 to −0.19, and p = 0.04. FACT-G scores were higher in the true acupuncture group than in the standard oral hygiene group, with a difference of 3.91, 95% CI 1.43–6.38, and p = 0.002.</w:t>
            </w:r>
          </w:p>
        </w:tc>
        <w:tc>
          <w:tcPr>
            <w:tcW w:w="1850" w:type="dxa"/>
            <w:tcBorders>
              <w:top w:val="nil"/>
              <w:left w:val="nil"/>
              <w:bottom w:val="single" w:sz="4" w:space="0" w:color="auto"/>
              <w:right w:val="single" w:sz="4" w:space="0" w:color="auto"/>
            </w:tcBorders>
            <w:noWrap/>
            <w:hideMark/>
          </w:tcPr>
          <w:p w14:paraId="73E3346C"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True acupuncture was more effective in reducing chronic xerostomia and improving quality of life compared with standard oral hygiene.</w:t>
            </w:r>
          </w:p>
        </w:tc>
      </w:tr>
      <w:tr w:rsidR="00FD6632" w:rsidRPr="006E49B5" w14:paraId="289598BC" w14:textId="77777777" w:rsidTr="00175E9C">
        <w:trPr>
          <w:trHeight w:val="310"/>
        </w:trPr>
        <w:tc>
          <w:tcPr>
            <w:tcW w:w="512" w:type="dxa"/>
            <w:tcBorders>
              <w:top w:val="nil"/>
              <w:left w:val="single" w:sz="4" w:space="0" w:color="auto"/>
              <w:bottom w:val="single" w:sz="4" w:space="0" w:color="auto"/>
              <w:right w:val="single" w:sz="4" w:space="0" w:color="auto"/>
            </w:tcBorders>
          </w:tcPr>
          <w:p w14:paraId="51A473FC"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sidRPr="006E49B5">
              <w:rPr>
                <w:rFonts w:ascii="Times New Roman" w:eastAsia="Times New Roman" w:hAnsi="Times New Roman" w:cs="Times New Roman"/>
                <w:color w:val="000000"/>
                <w:kern w:val="0"/>
                <w:sz w:val="24"/>
                <w:szCs w:val="24"/>
                <w14:ligatures w14:val="none"/>
              </w:rPr>
              <w:t>12</w:t>
            </w:r>
          </w:p>
        </w:tc>
        <w:tc>
          <w:tcPr>
            <w:tcW w:w="1751" w:type="dxa"/>
            <w:tcBorders>
              <w:top w:val="nil"/>
              <w:left w:val="single" w:sz="4" w:space="0" w:color="auto"/>
              <w:bottom w:val="single" w:sz="4" w:space="0" w:color="auto"/>
              <w:right w:val="single" w:sz="4" w:space="0" w:color="auto"/>
            </w:tcBorders>
            <w:noWrap/>
            <w:hideMark/>
          </w:tcPr>
          <w:p w14:paraId="2D026463" w14:textId="77777777" w:rsidR="00FD6632" w:rsidRPr="006E49B5" w:rsidRDefault="00FD6632" w:rsidP="00175E9C">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fldChar w:fldCharType="begin" w:fldLock="1"/>
            </w:r>
            <w:r>
              <w:rPr>
                <w:rFonts w:ascii="Times New Roman" w:eastAsia="Times New Roman" w:hAnsi="Times New Roman" w:cs="Times New Roman"/>
                <w:color w:val="000000"/>
                <w:kern w:val="0"/>
                <w:sz w:val="24"/>
                <w:szCs w:val="24"/>
                <w14:ligatures w14:val="none"/>
              </w:rPr>
              <w:instrText>ADDIN CSL_CITATION {"citationItems":[{"id":"ITEM-1","itemData":{"DOI":"10.1016/j.ijrobp.2023.03.047","author":[{"dropping-particle":"","family":"Mercadante","given":"Valeria","non-dropping-particle":"","parse-names":false,"suffix":""},{"dropping-particle":"","family":"Hamad","given":"A A","non-dropping-particle":"","parse-names":false,"suffix":""},{"dropping-particle":"","family":"McCaul","given":"James","non-dropping-particle":"","parse-names":false,"suffix":""},{"dropping-particle":"","family":"Nutting","given":"Christopher","non-dropping-particle":"","parse-names":false,"suffix":""},{"dropping-particle":"","family":"Harrington","given":"Kevin","non-dropping-particle":"","parse-names":false,"suffix":""},{"dropping-particle":"","family":"Carnell","given":"Damian","non-dropping-particle":"","parse-names":false,"suffix":""},{"dropping-particle":"","family":"Katre","given":"Charudatta","non-dropping-particle":"","parse-names":false,"suffix":""},{"dropping-particle":"","family":"Megson","given":"Matthew","non-dropping-particle":"","parse-names":false,"suffix":""},{"dropping-particle":"","family":"Slevin","given":"Nick","non-dropping-particle":"","parse-names":false,"suffix":""},{"dropping-particle":"","family":"Elliott","given":"Michael","non-dropping-particle":"","parse-names":false,"suffix":""},{"dropping-particle":"","family":"Foster","given":"Christopher","non-dropping-particle":"","parse-names":false,"suffix":""},{"dropping-particle":"","family":"Mills","given":"William","non-dropping-particle":"","parse-names":false,"suffix":""},{"dropping-particle":"","family":"Beare","given":"Sarah","non-dropping-particle":"","parse-names":false,"suffix":""},{"dropping-particle":"","family":"Porter","given":"Stephen","non-dropping-particle":"","parse-names":false,"suffix":""},{"dropping-particle":"","family":"Fedele","given":"Stefano","non-dropping-particle":"","parse-names":false,"suffix":""}],"container-title":"International Journal of Radiation Oncology, Biology, Physics","id":"ITEM-1","issue":"1","issued":{"date-parts":[["2024"]]},"page":"142-153","title":"Salivary electrostimulation in the treatment of radiation therapy-induced xerostomia (LEONIDAS-2): A multicenter, randomized, double-masked, sham-controlled, phase 3 trial","type":"article-journal","volume":"118"},"uris":["http://www.mendeley.com/documents/?uuid=ba0a929f-ff01-4f08-812e-850776f8e04a"]}],"mendeley":{"formattedCitation":"(Mercadante et al., 2024)","manualFormatting":"Mercadante et al. (2024)","plainTextFormattedCitation":"(Mercadante et al., 2024)","previouslyFormattedCitation":"(Mercadante et al., 2024)"},"properties":{"noteIndex":0},"schema":"https://github.com/citation-style-language/schema/raw/master/csl-citation.json"}</w:instrText>
            </w:r>
            <w:r>
              <w:rPr>
                <w:rFonts w:ascii="Times New Roman" w:eastAsia="Times New Roman" w:hAnsi="Times New Roman" w:cs="Times New Roman"/>
                <w:color w:val="000000"/>
                <w:kern w:val="0"/>
                <w:sz w:val="24"/>
                <w:szCs w:val="24"/>
                <w14:ligatures w14:val="none"/>
              </w:rPr>
              <w:fldChar w:fldCharType="separate"/>
            </w:r>
            <w:r w:rsidRPr="00B6533E">
              <w:rPr>
                <w:rFonts w:ascii="Times New Roman" w:eastAsia="Times New Roman" w:hAnsi="Times New Roman" w:cs="Times New Roman"/>
                <w:noProof/>
                <w:color w:val="000000"/>
                <w:kern w:val="0"/>
                <w:sz w:val="24"/>
                <w:szCs w:val="24"/>
                <w14:ligatures w14:val="none"/>
              </w:rPr>
              <w:t xml:space="preserve">Mercadante et al. </w:t>
            </w:r>
            <w:r>
              <w:rPr>
                <w:rFonts w:ascii="Times New Roman" w:eastAsia="Times New Roman" w:hAnsi="Times New Roman" w:cs="Times New Roman"/>
                <w:noProof/>
                <w:color w:val="000000"/>
                <w:kern w:val="0"/>
                <w:sz w:val="24"/>
                <w:szCs w:val="24"/>
                <w14:ligatures w14:val="none"/>
              </w:rPr>
              <w:t>(</w:t>
            </w:r>
            <w:r w:rsidRPr="00B6533E">
              <w:rPr>
                <w:rFonts w:ascii="Times New Roman" w:eastAsia="Times New Roman" w:hAnsi="Times New Roman" w:cs="Times New Roman"/>
                <w:noProof/>
                <w:color w:val="000000"/>
                <w:kern w:val="0"/>
                <w:sz w:val="24"/>
                <w:szCs w:val="24"/>
                <w14:ligatures w14:val="none"/>
              </w:rPr>
              <w:t>2024)</w:t>
            </w:r>
            <w:r>
              <w:rPr>
                <w:rFonts w:ascii="Times New Roman" w:eastAsia="Times New Roman" w:hAnsi="Times New Roman" w:cs="Times New Roman"/>
                <w:color w:val="000000"/>
                <w:kern w:val="0"/>
                <w:sz w:val="24"/>
                <w:szCs w:val="24"/>
                <w14:ligatures w14:val="none"/>
              </w:rPr>
              <w:fldChar w:fldCharType="end"/>
            </w:r>
          </w:p>
        </w:tc>
        <w:tc>
          <w:tcPr>
            <w:tcW w:w="1686" w:type="dxa"/>
            <w:tcBorders>
              <w:top w:val="nil"/>
              <w:left w:val="nil"/>
              <w:bottom w:val="single" w:sz="4" w:space="0" w:color="auto"/>
              <w:right w:val="single" w:sz="4" w:space="0" w:color="auto"/>
            </w:tcBorders>
            <w:noWrap/>
            <w:hideMark/>
          </w:tcPr>
          <w:p w14:paraId="4FD1FBA3"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To assess the effectiveness of intra-oral salivary electrostimulation for radiotherapy-induced xerostomia.</w:t>
            </w:r>
          </w:p>
        </w:tc>
        <w:tc>
          <w:tcPr>
            <w:tcW w:w="1701" w:type="dxa"/>
            <w:tcBorders>
              <w:top w:val="nil"/>
              <w:left w:val="nil"/>
              <w:bottom w:val="single" w:sz="4" w:space="0" w:color="auto"/>
              <w:right w:val="single" w:sz="4" w:space="0" w:color="auto"/>
            </w:tcBorders>
            <w:noWrap/>
            <w:hideMark/>
          </w:tcPr>
          <w:p w14:paraId="45AF759B"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t xml:space="preserve">A multicenter randomized double-masked sham-controlled phase 3 trial. A total of 86 patients were randomized into an active device group, n = 43, and a </w:t>
            </w:r>
            <w:r w:rsidRPr="006E49B5">
              <w:rPr>
                <w:rFonts w:ascii="Times New Roman" w:hAnsi="Times New Roman" w:cs="Times New Roman"/>
                <w:sz w:val="24"/>
                <w:szCs w:val="24"/>
              </w:rPr>
              <w:lastRenderedPageBreak/>
              <w:t>sham device group, n = 43, for 12 months.</w:t>
            </w:r>
          </w:p>
        </w:tc>
        <w:tc>
          <w:tcPr>
            <w:tcW w:w="2118" w:type="dxa"/>
            <w:tcBorders>
              <w:top w:val="nil"/>
              <w:left w:val="nil"/>
              <w:bottom w:val="single" w:sz="4" w:space="0" w:color="auto"/>
              <w:right w:val="single" w:sz="4" w:space="0" w:color="auto"/>
            </w:tcBorders>
            <w:noWrap/>
            <w:hideMark/>
          </w:tcPr>
          <w:p w14:paraId="773F8988"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The primary outcome was achieved in 22% of the active group and 31% of the sham group. No significant difference was found in the unadjusted analysis, with OR = 0.64, 95% CI </w:t>
            </w:r>
            <w:r w:rsidRPr="006E49B5">
              <w:rPr>
                <w:rFonts w:ascii="Times New Roman" w:hAnsi="Times New Roman" w:cs="Times New Roman"/>
                <w:sz w:val="24"/>
                <w:szCs w:val="24"/>
              </w:rPr>
              <w:lastRenderedPageBreak/>
              <w:t>0.18–2.16, and p = 0.58. The adjusted model was also not significant, with OR = 0.50, 95% CI 0.15–1.74, p = 0.28. The full model showed OR = 0.43, 95% CI 0.11–1.64, p = 0.22. The exploratory dry mouth item of the EORTC QLQ-H&amp;N35 was significant, with OR = 0.37, 95% CI 0.14–0.97, p = 0.04.</w:t>
            </w:r>
          </w:p>
        </w:tc>
        <w:tc>
          <w:tcPr>
            <w:tcW w:w="1850" w:type="dxa"/>
            <w:tcBorders>
              <w:top w:val="nil"/>
              <w:left w:val="nil"/>
              <w:bottom w:val="single" w:sz="4" w:space="0" w:color="auto"/>
              <w:right w:val="single" w:sz="4" w:space="0" w:color="auto"/>
            </w:tcBorders>
            <w:noWrap/>
            <w:hideMark/>
          </w:tcPr>
          <w:p w14:paraId="5B8C1885" w14:textId="77777777" w:rsidR="00FD6632" w:rsidRPr="006E49B5" w:rsidRDefault="00FD6632" w:rsidP="00FD6632">
            <w:pPr>
              <w:spacing w:after="0" w:line="240" w:lineRule="auto"/>
              <w:rPr>
                <w:rFonts w:ascii="Times New Roman" w:eastAsia="Times New Roman" w:hAnsi="Times New Roman" w:cs="Times New Roman"/>
                <w:color w:val="000000"/>
                <w:kern w:val="0"/>
                <w:sz w:val="24"/>
                <w:szCs w:val="24"/>
                <w14:ligatures w14:val="none"/>
              </w:rPr>
            </w:pPr>
            <w:r w:rsidRPr="006E49B5">
              <w:rPr>
                <w:rFonts w:ascii="Times New Roman" w:hAnsi="Times New Roman" w:cs="Times New Roman"/>
                <w:sz w:val="24"/>
                <w:szCs w:val="24"/>
              </w:rPr>
              <w:lastRenderedPageBreak/>
              <w:t xml:space="preserve">LEONIDAS-2 did not meet its primary and secondary outcomes. There was a signal of improvement in the exploratory dry mouth indicator, but the main evidence does not yet </w:t>
            </w:r>
            <w:r w:rsidRPr="006E49B5">
              <w:rPr>
                <w:rFonts w:ascii="Times New Roman" w:hAnsi="Times New Roman" w:cs="Times New Roman"/>
                <w:sz w:val="24"/>
                <w:szCs w:val="24"/>
              </w:rPr>
              <w:lastRenderedPageBreak/>
              <w:t>support the strong effectiveness of the electrostimulation device.</w:t>
            </w:r>
          </w:p>
        </w:tc>
      </w:tr>
    </w:tbl>
    <w:p w14:paraId="15AEA220" w14:textId="77777777" w:rsidR="00FD6632" w:rsidRDefault="00FD6632" w:rsidP="00FD6632">
      <w:pPr>
        <w:jc w:val="both"/>
        <w:rPr>
          <w:rFonts w:ascii="Times New Roman" w:hAnsi="Times New Roman" w:cs="Times New Roman"/>
          <w:sz w:val="24"/>
          <w:szCs w:val="24"/>
        </w:rPr>
      </w:pPr>
    </w:p>
    <w:p w14:paraId="59E6578F" w14:textId="7C4ABA52" w:rsidR="00FD6632" w:rsidRDefault="00FD6632" w:rsidP="00FD6632">
      <w:pPr>
        <w:jc w:val="both"/>
        <w:rPr>
          <w:rFonts w:ascii="Times New Roman" w:hAnsi="Times New Roman" w:cs="Times New Roman"/>
          <w:b/>
          <w:bCs/>
          <w:sz w:val="24"/>
          <w:szCs w:val="24"/>
        </w:rPr>
      </w:pPr>
      <w:r w:rsidRPr="00FD6632">
        <w:rPr>
          <w:rFonts w:ascii="Times New Roman" w:hAnsi="Times New Roman" w:cs="Times New Roman"/>
          <w:b/>
          <w:bCs/>
          <w:sz w:val="24"/>
          <w:szCs w:val="24"/>
        </w:rPr>
        <w:t>Legend for figures</w:t>
      </w:r>
    </w:p>
    <w:p w14:paraId="5829AF76" w14:textId="0E59B50C" w:rsidR="00FD6632" w:rsidRPr="00FD6632" w:rsidRDefault="00FD6632" w:rsidP="00FD6632">
      <w:pPr>
        <w:rPr>
          <w:rFonts w:ascii="Times New Roman" w:hAnsi="Times New Roman" w:cs="Times New Roman"/>
          <w:sz w:val="24"/>
          <w:szCs w:val="24"/>
        </w:rPr>
      </w:pPr>
      <w:r w:rsidRPr="00DE05E0">
        <w:rPr>
          <w:rFonts w:ascii="Times New Roman" w:hAnsi="Times New Roman" w:cs="Times New Roman"/>
          <w:b/>
          <w:bCs/>
          <w:sz w:val="24"/>
          <w:szCs w:val="24"/>
        </w:rPr>
        <w:t xml:space="preserve">Figure 1. </w:t>
      </w:r>
      <w:r w:rsidRPr="00FD6632">
        <w:rPr>
          <w:rFonts w:ascii="Times New Roman" w:hAnsi="Times New Roman" w:cs="Times New Roman"/>
          <w:sz w:val="24"/>
          <w:szCs w:val="24"/>
        </w:rPr>
        <w:t>PRISMA Diagram</w:t>
      </w:r>
    </w:p>
    <w:p w14:paraId="481F2233" w14:textId="4FB2BC5C" w:rsidR="006040DF" w:rsidRPr="00D51E35" w:rsidRDefault="00D51E35" w:rsidP="006040DF">
      <w:pPr>
        <w:jc w:val="center"/>
        <w:rPr>
          <w:rFonts w:ascii="Times New Roman" w:hAnsi="Times New Roman" w:cs="Times New Roman"/>
          <w:b/>
          <w:bCs/>
          <w:sz w:val="24"/>
          <w:szCs w:val="24"/>
        </w:rPr>
      </w:pPr>
      <w:r w:rsidRPr="00D51E35">
        <w:rPr>
          <w:rFonts w:ascii="Times New Roman" w:hAnsi="Times New Roman" w:cs="Times New Roman"/>
          <w:b/>
          <w:bCs/>
          <w:noProof/>
          <w:sz w:val="24"/>
          <w:szCs w:val="24"/>
        </w:rPr>
        <w:lastRenderedPageBreak/>
        <w:drawing>
          <wp:inline distT="0" distB="0" distL="0" distR="0" wp14:anchorId="522350A8" wp14:editId="20C677C2">
            <wp:extent cx="5105400" cy="4097153"/>
            <wp:effectExtent l="0" t="0" r="0" b="0"/>
            <wp:docPr id="78462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20016" cy="4108882"/>
                    </a:xfrm>
                    <a:prstGeom prst="rect">
                      <a:avLst/>
                    </a:prstGeom>
                    <a:noFill/>
                  </pic:spPr>
                </pic:pic>
              </a:graphicData>
            </a:graphic>
          </wp:inline>
        </w:drawing>
      </w:r>
    </w:p>
    <w:p w14:paraId="7C3D86DA" w14:textId="35208B45" w:rsidR="00B6533E" w:rsidRDefault="00FD6632" w:rsidP="00FD6632">
      <w:pPr>
        <w:rPr>
          <w:rFonts w:ascii="Times New Roman" w:hAnsi="Times New Roman" w:cs="Times New Roman"/>
          <w:sz w:val="24"/>
          <w:szCs w:val="24"/>
        </w:rPr>
      </w:pPr>
      <w:r w:rsidRPr="004C394D">
        <w:rPr>
          <w:rFonts w:ascii="Times New Roman" w:hAnsi="Times New Roman" w:cs="Times New Roman"/>
          <w:b/>
          <w:bCs/>
          <w:sz w:val="24"/>
          <w:szCs w:val="24"/>
        </w:rPr>
        <w:t xml:space="preserve">Figure 2. </w:t>
      </w:r>
      <w:r w:rsidRPr="00FD6632">
        <w:rPr>
          <w:rFonts w:ascii="Times New Roman" w:hAnsi="Times New Roman" w:cs="Times New Roman"/>
          <w:sz w:val="24"/>
          <w:szCs w:val="24"/>
        </w:rPr>
        <w:t>Forest Plot of the Effectiveness of Preventive and Therapeutic Interventions for Radiotherapy-Related Xerostomia</w:t>
      </w:r>
    </w:p>
    <w:p w14:paraId="24230A88" w14:textId="69A99AB6" w:rsidR="00CE1D51" w:rsidRDefault="00CE1D51" w:rsidP="00CE1D51">
      <w:pPr>
        <w:jc w:val="both"/>
        <w:rPr>
          <w:rFonts w:ascii="Times New Roman" w:hAnsi="Times New Roman" w:cs="Times New Roman"/>
          <w:sz w:val="24"/>
          <w:szCs w:val="24"/>
        </w:rPr>
      </w:pPr>
      <w:r>
        <w:rPr>
          <w:noProof/>
        </w:rPr>
        <w:drawing>
          <wp:inline distT="0" distB="0" distL="0" distR="0" wp14:anchorId="1485EA01" wp14:editId="3DF89578">
            <wp:extent cx="5943600" cy="2317115"/>
            <wp:effectExtent l="0" t="0" r="0" b="6985"/>
            <wp:docPr id="64561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317115"/>
                    </a:xfrm>
                    <a:prstGeom prst="rect">
                      <a:avLst/>
                    </a:prstGeom>
                    <a:noFill/>
                    <a:ln>
                      <a:noFill/>
                    </a:ln>
                  </pic:spPr>
                </pic:pic>
              </a:graphicData>
            </a:graphic>
          </wp:inline>
        </w:drawing>
      </w:r>
    </w:p>
    <w:p w14:paraId="5746AB71" w14:textId="77777777" w:rsidR="00FD6632" w:rsidRDefault="00FD6632" w:rsidP="00FD6632">
      <w:pPr>
        <w:rPr>
          <w:rFonts w:ascii="Times New Roman" w:hAnsi="Times New Roman" w:cs="Times New Roman"/>
          <w:b/>
          <w:bCs/>
          <w:sz w:val="24"/>
          <w:szCs w:val="24"/>
        </w:rPr>
      </w:pPr>
    </w:p>
    <w:p w14:paraId="138F6B17" w14:textId="593B6962" w:rsidR="00FD6632" w:rsidRPr="00FD6632" w:rsidRDefault="00FD6632" w:rsidP="00FD6632">
      <w:pPr>
        <w:rPr>
          <w:rFonts w:ascii="Times New Roman" w:hAnsi="Times New Roman" w:cs="Times New Roman"/>
          <w:b/>
          <w:bCs/>
          <w:sz w:val="24"/>
          <w:szCs w:val="24"/>
        </w:rPr>
      </w:pPr>
      <w:r w:rsidRPr="00C16730">
        <w:rPr>
          <w:rFonts w:ascii="Times New Roman" w:hAnsi="Times New Roman" w:cs="Times New Roman"/>
          <w:b/>
          <w:bCs/>
          <w:sz w:val="24"/>
          <w:szCs w:val="24"/>
        </w:rPr>
        <w:t xml:space="preserve">Figure 3. </w:t>
      </w:r>
      <w:r w:rsidRPr="00FD6632">
        <w:rPr>
          <w:rFonts w:ascii="Times New Roman" w:hAnsi="Times New Roman" w:cs="Times New Roman"/>
          <w:sz w:val="24"/>
          <w:szCs w:val="24"/>
        </w:rPr>
        <w:t>Funnel Plot of the Effectiveness of Preventive and Therapeutic Interventions for Radiotherapy-Related Xerostomia</w:t>
      </w:r>
    </w:p>
    <w:p w14:paraId="396E5FBD" w14:textId="76F9FD72" w:rsidR="00CE1D51" w:rsidRPr="00CE1D51" w:rsidRDefault="00CE1D51" w:rsidP="00CE1D51">
      <w:pPr>
        <w:jc w:val="both"/>
        <w:rPr>
          <w:rFonts w:ascii="Times New Roman" w:hAnsi="Times New Roman" w:cs="Times New Roman"/>
          <w:sz w:val="24"/>
          <w:szCs w:val="24"/>
        </w:rPr>
      </w:pPr>
      <w:r>
        <w:rPr>
          <w:noProof/>
        </w:rPr>
        <w:lastRenderedPageBreak/>
        <w:drawing>
          <wp:inline distT="0" distB="0" distL="0" distR="0" wp14:anchorId="2DE24CC0" wp14:editId="4D25CB64">
            <wp:extent cx="5943600" cy="3444875"/>
            <wp:effectExtent l="0" t="0" r="0" b="3175"/>
            <wp:docPr id="213203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0503" cy="3448876"/>
                    </a:xfrm>
                    <a:prstGeom prst="rect">
                      <a:avLst/>
                    </a:prstGeom>
                    <a:noFill/>
                    <a:ln>
                      <a:noFill/>
                    </a:ln>
                  </pic:spPr>
                </pic:pic>
              </a:graphicData>
            </a:graphic>
          </wp:inline>
        </w:drawing>
      </w:r>
    </w:p>
    <w:p w14:paraId="597E2F4B" w14:textId="4D2BFBE5" w:rsidR="00925F1A" w:rsidRDefault="00925F1A" w:rsidP="003A3519">
      <w:pPr>
        <w:ind w:left="709" w:hanging="709"/>
        <w:jc w:val="both"/>
        <w:rPr>
          <w:rFonts w:ascii="Times New Roman" w:hAnsi="Times New Roman" w:cs="Times New Roman"/>
          <w:sz w:val="24"/>
          <w:szCs w:val="24"/>
        </w:rPr>
      </w:pPr>
    </w:p>
    <w:sectPr w:rsidR="0092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729"/>
    <w:multiLevelType w:val="hybridMultilevel"/>
    <w:tmpl w:val="6050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80FB1"/>
    <w:multiLevelType w:val="hybridMultilevel"/>
    <w:tmpl w:val="45B0C0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76016054">
    <w:abstractNumId w:val="0"/>
  </w:num>
  <w:num w:numId="2" w16cid:durableId="1643466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BF"/>
    <w:rsid w:val="000245B1"/>
    <w:rsid w:val="00033CEB"/>
    <w:rsid w:val="00052596"/>
    <w:rsid w:val="000A57D1"/>
    <w:rsid w:val="0015374D"/>
    <w:rsid w:val="0018085A"/>
    <w:rsid w:val="00193728"/>
    <w:rsid w:val="001E4D5A"/>
    <w:rsid w:val="001F5D59"/>
    <w:rsid w:val="002974E2"/>
    <w:rsid w:val="002D5DA7"/>
    <w:rsid w:val="002F26B6"/>
    <w:rsid w:val="003410F0"/>
    <w:rsid w:val="003535E7"/>
    <w:rsid w:val="00386E52"/>
    <w:rsid w:val="003A3519"/>
    <w:rsid w:val="003C4BD7"/>
    <w:rsid w:val="00422666"/>
    <w:rsid w:val="004363D7"/>
    <w:rsid w:val="00451960"/>
    <w:rsid w:val="00464993"/>
    <w:rsid w:val="004C394D"/>
    <w:rsid w:val="004D5F4C"/>
    <w:rsid w:val="00510FF3"/>
    <w:rsid w:val="00520382"/>
    <w:rsid w:val="0054266D"/>
    <w:rsid w:val="005B77CB"/>
    <w:rsid w:val="005C0953"/>
    <w:rsid w:val="005E6443"/>
    <w:rsid w:val="006040DF"/>
    <w:rsid w:val="006779F7"/>
    <w:rsid w:val="00677DD4"/>
    <w:rsid w:val="006E49B5"/>
    <w:rsid w:val="00720322"/>
    <w:rsid w:val="00723618"/>
    <w:rsid w:val="007322D4"/>
    <w:rsid w:val="00737F65"/>
    <w:rsid w:val="007466F6"/>
    <w:rsid w:val="007533A6"/>
    <w:rsid w:val="00794B79"/>
    <w:rsid w:val="007B3D73"/>
    <w:rsid w:val="007E194E"/>
    <w:rsid w:val="008218C8"/>
    <w:rsid w:val="00833A76"/>
    <w:rsid w:val="00837207"/>
    <w:rsid w:val="00867C58"/>
    <w:rsid w:val="00882EBD"/>
    <w:rsid w:val="00891B12"/>
    <w:rsid w:val="00897916"/>
    <w:rsid w:val="009101B8"/>
    <w:rsid w:val="00925F1A"/>
    <w:rsid w:val="009763DD"/>
    <w:rsid w:val="00991CE5"/>
    <w:rsid w:val="00995180"/>
    <w:rsid w:val="009B2946"/>
    <w:rsid w:val="009B3771"/>
    <w:rsid w:val="009D49AB"/>
    <w:rsid w:val="009D5AFD"/>
    <w:rsid w:val="00A0035B"/>
    <w:rsid w:val="00A338E8"/>
    <w:rsid w:val="00A52798"/>
    <w:rsid w:val="00A64B56"/>
    <w:rsid w:val="00A70211"/>
    <w:rsid w:val="00AF2C0F"/>
    <w:rsid w:val="00B6533E"/>
    <w:rsid w:val="00B77131"/>
    <w:rsid w:val="00B92EB4"/>
    <w:rsid w:val="00BD7AF0"/>
    <w:rsid w:val="00C06A59"/>
    <w:rsid w:val="00C16730"/>
    <w:rsid w:val="00C95337"/>
    <w:rsid w:val="00CA0B19"/>
    <w:rsid w:val="00CB09EC"/>
    <w:rsid w:val="00CB5F4D"/>
    <w:rsid w:val="00CE1D51"/>
    <w:rsid w:val="00CF6612"/>
    <w:rsid w:val="00D34758"/>
    <w:rsid w:val="00D51E35"/>
    <w:rsid w:val="00D82D4F"/>
    <w:rsid w:val="00DC30B1"/>
    <w:rsid w:val="00DE05E0"/>
    <w:rsid w:val="00E47CC9"/>
    <w:rsid w:val="00EC71C1"/>
    <w:rsid w:val="00EE1725"/>
    <w:rsid w:val="00EE3097"/>
    <w:rsid w:val="00EF1B4B"/>
    <w:rsid w:val="00F10BC9"/>
    <w:rsid w:val="00F450BF"/>
    <w:rsid w:val="00F54A1A"/>
    <w:rsid w:val="00F569D3"/>
    <w:rsid w:val="00F65DE1"/>
    <w:rsid w:val="00F72B6D"/>
    <w:rsid w:val="00FA2D9C"/>
    <w:rsid w:val="00FB72FC"/>
    <w:rsid w:val="00FD1520"/>
    <w:rsid w:val="00FD6632"/>
    <w:rsid w:val="00FE18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0B89"/>
  <w15:chartTrackingRefBased/>
  <w15:docId w15:val="{22E15406-963A-4962-9429-F205C0A6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3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50BF"/>
    <w:rPr>
      <w:color w:val="0563C1" w:themeColor="hyperlink"/>
      <w:u w:val="single"/>
    </w:rPr>
  </w:style>
  <w:style w:type="character" w:styleId="UnresolvedMention">
    <w:name w:val="Unresolved Mention"/>
    <w:basedOn w:val="DefaultParagraphFont"/>
    <w:uiPriority w:val="99"/>
    <w:semiHidden/>
    <w:unhideWhenUsed/>
    <w:rsid w:val="00F450BF"/>
    <w:rPr>
      <w:color w:val="605E5C"/>
      <w:shd w:val="clear" w:color="auto" w:fill="E1DFDD"/>
    </w:rPr>
  </w:style>
  <w:style w:type="paragraph" w:styleId="ListParagraph">
    <w:name w:val="List Paragraph"/>
    <w:basedOn w:val="Normal"/>
    <w:uiPriority w:val="34"/>
    <w:qFormat/>
    <w:rsid w:val="00882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36">
      <w:bodyDiv w:val="1"/>
      <w:marLeft w:val="0"/>
      <w:marRight w:val="0"/>
      <w:marTop w:val="0"/>
      <w:marBottom w:val="0"/>
      <w:divBdr>
        <w:top w:val="none" w:sz="0" w:space="0" w:color="auto"/>
        <w:left w:val="none" w:sz="0" w:space="0" w:color="auto"/>
        <w:bottom w:val="none" w:sz="0" w:space="0" w:color="auto"/>
        <w:right w:val="none" w:sz="0" w:space="0" w:color="auto"/>
      </w:divBdr>
    </w:div>
    <w:div w:id="64837099">
      <w:bodyDiv w:val="1"/>
      <w:marLeft w:val="0"/>
      <w:marRight w:val="0"/>
      <w:marTop w:val="0"/>
      <w:marBottom w:val="0"/>
      <w:divBdr>
        <w:top w:val="none" w:sz="0" w:space="0" w:color="auto"/>
        <w:left w:val="none" w:sz="0" w:space="0" w:color="auto"/>
        <w:bottom w:val="none" w:sz="0" w:space="0" w:color="auto"/>
        <w:right w:val="none" w:sz="0" w:space="0" w:color="auto"/>
      </w:divBdr>
    </w:div>
    <w:div w:id="362488565">
      <w:bodyDiv w:val="1"/>
      <w:marLeft w:val="0"/>
      <w:marRight w:val="0"/>
      <w:marTop w:val="0"/>
      <w:marBottom w:val="0"/>
      <w:divBdr>
        <w:top w:val="none" w:sz="0" w:space="0" w:color="auto"/>
        <w:left w:val="none" w:sz="0" w:space="0" w:color="auto"/>
        <w:bottom w:val="none" w:sz="0" w:space="0" w:color="auto"/>
        <w:right w:val="none" w:sz="0" w:space="0" w:color="auto"/>
      </w:divBdr>
    </w:div>
    <w:div w:id="552038688">
      <w:bodyDiv w:val="1"/>
      <w:marLeft w:val="0"/>
      <w:marRight w:val="0"/>
      <w:marTop w:val="0"/>
      <w:marBottom w:val="0"/>
      <w:divBdr>
        <w:top w:val="none" w:sz="0" w:space="0" w:color="auto"/>
        <w:left w:val="none" w:sz="0" w:space="0" w:color="auto"/>
        <w:bottom w:val="none" w:sz="0" w:space="0" w:color="auto"/>
        <w:right w:val="none" w:sz="0" w:space="0" w:color="auto"/>
      </w:divBdr>
    </w:div>
    <w:div w:id="562184383">
      <w:bodyDiv w:val="1"/>
      <w:marLeft w:val="0"/>
      <w:marRight w:val="0"/>
      <w:marTop w:val="0"/>
      <w:marBottom w:val="0"/>
      <w:divBdr>
        <w:top w:val="none" w:sz="0" w:space="0" w:color="auto"/>
        <w:left w:val="none" w:sz="0" w:space="0" w:color="auto"/>
        <w:bottom w:val="none" w:sz="0" w:space="0" w:color="auto"/>
        <w:right w:val="none" w:sz="0" w:space="0" w:color="auto"/>
      </w:divBdr>
    </w:div>
    <w:div w:id="601651878">
      <w:bodyDiv w:val="1"/>
      <w:marLeft w:val="0"/>
      <w:marRight w:val="0"/>
      <w:marTop w:val="0"/>
      <w:marBottom w:val="0"/>
      <w:divBdr>
        <w:top w:val="none" w:sz="0" w:space="0" w:color="auto"/>
        <w:left w:val="none" w:sz="0" w:space="0" w:color="auto"/>
        <w:bottom w:val="none" w:sz="0" w:space="0" w:color="auto"/>
        <w:right w:val="none" w:sz="0" w:space="0" w:color="auto"/>
      </w:divBdr>
    </w:div>
    <w:div w:id="679816068">
      <w:bodyDiv w:val="1"/>
      <w:marLeft w:val="0"/>
      <w:marRight w:val="0"/>
      <w:marTop w:val="0"/>
      <w:marBottom w:val="0"/>
      <w:divBdr>
        <w:top w:val="none" w:sz="0" w:space="0" w:color="auto"/>
        <w:left w:val="none" w:sz="0" w:space="0" w:color="auto"/>
        <w:bottom w:val="none" w:sz="0" w:space="0" w:color="auto"/>
        <w:right w:val="none" w:sz="0" w:space="0" w:color="auto"/>
      </w:divBdr>
    </w:div>
    <w:div w:id="684215039">
      <w:bodyDiv w:val="1"/>
      <w:marLeft w:val="0"/>
      <w:marRight w:val="0"/>
      <w:marTop w:val="0"/>
      <w:marBottom w:val="0"/>
      <w:divBdr>
        <w:top w:val="none" w:sz="0" w:space="0" w:color="auto"/>
        <w:left w:val="none" w:sz="0" w:space="0" w:color="auto"/>
        <w:bottom w:val="none" w:sz="0" w:space="0" w:color="auto"/>
        <w:right w:val="none" w:sz="0" w:space="0" w:color="auto"/>
      </w:divBdr>
    </w:div>
    <w:div w:id="710426392">
      <w:bodyDiv w:val="1"/>
      <w:marLeft w:val="0"/>
      <w:marRight w:val="0"/>
      <w:marTop w:val="0"/>
      <w:marBottom w:val="0"/>
      <w:divBdr>
        <w:top w:val="none" w:sz="0" w:space="0" w:color="auto"/>
        <w:left w:val="none" w:sz="0" w:space="0" w:color="auto"/>
        <w:bottom w:val="none" w:sz="0" w:space="0" w:color="auto"/>
        <w:right w:val="none" w:sz="0" w:space="0" w:color="auto"/>
      </w:divBdr>
    </w:div>
    <w:div w:id="926694535">
      <w:bodyDiv w:val="1"/>
      <w:marLeft w:val="0"/>
      <w:marRight w:val="0"/>
      <w:marTop w:val="0"/>
      <w:marBottom w:val="0"/>
      <w:divBdr>
        <w:top w:val="none" w:sz="0" w:space="0" w:color="auto"/>
        <w:left w:val="none" w:sz="0" w:space="0" w:color="auto"/>
        <w:bottom w:val="none" w:sz="0" w:space="0" w:color="auto"/>
        <w:right w:val="none" w:sz="0" w:space="0" w:color="auto"/>
      </w:divBdr>
    </w:div>
    <w:div w:id="946351773">
      <w:bodyDiv w:val="1"/>
      <w:marLeft w:val="0"/>
      <w:marRight w:val="0"/>
      <w:marTop w:val="0"/>
      <w:marBottom w:val="0"/>
      <w:divBdr>
        <w:top w:val="none" w:sz="0" w:space="0" w:color="auto"/>
        <w:left w:val="none" w:sz="0" w:space="0" w:color="auto"/>
        <w:bottom w:val="none" w:sz="0" w:space="0" w:color="auto"/>
        <w:right w:val="none" w:sz="0" w:space="0" w:color="auto"/>
      </w:divBdr>
    </w:div>
    <w:div w:id="1026063070">
      <w:bodyDiv w:val="1"/>
      <w:marLeft w:val="0"/>
      <w:marRight w:val="0"/>
      <w:marTop w:val="0"/>
      <w:marBottom w:val="0"/>
      <w:divBdr>
        <w:top w:val="none" w:sz="0" w:space="0" w:color="auto"/>
        <w:left w:val="none" w:sz="0" w:space="0" w:color="auto"/>
        <w:bottom w:val="none" w:sz="0" w:space="0" w:color="auto"/>
        <w:right w:val="none" w:sz="0" w:space="0" w:color="auto"/>
      </w:divBdr>
    </w:div>
    <w:div w:id="1143278299">
      <w:bodyDiv w:val="1"/>
      <w:marLeft w:val="0"/>
      <w:marRight w:val="0"/>
      <w:marTop w:val="0"/>
      <w:marBottom w:val="0"/>
      <w:divBdr>
        <w:top w:val="none" w:sz="0" w:space="0" w:color="auto"/>
        <w:left w:val="none" w:sz="0" w:space="0" w:color="auto"/>
        <w:bottom w:val="none" w:sz="0" w:space="0" w:color="auto"/>
        <w:right w:val="none" w:sz="0" w:space="0" w:color="auto"/>
      </w:divBdr>
    </w:div>
    <w:div w:id="1178273310">
      <w:bodyDiv w:val="1"/>
      <w:marLeft w:val="0"/>
      <w:marRight w:val="0"/>
      <w:marTop w:val="0"/>
      <w:marBottom w:val="0"/>
      <w:divBdr>
        <w:top w:val="none" w:sz="0" w:space="0" w:color="auto"/>
        <w:left w:val="none" w:sz="0" w:space="0" w:color="auto"/>
        <w:bottom w:val="none" w:sz="0" w:space="0" w:color="auto"/>
        <w:right w:val="none" w:sz="0" w:space="0" w:color="auto"/>
      </w:divBdr>
    </w:div>
    <w:div w:id="1286305086">
      <w:bodyDiv w:val="1"/>
      <w:marLeft w:val="0"/>
      <w:marRight w:val="0"/>
      <w:marTop w:val="0"/>
      <w:marBottom w:val="0"/>
      <w:divBdr>
        <w:top w:val="none" w:sz="0" w:space="0" w:color="auto"/>
        <w:left w:val="none" w:sz="0" w:space="0" w:color="auto"/>
        <w:bottom w:val="none" w:sz="0" w:space="0" w:color="auto"/>
        <w:right w:val="none" w:sz="0" w:space="0" w:color="auto"/>
      </w:divBdr>
    </w:div>
    <w:div w:id="1467310099">
      <w:bodyDiv w:val="1"/>
      <w:marLeft w:val="0"/>
      <w:marRight w:val="0"/>
      <w:marTop w:val="0"/>
      <w:marBottom w:val="0"/>
      <w:divBdr>
        <w:top w:val="none" w:sz="0" w:space="0" w:color="auto"/>
        <w:left w:val="none" w:sz="0" w:space="0" w:color="auto"/>
        <w:bottom w:val="none" w:sz="0" w:space="0" w:color="auto"/>
        <w:right w:val="none" w:sz="0" w:space="0" w:color="auto"/>
      </w:divBdr>
    </w:div>
    <w:div w:id="1517496384">
      <w:bodyDiv w:val="1"/>
      <w:marLeft w:val="0"/>
      <w:marRight w:val="0"/>
      <w:marTop w:val="0"/>
      <w:marBottom w:val="0"/>
      <w:divBdr>
        <w:top w:val="none" w:sz="0" w:space="0" w:color="auto"/>
        <w:left w:val="none" w:sz="0" w:space="0" w:color="auto"/>
        <w:bottom w:val="none" w:sz="0" w:space="0" w:color="auto"/>
        <w:right w:val="none" w:sz="0" w:space="0" w:color="auto"/>
      </w:divBdr>
    </w:div>
    <w:div w:id="1526677761">
      <w:bodyDiv w:val="1"/>
      <w:marLeft w:val="0"/>
      <w:marRight w:val="0"/>
      <w:marTop w:val="0"/>
      <w:marBottom w:val="0"/>
      <w:divBdr>
        <w:top w:val="none" w:sz="0" w:space="0" w:color="auto"/>
        <w:left w:val="none" w:sz="0" w:space="0" w:color="auto"/>
        <w:bottom w:val="none" w:sz="0" w:space="0" w:color="auto"/>
        <w:right w:val="none" w:sz="0" w:space="0" w:color="auto"/>
      </w:divBdr>
    </w:div>
    <w:div w:id="1635716028">
      <w:bodyDiv w:val="1"/>
      <w:marLeft w:val="0"/>
      <w:marRight w:val="0"/>
      <w:marTop w:val="0"/>
      <w:marBottom w:val="0"/>
      <w:divBdr>
        <w:top w:val="none" w:sz="0" w:space="0" w:color="auto"/>
        <w:left w:val="none" w:sz="0" w:space="0" w:color="auto"/>
        <w:bottom w:val="none" w:sz="0" w:space="0" w:color="auto"/>
        <w:right w:val="none" w:sz="0" w:space="0" w:color="auto"/>
      </w:divBdr>
    </w:div>
    <w:div w:id="1748569616">
      <w:bodyDiv w:val="1"/>
      <w:marLeft w:val="0"/>
      <w:marRight w:val="0"/>
      <w:marTop w:val="0"/>
      <w:marBottom w:val="0"/>
      <w:divBdr>
        <w:top w:val="none" w:sz="0" w:space="0" w:color="auto"/>
        <w:left w:val="none" w:sz="0" w:space="0" w:color="auto"/>
        <w:bottom w:val="none" w:sz="0" w:space="0" w:color="auto"/>
        <w:right w:val="none" w:sz="0" w:space="0" w:color="auto"/>
      </w:divBdr>
    </w:div>
    <w:div w:id="1788310130">
      <w:bodyDiv w:val="1"/>
      <w:marLeft w:val="0"/>
      <w:marRight w:val="0"/>
      <w:marTop w:val="0"/>
      <w:marBottom w:val="0"/>
      <w:divBdr>
        <w:top w:val="none" w:sz="0" w:space="0" w:color="auto"/>
        <w:left w:val="none" w:sz="0" w:space="0" w:color="auto"/>
        <w:bottom w:val="none" w:sz="0" w:space="0" w:color="auto"/>
        <w:right w:val="none" w:sz="0" w:space="0" w:color="auto"/>
      </w:divBdr>
    </w:div>
    <w:div w:id="1876893096">
      <w:bodyDiv w:val="1"/>
      <w:marLeft w:val="0"/>
      <w:marRight w:val="0"/>
      <w:marTop w:val="0"/>
      <w:marBottom w:val="0"/>
      <w:divBdr>
        <w:top w:val="none" w:sz="0" w:space="0" w:color="auto"/>
        <w:left w:val="none" w:sz="0" w:space="0" w:color="auto"/>
        <w:bottom w:val="none" w:sz="0" w:space="0" w:color="auto"/>
        <w:right w:val="none" w:sz="0" w:space="0" w:color="auto"/>
      </w:divBdr>
    </w:div>
    <w:div w:id="2050228481">
      <w:bodyDiv w:val="1"/>
      <w:marLeft w:val="0"/>
      <w:marRight w:val="0"/>
      <w:marTop w:val="0"/>
      <w:marBottom w:val="0"/>
      <w:divBdr>
        <w:top w:val="none" w:sz="0" w:space="0" w:color="auto"/>
        <w:left w:val="none" w:sz="0" w:space="0" w:color="auto"/>
        <w:bottom w:val="none" w:sz="0" w:space="0" w:color="auto"/>
        <w:right w:val="none" w:sz="0" w:space="0" w:color="auto"/>
      </w:divBdr>
    </w:div>
    <w:div w:id="21061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21</Pages>
  <Words>10948</Words>
  <Characters>62409</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59</cp:revision>
  <dcterms:created xsi:type="dcterms:W3CDTF">2026-05-28T08:22:00Z</dcterms:created>
  <dcterms:modified xsi:type="dcterms:W3CDTF">2026-06-04T06:11:00Z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3d8709cd-a97f-34f6-92d6-0e9aebb48ed3</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http://www.zotero.org/styles/chicago-fullnote-bibliography</vt:lpwstr>
  </property>
  <property fmtid="{D5CDD505-2E9C-101B-9397-08002B2CF9AE}" pid="8" name="Mendeley Recent Style Name 1_1">
    <vt:lpwstr>Chicago Manual of Style 17th edition (full note)</vt:lpwstr>
  </property>
  <property fmtid="{D5CDD505-2E9C-101B-9397-08002B2CF9AE}" pid="9" name="Mendeley Recent Style Id 2_1">
    <vt:lpwstr>http://www.zotero.org/styles/chicago-notes-bibliography</vt:lpwstr>
  </property>
  <property fmtid="{D5CDD505-2E9C-101B-9397-08002B2CF9AE}" pid="10" name="Mendeley Recent Style Name 2_1">
    <vt:lpwstr>Chicago Manual of Style 18th edition (notes and bibliography)</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http://www.zotero.org/styles/oscola-journal-abbreviations</vt:lpwstr>
  </property>
  <property fmtid="{D5CDD505-2E9C-101B-9397-08002B2CF9AE}" pid="20" name="Mendeley Recent Style Name 7_1">
    <vt:lpwstr>OSCOLA 4th edition (journal abbreviations)</vt:lpwstr>
  </property>
  <property fmtid="{D5CDD505-2E9C-101B-9397-08002B2CF9AE}" pid="21" name="Mendeley Recent Style Id 8_1">
    <vt:lpwstr>http://www.zotero.org/styles/turabian-notes-bibliography</vt:lpwstr>
  </property>
  <property fmtid="{D5CDD505-2E9C-101B-9397-08002B2CF9AE}" pid="22" name="Mendeley Recent Style Name 8_1">
    <vt:lpwstr>Turabian 9th edition (notes and bibliography)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