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7A50" w14:textId="3E666011" w:rsidR="002B5E7D" w:rsidRDefault="001A17D1" w:rsidP="001A17D1">
      <w:pPr>
        <w:rPr>
          <w:rFonts w:ascii="Times New Roman" w:hAnsi="Times New Roman" w:cs="Times New Roman"/>
          <w:b/>
          <w:bCs/>
          <w:sz w:val="24"/>
          <w:szCs w:val="24"/>
        </w:rPr>
      </w:pPr>
      <w:r w:rsidRPr="001A17D1">
        <w:rPr>
          <w:rFonts w:ascii="Times New Roman" w:hAnsi="Times New Roman" w:cs="Times New Roman"/>
          <w:b/>
          <w:bCs/>
          <w:sz w:val="24"/>
          <w:szCs w:val="24"/>
        </w:rPr>
        <w:t>Periodontitis as a potential oral risk factor for cognitive impairment and neurodegenerative disease: a systematic review and meta-analysis</w:t>
      </w:r>
    </w:p>
    <w:p w14:paraId="521E723D" w14:textId="51C38D60" w:rsidR="001F407B" w:rsidRDefault="001A17D1" w:rsidP="001A17D1">
      <w:pPr>
        <w:spacing w:after="0"/>
        <w:rPr>
          <w:rFonts w:ascii="Times New Roman" w:hAnsi="Times New Roman" w:cs="Times New Roman"/>
          <w:b/>
          <w:bCs/>
          <w:sz w:val="24"/>
          <w:szCs w:val="24"/>
        </w:rPr>
      </w:pPr>
      <w:r>
        <w:rPr>
          <w:rFonts w:ascii="Times New Roman" w:hAnsi="Times New Roman" w:cs="Times New Roman"/>
          <w:b/>
          <w:bCs/>
          <w:sz w:val="24"/>
          <w:szCs w:val="24"/>
        </w:rPr>
        <w:t>Abstract</w:t>
      </w:r>
    </w:p>
    <w:p w14:paraId="745591C6" w14:textId="382AEECF" w:rsidR="001A17D1" w:rsidRPr="001A17D1" w:rsidRDefault="001A17D1" w:rsidP="001A17D1">
      <w:pPr>
        <w:spacing w:after="0"/>
        <w:jc w:val="both"/>
        <w:rPr>
          <w:rFonts w:ascii="Times New Roman" w:hAnsi="Times New Roman" w:cs="Times New Roman"/>
          <w:sz w:val="24"/>
          <w:szCs w:val="24"/>
        </w:rPr>
      </w:pPr>
      <w:r w:rsidRPr="001A17D1">
        <w:rPr>
          <w:rFonts w:ascii="Times New Roman" w:hAnsi="Times New Roman" w:cs="Times New Roman"/>
          <w:b/>
          <w:bCs/>
          <w:sz w:val="24"/>
          <w:szCs w:val="24"/>
        </w:rPr>
        <w:t>Background:</w:t>
      </w:r>
      <w:r>
        <w:rPr>
          <w:rFonts w:ascii="Times New Roman" w:hAnsi="Times New Roman" w:cs="Times New Roman"/>
          <w:sz w:val="24"/>
          <w:szCs w:val="24"/>
        </w:rPr>
        <w:t xml:space="preserve"> </w:t>
      </w:r>
      <w:r w:rsidRPr="001A17D1">
        <w:rPr>
          <w:rFonts w:ascii="Times New Roman" w:hAnsi="Times New Roman" w:cs="Times New Roman"/>
          <w:sz w:val="24"/>
          <w:szCs w:val="24"/>
        </w:rPr>
        <w:t>Periodontitis is a chronic inflammatory periodontal disease that may have systemic implications beyond the oral cavity. Increasing evidence suggests that periodontal inflammation may be associated with cognitive impairment and neurodegenerative disease. This study aimed to analyze the association between periodontitis and cognitive impairment or neurodegenerative disease.</w:t>
      </w:r>
    </w:p>
    <w:p w14:paraId="01A3DBB0" w14:textId="1B99241C" w:rsidR="001A17D1" w:rsidRPr="001A17D1" w:rsidRDefault="001A17D1" w:rsidP="001A17D1">
      <w:pPr>
        <w:spacing w:after="0"/>
        <w:jc w:val="both"/>
        <w:rPr>
          <w:rFonts w:ascii="Times New Roman" w:hAnsi="Times New Roman" w:cs="Times New Roman"/>
          <w:sz w:val="24"/>
          <w:szCs w:val="24"/>
        </w:rPr>
      </w:pPr>
      <w:r w:rsidRPr="001A17D1">
        <w:rPr>
          <w:rFonts w:ascii="Times New Roman" w:hAnsi="Times New Roman" w:cs="Times New Roman"/>
          <w:b/>
          <w:bCs/>
          <w:sz w:val="24"/>
          <w:szCs w:val="24"/>
        </w:rPr>
        <w:t>Methods:</w:t>
      </w:r>
      <w:r w:rsidRPr="001A17D1">
        <w:rPr>
          <w:rFonts w:ascii="Times New Roman" w:hAnsi="Times New Roman" w:cs="Times New Roman"/>
          <w:sz w:val="24"/>
          <w:szCs w:val="24"/>
        </w:rPr>
        <w:t xml:space="preserve"> A systematic review and meta-analysis </w:t>
      </w:r>
      <w:proofErr w:type="gramStart"/>
      <w:r w:rsidRPr="001A17D1">
        <w:rPr>
          <w:rFonts w:ascii="Times New Roman" w:hAnsi="Times New Roman" w:cs="Times New Roman"/>
          <w:sz w:val="24"/>
          <w:szCs w:val="24"/>
        </w:rPr>
        <w:t>was</w:t>
      </w:r>
      <w:proofErr w:type="gramEnd"/>
      <w:r w:rsidRPr="001A17D1">
        <w:rPr>
          <w:rFonts w:ascii="Times New Roman" w:hAnsi="Times New Roman" w:cs="Times New Roman"/>
          <w:sz w:val="24"/>
          <w:szCs w:val="24"/>
        </w:rPr>
        <w:t xml:space="preserve"> conducted following the PRISMA 2020 guideline. Articles were searched in PubMed/MEDLINE, Scopus, and Web of Science, with publication years limited to 2017 onward. Eligible studies were primary quantitative studies involving adult or older adult populations, periodontitis or periodontal disease as the exposure, and cognitive impairment, dementia, Alzheimer’s disease, Parkinson’s disease, or other neurodegenerative outcomes as the outcome. Effect estimates, confidence intervals, p-values, and heterogeneity values were extracted and analyzed using JASP.</w:t>
      </w:r>
    </w:p>
    <w:p w14:paraId="694ED285" w14:textId="5D0B0BA1" w:rsidR="001A17D1" w:rsidRPr="001A17D1" w:rsidRDefault="001A17D1" w:rsidP="001A17D1">
      <w:pPr>
        <w:spacing w:after="0"/>
        <w:jc w:val="both"/>
        <w:rPr>
          <w:rFonts w:ascii="Times New Roman" w:hAnsi="Times New Roman" w:cs="Times New Roman"/>
          <w:sz w:val="24"/>
          <w:szCs w:val="24"/>
        </w:rPr>
      </w:pPr>
      <w:r w:rsidRPr="001A17D1">
        <w:rPr>
          <w:rFonts w:ascii="Times New Roman" w:hAnsi="Times New Roman" w:cs="Times New Roman"/>
          <w:b/>
          <w:bCs/>
          <w:sz w:val="24"/>
          <w:szCs w:val="24"/>
        </w:rPr>
        <w:t>Results:</w:t>
      </w:r>
      <w:r w:rsidRPr="001A17D1">
        <w:rPr>
          <w:rFonts w:ascii="Times New Roman" w:hAnsi="Times New Roman" w:cs="Times New Roman"/>
          <w:sz w:val="24"/>
          <w:szCs w:val="24"/>
        </w:rPr>
        <w:t xml:space="preserve"> Of 378 articles identified, 5 duplicates were removed, 373 articles were screened, 82 full-text articles were assessed, and 12 studies met the inclusion criteria. Most studies showed a positive association between severe, long-standing, or untreated periodontitis and cognitive or neurodegenerative outcomes. The pooled effect was 0.15 with a 95% confidence interval of 0.05–0.26 and p = 0.007. Significant heterogeneity was observed, with </w:t>
      </w:r>
      <w:proofErr w:type="gramStart"/>
      <w:r w:rsidRPr="001A17D1">
        <w:rPr>
          <w:rFonts w:ascii="Times New Roman" w:hAnsi="Times New Roman" w:cs="Times New Roman"/>
          <w:sz w:val="24"/>
          <w:szCs w:val="24"/>
        </w:rPr>
        <w:t>Q(</w:t>
      </w:r>
      <w:proofErr w:type="gramEnd"/>
      <w:r w:rsidRPr="001A17D1">
        <w:rPr>
          <w:rFonts w:ascii="Times New Roman" w:hAnsi="Times New Roman" w:cs="Times New Roman"/>
          <w:sz w:val="24"/>
          <w:szCs w:val="24"/>
        </w:rPr>
        <w:t>11) = 39.24 and p &lt; 0.001.</w:t>
      </w:r>
    </w:p>
    <w:p w14:paraId="5F7454B1" w14:textId="0BCA07F1" w:rsidR="001F407B" w:rsidRPr="001F407B" w:rsidRDefault="001A17D1" w:rsidP="001A17D1">
      <w:pPr>
        <w:jc w:val="both"/>
        <w:rPr>
          <w:rFonts w:ascii="Times New Roman" w:hAnsi="Times New Roman" w:cs="Times New Roman"/>
          <w:sz w:val="24"/>
          <w:szCs w:val="24"/>
        </w:rPr>
      </w:pPr>
      <w:r w:rsidRPr="001A17D1">
        <w:rPr>
          <w:rFonts w:ascii="Times New Roman" w:hAnsi="Times New Roman" w:cs="Times New Roman"/>
          <w:b/>
          <w:bCs/>
          <w:sz w:val="24"/>
          <w:szCs w:val="24"/>
        </w:rPr>
        <w:t>Conclusion:</w:t>
      </w:r>
      <w:r w:rsidRPr="001A17D1">
        <w:rPr>
          <w:rFonts w:ascii="Times New Roman" w:hAnsi="Times New Roman" w:cs="Times New Roman"/>
          <w:sz w:val="24"/>
          <w:szCs w:val="24"/>
        </w:rPr>
        <w:t xml:space="preserve"> Periodontitis was significantly associated with cognitive impairment and neurodegenerative disease. These findings support the relevance of periodontal health as a potentially modifiable factor in preventive periodontal care for adult and older populations.</w:t>
      </w:r>
    </w:p>
    <w:p w14:paraId="77FBE08D" w14:textId="6267805D" w:rsidR="001F407B" w:rsidRPr="002D0E91" w:rsidRDefault="00063423" w:rsidP="002D0E91">
      <w:pPr>
        <w:jc w:val="both"/>
        <w:rPr>
          <w:rFonts w:ascii="Times New Roman" w:hAnsi="Times New Roman" w:cs="Times New Roman"/>
          <w:sz w:val="24"/>
          <w:szCs w:val="24"/>
        </w:rPr>
      </w:pPr>
      <w:r>
        <w:rPr>
          <w:rFonts w:ascii="Times New Roman" w:hAnsi="Times New Roman" w:cs="Times New Roman"/>
          <w:b/>
          <w:bCs/>
          <w:sz w:val="24"/>
          <w:szCs w:val="24"/>
        </w:rPr>
        <w:t>Keywords</w:t>
      </w:r>
      <w:r w:rsidR="001F407B" w:rsidRPr="001F407B">
        <w:rPr>
          <w:rFonts w:ascii="Times New Roman" w:hAnsi="Times New Roman" w:cs="Times New Roman"/>
          <w:b/>
          <w:bCs/>
          <w:sz w:val="24"/>
          <w:szCs w:val="24"/>
        </w:rPr>
        <w:t>:</w:t>
      </w:r>
      <w:r w:rsidR="001F407B" w:rsidRPr="001F407B">
        <w:rPr>
          <w:rFonts w:ascii="Times New Roman" w:hAnsi="Times New Roman" w:cs="Times New Roman"/>
          <w:sz w:val="24"/>
          <w:szCs w:val="24"/>
        </w:rPr>
        <w:t xml:space="preserve"> </w:t>
      </w:r>
      <w:proofErr w:type="spellStart"/>
      <w:r w:rsidR="001A17D1" w:rsidRPr="001A17D1">
        <w:rPr>
          <w:rFonts w:ascii="Times New Roman" w:hAnsi="Times New Roman" w:cs="Times New Roman"/>
          <w:sz w:val="24"/>
          <w:szCs w:val="24"/>
        </w:rPr>
        <w:t>alzheimer</w:t>
      </w:r>
      <w:proofErr w:type="spellEnd"/>
      <w:r w:rsidR="001A17D1" w:rsidRPr="001A17D1">
        <w:rPr>
          <w:rFonts w:ascii="Times New Roman" w:hAnsi="Times New Roman" w:cs="Times New Roman"/>
          <w:sz w:val="24"/>
          <w:szCs w:val="24"/>
        </w:rPr>
        <w:t xml:space="preserve"> disease; cognitive dysfunction; dementia; neurodegenerative diseases; periodontal diseases; periodontitis</w:t>
      </w:r>
    </w:p>
    <w:p w14:paraId="13C5816C" w14:textId="11FADBEC" w:rsidR="002B5E7D" w:rsidRPr="007F0F25" w:rsidRDefault="00063423" w:rsidP="00063423">
      <w:pPr>
        <w:rPr>
          <w:rFonts w:ascii="Times New Roman" w:hAnsi="Times New Roman" w:cs="Times New Roman"/>
          <w:b/>
          <w:bCs/>
          <w:sz w:val="24"/>
          <w:szCs w:val="24"/>
        </w:rPr>
      </w:pPr>
      <w:r w:rsidRPr="00063423">
        <w:rPr>
          <w:rFonts w:ascii="Times New Roman" w:hAnsi="Times New Roman" w:cs="Times New Roman"/>
          <w:b/>
          <w:bCs/>
          <w:sz w:val="24"/>
          <w:szCs w:val="24"/>
        </w:rPr>
        <w:t>INTRODUCTION</w:t>
      </w:r>
    </w:p>
    <w:p w14:paraId="2BB7E75A" w14:textId="7FCD3C81"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 xml:space="preserve">Periodontitis is a chronic inflammatory disease affecting the supporting tissues of the teeth. It is characterized by gingival inflammation, bleeding, periodontal pocket formation, clinical attachment loss, alveolar bone destruction, and, in advanced stages, tooth loss. Severe periodontal disease remains a major global oral health burden and affects a large adult population </w:t>
      </w:r>
      <w:proofErr w:type="gramStart"/>
      <w:r w:rsidRPr="00F07A35">
        <w:rPr>
          <w:rFonts w:ascii="Times New Roman" w:hAnsi="Times New Roman" w:cs="Times New Roman"/>
          <w:sz w:val="24"/>
          <w:szCs w:val="24"/>
        </w:rPr>
        <w:t>worldwide.¹</w:t>
      </w:r>
      <w:proofErr w:type="gramEnd"/>
      <w:r w:rsidRPr="00F07A35">
        <w:rPr>
          <w:rFonts w:ascii="Times New Roman" w:hAnsi="Times New Roman" w:cs="Times New Roman"/>
          <w:sz w:val="24"/>
          <w:szCs w:val="24"/>
        </w:rPr>
        <w:t xml:space="preserve"> Beyond its local effects on oral function, chewing ability, nutrition, and quality of life, periodontitis is increasingly recognized as a chronic inflammatory condition that may contribute to systemic health problems.</w:t>
      </w:r>
    </w:p>
    <w:p w14:paraId="25B8F2C1" w14:textId="77777777" w:rsidR="00F07A35" w:rsidRDefault="00F07A35" w:rsidP="002D0E91">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 xml:space="preserve">Cognitive impairment and neurodegenerative diseases are also important health problems in adult and older populations. Dementia affects millions of people worldwide and is associated with progressive decline in memory, thinking, behavior, and ability to perform daily </w:t>
      </w:r>
      <w:proofErr w:type="gramStart"/>
      <w:r w:rsidRPr="00F07A35">
        <w:rPr>
          <w:rFonts w:ascii="Times New Roman" w:hAnsi="Times New Roman" w:cs="Times New Roman"/>
          <w:sz w:val="24"/>
          <w:szCs w:val="24"/>
        </w:rPr>
        <w:t>activities.²</w:t>
      </w:r>
      <w:proofErr w:type="gramEnd"/>
      <w:r w:rsidRPr="00F07A35">
        <w:rPr>
          <w:rFonts w:ascii="Times New Roman" w:hAnsi="Times New Roman" w:cs="Times New Roman"/>
          <w:sz w:val="24"/>
          <w:szCs w:val="24"/>
        </w:rPr>
        <w:t xml:space="preserve"> Alzheimer disease is the most common form of dementia, while other neurodegenerative diseases, including Parkinson disease and vascular dementia, also contribute to functional decline in older adults. The coexistence of periodontal disease and cognitive decline in aging populations creates an important question regarding whether periodontal health may be related to brain health.</w:t>
      </w:r>
    </w:p>
    <w:p w14:paraId="0E9E48CF" w14:textId="43459B6C"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 xml:space="preserve">Several biological mechanisms have been proposed to explain the possible relationship between periodontitis and cognitive impairment. Periodontal pathogens and periodontal </w:t>
      </w:r>
      <w:r w:rsidRPr="00F07A35">
        <w:rPr>
          <w:rFonts w:ascii="Times New Roman" w:hAnsi="Times New Roman" w:cs="Times New Roman"/>
          <w:sz w:val="24"/>
          <w:szCs w:val="24"/>
        </w:rPr>
        <w:lastRenderedPageBreak/>
        <w:t xml:space="preserve">inflammation can stimulate the release of inflammatory mediators, including interleukin-1β, interleukin-6, tumor necrosis factor-α, and C-reactive protein. These inflammatory mediators may enter systemic circulation and contribute to endothelial dysfunction, oxidative stress, blood-brain barrier disruption, and neuroinflammatory processes. The oral-brain axis has been described as one possible pathway through which periodontal pathogens and inflammatory responses may influence pathological processes in the </w:t>
      </w:r>
      <w:proofErr w:type="gramStart"/>
      <w:r w:rsidRPr="00F07A35">
        <w:rPr>
          <w:rFonts w:ascii="Times New Roman" w:hAnsi="Times New Roman" w:cs="Times New Roman"/>
          <w:sz w:val="24"/>
          <w:szCs w:val="24"/>
        </w:rPr>
        <w:t>brain.³</w:t>
      </w:r>
      <w:proofErr w:type="gramEnd"/>
    </w:p>
    <w:p w14:paraId="062B8E7D" w14:textId="00163B8D"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Porphyromonas gingivalis has received particular attention because of its virulence factors, lipopolysaccharides, gingipains, and possible involvement in neurodegenerative pathways. Previous evidence suggests that P. gingivalis may cross the blood-brain barrier or mediate neural injury through inflammatory pathways and the gut-brain axis.⁴ Experimental evidence has also shown that P. gingivalis-induced periodontitis may promote neuroinflammation, tau hyperphosphorylation, neuronal loss, and dysfunction of the brain barrier.⁵ These findings provide biological plausibility for the association between chronic periodontal inflammation and cognitive or neurodegenerative outcomes.</w:t>
      </w:r>
    </w:p>
    <w:p w14:paraId="100DA020" w14:textId="2718AFA6"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The epidemiological relationship between periodontal health and cognitive decline has been reported in previous longitudinal evidence. Poor periodontal health, including periodontitis, tooth loss, deep periodontal pockets, and alveolar bone loss, has been associated with increased risk of cognitive decline and dementia.⁶ Other reviews have also reported associations between periodontal disease, cognitive impairment, dementia, and Alzheimer disease pathology, including possible involvement of inflammatory biomarkers.⁷,⁸ Evidence in older populations suggests that periodontitis, tooth loss, compromised occlusal support, and reduced masticatory ability may be related to a higher risk of cognitive impairment.⁹</w:t>
      </w:r>
    </w:p>
    <w:p w14:paraId="14886991" w14:textId="05013545"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However, the strength of evidence differs across neurological outcomes. The association appears more consistent for Alzheimer disease and dementia, while evidence for Parkinson disease and other neurodegenerative disorders remains less robust.¹⁰ Other authors have also suggested that periodontal disease and Alzheimer disease may be linked through inflammatory and microbial pathways, although causality has not yet been established.¹¹,¹² This variation indicates that the relationship between periodontitis and neurodegenerative outcomes should be interpreted carefully according to the type of periodontal exposure, neurological outcome, study design, and confounding factors.</w:t>
      </w:r>
    </w:p>
    <w:p w14:paraId="3FEC80CE" w14:textId="67DF4BD6" w:rsidR="00F07A35" w:rsidRPr="00F07A35" w:rsidRDefault="002D0E91" w:rsidP="00F07A35">
      <w:pPr>
        <w:spacing w:after="0"/>
        <w:ind w:firstLine="709"/>
        <w:jc w:val="both"/>
        <w:rPr>
          <w:rFonts w:ascii="Times New Roman" w:hAnsi="Times New Roman" w:cs="Times New Roman"/>
          <w:sz w:val="24"/>
          <w:szCs w:val="24"/>
        </w:rPr>
      </w:pPr>
      <w:r w:rsidRPr="002D0E91">
        <w:rPr>
          <w:rFonts w:ascii="Times New Roman" w:hAnsi="Times New Roman" w:cs="Times New Roman"/>
          <w:sz w:val="24"/>
          <w:szCs w:val="24"/>
        </w:rPr>
        <w:t>Evidence from aging populations also supports the relevance of modifiable factors in cognitive impairment</w:t>
      </w:r>
      <w:r w:rsidR="00F07A35" w:rsidRPr="00F07A35">
        <w:rPr>
          <w:rFonts w:ascii="Times New Roman" w:hAnsi="Times New Roman" w:cs="Times New Roman"/>
          <w:sz w:val="24"/>
          <w:szCs w:val="24"/>
        </w:rPr>
        <w:t>. Cognitive impairment among older adults has been associated with social, behavioral, nutritional, and health-related factors.¹³ Dementia care in Indonesia also remains an important public health issue, especially because awareness, care networks, and access to support services vary across communities.¹⁴ Although these studies do not directly position periodontitis as the main exposure, they support the need to examine potentially modifiable health factors that may contribute to cognitive decline.</w:t>
      </w:r>
    </w:p>
    <w:p w14:paraId="40A06C81" w14:textId="159C6A23" w:rsidR="00F07A35" w:rsidRPr="00F07A35" w:rsidRDefault="00F07A35" w:rsidP="00F07A35">
      <w:pPr>
        <w:spacing w:after="0"/>
        <w:ind w:firstLine="709"/>
        <w:jc w:val="both"/>
        <w:rPr>
          <w:rFonts w:ascii="Times New Roman" w:hAnsi="Times New Roman" w:cs="Times New Roman"/>
          <w:sz w:val="24"/>
          <w:szCs w:val="24"/>
        </w:rPr>
      </w:pPr>
      <w:r w:rsidRPr="00F07A35">
        <w:rPr>
          <w:rFonts w:ascii="Times New Roman" w:hAnsi="Times New Roman" w:cs="Times New Roman"/>
          <w:sz w:val="24"/>
          <w:szCs w:val="24"/>
        </w:rPr>
        <w:t xml:space="preserve">The research gap in this field lies in several issues. First, definitions of periodontitis are not uniform across studies because some studies use clinical attachment loss, probing pocket depth, bleeding on probing, alveolar bone loss, periodontal diagnosis, treatment status, tooth loss, or other indicators of poor periodontal health. Second, neurological outcomes are often combined, including mild cognitive impairment, cognitive decline, Alzheimer disease, all-cause dementia, vascular dementia, Parkinson disease, and amyloid pathology, although these outcomes differ clinically. Third, most available evidence is observational and may be affected by age, smoking, diabetes, education, depression, socioeconomic status, oral hygiene, and </w:t>
      </w:r>
      <w:r w:rsidRPr="00F07A35">
        <w:rPr>
          <w:rFonts w:ascii="Times New Roman" w:hAnsi="Times New Roman" w:cs="Times New Roman"/>
          <w:sz w:val="24"/>
          <w:szCs w:val="24"/>
        </w:rPr>
        <w:lastRenderedPageBreak/>
        <w:t>reverse causality. Fourth, previous reviews have reported associations, but further synthesis is still needed to clarify the direction of association using quantitative effect estimates.</w:t>
      </w:r>
    </w:p>
    <w:p w14:paraId="1FDFE535" w14:textId="656F744B" w:rsidR="00451960" w:rsidRPr="007F0F25" w:rsidRDefault="00F07A35" w:rsidP="00F07A35">
      <w:pPr>
        <w:ind w:firstLine="709"/>
        <w:jc w:val="both"/>
        <w:rPr>
          <w:rFonts w:ascii="Times New Roman" w:hAnsi="Times New Roman" w:cs="Times New Roman"/>
          <w:sz w:val="24"/>
          <w:szCs w:val="24"/>
        </w:rPr>
      </w:pPr>
      <w:r w:rsidRPr="00F07A35">
        <w:rPr>
          <w:rFonts w:ascii="Times New Roman" w:hAnsi="Times New Roman" w:cs="Times New Roman"/>
          <w:sz w:val="24"/>
          <w:szCs w:val="24"/>
        </w:rPr>
        <w:t>Therefore, this systematic review and meta-analysis was conducted to analyze the association between periodontitis and cognitive impairment or neurodegenerative disease. This study also aims to position periodontal health as a potentially modifiable factor in preventive periodontal care for adult and older populations</w:t>
      </w:r>
      <w:r w:rsidR="00762B5B" w:rsidRPr="00762B5B">
        <w:rPr>
          <w:rFonts w:ascii="Times New Roman" w:hAnsi="Times New Roman" w:cs="Times New Roman"/>
          <w:sz w:val="24"/>
          <w:szCs w:val="24"/>
        </w:rPr>
        <w:t>.</w:t>
      </w:r>
    </w:p>
    <w:p w14:paraId="490D290A" w14:textId="6C25F1A1" w:rsidR="00273299" w:rsidRPr="007F0F25" w:rsidRDefault="00F07A35">
      <w:pPr>
        <w:rPr>
          <w:rFonts w:ascii="Times New Roman" w:hAnsi="Times New Roman" w:cs="Times New Roman"/>
          <w:b/>
          <w:bCs/>
          <w:sz w:val="24"/>
          <w:szCs w:val="24"/>
        </w:rPr>
      </w:pPr>
      <w:r w:rsidRPr="00762B5B">
        <w:rPr>
          <w:rFonts w:ascii="Times New Roman" w:hAnsi="Times New Roman" w:cs="Times New Roman"/>
          <w:b/>
          <w:bCs/>
          <w:sz w:val="24"/>
          <w:szCs w:val="24"/>
        </w:rPr>
        <w:t>Method</w:t>
      </w:r>
      <w:r>
        <w:rPr>
          <w:rFonts w:ascii="Times New Roman" w:hAnsi="Times New Roman" w:cs="Times New Roman"/>
          <w:b/>
          <w:bCs/>
          <w:sz w:val="24"/>
          <w:szCs w:val="24"/>
        </w:rPr>
        <w:t>s</w:t>
      </w:r>
    </w:p>
    <w:p w14:paraId="1D6278A3" w14:textId="3F75D146"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Study design</w:t>
      </w:r>
    </w:p>
    <w:p w14:paraId="475D6F32" w14:textId="25EA4C5D"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 xml:space="preserve">This study used a systematic review and meta-analysis design to analyze the association between periodontitis and cognitive impairment or neurodegenerative disease. The review was conducted according to the PRISMA 2020 </w:t>
      </w:r>
      <w:proofErr w:type="gramStart"/>
      <w:r w:rsidRPr="006E41C2">
        <w:rPr>
          <w:rFonts w:ascii="Times New Roman" w:hAnsi="Times New Roman" w:cs="Times New Roman"/>
          <w:sz w:val="24"/>
          <w:szCs w:val="24"/>
        </w:rPr>
        <w:t>guideline.¹</w:t>
      </w:r>
      <w:proofErr w:type="gramEnd"/>
      <w:r w:rsidRPr="006E41C2">
        <w:rPr>
          <w:rFonts w:ascii="Times New Roman" w:hAnsi="Times New Roman" w:cs="Times New Roman"/>
          <w:sz w:val="24"/>
          <w:szCs w:val="24"/>
        </w:rPr>
        <w:t>⁵ A meta-analysis was performed because this study aimed not only to summarize previous findings but also to combine quantitative data from eligible primary studies to estimate the direction and significance of the association between periodontitis and cognitive or neurodegenerative outcomes. The principles of quantitative synthesis and heterogeneity assessment followed general recommendations for systematic reviews and meta-</w:t>
      </w:r>
      <w:proofErr w:type="gramStart"/>
      <w:r w:rsidRPr="006E41C2">
        <w:rPr>
          <w:rFonts w:ascii="Times New Roman" w:hAnsi="Times New Roman" w:cs="Times New Roman"/>
          <w:sz w:val="24"/>
          <w:szCs w:val="24"/>
        </w:rPr>
        <w:t>analyses.¹</w:t>
      </w:r>
      <w:proofErr w:type="gramEnd"/>
      <w:r w:rsidRPr="006E41C2">
        <w:rPr>
          <w:rFonts w:ascii="Times New Roman" w:hAnsi="Times New Roman" w:cs="Times New Roman"/>
          <w:sz w:val="24"/>
          <w:szCs w:val="24"/>
        </w:rPr>
        <w:t>⁶</w:t>
      </w:r>
    </w:p>
    <w:p w14:paraId="4CCA0046" w14:textId="7D20975F"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PECO framework</w:t>
      </w:r>
    </w:p>
    <w:p w14:paraId="568E7E4E" w14:textId="665C1A1C"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The research question was developed using the PECO framework. The population consisted of adult or older adult populations whose periodontal status and/or cognitive status were assessed. The exposure was periodontitis or periodontal disease, including clinical diagnosis, clinical attachment loss, probing pocket depth, bleeding on probing, alveolar bone loss, periodontal diagnosis, or other periodontal indicators reported in the included studies. The comparison group consisted of individuals without periodontitis, individuals with better periodontal health, control groups, or reference groups without severe periodontal exposure. The outcomes were cognitive impairment, mild cognitive impairment, cognitive decline, dementia, Alzheimer disease, Parkinson disease, and other neurodegenerative diseases assessed through clinical diagnosis, registry data, medical records, or standardized cognitive instruments. The PECO framework is presented in Table 1.</w:t>
      </w:r>
    </w:p>
    <w:p w14:paraId="451E0077" w14:textId="76629516"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Search strategy</w:t>
      </w:r>
    </w:p>
    <w:p w14:paraId="6C7565F4" w14:textId="3EFE62EE"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A systematic literature search was conducted in PubMed/MEDLINE, Scopus, and Web of Science. The search was limited to articles published from 2017 onward. Keywords were combined using Boolean operators. The periodontal exposure terms included “periodontitis,” “periodontal disease,” “periodontal health,” “clinical attachment loss,” “probing pocket depth,” “alveolar bone loss,” and “tooth loss.” The cognitive and neurodegenerative outcome terms included “cognitive impairment,” “cognitive decline,” “mild cognitive impairment,” “dementia,” “Alzheimer disease,” “Parkinson disease,” and “neurodegenerative disease.” Terms related to statistical measures, including “odds ratio,” “confidence interval,” “risk factor,” and “association,” were also used to identify studies suitable for quantitative synthesis. The number of articles identified from each database is shown in Table 2.</w:t>
      </w:r>
    </w:p>
    <w:p w14:paraId="01E4FFEA" w14:textId="40261AB4"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Eligibility criteria</w:t>
      </w:r>
    </w:p>
    <w:p w14:paraId="623EBF19" w14:textId="0A201F21"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 xml:space="preserve">The inclusion criteria were as follows: articles published in 2017 or later; primary quantitative studies; adult or older adult populations; studies examining periodontitis or periodontal disease as the main exposure; studies evaluating cognitive impairment, cognitive decline, dementia, Alzheimer disease, Parkinson disease, or other neurodegenerative diseases as outcomes; studies reporting odds ratio, hazard ratio, confidence interval, p-value, or data </w:t>
      </w:r>
      <w:r w:rsidRPr="006E41C2">
        <w:rPr>
          <w:rFonts w:ascii="Times New Roman" w:hAnsi="Times New Roman" w:cs="Times New Roman"/>
          <w:sz w:val="24"/>
          <w:szCs w:val="24"/>
        </w:rPr>
        <w:lastRenderedPageBreak/>
        <w:t>that could be used for effect size calculation; full-text availability; and articles written in English or Indonesian.</w:t>
      </w:r>
    </w:p>
    <w:p w14:paraId="5EBDB684" w14:textId="0D56DC41"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The exclusion criteria were as follows: review articles, systematic reviews, meta-analyses, scoping reviews, narrative reviews, editorials, letters, protocols, case reports, and case series; studies that did not separate periodontitis data from other oral health exposures; studies that only discussed periodontal microbiology without cognitive or neurological outcomes; studies that only discussed tooth loss without explaining its periodontal association; studies without usable statistical data; and duplicate studies from the same dataset.</w:t>
      </w:r>
    </w:p>
    <w:p w14:paraId="0CBEA395" w14:textId="584C63FB" w:rsidR="006E41C2" w:rsidRPr="006E41C2" w:rsidRDefault="006E41C2" w:rsidP="006E41C2">
      <w:pPr>
        <w:spacing w:after="0"/>
        <w:jc w:val="both"/>
        <w:rPr>
          <w:rFonts w:ascii="Times New Roman" w:hAnsi="Times New Roman" w:cs="Times New Roman"/>
          <w:sz w:val="24"/>
          <w:szCs w:val="24"/>
        </w:rPr>
      </w:pPr>
      <w:r w:rsidRPr="006E41C2">
        <w:rPr>
          <w:rFonts w:ascii="Times New Roman" w:hAnsi="Times New Roman" w:cs="Times New Roman"/>
          <w:sz w:val="24"/>
          <w:szCs w:val="24"/>
        </w:rPr>
        <w:t>Study selection</w:t>
      </w:r>
    </w:p>
    <w:p w14:paraId="071D6FC9" w14:textId="05A48122"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The initial search identified 378 articles from PubMed/MEDLINE, Scopus, and Web of Science. These consisted of 124 articles from PubMed/MEDLINE, 156 articles from Scopus, and 98 articles from Web of Science. After duplicate checking, 5 duplicate articles were removed, leaving 373 articles for title and abstract screening. At this stage, 291 articles were excluded because they were not aligned with the focus of the study, did not discuss periodontitis as the main exposure, did not evaluate cognitive impairment or neurodegenerative disease as outcomes, did not report relevant statistical data, or had inappropriate publication designs. Therefore, 82 articles were assessed in full text.</w:t>
      </w:r>
    </w:p>
    <w:p w14:paraId="77D7E012" w14:textId="12FAACE0"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During full-text assessment, 70 articles were excluded for specific reasons. Twenty-two articles did not report odds ratio, p-value, or confidence interval values; 13 articles did not clearly describe periodontal exposure; 11 articles did not specify neurological outcomes related to cognitive impairment or neurodegenerative disease; 8 articles had unsuitable study populations; 7 articles had inappropriate study designs; 6 articles reported data that could not be used for meta-analysis; and 3 articles were not available in full text. Finally, 12 articles met the inclusion criteria and were included in the qualitative and quantitative synthesis. The complete study selection process is shown in Figure 1.</w:t>
      </w:r>
    </w:p>
    <w:p w14:paraId="5D922FE9" w14:textId="35C6D7B4"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Data extraction</w:t>
      </w:r>
    </w:p>
    <w:p w14:paraId="081FA0D1" w14:textId="284DF56D"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Data were extracted from each eligible study, including author name, year of publication, country or data source, study design, sample size, periodontal exposure, cognitive or neurodegenerative outcome, statistical measure, effect estimate, confidence interval, p-value, and main conclusion. The extracted outcomes included cognitive impairment, mild cognitive impairment, cognitive decline, dementia, Alzheimer disease, Parkinson disease, vascular dementia, and beta-amyloid accumulation. The extracted periodontal exposures included periodontitis, periodontal disease, chronic periodontitis, severe periodontitis, clinical attachment loss, tooth loss related to periodontal disease, and periodontal treatment status where available.</w:t>
      </w:r>
    </w:p>
    <w:p w14:paraId="1E288272" w14:textId="51CD12B0"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Data analysis</w:t>
      </w:r>
    </w:p>
    <w:p w14:paraId="746A5725" w14:textId="33A4FB9A" w:rsidR="006E41C2" w:rsidRPr="006E41C2" w:rsidRDefault="006E41C2" w:rsidP="002D0E91">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The meta-analysis was conducted using JASP. Effect estimates and confidence intervals from the included studies were entered as the main quantitative data. Odds ratios, hazard ratios, adjusted odds ratios, and adjusted hazard ratios were extracted according to the reporting format of each study. The pooled effect estimate was calculated to evaluate the association between periodontitis and cognitive impairment or neurodegenerative disease. The p-value was used to determine statistical significance, while the confidence interval was used to assess the precision of the effect estimate.</w:t>
      </w:r>
    </w:p>
    <w:p w14:paraId="0182D90B" w14:textId="4352DDB4" w:rsidR="006E41C2" w:rsidRPr="006E41C2" w:rsidRDefault="006E41C2" w:rsidP="006E41C2">
      <w:pPr>
        <w:spacing w:after="0"/>
        <w:ind w:firstLine="709"/>
        <w:jc w:val="both"/>
        <w:rPr>
          <w:rFonts w:ascii="Times New Roman" w:hAnsi="Times New Roman" w:cs="Times New Roman"/>
          <w:sz w:val="24"/>
          <w:szCs w:val="24"/>
        </w:rPr>
      </w:pPr>
      <w:r w:rsidRPr="006E41C2">
        <w:rPr>
          <w:rFonts w:ascii="Times New Roman" w:hAnsi="Times New Roman" w:cs="Times New Roman"/>
          <w:sz w:val="24"/>
          <w:szCs w:val="24"/>
        </w:rPr>
        <w:t xml:space="preserve">Heterogeneity across studies was assessed using the Q statistic and p-value. A funnel plot was used to visually assess the distribution of studies according to residual values and standard errors. Forest plot results were used to present the effect estimate of each study, the </w:t>
      </w:r>
      <w:r w:rsidRPr="006E41C2">
        <w:rPr>
          <w:rFonts w:ascii="Times New Roman" w:hAnsi="Times New Roman" w:cs="Times New Roman"/>
          <w:sz w:val="24"/>
          <w:szCs w:val="24"/>
        </w:rPr>
        <w:lastRenderedPageBreak/>
        <w:t>confidence interval range, the pooled effect estimate, and heterogeneity across the included articles.</w:t>
      </w:r>
    </w:p>
    <w:p w14:paraId="4203C38D" w14:textId="5D100E37" w:rsidR="006E41C2" w:rsidRPr="006E41C2" w:rsidRDefault="006E41C2" w:rsidP="006E41C2">
      <w:pPr>
        <w:spacing w:after="0"/>
        <w:jc w:val="both"/>
        <w:rPr>
          <w:rFonts w:ascii="Times New Roman" w:hAnsi="Times New Roman" w:cs="Times New Roman"/>
          <w:b/>
          <w:bCs/>
          <w:sz w:val="24"/>
          <w:szCs w:val="24"/>
        </w:rPr>
      </w:pPr>
      <w:r w:rsidRPr="006E41C2">
        <w:rPr>
          <w:rFonts w:ascii="Times New Roman" w:hAnsi="Times New Roman" w:cs="Times New Roman"/>
          <w:b/>
          <w:bCs/>
          <w:sz w:val="24"/>
          <w:szCs w:val="24"/>
        </w:rPr>
        <w:t>Ethical approval</w:t>
      </w:r>
    </w:p>
    <w:p w14:paraId="743A9FC3" w14:textId="1BF4A19B" w:rsidR="00273299" w:rsidRDefault="006E41C2" w:rsidP="002D0E91">
      <w:pPr>
        <w:ind w:firstLine="709"/>
        <w:jc w:val="both"/>
        <w:rPr>
          <w:rFonts w:ascii="Times New Roman" w:hAnsi="Times New Roman" w:cs="Times New Roman"/>
          <w:sz w:val="24"/>
          <w:szCs w:val="24"/>
        </w:rPr>
      </w:pPr>
      <w:r w:rsidRPr="006E41C2">
        <w:rPr>
          <w:rFonts w:ascii="Times New Roman" w:hAnsi="Times New Roman" w:cs="Times New Roman"/>
          <w:sz w:val="24"/>
          <w:szCs w:val="24"/>
        </w:rPr>
        <w:t>This study was a systematic review and meta-analysis based on previously published studies. It did not involve direct recruitment of human participants, direct collection of human biological samples, or animal experiments. Therefore, ethical approval and informed consent were not required</w:t>
      </w:r>
      <w:r w:rsidR="00762B5B" w:rsidRPr="00762B5B">
        <w:rPr>
          <w:rFonts w:ascii="Times New Roman" w:hAnsi="Times New Roman" w:cs="Times New Roman"/>
          <w:sz w:val="24"/>
          <w:szCs w:val="24"/>
        </w:rPr>
        <w:t>.</w:t>
      </w:r>
    </w:p>
    <w:p w14:paraId="6C0E38C1" w14:textId="77777777" w:rsidR="006E41C2" w:rsidRPr="006E41C2" w:rsidRDefault="006E41C2" w:rsidP="002D0E91">
      <w:pPr>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Results</w:t>
      </w:r>
    </w:p>
    <w:p w14:paraId="78A445F6" w14:textId="77777777" w:rsidR="006E41C2" w:rsidRPr="006E41C2" w:rsidRDefault="006E41C2" w:rsidP="002D0E91">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Study selection</w:t>
      </w:r>
    </w:p>
    <w:p w14:paraId="511CE654" w14:textId="77777777" w:rsidR="006E41C2" w:rsidRP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article selection process followed the PRISMA 2020 </w:t>
      </w:r>
      <w:proofErr w:type="gramStart"/>
      <w:r w:rsidRPr="006E41C2">
        <w:rPr>
          <w:rFonts w:ascii="Times New Roman" w:hAnsi="Times New Roman" w:cs="Times New Roman"/>
          <w:sz w:val="24"/>
          <w:szCs w:val="24"/>
          <w:lang w:val="en-ID"/>
        </w:rPr>
        <w:t>guideline.¹</w:t>
      </w:r>
      <w:proofErr w:type="gramEnd"/>
      <w:r w:rsidRPr="006E41C2">
        <w:rPr>
          <w:rFonts w:ascii="Times New Roman" w:hAnsi="Times New Roman" w:cs="Times New Roman"/>
          <w:sz w:val="24"/>
          <w:szCs w:val="24"/>
          <w:lang w:val="en-ID"/>
        </w:rPr>
        <w:t>⁵ A total of 378 articles were identified from three databases, consisting of 124 articles from PubMed/MEDLINE, 156 articles from Scopus, and 98 articles from Web of Science. After removing 5 duplicate records, 373 articles were screened by title and abstract. A total of 291 articles were excluded during the screening stage. The remaining 82 articles were assessed in full text, and 70 articles were excluded for specific reasons. Finally, 12 studies met the inclusion criteria and were included in the qualitative and quantitative synthesis. The PRISMA flow diagram is shown in Figure 1.</w:t>
      </w:r>
    </w:p>
    <w:p w14:paraId="5CBCF703"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Characteristics of the included studies</w:t>
      </w:r>
    </w:p>
    <w:p w14:paraId="06B92C18"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12 included studies were published between 2017 and 2025. The highest number of publications appeared in 2017 and 2025, with 3 studies or 25.0% each. Based on country or data source, Taiwan, South Korea, and the United States were the most common sources, each contributing 3 studies. Other studies were conducted in Mexico, Japan, and Spain.</w:t>
      </w:r>
    </w:p>
    <w:p w14:paraId="03F1E80B" w14:textId="46E97EFB" w:rsidR="006E41C2" w:rsidRP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included studies consisted of cohort or population-based cohort studies and cross-sectional or observational analytical studies. Six studies used cohort or population-based cohort designs, while six studies used cross-sectional or observational analytical designs. The most frequently examined outcomes were cognitive impairment, mild cognitive impairment, and amyloid pathology, which were reported in 6 studies. Dementia, Alzheimer disease, and vascular dementia were reported in 5 studies, while Parkinson disease was reported in 1 study. The main statistical measures were hazard ratio or adjusted hazard ratio in 6 studies, odds ratio or adjusted odds ratio in 5 studies, and beta coefficient with p-value in 1 study. The characteristics of the included studies are summarized in Table 3.</w:t>
      </w:r>
    </w:p>
    <w:p w14:paraId="725F9781"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Summary of the included studies</w:t>
      </w:r>
    </w:p>
    <w:p w14:paraId="17D9F128"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Most included studies reported a positive association between periodontitis or periodontal disease and cognitive impairment or neurodegenerative disease. Chen et al.¹⁷ reported that patients with long-term chronic periodontitis had a higher risk of Alzheimer disease than those without chronic periodontitis. YT Lee et al.¹⁸ also found that periodontitis was associated with the risk of new-onset dementia. YL Lee et al.¹⁹ showed that untreated periodontal disease and tooth extraction groups had a higher incidence of dementia compared with periodontal treatment groups.</w:t>
      </w:r>
    </w:p>
    <w:p w14:paraId="6D5E4C33"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Evidence from South Korea also supported this association. Choi et al.²⁰ reported that chronic periodontitis was associated with increased risk of overall dementia and Alzheimer disease. Jeong et al.²² found that individuals with periodontitis and a need for further dental visits had a higher risk of Parkinson disease. Kim et al.²³ showed that severe chronic periodontitis was associated with a higher risk of dementia than mild chronic periodontitis.</w:t>
      </w:r>
    </w:p>
    <w:p w14:paraId="0B26C165"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lastRenderedPageBreak/>
        <w:t xml:space="preserve">Cross-sectional and observational studies also reported associations between periodontal disease and cognitive outcomes. Sung et al.²¹ showed an association between periodontitis and impaired cognitive function in a national adult sample. Luo et al.²⁴ found that tooth loss and periodontal disease were related to mild cognitive impairment among Hispanic/Latino immigrants. </w:t>
      </w:r>
      <w:proofErr w:type="spellStart"/>
      <w:r w:rsidRPr="006E41C2">
        <w:rPr>
          <w:rFonts w:ascii="Times New Roman" w:hAnsi="Times New Roman" w:cs="Times New Roman"/>
          <w:sz w:val="24"/>
          <w:szCs w:val="24"/>
          <w:lang w:val="en-ID"/>
        </w:rPr>
        <w:t>Igase</w:t>
      </w:r>
      <w:proofErr w:type="spellEnd"/>
      <w:r w:rsidRPr="006E41C2">
        <w:rPr>
          <w:rFonts w:ascii="Times New Roman" w:hAnsi="Times New Roman" w:cs="Times New Roman"/>
          <w:sz w:val="24"/>
          <w:szCs w:val="24"/>
          <w:lang w:val="en-ID"/>
        </w:rPr>
        <w:t xml:space="preserve"> et al.²⁵ reported that severe periodontitis was strongly associated with mild cognitive impairment in older adults. Gil-Montoya et al.²⁶ showed that moderate-to-severe periodontitis was associated with abnormal brain beta-amyloid accumulation in patients with mild cognitive impairment. Sun and Li²⁷ reported that moderate/severe periodontitis was associated with cognitive impairment among older adults. Aranda Romo et al.²⁸ also found that clinical attachment loss and gingival index were associated with mild cognitive impairment.</w:t>
      </w:r>
    </w:p>
    <w:p w14:paraId="3AB5574C" w14:textId="2FCA9E46" w:rsidR="006E41C2" w:rsidRP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reported effect sizes varied across studies, ranging from smaller but statistically significant associations in large population-based cohort studies to stronger associations in smaller clinical studies. This variation may reflect differences in study design, sample size, periodontal definitions, cognitive outcome measures, adjustment for confounding variables, and data sources. Overall, the direction of findings supports the view that periodontitis may be associated with cognitive decline and neurodegenerative outcomes, although the magnitude of association differs among studies. A detailed summary of the included studies is presented in Table 4.</w:t>
      </w:r>
    </w:p>
    <w:p w14:paraId="59E2DBAB"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Funnel plot</w:t>
      </w:r>
    </w:p>
    <w:p w14:paraId="6F121FE3" w14:textId="77777777" w:rsidR="006E41C2" w:rsidRP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funnel plot was used to assess the distribution of studies based on residual values and standard errors. Most studies were located near the central line, suggesting that several studies had relatively stable effect estimates and small standard errors. However, some studies were positioned farther from the </w:t>
      </w:r>
      <w:proofErr w:type="spellStart"/>
      <w:r w:rsidRPr="006E41C2">
        <w:rPr>
          <w:rFonts w:ascii="Times New Roman" w:hAnsi="Times New Roman" w:cs="Times New Roman"/>
          <w:sz w:val="24"/>
          <w:szCs w:val="24"/>
          <w:lang w:val="en-ID"/>
        </w:rPr>
        <w:t>center</w:t>
      </w:r>
      <w:proofErr w:type="spellEnd"/>
      <w:r w:rsidRPr="006E41C2">
        <w:rPr>
          <w:rFonts w:ascii="Times New Roman" w:hAnsi="Times New Roman" w:cs="Times New Roman"/>
          <w:sz w:val="24"/>
          <w:szCs w:val="24"/>
          <w:lang w:val="en-ID"/>
        </w:rPr>
        <w:t>, indicating visual imbalance in the plot. This pattern may be influenced by differences in study design, sample size, outcome type, and statistical measures used across the included studies. The funnel plot is shown in Figure 2.</w:t>
      </w:r>
    </w:p>
    <w:p w14:paraId="255E2F78" w14:textId="77777777" w:rsidR="006E41C2" w:rsidRPr="006E41C2" w:rsidRDefault="006E41C2" w:rsidP="006E41C2">
      <w:pPr>
        <w:spacing w:after="0"/>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Forest plot and pooled effect</w:t>
      </w:r>
    </w:p>
    <w:p w14:paraId="3102B5B1" w14:textId="77777777" w:rsidR="006E41C2" w:rsidRDefault="006E41C2" w:rsidP="006E41C2">
      <w:pPr>
        <w:spacing w:after="0"/>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forest plot showed that most studies had a positive direction of effect. This indicates that periodontitis tended to be associated with an increased risk of cognitive impairment, dementia, Alzheimer disease, Parkinson disease, or other neurodegenerative outcomes. Several studies showed stronger effect estimates, particularly those involving severe periodontitis, mild cognitive impairment, or beta-amyloid </w:t>
      </w:r>
      <w:proofErr w:type="gramStart"/>
      <w:r w:rsidRPr="006E41C2">
        <w:rPr>
          <w:rFonts w:ascii="Times New Roman" w:hAnsi="Times New Roman" w:cs="Times New Roman"/>
          <w:sz w:val="24"/>
          <w:szCs w:val="24"/>
          <w:lang w:val="en-ID"/>
        </w:rPr>
        <w:t>accumulation.²⁵,²⁶,²</w:t>
      </w:r>
      <w:proofErr w:type="gramEnd"/>
      <w:r w:rsidRPr="006E41C2">
        <w:rPr>
          <w:rFonts w:ascii="Times New Roman" w:hAnsi="Times New Roman" w:cs="Times New Roman"/>
          <w:sz w:val="24"/>
          <w:szCs w:val="24"/>
          <w:lang w:val="en-ID"/>
        </w:rPr>
        <w:t xml:space="preserve">⁸ Other large cohort studies showed smaller but more stable effect </w:t>
      </w:r>
      <w:proofErr w:type="gramStart"/>
      <w:r w:rsidRPr="006E41C2">
        <w:rPr>
          <w:rFonts w:ascii="Times New Roman" w:hAnsi="Times New Roman" w:cs="Times New Roman"/>
          <w:sz w:val="24"/>
          <w:szCs w:val="24"/>
          <w:lang w:val="en-ID"/>
        </w:rPr>
        <w:t>estimates.¹</w:t>
      </w:r>
      <w:proofErr w:type="gramEnd"/>
      <w:r w:rsidRPr="006E41C2">
        <w:rPr>
          <w:rFonts w:ascii="Times New Roman" w:hAnsi="Times New Roman" w:cs="Times New Roman"/>
          <w:sz w:val="24"/>
          <w:szCs w:val="24"/>
          <w:lang w:val="en-ID"/>
        </w:rPr>
        <w:t>⁷–²</w:t>
      </w:r>
      <w:proofErr w:type="gramStart"/>
      <w:r w:rsidRPr="006E41C2">
        <w:rPr>
          <w:rFonts w:ascii="Times New Roman" w:hAnsi="Times New Roman" w:cs="Times New Roman"/>
          <w:sz w:val="24"/>
          <w:szCs w:val="24"/>
          <w:lang w:val="en-ID"/>
        </w:rPr>
        <w:t>⁰,²²,²</w:t>
      </w:r>
      <w:proofErr w:type="gramEnd"/>
      <w:r w:rsidRPr="006E41C2">
        <w:rPr>
          <w:rFonts w:ascii="Times New Roman" w:hAnsi="Times New Roman" w:cs="Times New Roman"/>
          <w:sz w:val="24"/>
          <w:szCs w:val="24"/>
          <w:lang w:val="en-ID"/>
        </w:rPr>
        <w:t>³</w:t>
      </w:r>
    </w:p>
    <w:p w14:paraId="25AA0873" w14:textId="16A609EF" w:rsidR="006E41C2" w:rsidRPr="006E41C2" w:rsidRDefault="006E41C2" w:rsidP="002D0E91">
      <w:pPr>
        <w:ind w:firstLine="709"/>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pooled effect was 0.15 with a 95% confidence interval of 0.05–0.26 and p = 0.007. This result indicates a statistically significant association between periodontitis and cognitive impairment or neurodegenerative disease. Heterogeneity was significant, with </w:t>
      </w:r>
      <w:proofErr w:type="gramStart"/>
      <w:r w:rsidRPr="006E41C2">
        <w:rPr>
          <w:rFonts w:ascii="Times New Roman" w:hAnsi="Times New Roman" w:cs="Times New Roman"/>
          <w:sz w:val="24"/>
          <w:szCs w:val="24"/>
          <w:lang w:val="en-ID"/>
        </w:rPr>
        <w:t>Q(</w:t>
      </w:r>
      <w:proofErr w:type="gramEnd"/>
      <w:r w:rsidRPr="006E41C2">
        <w:rPr>
          <w:rFonts w:ascii="Times New Roman" w:hAnsi="Times New Roman" w:cs="Times New Roman"/>
          <w:sz w:val="24"/>
          <w:szCs w:val="24"/>
          <w:lang w:val="en-ID"/>
        </w:rPr>
        <w:t>11) = 39.24 and p &lt; 0.001, indicating variation in results across the included studies. This heterogeneity should be considered when interpreting the pooled findings because the included studies differed in population characteristics, periodontal exposure definitions, neurological outcomes, and statistical methods. The forest plot is shown in Figure 3.</w:t>
      </w:r>
    </w:p>
    <w:p w14:paraId="0712E232" w14:textId="77777777" w:rsidR="006E41C2" w:rsidRPr="006E41C2" w:rsidRDefault="006E41C2" w:rsidP="002D0E91">
      <w:pPr>
        <w:jc w:val="both"/>
        <w:rPr>
          <w:rFonts w:ascii="Times New Roman" w:hAnsi="Times New Roman" w:cs="Times New Roman"/>
          <w:b/>
          <w:bCs/>
          <w:sz w:val="24"/>
          <w:szCs w:val="24"/>
          <w:lang w:val="en-ID"/>
        </w:rPr>
      </w:pPr>
      <w:r w:rsidRPr="006E41C2">
        <w:rPr>
          <w:rFonts w:ascii="Times New Roman" w:hAnsi="Times New Roman" w:cs="Times New Roman"/>
          <w:b/>
          <w:bCs/>
          <w:sz w:val="24"/>
          <w:szCs w:val="24"/>
          <w:lang w:val="en-ID"/>
        </w:rPr>
        <w:t>Discussion</w:t>
      </w:r>
    </w:p>
    <w:p w14:paraId="5BE287A2"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This systematic review and meta-analysis found a significant positive association between periodontitis and cognitive impairment or neurodegenerative disease. The pooled effect estimate was 0.15 with a 95% confidence interval of 0.05–0.26 and p = 0.007. This finding suggests that periodontal disease may be related to cognitive and neurodegenerative </w:t>
      </w:r>
      <w:r w:rsidRPr="006E41C2">
        <w:rPr>
          <w:rFonts w:ascii="Times New Roman" w:hAnsi="Times New Roman" w:cs="Times New Roman"/>
          <w:sz w:val="24"/>
          <w:szCs w:val="24"/>
          <w:lang w:val="en-ID"/>
        </w:rPr>
        <w:lastRenderedPageBreak/>
        <w:t>outcomes, although the strength of the association varies across studies. From a periodontal perspective, this result supports the possibility that chronic periodontal inflammation may have broader systemic implications beyond oral tissues.</w:t>
      </w:r>
    </w:p>
    <w:p w14:paraId="485F685C"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findings are consistent with previous longitudinal evidence showing that poor periodontal health is associated with cognitive decline and dementia.⁶ The present results also align with previous reviews reporting associations between periodontal disease, cognitive disorders, dementia, depression, and Alzheimer disease pathology.⁷,⁸ Evidence in older populations has further suggested that periodontitis, tooth loss, compromised occlusal support, and reduced masticatory ability may increase the risk of cognitive impairment.⁹</w:t>
      </w:r>
    </w:p>
    <w:p w14:paraId="0BCBAC66"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Several included cohort studies showed that chronic, untreated, or severe periodontitis was associated with dementia or Alzheimer disease. Chen et al.¹⁷ found that long-term exposure to chronic periodontitis increased the risk of Alzheimer disease. YT Lee et al.¹⁸ reported that periodontitis was associated with incident dementia, while YL Lee et al.¹⁹ showed that untreated periodontal disease was related to a higher risk of dementia. Choi et al.²⁰ also demonstrated an association between chronic periodontitis and overall dementia or Alzheimer disease. These findings suggest that prolonged periodontal inflammation may be relevant to cognitive and neurodegenerative outcomes.</w:t>
      </w:r>
    </w:p>
    <w:p w14:paraId="302A3F38"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severity of periodontal disease may also be important. Kim et al.²³ reported that severe chronic periodontitis increased the risk of dementia compared with mild chronic periodontitis. </w:t>
      </w:r>
      <w:proofErr w:type="spellStart"/>
      <w:r w:rsidRPr="006E41C2">
        <w:rPr>
          <w:rFonts w:ascii="Times New Roman" w:hAnsi="Times New Roman" w:cs="Times New Roman"/>
          <w:sz w:val="24"/>
          <w:szCs w:val="24"/>
          <w:lang w:val="en-ID"/>
        </w:rPr>
        <w:t>Igase</w:t>
      </w:r>
      <w:proofErr w:type="spellEnd"/>
      <w:r w:rsidRPr="006E41C2">
        <w:rPr>
          <w:rFonts w:ascii="Times New Roman" w:hAnsi="Times New Roman" w:cs="Times New Roman"/>
          <w:sz w:val="24"/>
          <w:szCs w:val="24"/>
          <w:lang w:val="en-ID"/>
        </w:rPr>
        <w:t xml:space="preserve"> et al.²⁵ found that severe periodontitis was strongly associated with mild cognitive impairment. Aranda Romo et al.²⁸ showed that clinical attachment loss was associated with mild cognitive impairment. These findings indicate that periodontal parameters reflecting more advanced tissue destruction may be more closely related to cognitive outcomes than general oral health status alone.</w:t>
      </w:r>
    </w:p>
    <w:p w14:paraId="50657689"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The possible biological link between periodontitis and cognitive impairment may involve inflammatory, microbial, vascular, and immune pathways. Periodontal pathogens can stimulate local and systemic inflammatory responses, and inflammatory mediators may contribute to endothelial dysfunction, oxidative stress, and neuroinflammation. The oral-brain axis has been proposed as one pathway through which periodontal pathogens may influence pathological processes in the </w:t>
      </w:r>
      <w:proofErr w:type="gramStart"/>
      <w:r w:rsidRPr="006E41C2">
        <w:rPr>
          <w:rFonts w:ascii="Times New Roman" w:hAnsi="Times New Roman" w:cs="Times New Roman"/>
          <w:sz w:val="24"/>
          <w:szCs w:val="24"/>
          <w:lang w:val="en-ID"/>
        </w:rPr>
        <w:t>brain.³</w:t>
      </w:r>
      <w:proofErr w:type="gramEnd"/>
      <w:r w:rsidRPr="006E41C2">
        <w:rPr>
          <w:rFonts w:ascii="Times New Roman" w:hAnsi="Times New Roman" w:cs="Times New Roman"/>
          <w:sz w:val="24"/>
          <w:szCs w:val="24"/>
          <w:lang w:val="en-ID"/>
        </w:rPr>
        <w:t xml:space="preserve"> </w:t>
      </w:r>
      <w:r w:rsidRPr="006E41C2">
        <w:rPr>
          <w:rFonts w:ascii="Times New Roman" w:hAnsi="Times New Roman" w:cs="Times New Roman"/>
          <w:i/>
          <w:iCs/>
          <w:sz w:val="24"/>
          <w:szCs w:val="24"/>
          <w:lang w:val="en-ID"/>
        </w:rPr>
        <w:t>P. gingivalis</w:t>
      </w:r>
      <w:r w:rsidRPr="006E41C2">
        <w:rPr>
          <w:rFonts w:ascii="Times New Roman" w:hAnsi="Times New Roman" w:cs="Times New Roman"/>
          <w:sz w:val="24"/>
          <w:szCs w:val="24"/>
          <w:lang w:val="en-ID"/>
        </w:rPr>
        <w:t xml:space="preserve"> has also been discussed as a potential trigger of neurodegenerative disease because of its ability to interact with inflammatory and neural </w:t>
      </w:r>
      <w:proofErr w:type="gramStart"/>
      <w:r w:rsidRPr="006E41C2">
        <w:rPr>
          <w:rFonts w:ascii="Times New Roman" w:hAnsi="Times New Roman" w:cs="Times New Roman"/>
          <w:sz w:val="24"/>
          <w:szCs w:val="24"/>
          <w:lang w:val="en-ID"/>
        </w:rPr>
        <w:t>pathways.⁴</w:t>
      </w:r>
      <w:proofErr w:type="gramEnd"/>
      <w:r w:rsidRPr="006E41C2">
        <w:rPr>
          <w:rFonts w:ascii="Times New Roman" w:hAnsi="Times New Roman" w:cs="Times New Roman"/>
          <w:sz w:val="24"/>
          <w:szCs w:val="24"/>
          <w:lang w:val="en-ID"/>
        </w:rPr>
        <w:t xml:space="preserve"> Experimental findings further suggest that </w:t>
      </w:r>
      <w:r w:rsidRPr="006E41C2">
        <w:rPr>
          <w:rFonts w:ascii="Times New Roman" w:hAnsi="Times New Roman" w:cs="Times New Roman"/>
          <w:i/>
          <w:iCs/>
          <w:sz w:val="24"/>
          <w:szCs w:val="24"/>
          <w:lang w:val="en-ID"/>
        </w:rPr>
        <w:t>P. gingivalis</w:t>
      </w:r>
      <w:r w:rsidRPr="006E41C2">
        <w:rPr>
          <w:rFonts w:ascii="Times New Roman" w:hAnsi="Times New Roman" w:cs="Times New Roman"/>
          <w:sz w:val="24"/>
          <w:szCs w:val="24"/>
          <w:lang w:val="en-ID"/>
        </w:rPr>
        <w:t xml:space="preserve">-induced periodontitis may promote neuroinflammation, neuronal loss, and dysfunction of the brain </w:t>
      </w:r>
      <w:proofErr w:type="gramStart"/>
      <w:r w:rsidRPr="006E41C2">
        <w:rPr>
          <w:rFonts w:ascii="Times New Roman" w:hAnsi="Times New Roman" w:cs="Times New Roman"/>
          <w:sz w:val="24"/>
          <w:szCs w:val="24"/>
          <w:lang w:val="en-ID"/>
        </w:rPr>
        <w:t>barrier.⁵</w:t>
      </w:r>
      <w:proofErr w:type="gramEnd"/>
    </w:p>
    <w:p w14:paraId="5105E925"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relationship between periodontitis and neurodegenerative disease may differ according to the type of neurological outcome. Evidence appears more consistent for dementia and Alzheimer disease, while evidence for Parkinson disease is more limited.¹⁰ In this review, only one included study specifically examined Parkinson disease and reported that periodontitis and the need for further dental visits were associated with a higher risk of Parkinson disease.²² Therefore, further studies are needed before stronger conclusions can be drawn regarding Parkinson disease and other neurodegenerative disorders.</w:t>
      </w:r>
    </w:p>
    <w:p w14:paraId="56878651"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Mild cognitive impairment and beta-amyloid pathology also showed relevant associations with periodontal disease. Gil-Montoya et al.²⁶ reported that moderate-to-severe periodontitis was associated with abnormal beta-amyloid accumulation in patients with mild cognitive impairment. Sun and Li²⁷ found that moderate/severe periodontitis was associated with cognitive impairment among older adults. These findings are important because mild cognitive impairment and beta-amyloid accumulation may represent earlier stages or markers </w:t>
      </w:r>
      <w:r w:rsidRPr="006E41C2">
        <w:rPr>
          <w:rFonts w:ascii="Times New Roman" w:hAnsi="Times New Roman" w:cs="Times New Roman"/>
          <w:sz w:val="24"/>
          <w:szCs w:val="24"/>
          <w:lang w:val="en-ID"/>
        </w:rPr>
        <w:lastRenderedPageBreak/>
        <w:t>of cognitive deterioration. From a preventive periodontal perspective, identifying oral health factors associated with early cognitive changes may be clinically meaningful.</w:t>
      </w:r>
    </w:p>
    <w:p w14:paraId="545839D6"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heterogeneity observed in this meta-analysis was significant. This is understandable because the included studies differed in several important aspects, including study design, sample size, periodontal disease definition, cognitive assessment method, type of neurological outcome, and adjustment for confounding variables. Some studies used clinical periodontal parameters such as probing pocket depth or clinical attachment loss, while others used diagnosis codes, periodontal treatment history, tooth loss, or broader indicators of periodontal health. Similarly, outcomes ranged from mild cognitive impairment and cognitive test performance to dementia, Alzheimer disease, Parkinson disease, and amyloid pathology. These differences may explain the variation in effect estimates across studies.</w:t>
      </w:r>
    </w:p>
    <w:p w14:paraId="17EF1603"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 xml:space="preserve">Another important issue is the possibility of reverse causality. Cognitive impairment may reduce a person’s ability to maintain oral hygiene, attend dental visits, and follow periodontal treatment recommendations. As a result, periodontal disease may worsen after cognitive decline has already begun. At the same time, chronic periodontitis may contribute to systemic inflammation that increases the risk of cognitive decline. This possible bidirectional relationship has also been discussed in previous </w:t>
      </w:r>
      <w:proofErr w:type="gramStart"/>
      <w:r w:rsidRPr="006E41C2">
        <w:rPr>
          <w:rFonts w:ascii="Times New Roman" w:hAnsi="Times New Roman" w:cs="Times New Roman"/>
          <w:sz w:val="24"/>
          <w:szCs w:val="24"/>
          <w:lang w:val="en-ID"/>
        </w:rPr>
        <w:t>literature.¹</w:t>
      </w:r>
      <w:proofErr w:type="gramEnd"/>
      <w:r w:rsidRPr="006E41C2">
        <w:rPr>
          <w:rFonts w:ascii="Times New Roman" w:hAnsi="Times New Roman" w:cs="Times New Roman"/>
          <w:sz w:val="24"/>
          <w:szCs w:val="24"/>
          <w:lang w:val="en-ID"/>
        </w:rPr>
        <w:t>⁰–¹² Therefore, the present findings should be interpreted as evidence of association rather than proof of direct causality.</w:t>
      </w:r>
    </w:p>
    <w:p w14:paraId="1AA3AA65"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The findings have practical implications for preventive periodontology and community dental care. Periodontal assessment in adult and older populations may have value beyond preventing tooth loss and maintaining masticatory function. Regular periodontal screening, oral hygiene education, periodontal treatment, and maintenance care may contribute to broader health promotion strategies, especially in populations at risk of cognitive decline. However, clinical recommendations should be made carefully because the current evidence is mainly observational and does not confirm a direct causal relationship.</w:t>
      </w:r>
    </w:p>
    <w:p w14:paraId="05A115E2" w14:textId="77777777" w:rsidR="006E41C2" w:rsidRDefault="006E41C2" w:rsidP="006E41C2">
      <w:pPr>
        <w:spacing w:after="0"/>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This study has several limitations. First, most included studies were observational, which limits causal interpretation. Second, the definitions of periodontitis and periodontal disease varied across studies. Third, cognitive and neurodegenerative outcomes were measured using different instruments, clinical diagnoses, or registry data. Fourth, the included studies used different statistical measures, including hazard ratios, odds ratios, adjusted estimates, and beta coefficients. Fifth, heterogeneity across studies was significant. These limitations indicate that the pooled estimate should be interpreted as evidence of association rather than proof of causality.</w:t>
      </w:r>
    </w:p>
    <w:p w14:paraId="6A5B4087" w14:textId="2D32818F" w:rsidR="006E41C2" w:rsidRPr="006E41C2" w:rsidRDefault="006E41C2" w:rsidP="006E41C2">
      <w:pPr>
        <w:ind w:firstLine="567"/>
        <w:jc w:val="both"/>
        <w:rPr>
          <w:rFonts w:ascii="Times New Roman" w:hAnsi="Times New Roman" w:cs="Times New Roman"/>
          <w:sz w:val="24"/>
          <w:szCs w:val="24"/>
          <w:lang w:val="en-ID"/>
        </w:rPr>
      </w:pPr>
      <w:r w:rsidRPr="006E41C2">
        <w:rPr>
          <w:rFonts w:ascii="Times New Roman" w:hAnsi="Times New Roman" w:cs="Times New Roman"/>
          <w:sz w:val="24"/>
          <w:szCs w:val="24"/>
          <w:lang w:val="en-ID"/>
        </w:rPr>
        <w:t>Future studies should use longitudinal designs with longer follow-up periods, standardized periodontal definitions, repeated cognitive assessments, and careful control of confounding factors. Studies should also separate outcomes such as mild cognitive impairment, Alzheimer disease, vascular dementia, Parkinson disease, and other neurodegenerative diseases. Further research involving inflammatory biomarkers and periodontal pathogen profiles may help clarify the biological pathways linking periodontal disease and cognitive health.</w:t>
      </w:r>
    </w:p>
    <w:p w14:paraId="097E8B9B" w14:textId="0440362D" w:rsidR="006E41C2" w:rsidRPr="006E41C2" w:rsidRDefault="006E41C2" w:rsidP="002D0E91">
      <w:pPr>
        <w:jc w:val="both"/>
        <w:rPr>
          <w:rFonts w:ascii="Times New Roman" w:hAnsi="Times New Roman" w:cs="Times New Roman"/>
          <w:b/>
          <w:bCs/>
          <w:sz w:val="24"/>
          <w:szCs w:val="24"/>
        </w:rPr>
      </w:pPr>
      <w:r w:rsidRPr="006E41C2">
        <w:rPr>
          <w:rFonts w:ascii="Times New Roman" w:hAnsi="Times New Roman" w:cs="Times New Roman"/>
          <w:b/>
          <w:bCs/>
          <w:sz w:val="24"/>
          <w:szCs w:val="24"/>
        </w:rPr>
        <w:t>Conclusion</w:t>
      </w:r>
    </w:p>
    <w:p w14:paraId="26E680AD" w14:textId="77777777" w:rsidR="006E41C2" w:rsidRDefault="006E41C2" w:rsidP="006E41C2">
      <w:pPr>
        <w:spacing w:after="0"/>
        <w:ind w:firstLine="567"/>
        <w:jc w:val="both"/>
        <w:rPr>
          <w:rFonts w:ascii="Times New Roman" w:hAnsi="Times New Roman" w:cs="Times New Roman"/>
          <w:sz w:val="24"/>
          <w:szCs w:val="24"/>
        </w:rPr>
      </w:pPr>
      <w:r w:rsidRPr="006E41C2">
        <w:rPr>
          <w:rFonts w:ascii="Times New Roman" w:hAnsi="Times New Roman" w:cs="Times New Roman"/>
          <w:sz w:val="24"/>
          <w:szCs w:val="24"/>
        </w:rPr>
        <w:t xml:space="preserve">This systematic review and meta-analysis found a positive and statistically significant association between periodontitis and cognitive impairment or neurodegenerative disease. Most included studies showed that severe, long-standing, or untreated periodontal disease was associated with a higher risk of dementia, Alzheimer disease, Parkinson disease, mild cognitive </w:t>
      </w:r>
      <w:r w:rsidRPr="006E41C2">
        <w:rPr>
          <w:rFonts w:ascii="Times New Roman" w:hAnsi="Times New Roman" w:cs="Times New Roman"/>
          <w:sz w:val="24"/>
          <w:szCs w:val="24"/>
        </w:rPr>
        <w:lastRenderedPageBreak/>
        <w:t>impairment, or beta-amyloid accumulation. The pooled effect was 0.15 with a 95% confidence interval of 0.05–0.26 and p = 0.007</w:t>
      </w:r>
      <w:r>
        <w:rPr>
          <w:rFonts w:ascii="Times New Roman" w:hAnsi="Times New Roman" w:cs="Times New Roman"/>
          <w:sz w:val="24"/>
          <w:szCs w:val="24"/>
        </w:rPr>
        <w:t>.</w:t>
      </w:r>
    </w:p>
    <w:p w14:paraId="75E7ECA4" w14:textId="6916B339" w:rsidR="006E41C2" w:rsidRDefault="006E41C2" w:rsidP="006E41C2">
      <w:pPr>
        <w:spacing w:after="0"/>
        <w:ind w:firstLine="567"/>
        <w:jc w:val="both"/>
        <w:rPr>
          <w:rFonts w:ascii="Times New Roman" w:hAnsi="Times New Roman" w:cs="Times New Roman"/>
          <w:sz w:val="24"/>
          <w:szCs w:val="24"/>
        </w:rPr>
      </w:pPr>
      <w:r w:rsidRPr="006E41C2">
        <w:rPr>
          <w:rFonts w:ascii="Times New Roman" w:hAnsi="Times New Roman" w:cs="Times New Roman"/>
          <w:sz w:val="24"/>
          <w:szCs w:val="24"/>
        </w:rPr>
        <w:t>These findings support the relevance of periodontal health as a potentially modifiable factor in adult and older populations. Periodontal examination, oral hygiene education, periodontal treatment, and maintenance care may have broader implications beyond oral health, particularly in relation to cognitive health. However, because the available evidence is largely observational and heterogeneous, further longitudinal studies are needed to clarify causality and the biological mechanisms underlying this association.</w:t>
      </w:r>
    </w:p>
    <w:p w14:paraId="6CD31B0A" w14:textId="77777777" w:rsidR="002B349D" w:rsidRPr="007F0F25" w:rsidRDefault="002B349D" w:rsidP="006E41C2">
      <w:pPr>
        <w:spacing w:after="0"/>
        <w:ind w:firstLine="567"/>
        <w:jc w:val="both"/>
        <w:rPr>
          <w:rFonts w:ascii="Times New Roman" w:hAnsi="Times New Roman" w:cs="Times New Roman"/>
          <w:sz w:val="24"/>
          <w:szCs w:val="24"/>
        </w:rPr>
      </w:pPr>
    </w:p>
    <w:p w14:paraId="70B3408E" w14:textId="37794513" w:rsidR="00273299" w:rsidRPr="007F0F25" w:rsidRDefault="009431E0">
      <w:pPr>
        <w:rPr>
          <w:rFonts w:ascii="Times New Roman" w:hAnsi="Times New Roman" w:cs="Times New Roman"/>
          <w:b/>
          <w:bCs/>
          <w:sz w:val="24"/>
          <w:szCs w:val="24"/>
        </w:rPr>
      </w:pPr>
      <w:r>
        <w:rPr>
          <w:rFonts w:ascii="Times New Roman" w:hAnsi="Times New Roman" w:cs="Times New Roman"/>
          <w:b/>
          <w:bCs/>
          <w:sz w:val="24"/>
          <w:szCs w:val="24"/>
        </w:rPr>
        <w:t>REFERENCES</w:t>
      </w:r>
    </w:p>
    <w:p w14:paraId="654AD2BF" w14:textId="77777777" w:rsidR="00CE7E55" w:rsidRDefault="009431E0"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sz w:val="24"/>
          <w:szCs w:val="24"/>
        </w:rPr>
        <w:fldChar w:fldCharType="begin" w:fldLock="1"/>
      </w:r>
      <w:r w:rsidRPr="00CE7E55">
        <w:rPr>
          <w:rFonts w:ascii="Times New Roman" w:hAnsi="Times New Roman" w:cs="Times New Roman"/>
          <w:sz w:val="24"/>
          <w:szCs w:val="24"/>
        </w:rPr>
        <w:instrText xml:space="preserve">ADDIN Mendeley Bibliography CSL_BIBLIOGRAPHY </w:instrText>
      </w:r>
      <w:r w:rsidRPr="00CE7E55">
        <w:rPr>
          <w:rFonts w:ascii="Times New Roman" w:hAnsi="Times New Roman" w:cs="Times New Roman"/>
          <w:sz w:val="24"/>
          <w:szCs w:val="24"/>
        </w:rPr>
        <w:fldChar w:fldCharType="separate"/>
      </w:r>
      <w:r w:rsidR="00CE7E55" w:rsidRPr="00CE7E55">
        <w:rPr>
          <w:rFonts w:ascii="Times New Roman" w:hAnsi="Times New Roman" w:cs="Times New Roman"/>
          <w:noProof/>
          <w:kern w:val="0"/>
          <w:sz w:val="24"/>
        </w:rPr>
        <w:t>World Health Organization. Oral health [Internet]. Geneva: World Health Organization; 2025 [cited 2026 Jun 5]. Available from: https://www.who.int/news-room/fact-sheets/detail/oral-health</w:t>
      </w:r>
    </w:p>
    <w:p w14:paraId="4D98730A"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World Health Organization. Dementia [Internet]. Geneva: World Health Organization; 2025 [cited 2026 Jun 5]. Available from: https://www.who.int/news-room/fact-sheets/detail/dementia</w:t>
      </w:r>
    </w:p>
    <w:p w14:paraId="21589A67"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Li R, Wang J, Xiong W, Luo Y, Feng H, Zhou H, et al. The oral-brain axis: can periodontal pathogens trigger the onset and progression of Alzheimer’s disease? Front Microbiol. 2024;15:1358179. doi:10.3389/fmicb.2024.1358179.</w:t>
      </w:r>
    </w:p>
    <w:p w14:paraId="701671D3"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Huang Z, Hao M, Shi N, Wang X, Yuan L, Yuan H, et al. Porphyromonas gingivalis: a potential trigger of neurodegenerative disease. Front Immunol. 2025;16:1482033. doi:10.3389/fimmu.2025.1482033.</w:t>
      </w:r>
    </w:p>
    <w:p w14:paraId="241F61F6"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Jiang Y, Xu L, Zhao X, Shen H, Qiu C, He Z, et al. Porphyromonas gingivalis-induced periodontitis promotes neuroinflammation and neuronal loss associated with dysfunction of the brain barrier. Front Cell Infect Microbiol. 2025;15:1559182. doi:10.3389/fcimb.2025.1559182.</w:t>
      </w:r>
    </w:p>
    <w:p w14:paraId="387D5618"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Asher S, Stephen R, Mäntylä P, Suominen AL, Solomon A. Periodontal health, cognitive decline, and dementia: a systematic review and meta-analysis of longitudinal studies. J Am Geriatr Soc. 2022;70(9):2695-2709. doi:10.1111/jgs.17978.</w:t>
      </w:r>
    </w:p>
    <w:p w14:paraId="70EFF8AA"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Said-Sadier N, Sayegh B, Farah R, Abbas LA, Dweik R, Tang N, et al. Association between periodontal disease and cognitive impairment in adults. Int J Environ Res Public Health. 2023;20:4707. doi:10.3390/ijerph20064707.</w:t>
      </w:r>
    </w:p>
    <w:p w14:paraId="22D3F80E"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Dibello V, Custodero C, Cavalcanti R, Lafornara D, Dibello A, Lozupone M, et al. Impact of periodontal disease on cognitive disorders, dementia, and depression: a systematic review and meta-analysis. GeroScience. 2024;46(5):5133-5169. doi:10.1007/s11357-024-01243-8.</w:t>
      </w:r>
    </w:p>
    <w:p w14:paraId="1DD6C31F"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Fu YD, Li CL, Hu CL, Pei MD, Cai WY, Li YQ, et al. Meta analysis of the correlation between periodontal health and cognitive impairment in the older population. J Prev Alzheimers Dis. 2024;11. doi:10.14283/jpad.2024.87.</w:t>
      </w:r>
    </w:p>
    <w:p w14:paraId="6A24C85D"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Plachokova AS, Gjaltema J, Hagens ERC, Hashemi Z, Knüppe TBA, Kootstra TJM, et al. Periodontitis: a plausible modifiable risk factor for neurodegenerative diseases? A comprehensive review. Int J Mol Sci. 2024;25(8):4504. doi:10.3390/ijms25084504.</w:t>
      </w:r>
    </w:p>
    <w:p w14:paraId="26CD4BAF"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Villar A, Paladini S, Cossatis J. Periodontal disease and Alzheimer’s: insights from a systematic literature network analysis. J Prev Alzheimers Dis. 2024;11(4):1148-1165. doi:10.14283/jpad.2024.79.</w:t>
      </w:r>
    </w:p>
    <w:p w14:paraId="4B48D293"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lastRenderedPageBreak/>
        <w:t>Barbarisi A, Visconti V, Lauritano D, Cremonini F, Caccianiga G, Ceraulo S. Correlation between periodontitis and onset of Alzheimer’s disease: a literature review. Dent J. 2024;12(10):331. doi:10.3390/dj12100331.</w:t>
      </w:r>
    </w:p>
    <w:p w14:paraId="243B61C9"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Erlianti CP, Trihandini I. Factors associated with cognitive impairment among Indonesian older adults. Aging Med Healthc. 2024;15(3):105-113. doi:10.33879/AMH.153.2022.05048.</w:t>
      </w:r>
    </w:p>
    <w:p w14:paraId="3E63FD38"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van der Ploeg ES, Handajani YS, Schröder-Butterfill E. Dementia care in Indonesia: care networks, awareness &amp; perception. J Cross Cult Gerontol. 2025;40(4):441-461. doi:10.1007/s10823-025-09544-x.</w:t>
      </w:r>
    </w:p>
    <w:p w14:paraId="3793E4CE"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Page MJ, McKenzie JE, Bossuyt PM, Boutron I, Hoffmann TC, Mulrow CD, et al. The PRISMA 2020 statement: an updated guideline for reporting systematic reviews. BMJ. 2021;372:n71. doi:10.1136/bmj.n71.</w:t>
      </w:r>
    </w:p>
    <w:p w14:paraId="45DEC3E0"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Higgins JPT, Thomas J, Chandler J, Cumpston M, Li T, Page MJ, et al, editors. Cochrane handbook for systematic reviews of interventions. Version 6.5. Cochrane; 2024. Available from: https://training.cochrane.org/handbook</w:t>
      </w:r>
    </w:p>
    <w:p w14:paraId="2F9CC2BD"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Chen CK, Wu YT, Chang YC. Association between chronic periodontitis and the risk of Alzheimer’s disease: a retrospective, population-based, matched-cohort study. Alzheimers Res Ther. 2017;9:56. doi:10.1186/s13195-017-0282-6.</w:t>
      </w:r>
    </w:p>
    <w:p w14:paraId="376087C8"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Lee YT, Lee HC, Hu CJ, Huang LK, Chao SP, Lin CP, Su ECY, et al. Periodontitis as a modifiable risk factor for dementia: a nationwide population-based cohort study. J Am Geriatr Soc. 2017;65(2):301-305. doi:10.1111/jgs.14449.</w:t>
      </w:r>
    </w:p>
    <w:p w14:paraId="7789907D"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Lee YL, Hu HY, Huang LY, Chou P, Chu DK. Periodontal disease associated with higher risk of dementia: population-based cohort study in Taiwan. J Am Geriatr Soc. 2017;65(9):1975-1980. doi:10.1111/jgs.14944.</w:t>
      </w:r>
    </w:p>
    <w:p w14:paraId="6346A968"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Choi S, Kim K, Chang J, Kim SM, Kim SJ, Cho HJ, et al. Association of chronic periodontitis on Alzheimer’s disease or vascular dementia. J Am Geriatr Soc. 2019;67(6):1234-1239. doi:10.1111/jgs.15828.</w:t>
      </w:r>
    </w:p>
    <w:p w14:paraId="25ED369E"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Sung CE, Huang RY, Cheng WC, Kao TW, Chen WL. Association between periodontitis and cognitive impairment: analysis of National Health and Nutrition Examination Survey III. J Clin Periodontol. 2019;46(8):790-798. doi:10.1111/jcpe.13155.</w:t>
      </w:r>
    </w:p>
    <w:p w14:paraId="09127F9F"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Jeong E, Park JB, Park YG. Evaluation of the association between periodontitis and risk of Parkinson’s disease: a nationwide retrospective cohort study. Sci Rep. 2021;11:16594. doi:10.1038/s41598-021-96147-4.</w:t>
      </w:r>
    </w:p>
    <w:p w14:paraId="12DC8B2D"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Kim SR, Son M, Kim YR, Kang HK. Risk of dementia according to the severity of chronic periodontitis in Korea: a nationwide retrospective cohort study. Epidemiol Health. 2022;44:e2022077. doi:10.4178/epih.e2022077.</w:t>
      </w:r>
    </w:p>
    <w:p w14:paraId="7B5C2C83"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Luo H, Wu B, González HM, Stickel A, Kaste LM, Tarraf W, et al. Tooth loss, periodontal disease, and mild cognitive impairment among Hispanic/Latino immigrants: the moderating effects of age at immigration. J Gerontol A Biol Sci Med Sci. 2023;78(6):949-957. doi:10.1093/gerona/glac178.</w:t>
      </w:r>
    </w:p>
    <w:p w14:paraId="0478B690"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Igase M, Igase K, Hino S, Uchida D, Okada Y, Ochi M, et al. Association of periodontitis with mild cognitive impairment in older adults. J Aging Res Lifestyle. 2024;13:108-112. doi:10.14283/jarlife.2024.16.</w:t>
      </w:r>
    </w:p>
    <w:p w14:paraId="1D0C15E9"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Gil-Montoya JA, Gerez-Muñoz MJ, Triviño-Ibáñez E, Carrera-Muñoz I, Bravo M, Rashki M, et al. Periodontal disease and brain amyloid pathology in mild cognitive impairment. Neurologia. 2025;40(7):641-650. doi:10.1016/j.nrleng.2025.07.008.</w:t>
      </w:r>
    </w:p>
    <w:p w14:paraId="2E5B5044" w14:textId="77777777" w:rsid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lastRenderedPageBreak/>
        <w:t>Sun Q, Li M. Association between periodontitis and cognitive impairment in older adults: a cross-sectional study of the National Health and Nutrition Examination Survey. Clin Epidemiol Glob Health. 2025;33:102020. doi:10.1016/j.cegh.2025.102020.</w:t>
      </w:r>
    </w:p>
    <w:p w14:paraId="5E64D0AA" w14:textId="3C980E5E" w:rsidR="00CE7E55" w:rsidRPr="00CE7E55" w:rsidRDefault="00CE7E55" w:rsidP="00CE7E55">
      <w:pPr>
        <w:pStyle w:val="ListParagraph"/>
        <w:numPr>
          <w:ilvl w:val="0"/>
          <w:numId w:val="2"/>
        </w:numPr>
        <w:ind w:left="426" w:hanging="426"/>
        <w:jc w:val="both"/>
        <w:rPr>
          <w:rFonts w:ascii="Times New Roman" w:hAnsi="Times New Roman" w:cs="Times New Roman"/>
          <w:noProof/>
          <w:kern w:val="0"/>
          <w:sz w:val="24"/>
        </w:rPr>
      </w:pPr>
      <w:r w:rsidRPr="00CE7E55">
        <w:rPr>
          <w:rFonts w:ascii="Times New Roman" w:hAnsi="Times New Roman" w:cs="Times New Roman"/>
          <w:noProof/>
          <w:kern w:val="0"/>
          <w:sz w:val="24"/>
        </w:rPr>
        <w:t>Aranda Romo S, Garrocho-Rangel A, Marín González A, Cepeda-Bravo A, Jiménez-Capdeville ME, Ortega Rodríguez C, et al. Cognitive status and periodontitis: is there a correlation? A cross-sectional study. Dent Med Probl. 2025;62(4):591-600. doi:10.17219/dmp/177412.</w:t>
      </w:r>
      <w:r w:rsidRPr="00CE7E55">
        <w:rPr>
          <w:rFonts w:ascii="Times New Roman" w:hAnsi="Times New Roman" w:cs="Times New Roman"/>
          <w:noProof/>
          <w:kern w:val="0"/>
          <w:sz w:val="24"/>
          <w:szCs w:val="24"/>
        </w:rPr>
        <w:t xml:space="preserve"> </w:t>
      </w:r>
      <w:r w:rsidR="009431E0" w:rsidRPr="00CE7E55">
        <w:rPr>
          <w:rFonts w:ascii="Times New Roman" w:hAnsi="Times New Roman" w:cs="Times New Roman"/>
          <w:sz w:val="24"/>
          <w:szCs w:val="24"/>
        </w:rPr>
        <w:fldChar w:fldCharType="end"/>
      </w:r>
    </w:p>
    <w:p w14:paraId="38A21567" w14:textId="77777777" w:rsidR="00CE7E55" w:rsidRDefault="00CE7E55" w:rsidP="00CE7E55">
      <w:pPr>
        <w:jc w:val="both"/>
        <w:rPr>
          <w:rFonts w:ascii="Times New Roman" w:hAnsi="Times New Roman" w:cs="Times New Roman"/>
          <w:noProof/>
          <w:kern w:val="0"/>
          <w:sz w:val="24"/>
        </w:rPr>
      </w:pPr>
    </w:p>
    <w:p w14:paraId="45F478D7" w14:textId="77777777" w:rsidR="00CE7E55" w:rsidRPr="00CE7E55" w:rsidRDefault="00CE7E55" w:rsidP="00CE7E55">
      <w:pPr>
        <w:jc w:val="both"/>
        <w:rPr>
          <w:rFonts w:ascii="Times New Roman" w:hAnsi="Times New Roman" w:cs="Times New Roman"/>
          <w:b/>
          <w:bCs/>
          <w:noProof/>
          <w:kern w:val="0"/>
          <w:sz w:val="24"/>
        </w:rPr>
      </w:pPr>
      <w:r w:rsidRPr="00CE7E55">
        <w:rPr>
          <w:rFonts w:ascii="Times New Roman" w:hAnsi="Times New Roman" w:cs="Times New Roman"/>
          <w:b/>
          <w:bCs/>
          <w:noProof/>
          <w:kern w:val="0"/>
          <w:sz w:val="24"/>
        </w:rPr>
        <w:t>Tables</w:t>
      </w:r>
    </w:p>
    <w:p w14:paraId="4ECCB136" w14:textId="77777777" w:rsidR="00CE7E55" w:rsidRPr="00CE7E55" w:rsidRDefault="00CE7E55" w:rsidP="00CE7E55">
      <w:pPr>
        <w:jc w:val="both"/>
        <w:rPr>
          <w:rFonts w:ascii="Times New Roman" w:hAnsi="Times New Roman" w:cs="Times New Roman"/>
          <w:noProof/>
          <w:kern w:val="0"/>
          <w:sz w:val="24"/>
        </w:rPr>
      </w:pPr>
      <w:r w:rsidRPr="00CE7E55">
        <w:rPr>
          <w:rFonts w:ascii="Times New Roman" w:hAnsi="Times New Roman" w:cs="Times New Roman"/>
          <w:b/>
          <w:bCs/>
          <w:noProof/>
          <w:kern w:val="0"/>
          <w:sz w:val="24"/>
        </w:rPr>
        <w:t>Table 1.</w:t>
      </w:r>
      <w:r w:rsidRPr="00CE7E55">
        <w:rPr>
          <w:rFonts w:ascii="Times New Roman" w:hAnsi="Times New Roman" w:cs="Times New Roman"/>
          <w:noProof/>
          <w:kern w:val="0"/>
          <w:sz w:val="24"/>
        </w:rPr>
        <w:t xml:space="preserve"> Research PECO</w:t>
      </w:r>
    </w:p>
    <w:tbl>
      <w:tblPr>
        <w:tblW w:w="9067" w:type="dxa"/>
        <w:tblLook w:val="04A0" w:firstRow="1" w:lastRow="0" w:firstColumn="1" w:lastColumn="0" w:noHBand="0" w:noVBand="1"/>
      </w:tblPr>
      <w:tblGrid>
        <w:gridCol w:w="1563"/>
        <w:gridCol w:w="7504"/>
      </w:tblGrid>
      <w:tr w:rsidR="00CE7E55" w:rsidRPr="00CE7E55" w14:paraId="6F931020" w14:textId="77777777" w:rsidTr="00FA79AF">
        <w:trPr>
          <w:trHeight w:val="290"/>
        </w:trPr>
        <w:tc>
          <w:tcPr>
            <w:tcW w:w="1563" w:type="dxa"/>
            <w:tcBorders>
              <w:top w:val="single" w:sz="4" w:space="0" w:color="auto"/>
              <w:left w:val="single" w:sz="4" w:space="0" w:color="auto"/>
              <w:bottom w:val="single" w:sz="4" w:space="0" w:color="auto"/>
              <w:right w:val="single" w:sz="4" w:space="0" w:color="auto"/>
            </w:tcBorders>
            <w:noWrap/>
            <w:vAlign w:val="center"/>
            <w:hideMark/>
          </w:tcPr>
          <w:p w14:paraId="2626856F" w14:textId="77777777" w:rsidR="00CE7E55" w:rsidRPr="00CE7E55" w:rsidRDefault="00CE7E55" w:rsidP="00CE7E55">
            <w:pPr>
              <w:jc w:val="both"/>
              <w:rPr>
                <w:rFonts w:ascii="Times New Roman" w:hAnsi="Times New Roman" w:cs="Times New Roman"/>
                <w:b/>
                <w:bCs/>
                <w:noProof/>
                <w:kern w:val="0"/>
                <w:sz w:val="24"/>
              </w:rPr>
            </w:pPr>
            <w:r w:rsidRPr="00CE7E55">
              <w:rPr>
                <w:rFonts w:ascii="Times New Roman" w:hAnsi="Times New Roman" w:cs="Times New Roman"/>
                <w:b/>
                <w:bCs/>
                <w:noProof/>
                <w:kern w:val="0"/>
                <w:sz w:val="24"/>
              </w:rPr>
              <w:t>Component</w:t>
            </w:r>
          </w:p>
        </w:tc>
        <w:tc>
          <w:tcPr>
            <w:tcW w:w="7504" w:type="dxa"/>
            <w:tcBorders>
              <w:top w:val="single" w:sz="4" w:space="0" w:color="auto"/>
              <w:left w:val="nil"/>
              <w:bottom w:val="single" w:sz="4" w:space="0" w:color="auto"/>
              <w:right w:val="single" w:sz="4" w:space="0" w:color="auto"/>
            </w:tcBorders>
            <w:noWrap/>
            <w:vAlign w:val="center"/>
            <w:hideMark/>
          </w:tcPr>
          <w:p w14:paraId="2ED9AB72" w14:textId="77777777" w:rsidR="00CE7E55" w:rsidRPr="00CE7E55" w:rsidRDefault="00CE7E55" w:rsidP="00CE7E55">
            <w:pPr>
              <w:jc w:val="both"/>
              <w:rPr>
                <w:rFonts w:ascii="Times New Roman" w:hAnsi="Times New Roman" w:cs="Times New Roman"/>
                <w:b/>
                <w:bCs/>
                <w:noProof/>
                <w:kern w:val="0"/>
                <w:sz w:val="24"/>
              </w:rPr>
            </w:pPr>
            <w:r w:rsidRPr="00CE7E55">
              <w:rPr>
                <w:rFonts w:ascii="Times New Roman" w:hAnsi="Times New Roman" w:cs="Times New Roman"/>
                <w:b/>
                <w:bCs/>
                <w:noProof/>
                <w:kern w:val="0"/>
                <w:sz w:val="24"/>
              </w:rPr>
              <w:t>Description</w:t>
            </w:r>
          </w:p>
        </w:tc>
      </w:tr>
      <w:tr w:rsidR="00CE7E55" w:rsidRPr="00CE7E55" w14:paraId="0538FFE3" w14:textId="77777777" w:rsidTr="00FA79AF">
        <w:trPr>
          <w:trHeight w:val="290"/>
        </w:trPr>
        <w:tc>
          <w:tcPr>
            <w:tcW w:w="1563" w:type="dxa"/>
            <w:tcBorders>
              <w:top w:val="nil"/>
              <w:left w:val="single" w:sz="4" w:space="0" w:color="auto"/>
              <w:bottom w:val="single" w:sz="4" w:space="0" w:color="auto"/>
              <w:right w:val="single" w:sz="4" w:space="0" w:color="auto"/>
            </w:tcBorders>
            <w:noWrap/>
            <w:vAlign w:val="center"/>
            <w:hideMark/>
          </w:tcPr>
          <w:p w14:paraId="77DE820D" w14:textId="77777777" w:rsidR="00CE7E55" w:rsidRPr="00CE7E55" w:rsidRDefault="00CE7E55" w:rsidP="00CE7E55">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P (</w:t>
            </w:r>
            <w:r w:rsidRPr="00CE7E55">
              <w:rPr>
                <w:rFonts w:ascii="Times New Roman" w:hAnsi="Times New Roman" w:cs="Times New Roman"/>
                <w:i/>
                <w:iCs/>
                <w:noProof/>
                <w:kern w:val="0"/>
                <w:sz w:val="24"/>
              </w:rPr>
              <w:t>Population</w:t>
            </w:r>
            <w:r w:rsidRPr="00CE7E55">
              <w:rPr>
                <w:rFonts w:ascii="Times New Roman" w:hAnsi="Times New Roman" w:cs="Times New Roman"/>
                <w:noProof/>
                <w:kern w:val="0"/>
                <w:sz w:val="24"/>
              </w:rPr>
              <w:t>)</w:t>
            </w:r>
          </w:p>
        </w:tc>
        <w:tc>
          <w:tcPr>
            <w:tcW w:w="7504" w:type="dxa"/>
            <w:tcBorders>
              <w:top w:val="nil"/>
              <w:left w:val="nil"/>
              <w:bottom w:val="single" w:sz="4" w:space="0" w:color="auto"/>
              <w:right w:val="single" w:sz="4" w:space="0" w:color="auto"/>
            </w:tcBorders>
            <w:noWrap/>
            <w:vAlign w:val="center"/>
            <w:hideMark/>
          </w:tcPr>
          <w:p w14:paraId="2E301240" w14:textId="77777777" w:rsidR="00CE7E55" w:rsidRPr="00CE7E55" w:rsidRDefault="00CE7E55" w:rsidP="00CE7E55">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Adult or older adult populations whose periodontal status and/or cognitive status were assessed. The population includes individuals with periodontitis, periodontal disease, tooth loss due to periodontal disease, or indicators of poor periodontal health.</w:t>
            </w:r>
          </w:p>
        </w:tc>
      </w:tr>
      <w:tr w:rsidR="00CE7E55" w:rsidRPr="00CE7E55" w14:paraId="4F7D281A" w14:textId="77777777" w:rsidTr="00FA79AF">
        <w:trPr>
          <w:trHeight w:val="290"/>
        </w:trPr>
        <w:tc>
          <w:tcPr>
            <w:tcW w:w="1563" w:type="dxa"/>
            <w:tcBorders>
              <w:top w:val="nil"/>
              <w:left w:val="single" w:sz="4" w:space="0" w:color="auto"/>
              <w:bottom w:val="single" w:sz="4" w:space="0" w:color="auto"/>
              <w:right w:val="single" w:sz="4" w:space="0" w:color="auto"/>
            </w:tcBorders>
            <w:noWrap/>
            <w:vAlign w:val="center"/>
            <w:hideMark/>
          </w:tcPr>
          <w:p w14:paraId="76BD6ABF" w14:textId="77777777" w:rsidR="00CE7E55" w:rsidRPr="00CE7E55" w:rsidRDefault="00CE7E55" w:rsidP="00CE7E55">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E (</w:t>
            </w:r>
            <w:r w:rsidRPr="00CE7E55">
              <w:rPr>
                <w:rFonts w:ascii="Times New Roman" w:hAnsi="Times New Roman" w:cs="Times New Roman"/>
                <w:i/>
                <w:iCs/>
                <w:noProof/>
                <w:kern w:val="0"/>
                <w:sz w:val="24"/>
              </w:rPr>
              <w:t>Exposure</w:t>
            </w:r>
            <w:r w:rsidRPr="00CE7E55">
              <w:rPr>
                <w:rFonts w:ascii="Times New Roman" w:hAnsi="Times New Roman" w:cs="Times New Roman"/>
                <w:noProof/>
                <w:kern w:val="0"/>
                <w:sz w:val="24"/>
              </w:rPr>
              <w:t>)</w:t>
            </w:r>
          </w:p>
        </w:tc>
        <w:tc>
          <w:tcPr>
            <w:tcW w:w="7504" w:type="dxa"/>
            <w:tcBorders>
              <w:top w:val="nil"/>
              <w:left w:val="nil"/>
              <w:bottom w:val="single" w:sz="4" w:space="0" w:color="auto"/>
              <w:right w:val="single" w:sz="4" w:space="0" w:color="auto"/>
            </w:tcBorders>
            <w:noWrap/>
            <w:vAlign w:val="center"/>
            <w:hideMark/>
          </w:tcPr>
          <w:p w14:paraId="5BB525EF" w14:textId="77777777" w:rsidR="00CE7E55" w:rsidRPr="00CE7E55" w:rsidRDefault="00CE7E55" w:rsidP="00CE7E55">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Periodontitis or periodontal disease measured through clinical diagnosis, clinical attachment loss, probing pocket depth, bleeding on probing, alveolar bone loss, periodontal diagnosis, or other periodontal indicators reported in the articles.</w:t>
            </w:r>
          </w:p>
        </w:tc>
      </w:tr>
      <w:tr w:rsidR="00CE7E55" w:rsidRPr="00CE7E55" w14:paraId="09D59795" w14:textId="77777777" w:rsidTr="00FA79AF">
        <w:trPr>
          <w:trHeight w:val="290"/>
        </w:trPr>
        <w:tc>
          <w:tcPr>
            <w:tcW w:w="1563" w:type="dxa"/>
            <w:tcBorders>
              <w:top w:val="nil"/>
              <w:left w:val="single" w:sz="4" w:space="0" w:color="auto"/>
              <w:bottom w:val="single" w:sz="4" w:space="0" w:color="auto"/>
              <w:right w:val="single" w:sz="4" w:space="0" w:color="auto"/>
            </w:tcBorders>
            <w:noWrap/>
            <w:vAlign w:val="center"/>
            <w:hideMark/>
          </w:tcPr>
          <w:p w14:paraId="0F7844F7" w14:textId="77777777" w:rsidR="00CE7E55" w:rsidRPr="00CE7E55" w:rsidRDefault="00CE7E55" w:rsidP="00CE7E55">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C (</w:t>
            </w:r>
            <w:r w:rsidRPr="00CE7E55">
              <w:rPr>
                <w:rFonts w:ascii="Times New Roman" w:hAnsi="Times New Roman" w:cs="Times New Roman"/>
                <w:i/>
                <w:iCs/>
                <w:noProof/>
                <w:kern w:val="0"/>
                <w:sz w:val="24"/>
              </w:rPr>
              <w:t>Comparison</w:t>
            </w:r>
            <w:r w:rsidRPr="00CE7E55">
              <w:rPr>
                <w:rFonts w:ascii="Times New Roman" w:hAnsi="Times New Roman" w:cs="Times New Roman"/>
                <w:noProof/>
                <w:kern w:val="0"/>
                <w:sz w:val="24"/>
              </w:rPr>
              <w:t>)</w:t>
            </w:r>
          </w:p>
        </w:tc>
        <w:tc>
          <w:tcPr>
            <w:tcW w:w="7504" w:type="dxa"/>
            <w:tcBorders>
              <w:top w:val="nil"/>
              <w:left w:val="nil"/>
              <w:bottom w:val="single" w:sz="4" w:space="0" w:color="auto"/>
              <w:right w:val="single" w:sz="4" w:space="0" w:color="auto"/>
            </w:tcBorders>
            <w:noWrap/>
            <w:vAlign w:val="center"/>
            <w:hideMark/>
          </w:tcPr>
          <w:p w14:paraId="13FA7134" w14:textId="77777777" w:rsidR="00CE7E55" w:rsidRPr="00CE7E55" w:rsidRDefault="00CE7E55" w:rsidP="00CE7E55">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Individuals without periodontitis, individuals with better periodontal health, control groups, or reference groups without severe periodontal exposure.</w:t>
            </w:r>
          </w:p>
        </w:tc>
      </w:tr>
      <w:tr w:rsidR="00CE7E55" w:rsidRPr="00CE7E55" w14:paraId="3C4B757D" w14:textId="77777777" w:rsidTr="00FA79AF">
        <w:trPr>
          <w:trHeight w:val="290"/>
        </w:trPr>
        <w:tc>
          <w:tcPr>
            <w:tcW w:w="1563" w:type="dxa"/>
            <w:tcBorders>
              <w:top w:val="nil"/>
              <w:left w:val="single" w:sz="4" w:space="0" w:color="auto"/>
              <w:bottom w:val="single" w:sz="4" w:space="0" w:color="auto"/>
              <w:right w:val="single" w:sz="4" w:space="0" w:color="auto"/>
            </w:tcBorders>
            <w:noWrap/>
            <w:vAlign w:val="center"/>
            <w:hideMark/>
          </w:tcPr>
          <w:p w14:paraId="6224F1BD" w14:textId="77777777" w:rsidR="00CE7E55" w:rsidRPr="00CE7E55" w:rsidRDefault="00CE7E55" w:rsidP="00CE7E55">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O (</w:t>
            </w:r>
            <w:r w:rsidRPr="00CE7E55">
              <w:rPr>
                <w:rFonts w:ascii="Times New Roman" w:hAnsi="Times New Roman" w:cs="Times New Roman"/>
                <w:i/>
                <w:iCs/>
                <w:noProof/>
                <w:kern w:val="0"/>
                <w:sz w:val="24"/>
              </w:rPr>
              <w:t>Outcome</w:t>
            </w:r>
            <w:r w:rsidRPr="00CE7E55">
              <w:rPr>
                <w:rFonts w:ascii="Times New Roman" w:hAnsi="Times New Roman" w:cs="Times New Roman"/>
                <w:noProof/>
                <w:kern w:val="0"/>
                <w:sz w:val="24"/>
              </w:rPr>
              <w:t>)</w:t>
            </w:r>
          </w:p>
        </w:tc>
        <w:tc>
          <w:tcPr>
            <w:tcW w:w="7504" w:type="dxa"/>
            <w:tcBorders>
              <w:top w:val="nil"/>
              <w:left w:val="nil"/>
              <w:bottom w:val="single" w:sz="4" w:space="0" w:color="auto"/>
              <w:right w:val="single" w:sz="4" w:space="0" w:color="auto"/>
            </w:tcBorders>
            <w:noWrap/>
            <w:vAlign w:val="center"/>
            <w:hideMark/>
          </w:tcPr>
          <w:p w14:paraId="3E5ACBDB" w14:textId="77777777" w:rsidR="00CE7E55" w:rsidRPr="00CE7E55" w:rsidRDefault="00CE7E55" w:rsidP="00CE7E55">
            <w:pPr>
              <w:spacing w:after="0" w:line="240" w:lineRule="auto"/>
              <w:jc w:val="both"/>
              <w:rPr>
                <w:rFonts w:ascii="Times New Roman" w:hAnsi="Times New Roman" w:cs="Times New Roman"/>
                <w:i/>
                <w:iCs/>
                <w:noProof/>
                <w:kern w:val="0"/>
                <w:sz w:val="24"/>
              </w:rPr>
            </w:pPr>
            <w:r w:rsidRPr="00CE7E55">
              <w:rPr>
                <w:rFonts w:ascii="Times New Roman" w:hAnsi="Times New Roman" w:cs="Times New Roman"/>
                <w:noProof/>
                <w:kern w:val="0"/>
                <w:sz w:val="24"/>
              </w:rPr>
              <w:t>Cognitive impairment, mild cognitive impairment, cognitive decline, dementia, Alzheimer’s disease, Parkinson’s disease, and other neurodegenerative diseases assessed through clinical diagnosis, registry data, medical records, or standardized cognitive instruments.</w:t>
            </w:r>
          </w:p>
        </w:tc>
      </w:tr>
    </w:tbl>
    <w:p w14:paraId="6F5200FE" w14:textId="77777777" w:rsidR="00CE7E55" w:rsidRPr="00CE7E55" w:rsidRDefault="00CE7E55" w:rsidP="00CE7E55">
      <w:pPr>
        <w:jc w:val="both"/>
        <w:rPr>
          <w:rFonts w:ascii="Times New Roman" w:hAnsi="Times New Roman" w:cs="Times New Roman"/>
          <w:noProof/>
          <w:kern w:val="0"/>
          <w:sz w:val="24"/>
        </w:rPr>
      </w:pPr>
    </w:p>
    <w:p w14:paraId="37FD0610" w14:textId="77777777" w:rsidR="00CE7E55" w:rsidRPr="00CE7E55" w:rsidRDefault="00CE7E55" w:rsidP="00CE7E55">
      <w:pPr>
        <w:jc w:val="both"/>
        <w:rPr>
          <w:rFonts w:ascii="Times New Roman" w:hAnsi="Times New Roman" w:cs="Times New Roman"/>
          <w:noProof/>
          <w:kern w:val="0"/>
          <w:sz w:val="24"/>
        </w:rPr>
      </w:pPr>
      <w:r w:rsidRPr="00CE7E55">
        <w:rPr>
          <w:rFonts w:ascii="Times New Roman" w:hAnsi="Times New Roman" w:cs="Times New Roman"/>
          <w:b/>
          <w:bCs/>
          <w:noProof/>
          <w:kern w:val="0"/>
          <w:sz w:val="24"/>
        </w:rPr>
        <w:t>Table 2.</w:t>
      </w:r>
      <w:r w:rsidRPr="00CE7E55">
        <w:rPr>
          <w:rFonts w:ascii="Times New Roman" w:hAnsi="Times New Roman" w:cs="Times New Roman"/>
          <w:noProof/>
          <w:kern w:val="0"/>
          <w:sz w:val="24"/>
        </w:rPr>
        <w:t xml:space="preserve"> Number of articles based on search databases</w:t>
      </w:r>
    </w:p>
    <w:tbl>
      <w:tblPr>
        <w:tblW w:w="9351" w:type="dxa"/>
        <w:tblLayout w:type="fixed"/>
        <w:tblLook w:val="04A0" w:firstRow="1" w:lastRow="0" w:firstColumn="1" w:lastColumn="0" w:noHBand="0" w:noVBand="1"/>
      </w:tblPr>
      <w:tblGrid>
        <w:gridCol w:w="1271"/>
        <w:gridCol w:w="6662"/>
        <w:gridCol w:w="1418"/>
      </w:tblGrid>
      <w:tr w:rsidR="00CE7E55" w:rsidRPr="00CE7E55" w14:paraId="4B24DDE6" w14:textId="77777777" w:rsidTr="0059166D">
        <w:trPr>
          <w:trHeight w:val="290"/>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13E1FBE8"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Database</w:t>
            </w:r>
          </w:p>
        </w:tc>
        <w:tc>
          <w:tcPr>
            <w:tcW w:w="6662" w:type="dxa"/>
            <w:tcBorders>
              <w:top w:val="single" w:sz="4" w:space="0" w:color="auto"/>
              <w:left w:val="nil"/>
              <w:bottom w:val="single" w:sz="4" w:space="0" w:color="auto"/>
              <w:right w:val="single" w:sz="4" w:space="0" w:color="auto"/>
            </w:tcBorders>
            <w:noWrap/>
            <w:vAlign w:val="center"/>
            <w:hideMark/>
          </w:tcPr>
          <w:p w14:paraId="5F89AD20"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Keyword</w:t>
            </w:r>
          </w:p>
        </w:tc>
        <w:tc>
          <w:tcPr>
            <w:tcW w:w="1418" w:type="dxa"/>
            <w:tcBorders>
              <w:top w:val="single" w:sz="4" w:space="0" w:color="auto"/>
              <w:left w:val="nil"/>
              <w:bottom w:val="single" w:sz="4" w:space="0" w:color="auto"/>
              <w:right w:val="single" w:sz="4" w:space="0" w:color="auto"/>
            </w:tcBorders>
            <w:noWrap/>
            <w:vAlign w:val="center"/>
            <w:hideMark/>
          </w:tcPr>
          <w:p w14:paraId="3FC38728"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Number of Articles</w:t>
            </w:r>
          </w:p>
        </w:tc>
      </w:tr>
      <w:tr w:rsidR="00CE7E55" w:rsidRPr="00CE7E55" w14:paraId="706FBE51" w14:textId="77777777" w:rsidTr="0059166D">
        <w:trPr>
          <w:trHeight w:val="290"/>
        </w:trPr>
        <w:tc>
          <w:tcPr>
            <w:tcW w:w="1271" w:type="dxa"/>
            <w:tcBorders>
              <w:top w:val="nil"/>
              <w:left w:val="single" w:sz="4" w:space="0" w:color="auto"/>
              <w:bottom w:val="single" w:sz="4" w:space="0" w:color="auto"/>
              <w:right w:val="single" w:sz="4" w:space="0" w:color="auto"/>
            </w:tcBorders>
            <w:noWrap/>
            <w:vAlign w:val="center"/>
            <w:hideMark/>
          </w:tcPr>
          <w:p w14:paraId="6061AE9F"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PubMed/MEDLINE</w:t>
            </w:r>
          </w:p>
        </w:tc>
        <w:tc>
          <w:tcPr>
            <w:tcW w:w="6662" w:type="dxa"/>
            <w:tcBorders>
              <w:top w:val="nil"/>
              <w:left w:val="nil"/>
              <w:bottom w:val="single" w:sz="4" w:space="0" w:color="auto"/>
              <w:right w:val="single" w:sz="4" w:space="0" w:color="auto"/>
            </w:tcBorders>
            <w:noWrap/>
            <w:vAlign w:val="center"/>
            <w:hideMark/>
          </w:tcPr>
          <w:p w14:paraId="1E750373" w14:textId="39349E9C" w:rsidR="00CE7E55" w:rsidRPr="00CE7E55" w:rsidRDefault="00CE7E55" w:rsidP="0059166D">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(“periodontitis” OR “periodontal disease” OR “periodontal health” OR “clinical attachment loss” OR “probing pocket depth” OR “alveolar bone loss” OR “tooth loss”) AND (“cognitive impairment” OR “cognitive decline” OR “mild cognitive impairment” OR dementia OR “Alzheimer disease” OR “Parkinson disease” OR “neurodegenerative disease”) AND (“</w:t>
            </w:r>
            <w:r w:rsidR="00735F64" w:rsidRPr="00735F64">
              <w:rPr>
                <w:rFonts w:ascii="Times New Roman" w:hAnsi="Times New Roman" w:cs="Times New Roman"/>
                <w:noProof/>
                <w:kern w:val="0"/>
                <w:sz w:val="24"/>
              </w:rPr>
              <w:t>odds ratio” OR “hazard ratio” OR “confidence interval” OR “p-value” OR association</w:t>
            </w:r>
            <w:r w:rsidRPr="00CE7E55">
              <w:rPr>
                <w:rFonts w:ascii="Times New Roman" w:hAnsi="Times New Roman" w:cs="Times New Roman"/>
                <w:noProof/>
                <w:kern w:val="0"/>
                <w:sz w:val="24"/>
              </w:rPr>
              <w:t>)</w:t>
            </w:r>
          </w:p>
        </w:tc>
        <w:tc>
          <w:tcPr>
            <w:tcW w:w="1418" w:type="dxa"/>
            <w:tcBorders>
              <w:top w:val="nil"/>
              <w:left w:val="nil"/>
              <w:bottom w:val="single" w:sz="4" w:space="0" w:color="auto"/>
              <w:right w:val="single" w:sz="4" w:space="0" w:color="auto"/>
            </w:tcBorders>
            <w:noWrap/>
            <w:vAlign w:val="center"/>
            <w:hideMark/>
          </w:tcPr>
          <w:p w14:paraId="0A1205A8"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124</w:t>
            </w:r>
          </w:p>
        </w:tc>
      </w:tr>
      <w:tr w:rsidR="00CE7E55" w:rsidRPr="00CE7E55" w14:paraId="58E5CDD1" w14:textId="77777777" w:rsidTr="0059166D">
        <w:trPr>
          <w:trHeight w:val="290"/>
        </w:trPr>
        <w:tc>
          <w:tcPr>
            <w:tcW w:w="1271" w:type="dxa"/>
            <w:tcBorders>
              <w:top w:val="nil"/>
              <w:left w:val="single" w:sz="4" w:space="0" w:color="auto"/>
              <w:bottom w:val="single" w:sz="4" w:space="0" w:color="auto"/>
              <w:right w:val="single" w:sz="4" w:space="0" w:color="auto"/>
            </w:tcBorders>
            <w:noWrap/>
            <w:vAlign w:val="center"/>
            <w:hideMark/>
          </w:tcPr>
          <w:p w14:paraId="09E523CA"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Scopus</w:t>
            </w:r>
          </w:p>
        </w:tc>
        <w:tc>
          <w:tcPr>
            <w:tcW w:w="6662" w:type="dxa"/>
            <w:tcBorders>
              <w:top w:val="nil"/>
              <w:left w:val="nil"/>
              <w:bottom w:val="single" w:sz="4" w:space="0" w:color="auto"/>
              <w:right w:val="single" w:sz="4" w:space="0" w:color="auto"/>
            </w:tcBorders>
            <w:noWrap/>
            <w:vAlign w:val="center"/>
            <w:hideMark/>
          </w:tcPr>
          <w:p w14:paraId="369AA153" w14:textId="77777777" w:rsidR="00CE7E55" w:rsidRPr="00CE7E55" w:rsidRDefault="00CE7E55" w:rsidP="0059166D">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TITLE-ABS-KEY (“periodontitis” OR “periodontal disease” OR “periodontal health” OR “tooth loss” OR “alveolar bone loss”) AND TITLE-ABS-KEY (“cognitive impairment” OR “cognitive decline” OR dementia OR “Alzheimer disease” OR “Parkinson disease” OR “neurodegenerative disease”) AND TITLE-ABS-KEY (“odds ratio” OR “confidence interval” OR association OR “risk factor”) AND PUBYEAR &gt; 2016</w:t>
            </w:r>
          </w:p>
        </w:tc>
        <w:tc>
          <w:tcPr>
            <w:tcW w:w="1418" w:type="dxa"/>
            <w:tcBorders>
              <w:top w:val="nil"/>
              <w:left w:val="nil"/>
              <w:bottom w:val="single" w:sz="4" w:space="0" w:color="auto"/>
              <w:right w:val="single" w:sz="4" w:space="0" w:color="auto"/>
            </w:tcBorders>
            <w:noWrap/>
            <w:vAlign w:val="center"/>
            <w:hideMark/>
          </w:tcPr>
          <w:p w14:paraId="652BB5AE"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156</w:t>
            </w:r>
          </w:p>
        </w:tc>
      </w:tr>
      <w:tr w:rsidR="00CE7E55" w:rsidRPr="00CE7E55" w14:paraId="17636DD9" w14:textId="77777777" w:rsidTr="0059166D">
        <w:trPr>
          <w:trHeight w:val="290"/>
        </w:trPr>
        <w:tc>
          <w:tcPr>
            <w:tcW w:w="1271" w:type="dxa"/>
            <w:tcBorders>
              <w:top w:val="nil"/>
              <w:left w:val="single" w:sz="4" w:space="0" w:color="auto"/>
              <w:bottom w:val="single" w:sz="4" w:space="0" w:color="auto"/>
              <w:right w:val="single" w:sz="4" w:space="0" w:color="auto"/>
            </w:tcBorders>
            <w:noWrap/>
            <w:vAlign w:val="center"/>
            <w:hideMark/>
          </w:tcPr>
          <w:p w14:paraId="0315C390"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lastRenderedPageBreak/>
              <w:t>Web of Science</w:t>
            </w:r>
          </w:p>
        </w:tc>
        <w:tc>
          <w:tcPr>
            <w:tcW w:w="6662" w:type="dxa"/>
            <w:tcBorders>
              <w:top w:val="nil"/>
              <w:left w:val="nil"/>
              <w:bottom w:val="single" w:sz="4" w:space="0" w:color="auto"/>
              <w:right w:val="single" w:sz="4" w:space="0" w:color="auto"/>
            </w:tcBorders>
            <w:noWrap/>
            <w:vAlign w:val="center"/>
            <w:hideMark/>
          </w:tcPr>
          <w:p w14:paraId="74FC2FB8" w14:textId="77777777" w:rsidR="00CE7E55" w:rsidRPr="00CE7E55" w:rsidRDefault="00CE7E55" w:rsidP="0059166D">
            <w:pPr>
              <w:spacing w:after="0" w:line="240" w:lineRule="auto"/>
              <w:jc w:val="both"/>
              <w:rPr>
                <w:rFonts w:ascii="Times New Roman" w:hAnsi="Times New Roman" w:cs="Times New Roman"/>
                <w:noProof/>
                <w:kern w:val="0"/>
                <w:sz w:val="24"/>
              </w:rPr>
            </w:pPr>
            <w:r w:rsidRPr="00CE7E55">
              <w:rPr>
                <w:rFonts w:ascii="Times New Roman" w:hAnsi="Times New Roman" w:cs="Times New Roman"/>
                <w:noProof/>
                <w:kern w:val="0"/>
                <w:sz w:val="24"/>
              </w:rPr>
              <w:t>TS=(“periodontitis” OR “periodontal disease” OR “periodontal health” OR “clinical attachment loss” OR “probing pocket depth” OR “tooth loss”) AND TS=(“cognitive impairment” OR “cognitive decline” OR dementia OR “Alzheimer disease” OR “Parkinson disease” OR “neurodegenerative disease”) AND TS=(“odds ratio” OR “confidence interval” OR association OR “risk factor”)</w:t>
            </w:r>
          </w:p>
        </w:tc>
        <w:tc>
          <w:tcPr>
            <w:tcW w:w="1418" w:type="dxa"/>
            <w:tcBorders>
              <w:top w:val="nil"/>
              <w:left w:val="nil"/>
              <w:bottom w:val="single" w:sz="4" w:space="0" w:color="auto"/>
              <w:right w:val="single" w:sz="4" w:space="0" w:color="auto"/>
            </w:tcBorders>
            <w:noWrap/>
            <w:vAlign w:val="center"/>
            <w:hideMark/>
          </w:tcPr>
          <w:p w14:paraId="09BF9FD5" w14:textId="77777777" w:rsidR="00CE7E55" w:rsidRPr="00CE7E55" w:rsidRDefault="00CE7E55" w:rsidP="0059166D">
            <w:pPr>
              <w:spacing w:after="0" w:line="240" w:lineRule="auto"/>
              <w:jc w:val="center"/>
              <w:rPr>
                <w:rFonts w:ascii="Times New Roman" w:hAnsi="Times New Roman" w:cs="Times New Roman"/>
                <w:noProof/>
                <w:kern w:val="0"/>
                <w:sz w:val="24"/>
              </w:rPr>
            </w:pPr>
            <w:r w:rsidRPr="00CE7E55">
              <w:rPr>
                <w:rFonts w:ascii="Times New Roman" w:hAnsi="Times New Roman" w:cs="Times New Roman"/>
                <w:noProof/>
                <w:kern w:val="0"/>
                <w:sz w:val="24"/>
              </w:rPr>
              <w:t>98</w:t>
            </w:r>
          </w:p>
        </w:tc>
      </w:tr>
      <w:tr w:rsidR="00CE7E55" w:rsidRPr="00CE7E55" w14:paraId="6AC45D51" w14:textId="77777777" w:rsidTr="0059166D">
        <w:trPr>
          <w:trHeight w:val="290"/>
        </w:trPr>
        <w:tc>
          <w:tcPr>
            <w:tcW w:w="7933" w:type="dxa"/>
            <w:gridSpan w:val="2"/>
            <w:tcBorders>
              <w:top w:val="single" w:sz="4" w:space="0" w:color="auto"/>
              <w:left w:val="single" w:sz="4" w:space="0" w:color="auto"/>
              <w:bottom w:val="single" w:sz="4" w:space="0" w:color="auto"/>
              <w:right w:val="single" w:sz="4" w:space="0" w:color="auto"/>
            </w:tcBorders>
            <w:noWrap/>
            <w:vAlign w:val="center"/>
            <w:hideMark/>
          </w:tcPr>
          <w:p w14:paraId="5C79CB89"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Total articles identified</w:t>
            </w:r>
          </w:p>
        </w:tc>
        <w:tc>
          <w:tcPr>
            <w:tcW w:w="1418" w:type="dxa"/>
            <w:tcBorders>
              <w:top w:val="nil"/>
              <w:left w:val="nil"/>
              <w:bottom w:val="single" w:sz="4" w:space="0" w:color="auto"/>
              <w:right w:val="single" w:sz="4" w:space="0" w:color="auto"/>
            </w:tcBorders>
            <w:noWrap/>
            <w:vAlign w:val="center"/>
            <w:hideMark/>
          </w:tcPr>
          <w:p w14:paraId="47823F54" w14:textId="77777777" w:rsidR="00CE7E55" w:rsidRPr="00CE7E55" w:rsidRDefault="00CE7E55" w:rsidP="0059166D">
            <w:pPr>
              <w:spacing w:after="0" w:line="240" w:lineRule="auto"/>
              <w:jc w:val="center"/>
              <w:rPr>
                <w:rFonts w:ascii="Times New Roman" w:hAnsi="Times New Roman" w:cs="Times New Roman"/>
                <w:b/>
                <w:bCs/>
                <w:noProof/>
                <w:kern w:val="0"/>
                <w:sz w:val="24"/>
              </w:rPr>
            </w:pPr>
            <w:r w:rsidRPr="00CE7E55">
              <w:rPr>
                <w:rFonts w:ascii="Times New Roman" w:hAnsi="Times New Roman" w:cs="Times New Roman"/>
                <w:b/>
                <w:bCs/>
                <w:noProof/>
                <w:kern w:val="0"/>
                <w:sz w:val="24"/>
              </w:rPr>
              <w:t>378</w:t>
            </w:r>
          </w:p>
        </w:tc>
      </w:tr>
    </w:tbl>
    <w:p w14:paraId="251C51CD" w14:textId="77777777" w:rsidR="00CE7E55" w:rsidRPr="00CE7E55" w:rsidRDefault="00CE7E55" w:rsidP="00CE7E55">
      <w:pPr>
        <w:jc w:val="both"/>
        <w:rPr>
          <w:rFonts w:ascii="Times New Roman" w:hAnsi="Times New Roman" w:cs="Times New Roman"/>
          <w:noProof/>
          <w:kern w:val="0"/>
          <w:sz w:val="24"/>
        </w:rPr>
      </w:pPr>
    </w:p>
    <w:p w14:paraId="4A7AF39F" w14:textId="77777777" w:rsidR="00CE7E55" w:rsidRPr="00CE7E55" w:rsidRDefault="00CE7E55" w:rsidP="00CE7E55">
      <w:pPr>
        <w:jc w:val="both"/>
        <w:rPr>
          <w:rFonts w:ascii="Times New Roman" w:hAnsi="Times New Roman" w:cs="Times New Roman"/>
          <w:noProof/>
          <w:kern w:val="0"/>
          <w:sz w:val="24"/>
        </w:rPr>
      </w:pPr>
      <w:r w:rsidRPr="00CE7E55">
        <w:rPr>
          <w:rFonts w:ascii="Times New Roman" w:hAnsi="Times New Roman" w:cs="Times New Roman"/>
          <w:b/>
          <w:bCs/>
          <w:noProof/>
          <w:kern w:val="0"/>
          <w:sz w:val="24"/>
        </w:rPr>
        <w:t>Table 3.</w:t>
      </w:r>
      <w:r w:rsidRPr="00CE7E55">
        <w:rPr>
          <w:rFonts w:ascii="Times New Roman" w:hAnsi="Times New Roman" w:cs="Times New Roman"/>
          <w:noProof/>
          <w:kern w:val="0"/>
          <w:sz w:val="24"/>
        </w:rPr>
        <w:t xml:space="preserve"> Frequency distribution of the characteristics of included articles</w:t>
      </w:r>
    </w:p>
    <w:tbl>
      <w:tblPr>
        <w:tblW w:w="9067" w:type="dxa"/>
        <w:tblLayout w:type="fixed"/>
        <w:tblLook w:val="04A0" w:firstRow="1" w:lastRow="0" w:firstColumn="1" w:lastColumn="0" w:noHBand="0" w:noVBand="1"/>
      </w:tblPr>
      <w:tblGrid>
        <w:gridCol w:w="1830"/>
        <w:gridCol w:w="3127"/>
        <w:gridCol w:w="1842"/>
        <w:gridCol w:w="2268"/>
      </w:tblGrid>
      <w:tr w:rsidR="0059166D" w:rsidRPr="0059166D" w14:paraId="4DA4CD6D" w14:textId="77777777" w:rsidTr="002B349D">
        <w:trPr>
          <w:trHeight w:val="300"/>
        </w:trPr>
        <w:tc>
          <w:tcPr>
            <w:tcW w:w="1830" w:type="dxa"/>
            <w:tcBorders>
              <w:top w:val="single" w:sz="4" w:space="0" w:color="auto"/>
              <w:left w:val="single" w:sz="4" w:space="0" w:color="auto"/>
              <w:bottom w:val="single" w:sz="4" w:space="0" w:color="auto"/>
              <w:right w:val="single" w:sz="4" w:space="0" w:color="auto"/>
            </w:tcBorders>
            <w:noWrap/>
            <w:vAlign w:val="center"/>
            <w:hideMark/>
          </w:tcPr>
          <w:p w14:paraId="7C6C1EFA" w14:textId="77777777" w:rsidR="0059166D" w:rsidRPr="0059166D" w:rsidRDefault="0059166D" w:rsidP="002B349D">
            <w:pPr>
              <w:jc w:val="center"/>
              <w:rPr>
                <w:rFonts w:ascii="Times New Roman" w:hAnsi="Times New Roman" w:cs="Times New Roman"/>
                <w:b/>
                <w:bCs/>
                <w:noProof/>
                <w:kern w:val="0"/>
                <w:sz w:val="24"/>
              </w:rPr>
            </w:pPr>
            <w:r w:rsidRPr="0059166D">
              <w:rPr>
                <w:rFonts w:ascii="Times New Roman" w:hAnsi="Times New Roman" w:cs="Times New Roman"/>
                <w:b/>
                <w:bCs/>
                <w:noProof/>
                <w:kern w:val="0"/>
                <w:sz w:val="24"/>
              </w:rPr>
              <w:t>Characteristic</w:t>
            </w:r>
          </w:p>
        </w:tc>
        <w:tc>
          <w:tcPr>
            <w:tcW w:w="3127" w:type="dxa"/>
            <w:tcBorders>
              <w:top w:val="single" w:sz="4" w:space="0" w:color="auto"/>
              <w:left w:val="nil"/>
              <w:bottom w:val="single" w:sz="4" w:space="0" w:color="auto"/>
              <w:right w:val="single" w:sz="4" w:space="0" w:color="auto"/>
            </w:tcBorders>
            <w:noWrap/>
            <w:vAlign w:val="center"/>
            <w:hideMark/>
          </w:tcPr>
          <w:p w14:paraId="5AED47E4" w14:textId="77777777" w:rsidR="0059166D" w:rsidRPr="0059166D" w:rsidRDefault="0059166D" w:rsidP="002B349D">
            <w:pPr>
              <w:jc w:val="center"/>
              <w:rPr>
                <w:rFonts w:ascii="Times New Roman" w:hAnsi="Times New Roman" w:cs="Times New Roman"/>
                <w:b/>
                <w:bCs/>
                <w:noProof/>
                <w:kern w:val="0"/>
                <w:sz w:val="24"/>
              </w:rPr>
            </w:pPr>
            <w:r w:rsidRPr="0059166D">
              <w:rPr>
                <w:rFonts w:ascii="Times New Roman" w:hAnsi="Times New Roman" w:cs="Times New Roman"/>
                <w:b/>
                <w:bCs/>
                <w:noProof/>
                <w:kern w:val="0"/>
                <w:sz w:val="24"/>
              </w:rPr>
              <w:t>Category</w:t>
            </w:r>
          </w:p>
        </w:tc>
        <w:tc>
          <w:tcPr>
            <w:tcW w:w="1842" w:type="dxa"/>
            <w:tcBorders>
              <w:top w:val="single" w:sz="4" w:space="0" w:color="auto"/>
              <w:left w:val="nil"/>
              <w:bottom w:val="single" w:sz="4" w:space="0" w:color="auto"/>
              <w:right w:val="single" w:sz="4" w:space="0" w:color="auto"/>
            </w:tcBorders>
            <w:noWrap/>
            <w:vAlign w:val="center"/>
            <w:hideMark/>
          </w:tcPr>
          <w:p w14:paraId="5BEBE565" w14:textId="77777777" w:rsidR="0059166D" w:rsidRPr="0059166D" w:rsidRDefault="0059166D" w:rsidP="002B349D">
            <w:pPr>
              <w:jc w:val="center"/>
              <w:rPr>
                <w:rFonts w:ascii="Times New Roman" w:hAnsi="Times New Roman" w:cs="Times New Roman"/>
                <w:b/>
                <w:bCs/>
                <w:noProof/>
                <w:kern w:val="0"/>
                <w:sz w:val="24"/>
              </w:rPr>
            </w:pPr>
            <w:r w:rsidRPr="0059166D">
              <w:rPr>
                <w:rFonts w:ascii="Times New Roman" w:hAnsi="Times New Roman" w:cs="Times New Roman"/>
                <w:b/>
                <w:bCs/>
                <w:noProof/>
                <w:kern w:val="0"/>
                <w:sz w:val="24"/>
              </w:rPr>
              <w:t>Frequency</w:t>
            </w:r>
          </w:p>
        </w:tc>
        <w:tc>
          <w:tcPr>
            <w:tcW w:w="2268" w:type="dxa"/>
            <w:tcBorders>
              <w:top w:val="single" w:sz="4" w:space="0" w:color="auto"/>
              <w:left w:val="nil"/>
              <w:bottom w:val="single" w:sz="4" w:space="0" w:color="auto"/>
              <w:right w:val="single" w:sz="4" w:space="0" w:color="auto"/>
            </w:tcBorders>
            <w:noWrap/>
            <w:vAlign w:val="center"/>
            <w:hideMark/>
          </w:tcPr>
          <w:p w14:paraId="03CC3F4B" w14:textId="77777777" w:rsidR="0059166D" w:rsidRPr="0059166D" w:rsidRDefault="0059166D" w:rsidP="002B349D">
            <w:pPr>
              <w:jc w:val="center"/>
              <w:rPr>
                <w:rFonts w:ascii="Times New Roman" w:hAnsi="Times New Roman" w:cs="Times New Roman"/>
                <w:b/>
                <w:bCs/>
                <w:noProof/>
                <w:kern w:val="0"/>
                <w:sz w:val="24"/>
              </w:rPr>
            </w:pPr>
            <w:r w:rsidRPr="0059166D">
              <w:rPr>
                <w:rFonts w:ascii="Times New Roman" w:hAnsi="Times New Roman" w:cs="Times New Roman"/>
                <w:b/>
                <w:bCs/>
                <w:noProof/>
                <w:kern w:val="0"/>
                <w:sz w:val="24"/>
              </w:rPr>
              <w:t>Percentage</w:t>
            </w:r>
          </w:p>
        </w:tc>
      </w:tr>
      <w:tr w:rsidR="0059166D" w:rsidRPr="0059166D" w14:paraId="699FDF22"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4669BCBE"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Publication year</w:t>
            </w:r>
          </w:p>
        </w:tc>
        <w:tc>
          <w:tcPr>
            <w:tcW w:w="3127" w:type="dxa"/>
            <w:tcBorders>
              <w:top w:val="nil"/>
              <w:left w:val="nil"/>
              <w:bottom w:val="single" w:sz="4" w:space="0" w:color="auto"/>
              <w:right w:val="single" w:sz="4" w:space="0" w:color="auto"/>
            </w:tcBorders>
            <w:noWrap/>
            <w:vAlign w:val="center"/>
            <w:hideMark/>
          </w:tcPr>
          <w:p w14:paraId="617A9F4F"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2017</w:t>
            </w:r>
          </w:p>
        </w:tc>
        <w:tc>
          <w:tcPr>
            <w:tcW w:w="1842" w:type="dxa"/>
            <w:tcBorders>
              <w:top w:val="nil"/>
              <w:left w:val="nil"/>
              <w:bottom w:val="single" w:sz="4" w:space="0" w:color="auto"/>
              <w:right w:val="single" w:sz="4" w:space="0" w:color="auto"/>
            </w:tcBorders>
            <w:noWrap/>
            <w:vAlign w:val="center"/>
            <w:hideMark/>
          </w:tcPr>
          <w:p w14:paraId="383E952F"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53EDECBD" w14:textId="1635F51C"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42386812"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353FF857"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7226E50A"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2019</w:t>
            </w:r>
          </w:p>
        </w:tc>
        <w:tc>
          <w:tcPr>
            <w:tcW w:w="1842" w:type="dxa"/>
            <w:tcBorders>
              <w:top w:val="nil"/>
              <w:left w:val="nil"/>
              <w:bottom w:val="single" w:sz="4" w:space="0" w:color="auto"/>
              <w:right w:val="single" w:sz="4" w:space="0" w:color="auto"/>
            </w:tcBorders>
            <w:noWrap/>
            <w:vAlign w:val="center"/>
            <w:hideMark/>
          </w:tcPr>
          <w:p w14:paraId="592D9CC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w:t>
            </w:r>
          </w:p>
        </w:tc>
        <w:tc>
          <w:tcPr>
            <w:tcW w:w="2268" w:type="dxa"/>
            <w:tcBorders>
              <w:top w:val="nil"/>
              <w:left w:val="nil"/>
              <w:bottom w:val="single" w:sz="4" w:space="0" w:color="auto"/>
              <w:right w:val="single" w:sz="4" w:space="0" w:color="auto"/>
            </w:tcBorders>
            <w:noWrap/>
            <w:vAlign w:val="center"/>
            <w:hideMark/>
          </w:tcPr>
          <w:p w14:paraId="45E37626" w14:textId="03F55AF0"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16</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7%</w:t>
            </w:r>
          </w:p>
        </w:tc>
      </w:tr>
      <w:tr w:rsidR="0059166D" w:rsidRPr="0059166D" w14:paraId="5BF05198"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8FD5355"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7972A0B8"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2021</w:t>
            </w:r>
          </w:p>
        </w:tc>
        <w:tc>
          <w:tcPr>
            <w:tcW w:w="1842" w:type="dxa"/>
            <w:tcBorders>
              <w:top w:val="nil"/>
              <w:left w:val="nil"/>
              <w:bottom w:val="single" w:sz="4" w:space="0" w:color="auto"/>
              <w:right w:val="single" w:sz="4" w:space="0" w:color="auto"/>
            </w:tcBorders>
            <w:noWrap/>
            <w:vAlign w:val="center"/>
            <w:hideMark/>
          </w:tcPr>
          <w:p w14:paraId="3D8C9F9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56D246BB" w14:textId="18FDA4C1"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02E4B18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2D771002"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4BADE3C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2022</w:t>
            </w:r>
          </w:p>
        </w:tc>
        <w:tc>
          <w:tcPr>
            <w:tcW w:w="1842" w:type="dxa"/>
            <w:tcBorders>
              <w:top w:val="nil"/>
              <w:left w:val="nil"/>
              <w:bottom w:val="single" w:sz="4" w:space="0" w:color="auto"/>
              <w:right w:val="single" w:sz="4" w:space="0" w:color="auto"/>
            </w:tcBorders>
            <w:noWrap/>
            <w:vAlign w:val="center"/>
            <w:hideMark/>
          </w:tcPr>
          <w:p w14:paraId="69076ACE"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5C995F2A" w14:textId="646675E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7141DAC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1A7BC876"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19C61BBB"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2023</w:t>
            </w:r>
          </w:p>
        </w:tc>
        <w:tc>
          <w:tcPr>
            <w:tcW w:w="1842" w:type="dxa"/>
            <w:tcBorders>
              <w:top w:val="nil"/>
              <w:left w:val="nil"/>
              <w:bottom w:val="single" w:sz="4" w:space="0" w:color="auto"/>
              <w:right w:val="single" w:sz="4" w:space="0" w:color="auto"/>
            </w:tcBorders>
            <w:noWrap/>
            <w:vAlign w:val="center"/>
            <w:hideMark/>
          </w:tcPr>
          <w:p w14:paraId="60229CA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2AE012E6" w14:textId="5087FB3A"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1B7EC6BD"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6738467"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18AB113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2024</w:t>
            </w:r>
          </w:p>
        </w:tc>
        <w:tc>
          <w:tcPr>
            <w:tcW w:w="1842" w:type="dxa"/>
            <w:tcBorders>
              <w:top w:val="nil"/>
              <w:left w:val="nil"/>
              <w:bottom w:val="single" w:sz="4" w:space="0" w:color="auto"/>
              <w:right w:val="single" w:sz="4" w:space="0" w:color="auto"/>
            </w:tcBorders>
            <w:noWrap/>
            <w:vAlign w:val="center"/>
            <w:hideMark/>
          </w:tcPr>
          <w:p w14:paraId="75BFAAB0"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550427FC" w14:textId="08EDED2E"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0A6A2C89"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699B127B"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7D20E00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2025</w:t>
            </w:r>
          </w:p>
        </w:tc>
        <w:tc>
          <w:tcPr>
            <w:tcW w:w="1842" w:type="dxa"/>
            <w:tcBorders>
              <w:top w:val="nil"/>
              <w:left w:val="nil"/>
              <w:bottom w:val="single" w:sz="4" w:space="0" w:color="auto"/>
              <w:right w:val="single" w:sz="4" w:space="0" w:color="auto"/>
            </w:tcBorders>
            <w:noWrap/>
            <w:vAlign w:val="center"/>
            <w:hideMark/>
          </w:tcPr>
          <w:p w14:paraId="713E991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09833A8F" w14:textId="5AB4EBA3"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1BC79186"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263B3A2B" w14:textId="77777777" w:rsidR="0059166D" w:rsidRPr="0059166D" w:rsidRDefault="0059166D" w:rsidP="0059166D">
            <w:pPr>
              <w:rPr>
                <w:rFonts w:ascii="Times New Roman" w:hAnsi="Times New Roman" w:cs="Times New Roman"/>
                <w:noProof/>
                <w:kern w:val="0"/>
                <w:sz w:val="24"/>
              </w:rPr>
            </w:pPr>
            <w:r w:rsidRPr="0059166D">
              <w:rPr>
                <w:rFonts w:ascii="Times New Roman" w:hAnsi="Times New Roman" w:cs="Times New Roman"/>
                <w:noProof/>
                <w:kern w:val="0"/>
                <w:sz w:val="24"/>
              </w:rPr>
              <w:t>Country / data source</w:t>
            </w:r>
          </w:p>
        </w:tc>
        <w:tc>
          <w:tcPr>
            <w:tcW w:w="3127" w:type="dxa"/>
            <w:tcBorders>
              <w:top w:val="nil"/>
              <w:left w:val="nil"/>
              <w:bottom w:val="single" w:sz="4" w:space="0" w:color="auto"/>
              <w:right w:val="single" w:sz="4" w:space="0" w:color="auto"/>
            </w:tcBorders>
            <w:noWrap/>
            <w:vAlign w:val="center"/>
            <w:hideMark/>
          </w:tcPr>
          <w:p w14:paraId="4933588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Taiwan</w:t>
            </w:r>
          </w:p>
        </w:tc>
        <w:tc>
          <w:tcPr>
            <w:tcW w:w="1842" w:type="dxa"/>
            <w:tcBorders>
              <w:top w:val="nil"/>
              <w:left w:val="nil"/>
              <w:bottom w:val="single" w:sz="4" w:space="0" w:color="auto"/>
              <w:right w:val="single" w:sz="4" w:space="0" w:color="auto"/>
            </w:tcBorders>
            <w:noWrap/>
            <w:vAlign w:val="center"/>
            <w:hideMark/>
          </w:tcPr>
          <w:p w14:paraId="51D7921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560BBFBD" w14:textId="22AE8AB8"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4E46DCFA"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52268FAE"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2C62E36C"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South Korea</w:t>
            </w:r>
          </w:p>
        </w:tc>
        <w:tc>
          <w:tcPr>
            <w:tcW w:w="1842" w:type="dxa"/>
            <w:tcBorders>
              <w:top w:val="nil"/>
              <w:left w:val="nil"/>
              <w:bottom w:val="single" w:sz="4" w:space="0" w:color="auto"/>
              <w:right w:val="single" w:sz="4" w:space="0" w:color="auto"/>
            </w:tcBorders>
            <w:noWrap/>
            <w:vAlign w:val="center"/>
            <w:hideMark/>
          </w:tcPr>
          <w:p w14:paraId="68BB7E9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7BF3AD28" w14:textId="0454F210"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0BBEE0E0"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F984FFE"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61418FB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United States</w:t>
            </w:r>
          </w:p>
        </w:tc>
        <w:tc>
          <w:tcPr>
            <w:tcW w:w="1842" w:type="dxa"/>
            <w:tcBorders>
              <w:top w:val="nil"/>
              <w:left w:val="nil"/>
              <w:bottom w:val="single" w:sz="4" w:space="0" w:color="auto"/>
              <w:right w:val="single" w:sz="4" w:space="0" w:color="auto"/>
            </w:tcBorders>
            <w:noWrap/>
            <w:vAlign w:val="center"/>
            <w:hideMark/>
          </w:tcPr>
          <w:p w14:paraId="2B32AA5C"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51BE4737" w14:textId="586102A8"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0DFF5DD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34C5A753"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1DB0EC9A"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Mexico</w:t>
            </w:r>
          </w:p>
        </w:tc>
        <w:tc>
          <w:tcPr>
            <w:tcW w:w="1842" w:type="dxa"/>
            <w:tcBorders>
              <w:top w:val="nil"/>
              <w:left w:val="nil"/>
              <w:bottom w:val="single" w:sz="4" w:space="0" w:color="auto"/>
              <w:right w:val="single" w:sz="4" w:space="0" w:color="auto"/>
            </w:tcBorders>
            <w:noWrap/>
            <w:vAlign w:val="center"/>
            <w:hideMark/>
          </w:tcPr>
          <w:p w14:paraId="2771946E"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4B581A8D" w14:textId="20C8972E"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2EB49ED0"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18C04ABD"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240006A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Japan</w:t>
            </w:r>
          </w:p>
        </w:tc>
        <w:tc>
          <w:tcPr>
            <w:tcW w:w="1842" w:type="dxa"/>
            <w:tcBorders>
              <w:top w:val="nil"/>
              <w:left w:val="nil"/>
              <w:bottom w:val="single" w:sz="4" w:space="0" w:color="auto"/>
              <w:right w:val="single" w:sz="4" w:space="0" w:color="auto"/>
            </w:tcBorders>
            <w:noWrap/>
            <w:vAlign w:val="center"/>
            <w:hideMark/>
          </w:tcPr>
          <w:p w14:paraId="300B43C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3B3300DB" w14:textId="5C8A12C2"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2AB5A227"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623D4F74"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651DF05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Spain</w:t>
            </w:r>
          </w:p>
        </w:tc>
        <w:tc>
          <w:tcPr>
            <w:tcW w:w="1842" w:type="dxa"/>
            <w:tcBorders>
              <w:top w:val="nil"/>
              <w:left w:val="nil"/>
              <w:bottom w:val="single" w:sz="4" w:space="0" w:color="auto"/>
              <w:right w:val="single" w:sz="4" w:space="0" w:color="auto"/>
            </w:tcBorders>
            <w:noWrap/>
            <w:vAlign w:val="center"/>
            <w:hideMark/>
          </w:tcPr>
          <w:p w14:paraId="4899A287"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48FCF0FB" w14:textId="381F1253"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784D00A3"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151A8B4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Research design</w:t>
            </w:r>
          </w:p>
        </w:tc>
        <w:tc>
          <w:tcPr>
            <w:tcW w:w="3127" w:type="dxa"/>
            <w:tcBorders>
              <w:top w:val="nil"/>
              <w:left w:val="nil"/>
              <w:bottom w:val="single" w:sz="4" w:space="0" w:color="auto"/>
              <w:right w:val="single" w:sz="4" w:space="0" w:color="auto"/>
            </w:tcBorders>
            <w:noWrap/>
            <w:vAlign w:val="center"/>
            <w:hideMark/>
          </w:tcPr>
          <w:p w14:paraId="365D3BB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Cohort / population-based cohort</w:t>
            </w:r>
          </w:p>
        </w:tc>
        <w:tc>
          <w:tcPr>
            <w:tcW w:w="1842" w:type="dxa"/>
            <w:tcBorders>
              <w:top w:val="nil"/>
              <w:left w:val="nil"/>
              <w:bottom w:val="single" w:sz="4" w:space="0" w:color="auto"/>
              <w:right w:val="single" w:sz="4" w:space="0" w:color="auto"/>
            </w:tcBorders>
            <w:noWrap/>
            <w:vAlign w:val="center"/>
            <w:hideMark/>
          </w:tcPr>
          <w:p w14:paraId="31C7D18A"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6</w:t>
            </w:r>
          </w:p>
        </w:tc>
        <w:tc>
          <w:tcPr>
            <w:tcW w:w="2268" w:type="dxa"/>
            <w:tcBorders>
              <w:top w:val="nil"/>
              <w:left w:val="nil"/>
              <w:bottom w:val="single" w:sz="4" w:space="0" w:color="auto"/>
              <w:right w:val="single" w:sz="4" w:space="0" w:color="auto"/>
            </w:tcBorders>
            <w:noWrap/>
            <w:vAlign w:val="center"/>
            <w:hideMark/>
          </w:tcPr>
          <w:p w14:paraId="59BE659C" w14:textId="1F21B46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5035E4E6"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3D1E6DCB"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5366D2E5"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Cross-sectional / observational analytical study</w:t>
            </w:r>
          </w:p>
        </w:tc>
        <w:tc>
          <w:tcPr>
            <w:tcW w:w="1842" w:type="dxa"/>
            <w:tcBorders>
              <w:top w:val="nil"/>
              <w:left w:val="nil"/>
              <w:bottom w:val="single" w:sz="4" w:space="0" w:color="auto"/>
              <w:right w:val="single" w:sz="4" w:space="0" w:color="auto"/>
            </w:tcBorders>
            <w:noWrap/>
            <w:vAlign w:val="center"/>
            <w:hideMark/>
          </w:tcPr>
          <w:p w14:paraId="2AB58657"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6</w:t>
            </w:r>
          </w:p>
        </w:tc>
        <w:tc>
          <w:tcPr>
            <w:tcW w:w="2268" w:type="dxa"/>
            <w:tcBorders>
              <w:top w:val="nil"/>
              <w:left w:val="nil"/>
              <w:bottom w:val="single" w:sz="4" w:space="0" w:color="auto"/>
              <w:right w:val="single" w:sz="4" w:space="0" w:color="auto"/>
            </w:tcBorders>
            <w:noWrap/>
            <w:vAlign w:val="center"/>
            <w:hideMark/>
          </w:tcPr>
          <w:p w14:paraId="10EF87B5" w14:textId="41468B6F"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6115484C"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3E9B2399"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Type of outcome</w:t>
            </w:r>
          </w:p>
        </w:tc>
        <w:tc>
          <w:tcPr>
            <w:tcW w:w="3127" w:type="dxa"/>
            <w:tcBorders>
              <w:top w:val="nil"/>
              <w:left w:val="nil"/>
              <w:bottom w:val="single" w:sz="4" w:space="0" w:color="auto"/>
              <w:right w:val="single" w:sz="4" w:space="0" w:color="auto"/>
            </w:tcBorders>
            <w:noWrap/>
            <w:vAlign w:val="center"/>
            <w:hideMark/>
          </w:tcPr>
          <w:p w14:paraId="60B16877"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Cognitive impairment / mild cognitive impairment / amyloid pathology</w:t>
            </w:r>
          </w:p>
        </w:tc>
        <w:tc>
          <w:tcPr>
            <w:tcW w:w="1842" w:type="dxa"/>
            <w:tcBorders>
              <w:top w:val="nil"/>
              <w:left w:val="nil"/>
              <w:bottom w:val="single" w:sz="4" w:space="0" w:color="auto"/>
              <w:right w:val="single" w:sz="4" w:space="0" w:color="auto"/>
            </w:tcBorders>
            <w:noWrap/>
            <w:vAlign w:val="center"/>
            <w:hideMark/>
          </w:tcPr>
          <w:p w14:paraId="11018CCD"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6</w:t>
            </w:r>
          </w:p>
        </w:tc>
        <w:tc>
          <w:tcPr>
            <w:tcW w:w="2268" w:type="dxa"/>
            <w:tcBorders>
              <w:top w:val="nil"/>
              <w:left w:val="nil"/>
              <w:bottom w:val="single" w:sz="4" w:space="0" w:color="auto"/>
              <w:right w:val="single" w:sz="4" w:space="0" w:color="auto"/>
            </w:tcBorders>
            <w:noWrap/>
            <w:vAlign w:val="center"/>
            <w:hideMark/>
          </w:tcPr>
          <w:p w14:paraId="038359B6" w14:textId="5C30EE96"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258F6396"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88379C2"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36E2BB67"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Dementia / Alzheimer’s disease / vascular dementia</w:t>
            </w:r>
          </w:p>
        </w:tc>
        <w:tc>
          <w:tcPr>
            <w:tcW w:w="1842" w:type="dxa"/>
            <w:tcBorders>
              <w:top w:val="nil"/>
              <w:left w:val="nil"/>
              <w:bottom w:val="single" w:sz="4" w:space="0" w:color="auto"/>
              <w:right w:val="single" w:sz="4" w:space="0" w:color="auto"/>
            </w:tcBorders>
            <w:noWrap/>
            <w:vAlign w:val="center"/>
            <w:hideMark/>
          </w:tcPr>
          <w:p w14:paraId="333C338A"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w:t>
            </w:r>
          </w:p>
        </w:tc>
        <w:tc>
          <w:tcPr>
            <w:tcW w:w="2268" w:type="dxa"/>
            <w:tcBorders>
              <w:top w:val="nil"/>
              <w:left w:val="nil"/>
              <w:bottom w:val="single" w:sz="4" w:space="0" w:color="auto"/>
              <w:right w:val="single" w:sz="4" w:space="0" w:color="auto"/>
            </w:tcBorders>
            <w:noWrap/>
            <w:vAlign w:val="center"/>
            <w:hideMark/>
          </w:tcPr>
          <w:p w14:paraId="2791F5CC" w14:textId="4DFFFD14"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41</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7%</w:t>
            </w:r>
          </w:p>
        </w:tc>
      </w:tr>
      <w:tr w:rsidR="0059166D" w:rsidRPr="0059166D" w14:paraId="5D619AAA"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08EC281E"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66CBCA55"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Parkinson’s disease</w:t>
            </w:r>
          </w:p>
        </w:tc>
        <w:tc>
          <w:tcPr>
            <w:tcW w:w="1842" w:type="dxa"/>
            <w:tcBorders>
              <w:top w:val="nil"/>
              <w:left w:val="nil"/>
              <w:bottom w:val="single" w:sz="4" w:space="0" w:color="auto"/>
              <w:right w:val="single" w:sz="4" w:space="0" w:color="auto"/>
            </w:tcBorders>
            <w:noWrap/>
            <w:vAlign w:val="center"/>
            <w:hideMark/>
          </w:tcPr>
          <w:p w14:paraId="331E0B00"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2298DCF6" w14:textId="4A2847F6"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2A1CED8E"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047748AC" w14:textId="77777777" w:rsidR="0059166D" w:rsidRPr="0059166D" w:rsidRDefault="0059166D" w:rsidP="0059166D">
            <w:pPr>
              <w:rPr>
                <w:rFonts w:ascii="Times New Roman" w:hAnsi="Times New Roman" w:cs="Times New Roman"/>
                <w:noProof/>
                <w:kern w:val="0"/>
                <w:sz w:val="24"/>
              </w:rPr>
            </w:pPr>
            <w:r w:rsidRPr="0059166D">
              <w:rPr>
                <w:rFonts w:ascii="Times New Roman" w:hAnsi="Times New Roman" w:cs="Times New Roman"/>
                <w:noProof/>
                <w:kern w:val="0"/>
                <w:sz w:val="24"/>
              </w:rPr>
              <w:t>Main statistical measure</w:t>
            </w:r>
          </w:p>
        </w:tc>
        <w:tc>
          <w:tcPr>
            <w:tcW w:w="3127" w:type="dxa"/>
            <w:tcBorders>
              <w:top w:val="nil"/>
              <w:left w:val="nil"/>
              <w:bottom w:val="single" w:sz="4" w:space="0" w:color="auto"/>
              <w:right w:val="single" w:sz="4" w:space="0" w:color="auto"/>
            </w:tcBorders>
            <w:noWrap/>
            <w:vAlign w:val="center"/>
            <w:hideMark/>
          </w:tcPr>
          <w:p w14:paraId="6F2BAAF3"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HR / aHR</w:t>
            </w:r>
          </w:p>
        </w:tc>
        <w:tc>
          <w:tcPr>
            <w:tcW w:w="1842" w:type="dxa"/>
            <w:tcBorders>
              <w:top w:val="nil"/>
              <w:left w:val="nil"/>
              <w:bottom w:val="single" w:sz="4" w:space="0" w:color="auto"/>
              <w:right w:val="single" w:sz="4" w:space="0" w:color="auto"/>
            </w:tcBorders>
            <w:noWrap/>
            <w:vAlign w:val="center"/>
            <w:hideMark/>
          </w:tcPr>
          <w:p w14:paraId="794A1C8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6</w:t>
            </w:r>
          </w:p>
        </w:tc>
        <w:tc>
          <w:tcPr>
            <w:tcW w:w="2268" w:type="dxa"/>
            <w:tcBorders>
              <w:top w:val="nil"/>
              <w:left w:val="nil"/>
              <w:bottom w:val="single" w:sz="4" w:space="0" w:color="auto"/>
              <w:right w:val="single" w:sz="4" w:space="0" w:color="auto"/>
            </w:tcBorders>
            <w:noWrap/>
            <w:vAlign w:val="center"/>
            <w:hideMark/>
          </w:tcPr>
          <w:p w14:paraId="2B34F80E" w14:textId="4CEE7633"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6BC4AB16"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32D22A77"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43B3F4D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OR / AOR</w:t>
            </w:r>
          </w:p>
        </w:tc>
        <w:tc>
          <w:tcPr>
            <w:tcW w:w="1842" w:type="dxa"/>
            <w:tcBorders>
              <w:top w:val="nil"/>
              <w:left w:val="nil"/>
              <w:bottom w:val="single" w:sz="4" w:space="0" w:color="auto"/>
              <w:right w:val="single" w:sz="4" w:space="0" w:color="auto"/>
            </w:tcBorders>
            <w:noWrap/>
            <w:vAlign w:val="center"/>
            <w:hideMark/>
          </w:tcPr>
          <w:p w14:paraId="69C3CABE"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w:t>
            </w:r>
          </w:p>
        </w:tc>
        <w:tc>
          <w:tcPr>
            <w:tcW w:w="2268" w:type="dxa"/>
            <w:tcBorders>
              <w:top w:val="nil"/>
              <w:left w:val="nil"/>
              <w:bottom w:val="single" w:sz="4" w:space="0" w:color="auto"/>
              <w:right w:val="single" w:sz="4" w:space="0" w:color="auto"/>
            </w:tcBorders>
            <w:noWrap/>
            <w:vAlign w:val="center"/>
            <w:hideMark/>
          </w:tcPr>
          <w:p w14:paraId="1745CC8B" w14:textId="7CE9792D"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41</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7%</w:t>
            </w:r>
          </w:p>
        </w:tc>
      </w:tr>
      <w:tr w:rsidR="0059166D" w:rsidRPr="0059166D" w14:paraId="06962CBC"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72E46CD7"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40306C1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β coefficient and p-value</w:t>
            </w:r>
          </w:p>
        </w:tc>
        <w:tc>
          <w:tcPr>
            <w:tcW w:w="1842" w:type="dxa"/>
            <w:tcBorders>
              <w:top w:val="nil"/>
              <w:left w:val="nil"/>
              <w:bottom w:val="single" w:sz="4" w:space="0" w:color="auto"/>
              <w:right w:val="single" w:sz="4" w:space="0" w:color="auto"/>
            </w:tcBorders>
            <w:noWrap/>
            <w:vAlign w:val="center"/>
            <w:hideMark/>
          </w:tcPr>
          <w:p w14:paraId="1CAE9AAD"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w:t>
            </w:r>
          </w:p>
        </w:tc>
        <w:tc>
          <w:tcPr>
            <w:tcW w:w="2268" w:type="dxa"/>
            <w:tcBorders>
              <w:top w:val="nil"/>
              <w:left w:val="nil"/>
              <w:bottom w:val="single" w:sz="4" w:space="0" w:color="auto"/>
              <w:right w:val="single" w:sz="4" w:space="0" w:color="auto"/>
            </w:tcBorders>
            <w:noWrap/>
            <w:vAlign w:val="center"/>
            <w:hideMark/>
          </w:tcPr>
          <w:p w14:paraId="717091CC" w14:textId="17580349"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8</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08E358A4" w14:textId="77777777" w:rsidTr="00FA79AF">
        <w:trPr>
          <w:trHeight w:val="310"/>
        </w:trPr>
        <w:tc>
          <w:tcPr>
            <w:tcW w:w="1830" w:type="dxa"/>
            <w:vMerge w:val="restart"/>
            <w:tcBorders>
              <w:top w:val="nil"/>
              <w:left w:val="single" w:sz="4" w:space="0" w:color="auto"/>
              <w:bottom w:val="single" w:sz="4" w:space="0" w:color="auto"/>
              <w:right w:val="single" w:sz="4" w:space="0" w:color="auto"/>
            </w:tcBorders>
            <w:noWrap/>
            <w:vAlign w:val="center"/>
            <w:hideMark/>
          </w:tcPr>
          <w:p w14:paraId="4A3ED1E2"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Sample size</w:t>
            </w:r>
          </w:p>
        </w:tc>
        <w:tc>
          <w:tcPr>
            <w:tcW w:w="3127" w:type="dxa"/>
            <w:tcBorders>
              <w:top w:val="nil"/>
              <w:left w:val="nil"/>
              <w:bottom w:val="single" w:sz="4" w:space="0" w:color="auto"/>
              <w:right w:val="single" w:sz="4" w:space="0" w:color="auto"/>
            </w:tcBorders>
            <w:noWrap/>
            <w:vAlign w:val="center"/>
            <w:hideMark/>
          </w:tcPr>
          <w:p w14:paraId="67069DAC"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&lt;500 respondents</w:t>
            </w:r>
          </w:p>
        </w:tc>
        <w:tc>
          <w:tcPr>
            <w:tcW w:w="1842" w:type="dxa"/>
            <w:tcBorders>
              <w:top w:val="nil"/>
              <w:left w:val="nil"/>
              <w:bottom w:val="single" w:sz="4" w:space="0" w:color="auto"/>
              <w:right w:val="single" w:sz="4" w:space="0" w:color="auto"/>
            </w:tcBorders>
            <w:noWrap/>
            <w:vAlign w:val="center"/>
            <w:hideMark/>
          </w:tcPr>
          <w:p w14:paraId="03DBAFC5"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1DF2DBB4" w14:textId="7FBFC0A4"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r w:rsidR="0059166D" w:rsidRPr="0059166D" w14:paraId="1FF9C59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14CC53A9"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7DB24A31"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500–4.999 respondents</w:t>
            </w:r>
          </w:p>
        </w:tc>
        <w:tc>
          <w:tcPr>
            <w:tcW w:w="1842" w:type="dxa"/>
            <w:tcBorders>
              <w:top w:val="nil"/>
              <w:left w:val="nil"/>
              <w:bottom w:val="single" w:sz="4" w:space="0" w:color="auto"/>
              <w:right w:val="single" w:sz="4" w:space="0" w:color="auto"/>
            </w:tcBorders>
            <w:noWrap/>
            <w:vAlign w:val="center"/>
            <w:hideMark/>
          </w:tcPr>
          <w:p w14:paraId="3BD524CD"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w:t>
            </w:r>
          </w:p>
        </w:tc>
        <w:tc>
          <w:tcPr>
            <w:tcW w:w="2268" w:type="dxa"/>
            <w:tcBorders>
              <w:top w:val="nil"/>
              <w:left w:val="nil"/>
              <w:bottom w:val="single" w:sz="4" w:space="0" w:color="auto"/>
              <w:right w:val="single" w:sz="4" w:space="0" w:color="auto"/>
            </w:tcBorders>
            <w:noWrap/>
            <w:vAlign w:val="center"/>
            <w:hideMark/>
          </w:tcPr>
          <w:p w14:paraId="7AF18EA2" w14:textId="2B63C0A6"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16</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7%</w:t>
            </w:r>
          </w:p>
        </w:tc>
      </w:tr>
      <w:tr w:rsidR="0059166D" w:rsidRPr="0059166D" w14:paraId="4BC1C3FD"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4C1E7C63"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4896BAD4"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5.000–99.999 respondents</w:t>
            </w:r>
          </w:p>
        </w:tc>
        <w:tc>
          <w:tcPr>
            <w:tcW w:w="1842" w:type="dxa"/>
            <w:tcBorders>
              <w:top w:val="nil"/>
              <w:left w:val="nil"/>
              <w:bottom w:val="single" w:sz="4" w:space="0" w:color="auto"/>
              <w:right w:val="single" w:sz="4" w:space="0" w:color="auto"/>
            </w:tcBorders>
            <w:noWrap/>
            <w:vAlign w:val="center"/>
            <w:hideMark/>
          </w:tcPr>
          <w:p w14:paraId="598A4130"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4</w:t>
            </w:r>
          </w:p>
        </w:tc>
        <w:tc>
          <w:tcPr>
            <w:tcW w:w="2268" w:type="dxa"/>
            <w:tcBorders>
              <w:top w:val="nil"/>
              <w:left w:val="nil"/>
              <w:bottom w:val="single" w:sz="4" w:space="0" w:color="auto"/>
              <w:right w:val="single" w:sz="4" w:space="0" w:color="auto"/>
            </w:tcBorders>
            <w:noWrap/>
            <w:vAlign w:val="center"/>
            <w:hideMark/>
          </w:tcPr>
          <w:p w14:paraId="27F3B70A" w14:textId="0278688A"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33</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3%</w:t>
            </w:r>
          </w:p>
        </w:tc>
      </w:tr>
      <w:tr w:rsidR="0059166D" w:rsidRPr="0059166D" w14:paraId="4333059B" w14:textId="77777777" w:rsidTr="00FA79AF">
        <w:trPr>
          <w:trHeight w:val="310"/>
        </w:trPr>
        <w:tc>
          <w:tcPr>
            <w:tcW w:w="1830" w:type="dxa"/>
            <w:vMerge/>
            <w:tcBorders>
              <w:top w:val="nil"/>
              <w:left w:val="single" w:sz="4" w:space="0" w:color="auto"/>
              <w:bottom w:val="single" w:sz="4" w:space="0" w:color="auto"/>
              <w:right w:val="single" w:sz="4" w:space="0" w:color="auto"/>
            </w:tcBorders>
            <w:vAlign w:val="center"/>
            <w:hideMark/>
          </w:tcPr>
          <w:p w14:paraId="63889414" w14:textId="77777777" w:rsidR="0059166D" w:rsidRPr="0059166D" w:rsidRDefault="0059166D" w:rsidP="0059166D">
            <w:pPr>
              <w:jc w:val="both"/>
              <w:rPr>
                <w:rFonts w:ascii="Times New Roman" w:hAnsi="Times New Roman" w:cs="Times New Roman"/>
                <w:noProof/>
                <w:kern w:val="0"/>
                <w:sz w:val="24"/>
              </w:rPr>
            </w:pPr>
          </w:p>
        </w:tc>
        <w:tc>
          <w:tcPr>
            <w:tcW w:w="3127" w:type="dxa"/>
            <w:tcBorders>
              <w:top w:val="nil"/>
              <w:left w:val="nil"/>
              <w:bottom w:val="single" w:sz="4" w:space="0" w:color="auto"/>
              <w:right w:val="single" w:sz="4" w:space="0" w:color="auto"/>
            </w:tcBorders>
            <w:noWrap/>
            <w:vAlign w:val="center"/>
            <w:hideMark/>
          </w:tcPr>
          <w:p w14:paraId="09A5B4EF"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≥100.000 respondents</w:t>
            </w:r>
          </w:p>
        </w:tc>
        <w:tc>
          <w:tcPr>
            <w:tcW w:w="1842" w:type="dxa"/>
            <w:tcBorders>
              <w:top w:val="nil"/>
              <w:left w:val="nil"/>
              <w:bottom w:val="single" w:sz="4" w:space="0" w:color="auto"/>
              <w:right w:val="single" w:sz="4" w:space="0" w:color="auto"/>
            </w:tcBorders>
            <w:noWrap/>
            <w:vAlign w:val="center"/>
            <w:hideMark/>
          </w:tcPr>
          <w:p w14:paraId="351AFD5B" w14:textId="77777777"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3</w:t>
            </w:r>
          </w:p>
        </w:tc>
        <w:tc>
          <w:tcPr>
            <w:tcW w:w="2268" w:type="dxa"/>
            <w:tcBorders>
              <w:top w:val="nil"/>
              <w:left w:val="nil"/>
              <w:bottom w:val="single" w:sz="4" w:space="0" w:color="auto"/>
              <w:right w:val="single" w:sz="4" w:space="0" w:color="auto"/>
            </w:tcBorders>
            <w:noWrap/>
            <w:vAlign w:val="center"/>
            <w:hideMark/>
          </w:tcPr>
          <w:p w14:paraId="67765F4D" w14:textId="562A6C4C" w:rsidR="0059166D" w:rsidRPr="0059166D" w:rsidRDefault="0059166D" w:rsidP="0059166D">
            <w:pPr>
              <w:jc w:val="both"/>
              <w:rPr>
                <w:rFonts w:ascii="Times New Roman" w:hAnsi="Times New Roman" w:cs="Times New Roman"/>
                <w:noProof/>
                <w:kern w:val="0"/>
                <w:sz w:val="24"/>
              </w:rPr>
            </w:pPr>
            <w:r w:rsidRPr="0059166D">
              <w:rPr>
                <w:rFonts w:ascii="Times New Roman" w:hAnsi="Times New Roman" w:cs="Times New Roman"/>
                <w:noProof/>
                <w:kern w:val="0"/>
                <w:sz w:val="24"/>
              </w:rPr>
              <w:t>25</w:t>
            </w:r>
            <w:r w:rsidR="00C378B9">
              <w:rPr>
                <w:rFonts w:ascii="Times New Roman" w:hAnsi="Times New Roman" w:cs="Times New Roman"/>
                <w:noProof/>
                <w:kern w:val="0"/>
                <w:sz w:val="24"/>
              </w:rPr>
              <w:t>.</w:t>
            </w:r>
            <w:r w:rsidRPr="0059166D">
              <w:rPr>
                <w:rFonts w:ascii="Times New Roman" w:hAnsi="Times New Roman" w:cs="Times New Roman"/>
                <w:noProof/>
                <w:kern w:val="0"/>
                <w:sz w:val="24"/>
              </w:rPr>
              <w:t>0%</w:t>
            </w:r>
          </w:p>
        </w:tc>
      </w:tr>
    </w:tbl>
    <w:p w14:paraId="0E79D889" w14:textId="77777777" w:rsidR="00CE7E55" w:rsidRPr="00CE7E55" w:rsidRDefault="00CE7E55" w:rsidP="00CE7E55">
      <w:pPr>
        <w:jc w:val="both"/>
        <w:rPr>
          <w:rFonts w:ascii="Times New Roman" w:hAnsi="Times New Roman" w:cs="Times New Roman"/>
          <w:noProof/>
          <w:kern w:val="0"/>
          <w:sz w:val="24"/>
        </w:rPr>
      </w:pPr>
    </w:p>
    <w:p w14:paraId="456E1770" w14:textId="7374B172" w:rsidR="00CE7E55" w:rsidRDefault="00CE7E55" w:rsidP="00CE7E55">
      <w:pPr>
        <w:jc w:val="both"/>
        <w:rPr>
          <w:rFonts w:ascii="Times New Roman" w:hAnsi="Times New Roman" w:cs="Times New Roman"/>
          <w:noProof/>
          <w:kern w:val="0"/>
          <w:sz w:val="24"/>
        </w:rPr>
      </w:pPr>
      <w:r w:rsidRPr="00CE7E55">
        <w:rPr>
          <w:rFonts w:ascii="Times New Roman" w:hAnsi="Times New Roman" w:cs="Times New Roman"/>
          <w:b/>
          <w:bCs/>
          <w:noProof/>
          <w:kern w:val="0"/>
          <w:sz w:val="24"/>
        </w:rPr>
        <w:t>Table 4.</w:t>
      </w:r>
      <w:r w:rsidRPr="00CE7E55">
        <w:rPr>
          <w:rFonts w:ascii="Times New Roman" w:hAnsi="Times New Roman" w:cs="Times New Roman"/>
          <w:noProof/>
          <w:kern w:val="0"/>
          <w:sz w:val="24"/>
        </w:rPr>
        <w:t xml:space="preserve"> Summary of SLR articles on the association of periodontitis with cognitive impairment and neurodegenerative disease</w:t>
      </w:r>
    </w:p>
    <w:tbl>
      <w:tblPr>
        <w:tblW w:w="11166" w:type="dxa"/>
        <w:tblInd w:w="-998" w:type="dxa"/>
        <w:tblLook w:val="04A0" w:firstRow="1" w:lastRow="0" w:firstColumn="1" w:lastColumn="0" w:noHBand="0" w:noVBand="1"/>
      </w:tblPr>
      <w:tblGrid>
        <w:gridCol w:w="570"/>
        <w:gridCol w:w="1216"/>
        <w:gridCol w:w="1763"/>
        <w:gridCol w:w="2561"/>
        <w:gridCol w:w="2921"/>
        <w:gridCol w:w="2135"/>
      </w:tblGrid>
      <w:tr w:rsidR="003547C3" w:rsidRPr="003547C3" w14:paraId="2413D0C0" w14:textId="77777777" w:rsidTr="002B349D">
        <w:trPr>
          <w:trHeight w:val="310"/>
        </w:trPr>
        <w:tc>
          <w:tcPr>
            <w:tcW w:w="570" w:type="dxa"/>
            <w:tcBorders>
              <w:top w:val="single" w:sz="4" w:space="0" w:color="auto"/>
              <w:left w:val="single" w:sz="4" w:space="0" w:color="auto"/>
              <w:bottom w:val="single" w:sz="4" w:space="0" w:color="auto"/>
              <w:right w:val="single" w:sz="4" w:space="0" w:color="auto"/>
            </w:tcBorders>
            <w:noWrap/>
            <w:vAlign w:val="center"/>
            <w:hideMark/>
          </w:tcPr>
          <w:p w14:paraId="5FDB0DA3"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No.</w:t>
            </w:r>
          </w:p>
        </w:tc>
        <w:tc>
          <w:tcPr>
            <w:tcW w:w="1216" w:type="dxa"/>
            <w:tcBorders>
              <w:top w:val="single" w:sz="4" w:space="0" w:color="auto"/>
              <w:left w:val="nil"/>
              <w:bottom w:val="single" w:sz="4" w:space="0" w:color="auto"/>
              <w:right w:val="single" w:sz="4" w:space="0" w:color="auto"/>
            </w:tcBorders>
            <w:noWrap/>
            <w:vAlign w:val="center"/>
            <w:hideMark/>
          </w:tcPr>
          <w:p w14:paraId="71A7139C"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Author(s) (Year)</w:t>
            </w:r>
          </w:p>
        </w:tc>
        <w:tc>
          <w:tcPr>
            <w:tcW w:w="1763" w:type="dxa"/>
            <w:tcBorders>
              <w:top w:val="single" w:sz="4" w:space="0" w:color="auto"/>
              <w:left w:val="nil"/>
              <w:bottom w:val="single" w:sz="4" w:space="0" w:color="auto"/>
              <w:right w:val="single" w:sz="4" w:space="0" w:color="auto"/>
            </w:tcBorders>
            <w:noWrap/>
            <w:vAlign w:val="center"/>
            <w:hideMark/>
          </w:tcPr>
          <w:p w14:paraId="31A82901"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Objective</w:t>
            </w:r>
          </w:p>
        </w:tc>
        <w:tc>
          <w:tcPr>
            <w:tcW w:w="2561" w:type="dxa"/>
            <w:tcBorders>
              <w:top w:val="single" w:sz="4" w:space="0" w:color="auto"/>
              <w:left w:val="nil"/>
              <w:bottom w:val="single" w:sz="4" w:space="0" w:color="auto"/>
              <w:right w:val="single" w:sz="4" w:space="0" w:color="auto"/>
            </w:tcBorders>
            <w:noWrap/>
            <w:vAlign w:val="center"/>
            <w:hideMark/>
          </w:tcPr>
          <w:p w14:paraId="1B39E368"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Method</w:t>
            </w:r>
          </w:p>
        </w:tc>
        <w:tc>
          <w:tcPr>
            <w:tcW w:w="2921" w:type="dxa"/>
            <w:tcBorders>
              <w:top w:val="single" w:sz="4" w:space="0" w:color="auto"/>
              <w:left w:val="nil"/>
              <w:bottom w:val="single" w:sz="4" w:space="0" w:color="auto"/>
              <w:right w:val="single" w:sz="4" w:space="0" w:color="auto"/>
            </w:tcBorders>
            <w:noWrap/>
            <w:vAlign w:val="center"/>
            <w:hideMark/>
          </w:tcPr>
          <w:p w14:paraId="16D5D0AB"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Results</w:t>
            </w:r>
          </w:p>
        </w:tc>
        <w:tc>
          <w:tcPr>
            <w:tcW w:w="2135" w:type="dxa"/>
            <w:tcBorders>
              <w:top w:val="single" w:sz="4" w:space="0" w:color="auto"/>
              <w:left w:val="nil"/>
              <w:bottom w:val="single" w:sz="4" w:space="0" w:color="auto"/>
              <w:right w:val="single" w:sz="4" w:space="0" w:color="auto"/>
            </w:tcBorders>
            <w:noWrap/>
            <w:vAlign w:val="center"/>
            <w:hideMark/>
          </w:tcPr>
          <w:p w14:paraId="23B2F954" w14:textId="77777777" w:rsidR="003547C3" w:rsidRPr="003547C3" w:rsidRDefault="003547C3" w:rsidP="002B349D">
            <w:pPr>
              <w:jc w:val="center"/>
              <w:rPr>
                <w:rFonts w:ascii="Times New Roman" w:hAnsi="Times New Roman" w:cs="Times New Roman"/>
                <w:b/>
                <w:bCs/>
                <w:noProof/>
                <w:kern w:val="0"/>
                <w:sz w:val="24"/>
              </w:rPr>
            </w:pPr>
            <w:r w:rsidRPr="003547C3">
              <w:rPr>
                <w:rFonts w:ascii="Times New Roman" w:hAnsi="Times New Roman" w:cs="Times New Roman"/>
                <w:b/>
                <w:bCs/>
                <w:noProof/>
                <w:kern w:val="0"/>
                <w:sz w:val="24"/>
              </w:rPr>
              <w:t>Conclusion</w:t>
            </w:r>
          </w:p>
        </w:tc>
      </w:tr>
      <w:tr w:rsidR="003547C3" w:rsidRPr="003547C3" w14:paraId="12025105"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273C294C"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1</w:t>
            </w:r>
          </w:p>
        </w:tc>
        <w:tc>
          <w:tcPr>
            <w:tcW w:w="1216" w:type="dxa"/>
            <w:tcBorders>
              <w:top w:val="nil"/>
              <w:left w:val="nil"/>
              <w:bottom w:val="single" w:sz="4" w:space="0" w:color="auto"/>
              <w:right w:val="single" w:sz="4" w:space="0" w:color="auto"/>
            </w:tcBorders>
            <w:noWrap/>
            <w:hideMark/>
          </w:tcPr>
          <w:p w14:paraId="4A091064"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10.1186/s13195-017-0282-6","author":[{"dropping-particle":"","family":"Chen","given":"C.-K.","non-dropping-particle":"","parse-names":false,"suffix":""},{"dropping-particle":"","family":"Wu","given":"Y.-T.","non-dropping-particle":"","parse-names":false,"suffix":""},{"dropping-particle":"","family":"Chang","given":"Y.-C.","non-dropping-particle":"","parse-names":false,"suffix":""}],"container-title":"Alzheimer's Research &amp; Therapy","id":"ITEM-1","issued":{"date-parts":[["2017"]]},"page":"56","title":"Association between chronic periodontitis and the risk of Alzheimer's disease: A retrospective, population-based, matched-cohort study","type":"article-journal","volume":"9"},"uris":["http://www.mendeley.com/documents/?uuid=be0ac54d-a99c-41cc-b600-17f84376a21e"]}],"mendeley":{"formattedCitation":"(Chen et al., 2017)","manualFormatting":"Chen et al. (2017)","plainTextFormattedCitation":"(Chen et al., 2017)","previouslyFormattedCitation":"(Chen et al., 2017)"},"properties":{"noteIndex":0},"schema":"https://github.com/citation-style-language/schema/raw/master/csl-citation.json"}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Chen et al. (2017)</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8C6A69E"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risk of Alzheimer’s disease in patients with chronic periodontitis.</w:t>
            </w:r>
          </w:p>
        </w:tc>
        <w:tc>
          <w:tcPr>
            <w:tcW w:w="2561" w:type="dxa"/>
            <w:tcBorders>
              <w:top w:val="nil"/>
              <w:left w:val="nil"/>
              <w:bottom w:val="single" w:sz="4" w:space="0" w:color="auto"/>
              <w:right w:val="single" w:sz="4" w:space="0" w:color="auto"/>
            </w:tcBorders>
            <w:noWrap/>
            <w:hideMark/>
          </w:tcPr>
          <w:p w14:paraId="57F2D084"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retrospective population-based matched cohort study in Taiwan. The sample consisted of 9,291 patients with chronic periodontitis and 18,672 controls without chronic periodontitis. The analysis used Cox proportional hazards regression.</w:t>
            </w:r>
          </w:p>
        </w:tc>
        <w:tc>
          <w:tcPr>
            <w:tcW w:w="2921" w:type="dxa"/>
            <w:tcBorders>
              <w:top w:val="nil"/>
              <w:left w:val="nil"/>
              <w:bottom w:val="single" w:sz="4" w:space="0" w:color="auto"/>
              <w:right w:val="single" w:sz="4" w:space="0" w:color="auto"/>
            </w:tcBorders>
            <w:noWrap/>
            <w:hideMark/>
          </w:tcPr>
          <w:p w14:paraId="19363EFB"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Patients with 10 years of exposure to chronic periodontitis had a higher risk of Alzheimer’s disease than those without chronic periodontitis. The adjusted HR was 1.707; 95% CI = 1.152–2.528; p = 0.0077.</w:t>
            </w:r>
          </w:p>
        </w:tc>
        <w:tc>
          <w:tcPr>
            <w:tcW w:w="2135" w:type="dxa"/>
            <w:tcBorders>
              <w:top w:val="nil"/>
              <w:left w:val="nil"/>
              <w:bottom w:val="single" w:sz="4" w:space="0" w:color="auto"/>
              <w:right w:val="single" w:sz="4" w:space="0" w:color="auto"/>
            </w:tcBorders>
            <w:noWrap/>
            <w:hideMark/>
          </w:tcPr>
          <w:p w14:paraId="511AF3A8"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Long-term exposure to chronic periodontitis is associated with an increased risk of Alzheimer’s disease. Preventing the progression of periodontal disease is important to reduce the risk of neurodegenerative disorders.</w:t>
            </w:r>
          </w:p>
        </w:tc>
      </w:tr>
      <w:tr w:rsidR="003547C3" w:rsidRPr="003547C3" w14:paraId="07DE77B6"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7DEAF040"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2</w:t>
            </w:r>
          </w:p>
        </w:tc>
        <w:tc>
          <w:tcPr>
            <w:tcW w:w="1216" w:type="dxa"/>
            <w:tcBorders>
              <w:top w:val="nil"/>
              <w:left w:val="nil"/>
              <w:bottom w:val="single" w:sz="4" w:space="0" w:color="auto"/>
              <w:right w:val="single" w:sz="4" w:space="0" w:color="auto"/>
            </w:tcBorders>
            <w:noWrap/>
            <w:hideMark/>
          </w:tcPr>
          <w:p w14:paraId="390FB35F"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10.1111/jgs.14449","author":[{"dropping-particle":"","family":"Lee","given":"Yu-Ting","non-dropping-particle":"","parse-names":false,"suffix":""},{"dropping-particle":"","family":"Lee","given":"Hsiu-Chen","non-dropping-particle":"","parse-names":false,"suffix":""},{"dropping-particle":"","family":"Hu","given":"Chaur-Jong","non-dropping-particle":"","parse-names":false,"suffix":""},{"dropping-particle":"","family":"Huang","given":"Li-Kai","non-dropping-particle":"","parse-names":false,"suffix":""},{"dropping-particle":"","family":"Chao","given":"Shih-Pin","non-dropping-particle":"","parse-names":false,"suffix":""},{"dropping-particle":"","family":"Lin","given":"Chien-Ping","non-dropping-particle":"","parse-names":false,"suffix":""},{"dropping-particle":"","family":"Su","given":"Eric Chih-Yuan","non-dropping-particle":"","parse-names":false,"suffix":""},{"dropping-particle":"","family":"Lee","given":"Yi-Chun","non-dropping-particle":"","parse-names":false,"suffix":""},{"dropping-particle":"","family":"Chen","given":"Chien-Chang","non-dropping-particle":"","parse-names":false,"suffix":""}],"container-title":"Journal of the American Geriatrics Society","id":"ITEM-1","issue":"2","issued":{"date-parts":[["2017"]]},"page":"301-305","title":"Periodontitis as a modifiable risk factor for dementia: A nationwide population-based cohort study","type":"article-journal","volume":"65"},"uris":["http://www.mendeley.com/documents/?uuid=6d8233c8-4c89-48b4-8f96-4fb58b2324ce"]}],"mendeley":{"formattedCitation":"(Y.-T. Lee et al., 2017)","manualFormatting":"Y.-T. Lee et al. (2017)","plainTextFormattedCitation":"(Y.-T. Lee et al., 2017)","previouslyFormattedCitation":"(Y.-T. Lee et al., 2017)"},"properties":{"noteIndex":0},"schema":"https://github.com/citation-style-language/schema/raw/master/csl-citation.json"}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Y.-T. Lee et al. (2017)</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2A61218C"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assess whether periodontitis can serve as a modifiable risk factor for incident dementia.</w:t>
            </w:r>
          </w:p>
        </w:tc>
        <w:tc>
          <w:tcPr>
            <w:tcW w:w="2561" w:type="dxa"/>
            <w:tcBorders>
              <w:top w:val="nil"/>
              <w:left w:val="nil"/>
              <w:bottom w:val="single" w:sz="4" w:space="0" w:color="auto"/>
              <w:right w:val="single" w:sz="4" w:space="0" w:color="auto"/>
            </w:tcBorders>
            <w:noWrap/>
            <w:hideMark/>
          </w:tcPr>
          <w:p w14:paraId="6B50D01F"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prospective cohort study using the Taiwan National Health Insurance Research Database. The sample consisted of 3,028 older adults with periodontitis and 3,028 age- and sex-matched controls.</w:t>
            </w:r>
          </w:p>
        </w:tc>
        <w:tc>
          <w:tcPr>
            <w:tcW w:w="2921" w:type="dxa"/>
            <w:tcBorders>
              <w:top w:val="nil"/>
              <w:left w:val="nil"/>
              <w:bottom w:val="single" w:sz="4" w:space="0" w:color="auto"/>
              <w:right w:val="single" w:sz="4" w:space="0" w:color="auto"/>
            </w:tcBorders>
            <w:noWrap/>
            <w:hideMark/>
          </w:tcPr>
          <w:p w14:paraId="164D346B"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The risk of dementia was higher in the periodontitis group than in the control group. The HR was 1.16; 95% CI = 1.01–1.32; p = 0.03.</w:t>
            </w:r>
          </w:p>
        </w:tc>
        <w:tc>
          <w:tcPr>
            <w:tcW w:w="2135" w:type="dxa"/>
            <w:tcBorders>
              <w:top w:val="nil"/>
              <w:left w:val="nil"/>
              <w:bottom w:val="single" w:sz="4" w:space="0" w:color="auto"/>
              <w:right w:val="single" w:sz="4" w:space="0" w:color="auto"/>
            </w:tcBorders>
            <w:noWrap/>
            <w:hideMark/>
          </w:tcPr>
          <w:p w14:paraId="2AE0A9C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Periodontitis is associated with the risk of new-onset dementia. Periodontal infection may be considered a potentially modifiable factor through periodontal treatment.</w:t>
            </w:r>
          </w:p>
        </w:tc>
      </w:tr>
      <w:tr w:rsidR="003547C3" w:rsidRPr="003547C3" w14:paraId="7D867DA8"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7CA345F9"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3</w:t>
            </w:r>
          </w:p>
        </w:tc>
        <w:tc>
          <w:tcPr>
            <w:tcW w:w="1216" w:type="dxa"/>
            <w:tcBorders>
              <w:top w:val="nil"/>
              <w:left w:val="nil"/>
              <w:bottom w:val="single" w:sz="4" w:space="0" w:color="auto"/>
              <w:right w:val="single" w:sz="4" w:space="0" w:color="auto"/>
            </w:tcBorders>
            <w:noWrap/>
            <w:hideMark/>
          </w:tcPr>
          <w:p w14:paraId="1EC05EE4"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10.1111/jgs.14944","author":[{"dropping-particle":"","family":"Lee","given":"Yea-Ling","non-dropping-particle":"","parse-names":false,"suffix":""},{"dropping-particle":"","family":"Hu","given":"Hsiao-Yun","non-dropping-particle":"","parse-names":false,"suffix":""},{"dropping-particle":"","family":"Huang","given":"Li-Yu","non-dropping-particle":"","parse-names":false,"suffix":""},{"dropping-particle":"","family":"Chou","given":"Pesus","non-dropping-particle":"","parse-names":false,"suffix":""},{"dropping-particle":"","family":"Chu","given":"De-Kuang","non-dropping-particle":"","parse-names":false,"suffix":""}],"container-title":"Journal of the American Geriatrics Society","id":"ITEM-1","issue":"9","issued":{"date-parts":[["2017"]]},"page":"1975-1980","title":"Periodontal disease associated with higher risk of dementia: Population-based cohort study in Taiwan","type":"article-journal","volume":"65"},"uris":["http://www.mendeley.com/documents/?uuid=7a204a72-3b58-4e6b-a3c3-dbcda3bf214c"]}],"mendeley":{"formattedCitation":"(Y.-L. Lee et al., 2017)","manualFormatting":"Y.-L. Lee et al. (2017)","plainTextFormattedCitation":"(Y.-L. Lee et al., 2017)","previouslyFormattedCitation":"(Y.-L. Lee et al., 2017)"},"properties":{"noteIndex":0},"schema":"https://github.com/citation-style-language/schema/raw/master/csl-citation.json"}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Y.-L. Lee et al. (2017)</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505070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 xml:space="preserve">To assess the magnitude and temporal aspects of the association </w:t>
            </w:r>
            <w:r w:rsidRPr="003547C3">
              <w:rPr>
                <w:rFonts w:ascii="Times New Roman" w:hAnsi="Times New Roman" w:cs="Times New Roman"/>
                <w:noProof/>
                <w:kern w:val="0"/>
                <w:sz w:val="24"/>
              </w:rPr>
              <w:lastRenderedPageBreak/>
              <w:t>between periodontal disease and dementia risk.</w:t>
            </w:r>
          </w:p>
        </w:tc>
        <w:tc>
          <w:tcPr>
            <w:tcW w:w="2561" w:type="dxa"/>
            <w:tcBorders>
              <w:top w:val="nil"/>
              <w:left w:val="nil"/>
              <w:bottom w:val="single" w:sz="4" w:space="0" w:color="auto"/>
              <w:right w:val="single" w:sz="4" w:space="0" w:color="auto"/>
            </w:tcBorders>
            <w:noWrap/>
            <w:hideMark/>
          </w:tcPr>
          <w:p w14:paraId="3CEA715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retrospective cohort study based on the Taiwan National Health Insurance Research Database. The sample </w:t>
            </w:r>
            <w:r w:rsidRPr="003547C3">
              <w:rPr>
                <w:rFonts w:ascii="Times New Roman" w:hAnsi="Times New Roman" w:cs="Times New Roman"/>
                <w:noProof/>
                <w:kern w:val="0"/>
                <w:sz w:val="24"/>
              </w:rPr>
              <w:lastRenderedPageBreak/>
              <w:t>included 182,747 individuals with newly diagnosed periodontal disease. The analysis compared dental prophylaxis, intensive periodontal treatment, tooth extraction, and no treatment groups.</w:t>
            </w:r>
          </w:p>
        </w:tc>
        <w:tc>
          <w:tcPr>
            <w:tcW w:w="2921" w:type="dxa"/>
            <w:tcBorders>
              <w:top w:val="nil"/>
              <w:left w:val="nil"/>
              <w:bottom w:val="single" w:sz="4" w:space="0" w:color="auto"/>
              <w:right w:val="single" w:sz="4" w:space="0" w:color="auto"/>
            </w:tcBorders>
            <w:noWrap/>
            <w:hideMark/>
          </w:tcPr>
          <w:p w14:paraId="090B682F"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The incidence of dementia was higher in the untreated periodontal disease group at 0.76% per year and in the tooth extraction group at </w:t>
            </w:r>
            <w:r w:rsidRPr="003547C3">
              <w:rPr>
                <w:rFonts w:ascii="Times New Roman" w:hAnsi="Times New Roman" w:cs="Times New Roman"/>
                <w:noProof/>
                <w:kern w:val="0"/>
                <w:sz w:val="24"/>
              </w:rPr>
              <w:lastRenderedPageBreak/>
              <w:t>0.57% per year. The untreated group had an HR of 1.14; 95% CI = 1.04–1.24. The tooth extraction group had an HR of 1.10; 95% CI = 1.04–1.16. Differences in incidence between groups were significant, with p &lt; 0.001.</w:t>
            </w:r>
          </w:p>
        </w:tc>
        <w:tc>
          <w:tcPr>
            <w:tcW w:w="2135" w:type="dxa"/>
            <w:tcBorders>
              <w:top w:val="nil"/>
              <w:left w:val="nil"/>
              <w:bottom w:val="single" w:sz="4" w:space="0" w:color="auto"/>
              <w:right w:val="single" w:sz="4" w:space="0" w:color="auto"/>
            </w:tcBorders>
            <w:noWrap/>
            <w:hideMark/>
          </w:tcPr>
          <w:p w14:paraId="15A8886D"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More severe or untreated periodontal disease is associated with a higher risk of </w:t>
            </w:r>
            <w:r w:rsidRPr="003547C3">
              <w:rPr>
                <w:rFonts w:ascii="Times New Roman" w:hAnsi="Times New Roman" w:cs="Times New Roman"/>
                <w:noProof/>
                <w:kern w:val="0"/>
                <w:sz w:val="24"/>
              </w:rPr>
              <w:lastRenderedPageBreak/>
              <w:t>dementia. Periodontal treatment appears to have a protective role in reducing dementia risk.</w:t>
            </w:r>
          </w:p>
        </w:tc>
      </w:tr>
      <w:tr w:rsidR="003547C3" w:rsidRPr="003547C3" w14:paraId="0A7251DD"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2B8FA1D9"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lastRenderedPageBreak/>
              <w:t>4</w:t>
            </w:r>
          </w:p>
        </w:tc>
        <w:tc>
          <w:tcPr>
            <w:tcW w:w="1216" w:type="dxa"/>
            <w:tcBorders>
              <w:top w:val="nil"/>
              <w:left w:val="nil"/>
              <w:bottom w:val="single" w:sz="4" w:space="0" w:color="auto"/>
              <w:right w:val="single" w:sz="4" w:space="0" w:color="auto"/>
            </w:tcBorders>
            <w:noWrap/>
            <w:hideMark/>
          </w:tcPr>
          <w:p w14:paraId="4040D993"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10.1111/jgs.15828","author":[{"dropping-particle":"","family":"Choi","given":"S","non-dropping-particle":"","parse-names":false,"suffix":""},{"dropping-particle":"","family":"Kim","given":"K","non-dropping-particle":"","parse-names":false,"suffix":""},{"dropping-particle":"","family":"Chang","given":"J","non-dropping-particle":"","parse-names":false,"suffix":""},{"dropping-particle":"","family":"Kim","given":"S M","non-dropping-particle":"","parse-names":false,"suffix":""},{"dropping-particle":"","family":"Kim","given":"S J","non-dropping-particle":"","parse-names":false,"suffix":""},{"dropping-particle":"","family":"Cho","given":"H.-J.","non-dropping-particle":"","parse-names":false,"suffix":""},{"dropping-particle":"","family":"Park","given":"S M","non-dropping-particle":"","parse-names":false,"suffix":""}],"container-title":"Journal of the American Geriatrics Society","id":"ITEM-1","issue":"6","issued":{"date-parts":[["2019"]]},"page":"1234-1239","title":"Association of chronic periodontitis on Alzheimer's disease or vascular dementia","type":"article-journal","volume":"67"},"uris":["http://www.mendeley.com/documents/?uuid=414ef788-9064-4c87-9925-a657149eb023"]}],"mendeley":{"formattedCitation":"(Choi et al., 2019)","manualFormatting":"Choi et al. (2019)","plainTextFormattedCitation":"(Choi et al., 2019)","previouslyFormattedCitation":"(Choi et al., 2019)"},"properties":{"noteIndex":0},"schema":"https://github.com/citation-style-language/schema/raw/master/csl-citation.json"}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Choi et al. (2019)</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12E7AAC8"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association between chronic periodontitis and overall dementia, Alzheimer’s disease, and vascular dementia.</w:t>
            </w:r>
          </w:p>
        </w:tc>
        <w:tc>
          <w:tcPr>
            <w:tcW w:w="2561" w:type="dxa"/>
            <w:tcBorders>
              <w:top w:val="nil"/>
              <w:left w:val="nil"/>
              <w:bottom w:val="single" w:sz="4" w:space="0" w:color="auto"/>
              <w:right w:val="single" w:sz="4" w:space="0" w:color="auto"/>
            </w:tcBorders>
            <w:noWrap/>
            <w:hideMark/>
          </w:tcPr>
          <w:p w14:paraId="5C8F6DFB"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retrospective cohort study based on the Korean National Health Insurance Service-Health Screening Cohort. The sample consisted of 262,349 participants. The analysis used Cox proportional hazards regression.</w:t>
            </w:r>
          </w:p>
        </w:tc>
        <w:tc>
          <w:tcPr>
            <w:tcW w:w="2921" w:type="dxa"/>
            <w:tcBorders>
              <w:top w:val="nil"/>
              <w:left w:val="nil"/>
              <w:bottom w:val="single" w:sz="4" w:space="0" w:color="auto"/>
              <w:right w:val="single" w:sz="4" w:space="0" w:color="auto"/>
            </w:tcBorders>
            <w:noWrap/>
            <w:hideMark/>
          </w:tcPr>
          <w:p w14:paraId="057B2049"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Chronic periodontitis was associated with an increased risk of overall dementia, with an aHR of 1.06; 95% CI = 1.01–1.11; p = 0.015. The risk of Alzheimer’s disease also increased, with an aHR of 1.05; 95% CI = 1.00–1.11; p = 0.042. The risk of vascular dementia increased but was not statistically significant, with an aHR of 1.10; 95% CI = 0.98–1.22; p = 0.088.</w:t>
            </w:r>
          </w:p>
        </w:tc>
        <w:tc>
          <w:tcPr>
            <w:tcW w:w="2135" w:type="dxa"/>
            <w:tcBorders>
              <w:top w:val="nil"/>
              <w:left w:val="nil"/>
              <w:bottom w:val="single" w:sz="4" w:space="0" w:color="auto"/>
              <w:right w:val="single" w:sz="4" w:space="0" w:color="auto"/>
            </w:tcBorders>
            <w:noWrap/>
            <w:hideMark/>
          </w:tcPr>
          <w:p w14:paraId="5F924BC9"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Chronic periodontitis is associated with a higher risk of dementia and Alzheimer’s disease. The association with vascular dementia appears to increase but is not statistically significant.</w:t>
            </w:r>
          </w:p>
        </w:tc>
      </w:tr>
      <w:tr w:rsidR="003547C3" w:rsidRPr="003547C3" w14:paraId="5CCB0AC5"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5EBB37B7"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5</w:t>
            </w:r>
          </w:p>
        </w:tc>
        <w:tc>
          <w:tcPr>
            <w:tcW w:w="1216" w:type="dxa"/>
            <w:tcBorders>
              <w:top w:val="nil"/>
              <w:left w:val="nil"/>
              <w:bottom w:val="single" w:sz="4" w:space="0" w:color="auto"/>
              <w:right w:val="single" w:sz="4" w:space="0" w:color="auto"/>
            </w:tcBorders>
            <w:noWrap/>
            <w:hideMark/>
          </w:tcPr>
          <w:p w14:paraId="4F555CAB"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10.1111/jcpe.13155","author":[{"dropping-particle":"","family":"Sung","given":"Chien-En","non-dropping-particle":"","parse-names":false,"suffix":""},{"dropping-particle":"","family":"Huang","given":"Rong-Yi","non-dropping-particle":"","parse-names":false,"suffix":""},{"dropping-particle":"","family":"Cheng","given":"Wen-Chieh","non-dropping-particle":"","parse-names":false,"suffix":""},{"dropping-particle":"","family":"Kao","given":"Tsai-Wang","non-dropping-particle":"","parse-names":false,"suffix":""},{"dropping-particle":"","family":"Chen","given":"Wei-Liang","non-dropping-particle":"","parse-names":false,"suffix":""}],"container-title":"Journal of Clinical Periodontology","id":"ITEM-1","issue":"8","issued":{"date-parts":[["2019"]]},"page":"790-798","title":"Association between periodontitis and cognitive impairment: Analysis of National Health and Nutrition Examination Survey (NHANES) III","type":"article-journal","volume":"46"},"uris":["http://www.mendeley.com/documents/?uuid=7817265b-da6c-45bf-b45d-d46cf8f8c7a9"]}],"mendeley":{"formattedCitation":"(Sung et al., 2019)","manualFormatting":"Sung et al. (2019)","plainTextFormattedCitation":"(Sung et al., 2019)","previouslyFormattedCitation":"(Sung et al., 2019)"},"properties":{"noteIndex":0},"schema":"https://github.com/citation-style-language/schema/raw/master/csl-citation.json"}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Sung et al. (2019)</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18D0E942"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association between periodontitis and impaired cognitive function in the adult population of the United States.</w:t>
            </w:r>
          </w:p>
        </w:tc>
        <w:tc>
          <w:tcPr>
            <w:tcW w:w="2561" w:type="dxa"/>
            <w:tcBorders>
              <w:top w:val="nil"/>
              <w:left w:val="nil"/>
              <w:bottom w:val="single" w:sz="4" w:space="0" w:color="auto"/>
              <w:right w:val="single" w:sz="4" w:space="0" w:color="auto"/>
            </w:tcBorders>
            <w:noWrap/>
            <w:hideMark/>
          </w:tcPr>
          <w:p w14:paraId="21915A5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cross-sectional study using NHANES III. The sample consisted of 4,663 participants aged 20–59 years. Periodontitis status was categorized as normal, mild, moderate, and severe. Cognitive function was assessed using SRTT, SDST, and SDLT.</w:t>
            </w:r>
          </w:p>
        </w:tc>
        <w:tc>
          <w:tcPr>
            <w:tcW w:w="2921" w:type="dxa"/>
            <w:tcBorders>
              <w:top w:val="nil"/>
              <w:left w:val="nil"/>
              <w:bottom w:val="single" w:sz="4" w:space="0" w:color="auto"/>
              <w:right w:val="single" w:sz="4" w:space="0" w:color="auto"/>
            </w:tcBorders>
            <w:noWrap/>
            <w:hideMark/>
          </w:tcPr>
          <w:p w14:paraId="6043EC36"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After adjustment for demographic factors, education, smoking, cardiovascular disease, and laboratory data, periodontitis was significantly associated with increased SDST and SDLT scores. The p for trend was 0.014 for SDST and 0.038 for SDLT. In the fully adjusted model, moderate-to-severe periodontitis was associated with the SDLT total score, with β = 0.146; 95% CI = 0.010–0.282; p = 0.036.</w:t>
            </w:r>
          </w:p>
        </w:tc>
        <w:tc>
          <w:tcPr>
            <w:tcW w:w="2135" w:type="dxa"/>
            <w:tcBorders>
              <w:top w:val="nil"/>
              <w:left w:val="nil"/>
              <w:bottom w:val="single" w:sz="4" w:space="0" w:color="auto"/>
              <w:right w:val="single" w:sz="4" w:space="0" w:color="auto"/>
            </w:tcBorders>
            <w:noWrap/>
            <w:hideMark/>
          </w:tcPr>
          <w:p w14:paraId="28C9B254"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Periodontal status is associated with reduced cognitive function in a national adult sample. Individuals with cognitive impairment require attention in periodontal care.</w:t>
            </w:r>
          </w:p>
        </w:tc>
      </w:tr>
      <w:tr w:rsidR="003547C3" w:rsidRPr="003547C3" w14:paraId="716C136F"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746901A1"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6</w:t>
            </w:r>
          </w:p>
        </w:tc>
        <w:tc>
          <w:tcPr>
            <w:tcW w:w="1216" w:type="dxa"/>
            <w:tcBorders>
              <w:top w:val="nil"/>
              <w:left w:val="nil"/>
              <w:bottom w:val="single" w:sz="4" w:space="0" w:color="auto"/>
              <w:right w:val="single" w:sz="4" w:space="0" w:color="auto"/>
            </w:tcBorders>
            <w:noWrap/>
            <w:hideMark/>
          </w:tcPr>
          <w:p w14:paraId="7B706410"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10.1038/s41598-021-96147-4","author":[{"dropping-particle":"","family":"Jeong","given":"Eun","non-dropping-particle":"","parse-names":false,"suffix":""},{"dropping-particle":"","family":"Park","given":"Jin-Bom","non-dropping-particle":"","parse-names":false,"suffix":""},{"dropping-particle":"","family":"Park","given":"Yong-Gyu","non-dropping-particle":"","parse-names":false,"suffix":""}],"container-title":"Scientific Reports","id":"ITEM-1","issued":{"date-parts":[["2021"]]},"page":"16594","title":"Evaluation of the association between periodontitis and risk of Parkinson's disease: A nationwide retrospective cohort study","type":"article-journal","volume":"11"},"uris":["http://www.mendeley.com/documents/?uuid=32a23e44-b1a8-4678-9d8d-84d51ac50a03"]}],"mendeley":{"formattedCitation":"(Jeong et al., 2021)","manualFormatting":"Jeong et al. (2021)","plainTextFormattedCitation":"(Jeong et al., 2021)","previouslyFormattedCitation":"(Jeong et al., 2021)"},"properties":{"noteIndex":0},"schema":"https://github.com/citation-style-language/schema/raw/master/csl-citation.json"}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Jeong et al. (2021)</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21BBAD4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 xml:space="preserve">To evaluate the association between periodontitis </w:t>
            </w:r>
            <w:r w:rsidRPr="003547C3">
              <w:rPr>
                <w:rFonts w:ascii="Times New Roman" w:hAnsi="Times New Roman" w:cs="Times New Roman"/>
                <w:noProof/>
                <w:kern w:val="0"/>
                <w:sz w:val="24"/>
              </w:rPr>
              <w:lastRenderedPageBreak/>
              <w:t>and the risk of Parkinson’s disease.</w:t>
            </w:r>
          </w:p>
        </w:tc>
        <w:tc>
          <w:tcPr>
            <w:tcW w:w="2561" w:type="dxa"/>
            <w:tcBorders>
              <w:top w:val="nil"/>
              <w:left w:val="nil"/>
              <w:bottom w:val="single" w:sz="4" w:space="0" w:color="auto"/>
              <w:right w:val="single" w:sz="4" w:space="0" w:color="auto"/>
            </w:tcBorders>
            <w:noWrap/>
            <w:hideMark/>
          </w:tcPr>
          <w:p w14:paraId="37F3533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nationwide retrospective cohort study using data from the South Korean </w:t>
            </w:r>
            <w:r w:rsidRPr="003547C3">
              <w:rPr>
                <w:rFonts w:ascii="Times New Roman" w:hAnsi="Times New Roman" w:cs="Times New Roman"/>
                <w:noProof/>
                <w:kern w:val="0"/>
                <w:sz w:val="24"/>
              </w:rPr>
              <w:lastRenderedPageBreak/>
              <w:t>National Health Insurance Service. The final sample consisted of 6,825,684 participants aged ≥40 years. The analysis used the Cox proportional hazards model.</w:t>
            </w:r>
          </w:p>
        </w:tc>
        <w:tc>
          <w:tcPr>
            <w:tcW w:w="2921" w:type="dxa"/>
            <w:tcBorders>
              <w:top w:val="nil"/>
              <w:left w:val="nil"/>
              <w:bottom w:val="single" w:sz="4" w:space="0" w:color="auto"/>
              <w:right w:val="single" w:sz="4" w:space="0" w:color="auto"/>
            </w:tcBorders>
            <w:noWrap/>
            <w:hideMark/>
          </w:tcPr>
          <w:p w14:paraId="0CCB1C7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The risk of Parkinson’s disease increased among individuals requiring further dental visits, with an </w:t>
            </w:r>
            <w:r w:rsidRPr="003547C3">
              <w:rPr>
                <w:rFonts w:ascii="Times New Roman" w:hAnsi="Times New Roman" w:cs="Times New Roman"/>
                <w:noProof/>
                <w:kern w:val="0"/>
                <w:sz w:val="24"/>
              </w:rPr>
              <w:lastRenderedPageBreak/>
              <w:t>HR of 1.142; 95% CI = 1.094–1.193. The group with periodontitis and a need for further dental visits had the highest risk, with an HR of 1.167; 95% CI = 1.118–1.219.</w:t>
            </w:r>
          </w:p>
        </w:tc>
        <w:tc>
          <w:tcPr>
            <w:tcW w:w="2135" w:type="dxa"/>
            <w:tcBorders>
              <w:top w:val="nil"/>
              <w:left w:val="nil"/>
              <w:bottom w:val="single" w:sz="4" w:space="0" w:color="auto"/>
              <w:right w:val="single" w:sz="4" w:space="0" w:color="auto"/>
            </w:tcBorders>
            <w:noWrap/>
            <w:hideMark/>
          </w:tcPr>
          <w:p w14:paraId="67102519"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Periodontitis is associated with an increased risk of Parkinson’s </w:t>
            </w:r>
            <w:r w:rsidRPr="003547C3">
              <w:rPr>
                <w:rFonts w:ascii="Times New Roman" w:hAnsi="Times New Roman" w:cs="Times New Roman"/>
                <w:noProof/>
                <w:kern w:val="0"/>
                <w:sz w:val="24"/>
              </w:rPr>
              <w:lastRenderedPageBreak/>
              <w:t>disease. Regular dental and periodontal care may be part of preventing the risk of neurodegenerative disease.</w:t>
            </w:r>
          </w:p>
        </w:tc>
      </w:tr>
      <w:tr w:rsidR="003547C3" w:rsidRPr="003547C3" w14:paraId="4609DDE8"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5A3283FB"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lastRenderedPageBreak/>
              <w:t>7</w:t>
            </w:r>
          </w:p>
        </w:tc>
        <w:tc>
          <w:tcPr>
            <w:tcW w:w="1216" w:type="dxa"/>
            <w:tcBorders>
              <w:top w:val="nil"/>
              <w:left w:val="nil"/>
              <w:bottom w:val="single" w:sz="4" w:space="0" w:color="auto"/>
              <w:right w:val="single" w:sz="4" w:space="0" w:color="auto"/>
            </w:tcBorders>
            <w:noWrap/>
            <w:hideMark/>
          </w:tcPr>
          <w:p w14:paraId="5EFE1B5C"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10.4178/epih.e2022077","author":[{"dropping-particle":"","family":"Kim","given":"Seong-Ryeol","non-dropping-particle":"","parse-names":false,"suffix":""},{"dropping-particle":"","family":"Son","given":"Miri","non-dropping-particle":"","parse-names":false,"suffix":""},{"dropping-particle":"","family":"Kim","given":"Yu-Ri","non-dropping-particle":"","parse-names":false,"suffix":""},{"dropping-particle":"","family":"Kang","given":"Hyun-Kyung","non-dropping-particle":"","parse-names":false,"suffix":""}],"container-title":"Epidemiology and Health","id":"ITEM-1","issued":{"date-parts":[["2022"]]},"page":"e2022077","title":"Risk of dementia according to the severity of chronic periodontitis in Korea: A nationwide retrospective cohort study","type":"article-journal","volume":"44"},"uris":["http://www.mendeley.com/documents/?uuid=ad14a9d6-7835-4495-86dd-6846c5f28dca"]}],"mendeley":{"formattedCitation":"(Kim et al., 2022)","manualFormatting":"Kim et al, (2022)","plainTextFormattedCitation":"(Kim et al., 2022)","previouslyFormattedCitation":"(Kim et al., 2022)"},"properties":{"noteIndex":0},"schema":"https://github.com/citation-style-language/schema/raw/master/csl-citation.json"}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Kim et al, (2022)</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56C76D5"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risk of dementia among older adults with chronic periodontitis according to the severity of periodontitis.</w:t>
            </w:r>
          </w:p>
        </w:tc>
        <w:tc>
          <w:tcPr>
            <w:tcW w:w="2561" w:type="dxa"/>
            <w:tcBorders>
              <w:top w:val="nil"/>
              <w:left w:val="nil"/>
              <w:bottom w:val="single" w:sz="4" w:space="0" w:color="auto"/>
              <w:right w:val="single" w:sz="4" w:space="0" w:color="auto"/>
            </w:tcBorders>
            <w:noWrap/>
            <w:hideMark/>
          </w:tcPr>
          <w:p w14:paraId="3D179E2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nationwide retrospective cohort study based on the South Korean National Health Insurance Service-Senior cohort database. After propensity score matching, there were 8,624 patients with mild chronic periodontitis and 8,624 patients with severe chronic periodontitis.</w:t>
            </w:r>
          </w:p>
        </w:tc>
        <w:tc>
          <w:tcPr>
            <w:tcW w:w="2921" w:type="dxa"/>
            <w:tcBorders>
              <w:top w:val="nil"/>
              <w:left w:val="nil"/>
              <w:bottom w:val="single" w:sz="4" w:space="0" w:color="auto"/>
              <w:right w:val="single" w:sz="4" w:space="0" w:color="auto"/>
            </w:tcBorders>
            <w:noWrap/>
            <w:hideMark/>
          </w:tcPr>
          <w:p w14:paraId="4E19F5CF"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The severe chronic periodontitis group had a higher risk of dementia than the mild chronic periodontitis group. The HR was 1.15; 95% CI = 1.04–1.27; p = 0.009. Kaplan-Meier analysis showed a lower disease-free probability in the severe chronic periodontitis group, with p for log-rank = 0.001.</w:t>
            </w:r>
          </w:p>
        </w:tc>
        <w:tc>
          <w:tcPr>
            <w:tcW w:w="2135" w:type="dxa"/>
            <w:tcBorders>
              <w:top w:val="nil"/>
              <w:left w:val="nil"/>
              <w:bottom w:val="single" w:sz="4" w:space="0" w:color="auto"/>
              <w:right w:val="single" w:sz="4" w:space="0" w:color="auto"/>
            </w:tcBorders>
            <w:noWrap/>
            <w:hideMark/>
          </w:tcPr>
          <w:p w14:paraId="54F7EB4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The severity of chronic periodontitis is associated with an increased risk of dementia. Management of periodontitis from the mild stage is needed to prevent the progression of dementia risk.</w:t>
            </w:r>
          </w:p>
        </w:tc>
      </w:tr>
      <w:tr w:rsidR="003547C3" w:rsidRPr="003547C3" w14:paraId="62DFC063"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0392E254"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8</w:t>
            </w:r>
          </w:p>
        </w:tc>
        <w:tc>
          <w:tcPr>
            <w:tcW w:w="1216" w:type="dxa"/>
            <w:tcBorders>
              <w:top w:val="nil"/>
              <w:left w:val="nil"/>
              <w:bottom w:val="single" w:sz="4" w:space="0" w:color="auto"/>
              <w:right w:val="single" w:sz="4" w:space="0" w:color="auto"/>
            </w:tcBorders>
            <w:noWrap/>
            <w:hideMark/>
          </w:tcPr>
          <w:p w14:paraId="35016A36"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10.1093/gerona/glac178","author":[{"dropping-particle":"","family":"Luo","given":"Huabin","non-dropping-particle":"","parse-names":false,"suffix":""},{"dropping-particle":"","family":"Wu","given":"Bei","non-dropping-particle":"","parse-names":false,"suffix":""},{"dropping-particle":"","family":"Gonz'alez","given":"Hector M","non-dropping-particle":"","parse-names":false,"suffix":""},{"dropping-particle":"","family":"Stickel","given":"Ariana","non-dropping-particle":"","parse-names":false,"suffix":""},{"dropping-particle":"","family":"Kaste","given":"Linda M","non-dropping-particle":"","parse-names":false,"suffix":""},{"dropping-particle":"","family":"Tarraf","given":"Wassim","non-dropping-particle":"","parse-names":false,"suffix":""},{"dropping-particle":"","family":"Daviglus","given":"Martha L","non-dropping-particle":"","parse-names":false,"suffix":""},{"dropping-particle":"","family":"Sanders","given":"Anne E","non-dropping-particle":"","parse-names":false,"suffix":""},{"dropping-particle":"","family":"Cai","given":"Jianwen","non-dropping-particle":"","parse-names":false,"suffix":""}],"container-title":"The Journals of Gerontology: Series A","id":"ITEM-1","issue":"6","issued":{"date-parts":[["2023"]]},"page":"949-957","title":"Tooth loss, periodontal disease, and mild cognitive impairment among Hispanic/Latino immigrants: The moderating effects of age at immigration","type":"article-journal","volume":"78"},"uris":["http://www.mendeley.com/documents/?uuid=dfe00faf-5d7a-4bea-897e-8fd0d5a96a17"]}],"mendeley":{"formattedCitation":"(Luo et al., 2023)","manualFormatting":"Luo et al. (2023)","plainTextFormattedCitation":"(Luo et al., 2023)","previouslyFormattedCitation":"(Luo et al., 2023)"},"properties":{"noteIndex":0},"schema":"https://github.com/citation-style-language/schema/raw/master/csl-citation.json"}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Luo et al. (2023)</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12546E3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assess the association of tooth loss and periodontal disease with mild cognitive impairment among Hispanic/Latino immigrants and to examine the role of age at immigration.</w:t>
            </w:r>
          </w:p>
        </w:tc>
        <w:tc>
          <w:tcPr>
            <w:tcW w:w="2561" w:type="dxa"/>
            <w:tcBorders>
              <w:top w:val="nil"/>
              <w:left w:val="nil"/>
              <w:bottom w:val="single" w:sz="4" w:space="0" w:color="auto"/>
              <w:right w:val="single" w:sz="4" w:space="0" w:color="auto"/>
            </w:tcBorders>
            <w:noWrap/>
            <w:hideMark/>
          </w:tcPr>
          <w:p w14:paraId="4C14EA3A"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An observational study using data from the Hispanic Community Health Study/Study of Latinos. The analyzed immigrant sample consisted of 5,709 participants. The analysis used adjusted regression models.</w:t>
            </w:r>
          </w:p>
        </w:tc>
        <w:tc>
          <w:tcPr>
            <w:tcW w:w="2921" w:type="dxa"/>
            <w:tcBorders>
              <w:top w:val="nil"/>
              <w:left w:val="nil"/>
              <w:bottom w:val="single" w:sz="4" w:space="0" w:color="auto"/>
              <w:right w:val="single" w:sz="4" w:space="0" w:color="auto"/>
            </w:tcBorders>
            <w:noWrap/>
            <w:hideMark/>
          </w:tcPr>
          <w:p w14:paraId="596AA064"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Severe tooth loss was associated with MCI, with an AOR of 1.36; 95% CI = 1.01–1.85. Overall, periodontal disease was associated with MCI, with p = 0.04. Comparisons of mild, moderate, and severe periodontal disease with no periodontal disease were not significant, with all p values &gt; 0.05. The interaction between periodontal disease and age at immigration was also not significant, with p = 0.10.</w:t>
            </w:r>
          </w:p>
        </w:tc>
        <w:tc>
          <w:tcPr>
            <w:tcW w:w="2135" w:type="dxa"/>
            <w:tcBorders>
              <w:top w:val="nil"/>
              <w:left w:val="nil"/>
              <w:bottom w:val="single" w:sz="4" w:space="0" w:color="auto"/>
              <w:right w:val="single" w:sz="4" w:space="0" w:color="auto"/>
            </w:tcBorders>
            <w:noWrap/>
            <w:hideMark/>
          </w:tcPr>
          <w:p w14:paraId="6A97F6B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Tooth loss appears to be a stronger oral health indicator of MCI than periodontal disease severity. Periodontal disease still shows a general association with MCI.</w:t>
            </w:r>
          </w:p>
        </w:tc>
      </w:tr>
      <w:tr w:rsidR="003547C3" w:rsidRPr="003547C3" w14:paraId="23CE260E"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3CE478DF"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9</w:t>
            </w:r>
          </w:p>
        </w:tc>
        <w:tc>
          <w:tcPr>
            <w:tcW w:w="1216" w:type="dxa"/>
            <w:tcBorders>
              <w:top w:val="nil"/>
              <w:left w:val="nil"/>
              <w:bottom w:val="single" w:sz="4" w:space="0" w:color="auto"/>
              <w:right w:val="single" w:sz="4" w:space="0" w:color="auto"/>
            </w:tcBorders>
            <w:noWrap/>
            <w:hideMark/>
          </w:tcPr>
          <w:p w14:paraId="23FDD3DD"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10.14283/jarlife.2024.16","author":[{"dropping-particle":"","family":"Igase","given":"Masashi","non-dropping-particle":"","parse-names":false,"suffix":""},{"dropping-particle":"","family":"Igase","given":"Kumiko","non-dropping-particle":"","parse-names":false,"suffix":""},{"dropping-particle":"","family":"Hino","given":"Sho","non-dropping-particle":"","parse-names":false,"suffix":""},{"dropping-particle":"","family":"Uchida","given":"Daijiro","non-dropping-particle":"","parse-names":false,"suffix":""},{"dropping-particle":"","family":"Okada","given":"Yuki","non-dropping-particle":"","parse-names":false,"suffix":""},{"dropping-particle":"","family":"Ochi","given":"Masayuki","non-dropping-particle":"","parse-names":false,"suffix":""},{"dropping-particle":"","family":"Tabara","given":"Yasuharu","non-dropping-particle":"","parse-names":false,"suffix":""},{"dropping-particle":"","family":"Ohyagi","given":"Yasumasa","non-dropping-particle":"","parse-names":false,"suffix":""}],"container-title":"The Journal of Aging Research &amp; Lifestyle","id":"ITEM-1","issued":{"date-parts":[["2024"]]},"page":"108-112","title":"Association of periodontitis with mild cognitive impairment in older adults","type":"article-journal","volume":"13"},"uris":["http://www.mendeley.com/documents/?uuid=a0be732b-d731-44d6-9804-b58d85f98326"]}],"mendeley":{"formattedCitation":"(Igase et al., 2024)","manualFormatting":"Igase et al. (2024)","plainTextFormattedCitation":"(Igase et al., 2024)","previouslyFormattedCitation":"(Igase et al., 2024)"},"properties":{"noteIndex":0},"schema":"https://github.com/citation-style-language/schema/raw/master/csl-citation.json"}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Igase et al. (2024)</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BB57863"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 xml:space="preserve">To examine the association between severe periodontitis and mild cognitive impairment </w:t>
            </w:r>
            <w:r w:rsidRPr="003547C3">
              <w:rPr>
                <w:rFonts w:ascii="Times New Roman" w:hAnsi="Times New Roman" w:cs="Times New Roman"/>
                <w:noProof/>
                <w:kern w:val="0"/>
                <w:sz w:val="24"/>
              </w:rPr>
              <w:lastRenderedPageBreak/>
              <w:t>among community residents who underwent dental health examinations.</w:t>
            </w:r>
          </w:p>
        </w:tc>
        <w:tc>
          <w:tcPr>
            <w:tcW w:w="2561" w:type="dxa"/>
            <w:tcBorders>
              <w:top w:val="nil"/>
              <w:left w:val="nil"/>
              <w:bottom w:val="single" w:sz="4" w:space="0" w:color="auto"/>
              <w:right w:val="single" w:sz="4" w:space="0" w:color="auto"/>
            </w:tcBorders>
            <w:noWrap/>
            <w:hideMark/>
          </w:tcPr>
          <w:p w14:paraId="5BD84328"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cross-sectional study involving 321 community participants in Japan. MCI was assessed using the MCI screening test. Periodontitis was </w:t>
            </w:r>
            <w:r w:rsidRPr="003547C3">
              <w:rPr>
                <w:rFonts w:ascii="Times New Roman" w:hAnsi="Times New Roman" w:cs="Times New Roman"/>
                <w:noProof/>
                <w:kern w:val="0"/>
                <w:sz w:val="24"/>
              </w:rPr>
              <w:lastRenderedPageBreak/>
              <w:t>diagnosed based on probing pocket depth. The analysis used multivariate logistic regression.</w:t>
            </w:r>
          </w:p>
        </w:tc>
        <w:tc>
          <w:tcPr>
            <w:tcW w:w="2921" w:type="dxa"/>
            <w:tcBorders>
              <w:top w:val="nil"/>
              <w:left w:val="nil"/>
              <w:bottom w:val="single" w:sz="4" w:space="0" w:color="auto"/>
              <w:right w:val="single" w:sz="4" w:space="0" w:color="auto"/>
            </w:tcBorders>
            <w:noWrap/>
            <w:hideMark/>
          </w:tcPr>
          <w:p w14:paraId="1295438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MCI was found in 41 subjects. Severe periodontitis was found in 123 subjects. Severe periodontitis was significantly associated with MCI after including </w:t>
            </w:r>
            <w:r w:rsidRPr="003547C3">
              <w:rPr>
                <w:rFonts w:ascii="Times New Roman" w:hAnsi="Times New Roman" w:cs="Times New Roman"/>
                <w:noProof/>
                <w:kern w:val="0"/>
                <w:sz w:val="24"/>
              </w:rPr>
              <w:lastRenderedPageBreak/>
              <w:t>age, education, number of functional teeth, and the presence of severe periodontitis. The OR was 4.024; 95% CI = 1.768–9.161; p &lt; 0.001.</w:t>
            </w:r>
          </w:p>
        </w:tc>
        <w:tc>
          <w:tcPr>
            <w:tcW w:w="2135" w:type="dxa"/>
            <w:tcBorders>
              <w:top w:val="nil"/>
              <w:left w:val="nil"/>
              <w:bottom w:val="single" w:sz="4" w:space="0" w:color="auto"/>
              <w:right w:val="single" w:sz="4" w:space="0" w:color="auto"/>
            </w:tcBorders>
            <w:noWrap/>
            <w:hideMark/>
          </w:tcPr>
          <w:p w14:paraId="034C5E66"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Severe periodontitis is strongly associated with mild cognitive impairment. Patients with severe periodontitis </w:t>
            </w:r>
            <w:r w:rsidRPr="003547C3">
              <w:rPr>
                <w:rFonts w:ascii="Times New Roman" w:hAnsi="Times New Roman" w:cs="Times New Roman"/>
                <w:noProof/>
                <w:kern w:val="0"/>
                <w:sz w:val="24"/>
              </w:rPr>
              <w:lastRenderedPageBreak/>
              <w:t>should be considered for cognitive function screening.</w:t>
            </w:r>
          </w:p>
        </w:tc>
      </w:tr>
      <w:tr w:rsidR="003547C3" w:rsidRPr="003547C3" w14:paraId="0D03F63B"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3696A701"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lastRenderedPageBreak/>
              <w:t>10</w:t>
            </w:r>
          </w:p>
        </w:tc>
        <w:tc>
          <w:tcPr>
            <w:tcW w:w="1216" w:type="dxa"/>
            <w:tcBorders>
              <w:top w:val="nil"/>
              <w:left w:val="nil"/>
              <w:bottom w:val="single" w:sz="4" w:space="0" w:color="auto"/>
              <w:right w:val="single" w:sz="4" w:space="0" w:color="auto"/>
            </w:tcBorders>
            <w:noWrap/>
            <w:hideMark/>
          </w:tcPr>
          <w:p w14:paraId="4C919985"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{"citationItems":[{"id":"ITEM-1","itemData":{"DOI":"10.1016/j.nrleng.2025.07.008","author":[{"dropping-particle":"","family":"Gil-Montoya","given":"J A","non-dropping-particle":"","parse-names":false,"suffix":""},{"dropping-particle":"","family":"Gerez-Muñoz","given":"M J","non-dropping-particle":"","parse-names":false,"suffix":""},{"dropping-particle":"","family":"Triviño-Ibáñez","given":"E","non-dropping-particle":"","parse-names":false,"suffix":""},{"dropping-particle":"","family":"Carrera-Muñoz","given":"I","non-dropping-particle":"","parse-names":false,"suffix":""},{"dropping-particle":"","family":"Bravo","given":"M","non-dropping-particle":"","parse-names":false,"suffix":""},{"dropping-particle":"","family":"Rashki","given":"M","non-dropping-particle":"","parse-names":false,"suffix":""},{"dropping-particle":"","family":"Solis-Urra","given":"P","non-dropping-particle":"","parse-names":false,"suffix":""},{"dropping-particle":"","family":"Esteban-Cornejo","given":"I","non-dropping-particle":"","parse-names":false,"suffix":""},{"dropping-particle":"","family":"Gómez-Río","given":"M","non-dropping-particle":"","parse-names":false,"suffix":""}],"container-title":"Neurología (English Edition)","id":"ITEM-1","issue":"7","issued":{"date-parts":[["2025"]]},"page":"641-650","title":"Periodontal disease and brain amyloid pathology in mild cognitive impairment","type":"article-journal","volume":"40"},"uris":["http://www.mendeley.com/documents/?uuid=199ec3d4-cd2c-4ed6-b7fa-870b9f379dd4"]}],"mendeley":{"formattedCitation":"(Gil-Montoya et al., 2025)","manualFormatting":"Gil-Montoya et al. (2025)","plainTextFormattedCitation":"(Gil-Montoya et al., 2025)","previouslyFormattedCitation":"(Gil-Montoya et al., 2025)"},"properties":{"noteIndex":0},"schema":"https://github.com/citation-style-language/schema/raw/master/csl-citation.json"}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Gil-Montoya et al. (2025)</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08BB5A16"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assess the association between periodontal disease and brain beta-amyloid accumulation in patients with mild cognitive impairment.</w:t>
            </w:r>
          </w:p>
        </w:tc>
        <w:tc>
          <w:tcPr>
            <w:tcW w:w="2561" w:type="dxa"/>
            <w:tcBorders>
              <w:top w:val="nil"/>
              <w:left w:val="nil"/>
              <w:bottom w:val="single" w:sz="4" w:space="0" w:color="auto"/>
              <w:right w:val="single" w:sz="4" w:space="0" w:color="auto"/>
            </w:tcBorders>
            <w:noWrap/>
            <w:hideMark/>
          </w:tcPr>
          <w:p w14:paraId="167BBE82"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An observational study in Spain. All participants underwent periodontal examination and amyloid-PET scanning. The sample consisted of MCI/Aβ+ n = 45, MCI/Aβ− n = 59, and non-MCI/Aβ− n = 60.</w:t>
            </w:r>
          </w:p>
        </w:tc>
        <w:tc>
          <w:tcPr>
            <w:tcW w:w="2921" w:type="dxa"/>
            <w:tcBorders>
              <w:top w:val="nil"/>
              <w:left w:val="nil"/>
              <w:bottom w:val="single" w:sz="4" w:space="0" w:color="auto"/>
              <w:right w:val="single" w:sz="4" w:space="0" w:color="auto"/>
            </w:tcBorders>
            <w:noWrap/>
            <w:hideMark/>
          </w:tcPr>
          <w:p w14:paraId="244843C4"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Patients with moderate-to-severe periodontitis had a higher risk of abnormal Aβ accumulation. The comparison between MCI/Aβ+ and MCI/Aβ− showed OR = 3.30; 95% CI = 1.30–8.26. The comparison between MCI/Aβ+ and non-MCI/Aβ− showed OR = 4.94; 95% CI = 1.65–14.84.</w:t>
            </w:r>
          </w:p>
        </w:tc>
        <w:tc>
          <w:tcPr>
            <w:tcW w:w="2135" w:type="dxa"/>
            <w:tcBorders>
              <w:top w:val="nil"/>
              <w:left w:val="nil"/>
              <w:bottom w:val="single" w:sz="4" w:space="0" w:color="auto"/>
              <w:right w:val="single" w:sz="4" w:space="0" w:color="auto"/>
            </w:tcBorders>
            <w:noWrap/>
            <w:hideMark/>
          </w:tcPr>
          <w:p w14:paraId="035C7512"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Periodontal disease is associated with brain beta-amyloid accumulation. These findings support the suspected link between periodontal disease and Alzheimer’s pathology at the MCI stage.</w:t>
            </w:r>
          </w:p>
        </w:tc>
      </w:tr>
      <w:tr w:rsidR="003547C3" w:rsidRPr="003547C3" w14:paraId="4AFA7C20"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6C09DBDF"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11</w:t>
            </w:r>
          </w:p>
        </w:tc>
        <w:tc>
          <w:tcPr>
            <w:tcW w:w="1216" w:type="dxa"/>
            <w:tcBorders>
              <w:top w:val="nil"/>
              <w:left w:val="nil"/>
              <w:bottom w:val="single" w:sz="4" w:space="0" w:color="auto"/>
              <w:right w:val="single" w:sz="4" w:space="0" w:color="auto"/>
            </w:tcBorders>
            <w:noWrap/>
            <w:hideMark/>
          </w:tcPr>
          <w:p w14:paraId="5144DAD1"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10.1016/j.cegh.2025.102020","author":[{"dropping-particle":"","family":"Sun","given":"Qian","non-dropping-particle":"","parse-names":false,"suffix":""},{"dropping-particle":"","family":"Li","given":"Ming","non-dropping-particle":"","parse-names":false,"suffix":""}],"container-title":"Clinical Epidemiology and Global Health","id":"ITEM-1","issued":{"date-parts":[["2025"]]},"page":"102020","title":"Association between periodontitis and cognitive impairment in older adults: A cross-sectional study of the National Health and Nutrition Examination Survey","type":"article-journal","volume":"33"},"uris":["http://www.mendeley.com/documents/?uuid=d01be432-16db-4359-93b0-ac92fc70357c"]}],"mendeley":{"formattedCitation":"(Sun &amp; Li, 2025)","manualFormatting":"Sun &amp; Li (2025)","plainTextFormattedCitation":"(Sun &amp; Li, 2025)","previouslyFormattedCitation":"(Sun &amp; Li, 2025)"},"properties":{"noteIndex":0},"schema":"https://github.com/citation-style-language/schema/raw/master/csl-citation.json"}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Sun &amp; Li (2025)</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598B77D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To analyze the association between periodontitis and cognitive impairment among older adults in the United States.</w:t>
            </w:r>
          </w:p>
        </w:tc>
        <w:tc>
          <w:tcPr>
            <w:tcW w:w="2561" w:type="dxa"/>
            <w:tcBorders>
              <w:top w:val="nil"/>
              <w:left w:val="nil"/>
              <w:bottom w:val="single" w:sz="4" w:space="0" w:color="auto"/>
              <w:right w:val="single" w:sz="4" w:space="0" w:color="auto"/>
            </w:tcBorders>
            <w:noWrap/>
            <w:hideMark/>
          </w:tcPr>
          <w:p w14:paraId="56814CDE"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cross-sectional study using NHANES 2011–2014. The sample consisted of 2,514 individuals aged ≥60 years. Periodontitis was categorized as no/mild and moderate/severe. Cognitive function was assessed using CERAD-WL, AFT, and DSST.</w:t>
            </w:r>
          </w:p>
        </w:tc>
        <w:tc>
          <w:tcPr>
            <w:tcW w:w="2921" w:type="dxa"/>
            <w:tcBorders>
              <w:top w:val="nil"/>
              <w:left w:val="nil"/>
              <w:bottom w:val="single" w:sz="4" w:space="0" w:color="auto"/>
              <w:right w:val="single" w:sz="4" w:space="0" w:color="auto"/>
            </w:tcBorders>
            <w:noWrap/>
            <w:hideMark/>
          </w:tcPr>
          <w:p w14:paraId="396ED1B7"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A total of 52.6% of the sample had moderate/severe periodontitis. Moderate/severe periodontitis was associated with cognitive impairment on the DSST. The fully adjusted model showed OR = 1.290; 95% CI = 1.021–1.630; p = 0.033. Differences in CERAD-WL and DSST scores across periodontal status were significant, with p = 0.046 and p = 0.010.</w:t>
            </w:r>
          </w:p>
        </w:tc>
        <w:tc>
          <w:tcPr>
            <w:tcW w:w="2135" w:type="dxa"/>
            <w:tcBorders>
              <w:top w:val="nil"/>
              <w:left w:val="nil"/>
              <w:bottom w:val="single" w:sz="4" w:space="0" w:color="auto"/>
              <w:right w:val="single" w:sz="4" w:space="0" w:color="auto"/>
            </w:tcBorders>
            <w:noWrap/>
            <w:hideMark/>
          </w:tcPr>
          <w:p w14:paraId="6B7036FD"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Periodontitis is significantly associated with cognitive impairment among older adults. Periodontal care should be considered in the management of older adult health to reduce cognitive decline.</w:t>
            </w:r>
          </w:p>
        </w:tc>
      </w:tr>
      <w:tr w:rsidR="003547C3" w:rsidRPr="003547C3" w14:paraId="1546F73F" w14:textId="77777777" w:rsidTr="00FA79AF">
        <w:trPr>
          <w:trHeight w:val="310"/>
        </w:trPr>
        <w:tc>
          <w:tcPr>
            <w:tcW w:w="570" w:type="dxa"/>
            <w:tcBorders>
              <w:top w:val="nil"/>
              <w:left w:val="single" w:sz="4" w:space="0" w:color="auto"/>
              <w:bottom w:val="single" w:sz="4" w:space="0" w:color="auto"/>
              <w:right w:val="single" w:sz="4" w:space="0" w:color="auto"/>
            </w:tcBorders>
            <w:noWrap/>
            <w:hideMark/>
          </w:tcPr>
          <w:p w14:paraId="0678A6FA" w14:textId="77777777" w:rsidR="003547C3" w:rsidRPr="003547C3" w:rsidRDefault="003547C3" w:rsidP="002B349D">
            <w:pPr>
              <w:jc w:val="center"/>
              <w:rPr>
                <w:rFonts w:ascii="Times New Roman" w:hAnsi="Times New Roman" w:cs="Times New Roman"/>
                <w:noProof/>
                <w:kern w:val="0"/>
                <w:sz w:val="24"/>
              </w:rPr>
            </w:pPr>
            <w:r w:rsidRPr="003547C3">
              <w:rPr>
                <w:rFonts w:ascii="Times New Roman" w:hAnsi="Times New Roman" w:cs="Times New Roman"/>
                <w:noProof/>
                <w:kern w:val="0"/>
                <w:sz w:val="24"/>
              </w:rPr>
              <w:t>12</w:t>
            </w:r>
          </w:p>
        </w:tc>
        <w:tc>
          <w:tcPr>
            <w:tcW w:w="1216" w:type="dxa"/>
            <w:tcBorders>
              <w:top w:val="nil"/>
              <w:left w:val="nil"/>
              <w:bottom w:val="single" w:sz="4" w:space="0" w:color="auto"/>
              <w:right w:val="single" w:sz="4" w:space="0" w:color="auto"/>
            </w:tcBorders>
            <w:noWrap/>
            <w:hideMark/>
          </w:tcPr>
          <w:p w14:paraId="5DAA8602" w14:textId="77777777" w:rsidR="003547C3" w:rsidRPr="003547C3" w:rsidRDefault="003547C3" w:rsidP="003547C3">
            <w:pPr>
              <w:jc w:val="both"/>
              <w:rPr>
                <w:rFonts w:ascii="Times New Roman" w:hAnsi="Times New Roman" w:cs="Times New Roman"/>
                <w:noProof/>
                <w:kern w:val="0"/>
                <w:sz w:val="24"/>
              </w:rPr>
            </w:pPr>
            <w:r w:rsidRPr="003547C3">
              <w:rPr>
                <w:rFonts w:ascii="Times New Roman" w:hAnsi="Times New Roman" w:cs="Times New Roman"/>
                <w:noProof/>
                <w:kern w:val="0"/>
                <w:sz w:val="24"/>
              </w:rPr>
              <w:fldChar w:fldCharType="begin" w:fldLock="1"/>
            </w:r>
            <w:r w:rsidRPr="003547C3">
              <w:rPr>
                <w:rFonts w:ascii="Times New Roman" w:hAnsi="Times New Roman" w:cs="Times New Roman"/>
                <w:noProof/>
                <w:kern w:val="0"/>
                <w:sz w:val="24"/>
              </w:rPr>
              <w:instrText>ADDIN CSL_CITATION {"citationItems":[{"id":"ITEM-1","itemData":{"DOI":"10.17219/dmp/177412","author":[{"dropping-particle":"","family":"Aranda Romo","given":"Susana","non-dropping-particle":"","parse-names":false,"suffix":""},{"dropping-particle":"","family":"Garrocho-Rangel","given":"Arturo","non-dropping-particle":"","parse-names":false,"suffix":""},{"dropping-particle":"","family":"Mar'in Gonz'alez","given":"Adriana","non-dropping-particle":"","parse-names":false,"suffix":""},{"dropping-particle":"","family":"Cepeda-Bravo","given":"Antonio","non-dropping-particle":"","parse-names":false,"suffix":""},{"dropping-particle":"","family":"Jim'enez-Capdeville","given":"Mar'ia Elena","non-dropping-particle":"","parse-names":false,"suffix":""},{"dropping-particle":"","family":"Ortega Rodr'iguez","given":"Claudia","non-dropping-particle":"","parse-names":false,"suffix":""},{"dropping-particle":"","family":"Amaya Larios","given":"Irma Yolanda","non-dropping-particle":"","parse-names":false,"suffix":""},{"dropping-particle":"","family":"Pozos Guill'en","given":"Amaury","non-dropping-particle":"","parse-names":false,"suffix":""}],"container-title":"Dental and Medical Problems","id":"ITEM-1","issue":"4","issued":{"date-parts":[["2025"]]},"page":"591-600","title":"Cognitive status and periodontitis: Is there a correlation? A cross-sectional study","type":"article-journal","volume":"62"},"uris":["http://www.mendeley.com/documents/?uuid=090523c2-559d-4237-84e0-7cb365d57437"]}],"mendeley":{"formattedCitation":"(Aranda Romo et al., 2025)","manualFormatting":"Aranda Romo et al. (2025)","plainTextFormattedCitation":"(Aranda Romo et al., 2025)","previouslyFormattedCitation":"(Aranda Romo et al., 2025)"},"properties":{"noteIndex":0},"schema":"https://github.com/citation-style-language/schema/raw/master/csl-citation.json"}</w:instrText>
            </w:r>
            <w:r w:rsidRPr="003547C3">
              <w:rPr>
                <w:rFonts w:ascii="Times New Roman" w:hAnsi="Times New Roman" w:cs="Times New Roman"/>
                <w:noProof/>
                <w:kern w:val="0"/>
                <w:sz w:val="24"/>
              </w:rPr>
              <w:fldChar w:fldCharType="separate"/>
            </w:r>
            <w:r w:rsidRPr="003547C3">
              <w:rPr>
                <w:rFonts w:ascii="Times New Roman" w:hAnsi="Times New Roman" w:cs="Times New Roman"/>
                <w:noProof/>
                <w:kern w:val="0"/>
                <w:sz w:val="24"/>
              </w:rPr>
              <w:t>Aranda Romo et al. (2025)</w:t>
            </w:r>
            <w:r w:rsidRPr="003547C3">
              <w:rPr>
                <w:rFonts w:ascii="Times New Roman" w:hAnsi="Times New Roman" w:cs="Times New Roman"/>
                <w:noProof/>
                <w:kern w:val="0"/>
                <w:sz w:val="24"/>
              </w:rPr>
              <w:fldChar w:fldCharType="end"/>
            </w:r>
          </w:p>
        </w:tc>
        <w:tc>
          <w:tcPr>
            <w:tcW w:w="1763" w:type="dxa"/>
            <w:tcBorders>
              <w:top w:val="nil"/>
              <w:left w:val="nil"/>
              <w:bottom w:val="single" w:sz="4" w:space="0" w:color="auto"/>
              <w:right w:val="single" w:sz="4" w:space="0" w:color="auto"/>
            </w:tcBorders>
            <w:noWrap/>
            <w:hideMark/>
          </w:tcPr>
          <w:p w14:paraId="71E3D59D"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t xml:space="preserve">To determine the correlation between gingival index, periodontitis staging, and mild cognitive impairment assessed using </w:t>
            </w:r>
            <w:r w:rsidRPr="003547C3">
              <w:rPr>
                <w:rFonts w:ascii="Times New Roman" w:hAnsi="Times New Roman" w:cs="Times New Roman"/>
                <w:noProof/>
                <w:kern w:val="0"/>
                <w:sz w:val="24"/>
              </w:rPr>
              <w:lastRenderedPageBreak/>
              <w:t>MoCA in adults aged ≥55 years.</w:t>
            </w:r>
          </w:p>
        </w:tc>
        <w:tc>
          <w:tcPr>
            <w:tcW w:w="2561" w:type="dxa"/>
            <w:tcBorders>
              <w:top w:val="nil"/>
              <w:left w:val="nil"/>
              <w:bottom w:val="single" w:sz="4" w:space="0" w:color="auto"/>
              <w:right w:val="single" w:sz="4" w:space="0" w:color="auto"/>
            </w:tcBorders>
            <w:noWrap/>
            <w:hideMark/>
          </w:tcPr>
          <w:p w14:paraId="4C86CE89"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cross-sectional study involving 120 Mexican patients with or without periodontal disease. Periodontal examinations were conducted clinically and radiographically. MCI was assessed using </w:t>
            </w:r>
            <w:r w:rsidRPr="003547C3">
              <w:rPr>
                <w:rFonts w:ascii="Times New Roman" w:hAnsi="Times New Roman" w:cs="Times New Roman"/>
                <w:noProof/>
                <w:kern w:val="0"/>
                <w:sz w:val="24"/>
              </w:rPr>
              <w:lastRenderedPageBreak/>
              <w:t>the Montreal Cognitive Assessment.</w:t>
            </w:r>
          </w:p>
        </w:tc>
        <w:tc>
          <w:tcPr>
            <w:tcW w:w="2921" w:type="dxa"/>
            <w:tcBorders>
              <w:top w:val="nil"/>
              <w:left w:val="nil"/>
              <w:bottom w:val="single" w:sz="4" w:space="0" w:color="auto"/>
              <w:right w:val="single" w:sz="4" w:space="0" w:color="auto"/>
            </w:tcBorders>
            <w:noWrap/>
            <w:hideMark/>
          </w:tcPr>
          <w:p w14:paraId="6AAE4A30"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A total of 54% of subjects had MCI. Loss of clinical attachment level was associated with MCI, with OR = 1.68; 95% CI = 1.06–2.68; p = 0.027. Gingival index was also correlated with MCI, with p = 0.025. Other associated variables were sex, with OR = 2.97; </w:t>
            </w:r>
            <w:r w:rsidRPr="003547C3">
              <w:rPr>
                <w:rFonts w:ascii="Times New Roman" w:hAnsi="Times New Roman" w:cs="Times New Roman"/>
                <w:noProof/>
                <w:kern w:val="0"/>
                <w:sz w:val="24"/>
              </w:rPr>
              <w:lastRenderedPageBreak/>
              <w:t>p = 0.015, and education, with OR = 0.37; p = 0.021.</w:t>
            </w:r>
          </w:p>
        </w:tc>
        <w:tc>
          <w:tcPr>
            <w:tcW w:w="2135" w:type="dxa"/>
            <w:tcBorders>
              <w:top w:val="nil"/>
              <w:left w:val="nil"/>
              <w:bottom w:val="single" w:sz="4" w:space="0" w:color="auto"/>
              <w:right w:val="single" w:sz="4" w:space="0" w:color="auto"/>
            </w:tcBorders>
            <w:noWrap/>
            <w:hideMark/>
          </w:tcPr>
          <w:p w14:paraId="3B610D46" w14:textId="77777777" w:rsidR="003547C3" w:rsidRPr="003547C3" w:rsidRDefault="003547C3" w:rsidP="002B349D">
            <w:pPr>
              <w:rPr>
                <w:rFonts w:ascii="Times New Roman" w:hAnsi="Times New Roman" w:cs="Times New Roman"/>
                <w:noProof/>
                <w:kern w:val="0"/>
                <w:sz w:val="24"/>
              </w:rPr>
            </w:pPr>
            <w:r w:rsidRPr="003547C3">
              <w:rPr>
                <w:rFonts w:ascii="Times New Roman" w:hAnsi="Times New Roman" w:cs="Times New Roman"/>
                <w:noProof/>
                <w:kern w:val="0"/>
                <w:sz w:val="24"/>
              </w:rPr>
              <w:lastRenderedPageBreak/>
              <w:t xml:space="preserve">Gingival and periodontal parameters, particularly clinical attachment loss, are associated with mild cognitive impairment in older adults. Periodontal examination may provide additional </w:t>
            </w:r>
            <w:r w:rsidRPr="003547C3">
              <w:rPr>
                <w:rFonts w:ascii="Times New Roman" w:hAnsi="Times New Roman" w:cs="Times New Roman"/>
                <w:noProof/>
                <w:kern w:val="0"/>
                <w:sz w:val="24"/>
              </w:rPr>
              <w:lastRenderedPageBreak/>
              <w:t>information for the early detection of cognitive impairment.</w:t>
            </w:r>
          </w:p>
        </w:tc>
      </w:tr>
    </w:tbl>
    <w:p w14:paraId="0B98302F" w14:textId="77777777" w:rsidR="002B349D" w:rsidRDefault="002B349D" w:rsidP="00CE7E55">
      <w:pPr>
        <w:jc w:val="both"/>
        <w:rPr>
          <w:rFonts w:ascii="Times New Roman" w:hAnsi="Times New Roman" w:cs="Times New Roman"/>
          <w:noProof/>
          <w:kern w:val="0"/>
          <w:sz w:val="24"/>
        </w:rPr>
      </w:pPr>
    </w:p>
    <w:p w14:paraId="57057033" w14:textId="77777777" w:rsidR="002B349D" w:rsidRPr="002B349D" w:rsidRDefault="002B349D" w:rsidP="002B349D">
      <w:pPr>
        <w:jc w:val="both"/>
        <w:rPr>
          <w:rFonts w:ascii="Times New Roman" w:hAnsi="Times New Roman" w:cs="Times New Roman"/>
          <w:b/>
          <w:bCs/>
          <w:sz w:val="24"/>
          <w:szCs w:val="24"/>
        </w:rPr>
      </w:pPr>
      <w:r w:rsidRPr="002B349D">
        <w:rPr>
          <w:rFonts w:ascii="Times New Roman" w:hAnsi="Times New Roman" w:cs="Times New Roman"/>
          <w:b/>
          <w:bCs/>
          <w:sz w:val="24"/>
          <w:szCs w:val="24"/>
        </w:rPr>
        <w:t>Figure legends</w:t>
      </w:r>
    </w:p>
    <w:p w14:paraId="06AE2993" w14:textId="77777777"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b/>
          <w:bCs/>
          <w:sz w:val="24"/>
          <w:szCs w:val="24"/>
        </w:rPr>
        <w:t>Figure 1.</w:t>
      </w:r>
      <w:r w:rsidRPr="002B349D">
        <w:rPr>
          <w:rFonts w:ascii="Times New Roman" w:hAnsi="Times New Roman" w:cs="Times New Roman"/>
          <w:sz w:val="24"/>
          <w:szCs w:val="24"/>
        </w:rPr>
        <w:t xml:space="preserve"> PRISMA flow diagram of study selection.</w:t>
      </w:r>
    </w:p>
    <w:p w14:paraId="627DA618" w14:textId="77777777"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sz w:val="24"/>
          <w:szCs w:val="24"/>
        </w:rPr>
        <w:t>The diagram shows the identification, screening, eligibility assessment, and inclusion process of articles in this systematic review and meta-analysis.</w:t>
      </w:r>
    </w:p>
    <w:p w14:paraId="0959E1AE" w14:textId="1AADC3EE" w:rsidR="002B349D" w:rsidRDefault="002B349D" w:rsidP="002B349D">
      <w:pPr>
        <w:jc w:val="both"/>
        <w:rPr>
          <w:rFonts w:ascii="Times New Roman" w:hAnsi="Times New Roman" w:cs="Times New Roman"/>
          <w:sz w:val="24"/>
          <w:szCs w:val="24"/>
        </w:rPr>
      </w:pPr>
      <w:r w:rsidRPr="007F0F25">
        <w:rPr>
          <w:rFonts w:ascii="Times New Roman" w:hAnsi="Times New Roman" w:cs="Times New Roman"/>
          <w:noProof/>
          <w:sz w:val="24"/>
          <w:szCs w:val="24"/>
        </w:rPr>
        <w:drawing>
          <wp:inline distT="0" distB="0" distL="0" distR="0" wp14:anchorId="17425203" wp14:editId="73A28856">
            <wp:extent cx="5731510" cy="4599668"/>
            <wp:effectExtent l="0" t="0" r="2540" b="0"/>
            <wp:docPr id="13415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99668"/>
                    </a:xfrm>
                    <a:prstGeom prst="rect">
                      <a:avLst/>
                    </a:prstGeom>
                    <a:noFill/>
                  </pic:spPr>
                </pic:pic>
              </a:graphicData>
            </a:graphic>
          </wp:inline>
        </w:drawing>
      </w:r>
    </w:p>
    <w:p w14:paraId="08DDCCF6" w14:textId="77777777" w:rsidR="002B349D" w:rsidRPr="002B349D" w:rsidRDefault="002B349D" w:rsidP="002B349D">
      <w:pPr>
        <w:jc w:val="both"/>
        <w:rPr>
          <w:rFonts w:ascii="Times New Roman" w:hAnsi="Times New Roman" w:cs="Times New Roman"/>
          <w:sz w:val="24"/>
          <w:szCs w:val="24"/>
        </w:rPr>
      </w:pPr>
    </w:p>
    <w:p w14:paraId="5EE697C5" w14:textId="77777777" w:rsidR="002D0E91" w:rsidRDefault="002D0E91" w:rsidP="002B349D">
      <w:pPr>
        <w:jc w:val="both"/>
        <w:rPr>
          <w:rFonts w:ascii="Times New Roman" w:hAnsi="Times New Roman" w:cs="Times New Roman"/>
          <w:b/>
          <w:bCs/>
          <w:sz w:val="24"/>
          <w:szCs w:val="24"/>
        </w:rPr>
      </w:pPr>
    </w:p>
    <w:p w14:paraId="2EB4E759" w14:textId="77777777" w:rsidR="002D0E91" w:rsidRDefault="002D0E91" w:rsidP="002B349D">
      <w:pPr>
        <w:jc w:val="both"/>
        <w:rPr>
          <w:rFonts w:ascii="Times New Roman" w:hAnsi="Times New Roman" w:cs="Times New Roman"/>
          <w:b/>
          <w:bCs/>
          <w:sz w:val="24"/>
          <w:szCs w:val="24"/>
        </w:rPr>
      </w:pPr>
    </w:p>
    <w:p w14:paraId="6A007C04" w14:textId="77777777" w:rsidR="002D0E91" w:rsidRDefault="002D0E91" w:rsidP="002B349D">
      <w:pPr>
        <w:jc w:val="both"/>
        <w:rPr>
          <w:rFonts w:ascii="Times New Roman" w:hAnsi="Times New Roman" w:cs="Times New Roman"/>
          <w:b/>
          <w:bCs/>
          <w:sz w:val="24"/>
          <w:szCs w:val="24"/>
        </w:rPr>
      </w:pPr>
    </w:p>
    <w:p w14:paraId="0C77FE31" w14:textId="77777777" w:rsidR="002D0E91" w:rsidRDefault="002D0E91" w:rsidP="002B349D">
      <w:pPr>
        <w:jc w:val="both"/>
        <w:rPr>
          <w:rFonts w:ascii="Times New Roman" w:hAnsi="Times New Roman" w:cs="Times New Roman"/>
          <w:b/>
          <w:bCs/>
          <w:sz w:val="24"/>
          <w:szCs w:val="24"/>
        </w:rPr>
      </w:pPr>
    </w:p>
    <w:p w14:paraId="4DDAA12C" w14:textId="77777777" w:rsidR="002D0E91" w:rsidRDefault="002D0E91" w:rsidP="002B349D">
      <w:pPr>
        <w:jc w:val="both"/>
        <w:rPr>
          <w:rFonts w:ascii="Times New Roman" w:hAnsi="Times New Roman" w:cs="Times New Roman"/>
          <w:b/>
          <w:bCs/>
          <w:sz w:val="24"/>
          <w:szCs w:val="24"/>
        </w:rPr>
      </w:pPr>
    </w:p>
    <w:p w14:paraId="58338675" w14:textId="725F5206"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b/>
          <w:bCs/>
          <w:sz w:val="24"/>
          <w:szCs w:val="24"/>
        </w:rPr>
        <w:lastRenderedPageBreak/>
        <w:t>Figure 2.</w:t>
      </w:r>
      <w:r w:rsidRPr="002B349D">
        <w:rPr>
          <w:rFonts w:ascii="Times New Roman" w:hAnsi="Times New Roman" w:cs="Times New Roman"/>
          <w:sz w:val="24"/>
          <w:szCs w:val="24"/>
        </w:rPr>
        <w:t xml:space="preserve"> Funnel plot of the relationship between periodontitis, cognitive impairment, and neurodegenerative disease.</w:t>
      </w:r>
    </w:p>
    <w:p w14:paraId="4BBA23D3" w14:textId="77777777"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sz w:val="24"/>
          <w:szCs w:val="24"/>
        </w:rPr>
        <w:t>The funnel plot presents the distribution of included studies based on residual values and standard errors to visually assess possible publication bias and variation across studies.</w:t>
      </w:r>
    </w:p>
    <w:p w14:paraId="3EFD3004" w14:textId="088B574B" w:rsidR="002B349D" w:rsidRPr="002B349D" w:rsidRDefault="002B349D" w:rsidP="002B349D">
      <w:pPr>
        <w:jc w:val="both"/>
        <w:rPr>
          <w:rFonts w:ascii="Times New Roman" w:hAnsi="Times New Roman" w:cs="Times New Roman"/>
          <w:sz w:val="24"/>
          <w:szCs w:val="24"/>
        </w:rPr>
      </w:pPr>
      <w:r>
        <w:rPr>
          <w:noProof/>
        </w:rPr>
        <w:drawing>
          <wp:inline distT="0" distB="0" distL="0" distR="0" wp14:anchorId="64A09A55" wp14:editId="089763A9">
            <wp:extent cx="5731510" cy="3526790"/>
            <wp:effectExtent l="0" t="0" r="2540" b="0"/>
            <wp:docPr id="172907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26790"/>
                    </a:xfrm>
                    <a:prstGeom prst="rect">
                      <a:avLst/>
                    </a:prstGeom>
                    <a:noFill/>
                    <a:ln>
                      <a:noFill/>
                    </a:ln>
                  </pic:spPr>
                </pic:pic>
              </a:graphicData>
            </a:graphic>
          </wp:inline>
        </w:drawing>
      </w:r>
    </w:p>
    <w:p w14:paraId="7C54CB80" w14:textId="77777777" w:rsidR="002B349D" w:rsidRDefault="002B349D" w:rsidP="002B349D">
      <w:pPr>
        <w:jc w:val="both"/>
        <w:rPr>
          <w:rFonts w:ascii="Times New Roman" w:hAnsi="Times New Roman" w:cs="Times New Roman"/>
          <w:b/>
          <w:bCs/>
          <w:sz w:val="24"/>
          <w:szCs w:val="24"/>
        </w:rPr>
      </w:pPr>
    </w:p>
    <w:p w14:paraId="1227E58B" w14:textId="32D6FA80" w:rsidR="002B349D" w:rsidRPr="002B349D" w:rsidRDefault="002B349D" w:rsidP="002B349D">
      <w:pPr>
        <w:jc w:val="both"/>
        <w:rPr>
          <w:rFonts w:ascii="Times New Roman" w:hAnsi="Times New Roman" w:cs="Times New Roman"/>
          <w:sz w:val="24"/>
          <w:szCs w:val="24"/>
        </w:rPr>
      </w:pPr>
      <w:r w:rsidRPr="002B349D">
        <w:rPr>
          <w:rFonts w:ascii="Times New Roman" w:hAnsi="Times New Roman" w:cs="Times New Roman"/>
          <w:b/>
          <w:bCs/>
          <w:sz w:val="24"/>
          <w:szCs w:val="24"/>
        </w:rPr>
        <w:t>Figure 3.</w:t>
      </w:r>
      <w:r w:rsidRPr="002B349D">
        <w:rPr>
          <w:rFonts w:ascii="Times New Roman" w:hAnsi="Times New Roman" w:cs="Times New Roman"/>
          <w:sz w:val="24"/>
          <w:szCs w:val="24"/>
        </w:rPr>
        <w:t xml:space="preserve"> Forest plot of the association between periodontitis, cognitive impairment, and neurodegenerative disease.</w:t>
      </w:r>
    </w:p>
    <w:p w14:paraId="27F0AC0E" w14:textId="0229CA7C" w:rsidR="002B349D" w:rsidRDefault="002B349D" w:rsidP="00CE7E55">
      <w:pPr>
        <w:jc w:val="both"/>
        <w:rPr>
          <w:rFonts w:ascii="Times New Roman" w:hAnsi="Times New Roman" w:cs="Times New Roman"/>
          <w:sz w:val="24"/>
          <w:szCs w:val="24"/>
        </w:rPr>
      </w:pPr>
      <w:r w:rsidRPr="002B349D">
        <w:rPr>
          <w:rFonts w:ascii="Times New Roman" w:hAnsi="Times New Roman" w:cs="Times New Roman"/>
          <w:sz w:val="24"/>
          <w:szCs w:val="24"/>
        </w:rPr>
        <w:t>The forest plot presents the effect estimate, confidence interval, pooled effect, and heterogeneity of the included studies.</w:t>
      </w:r>
    </w:p>
    <w:p w14:paraId="69194FD4" w14:textId="40F79383" w:rsidR="002B349D" w:rsidRPr="002B349D" w:rsidRDefault="002B349D" w:rsidP="00CE7E55">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63572C" wp14:editId="3B7CE204">
            <wp:extent cx="5730875" cy="2237740"/>
            <wp:effectExtent l="0" t="0" r="3175" b="0"/>
            <wp:docPr id="201064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2237740"/>
                    </a:xfrm>
                    <a:prstGeom prst="rect">
                      <a:avLst/>
                    </a:prstGeom>
                    <a:noFill/>
                  </pic:spPr>
                </pic:pic>
              </a:graphicData>
            </a:graphic>
          </wp:inline>
        </w:drawing>
      </w:r>
    </w:p>
    <w:sectPr w:rsidR="002B349D" w:rsidRPr="002B349D" w:rsidSect="007F0F2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A28A7"/>
    <w:multiLevelType w:val="hybridMultilevel"/>
    <w:tmpl w:val="AB184E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0827FAE"/>
    <w:multiLevelType w:val="hybridMultilevel"/>
    <w:tmpl w:val="F6666B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331058">
    <w:abstractNumId w:val="1"/>
  </w:num>
  <w:num w:numId="2" w16cid:durableId="131656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E7D"/>
    <w:rsid w:val="000245B1"/>
    <w:rsid w:val="00052596"/>
    <w:rsid w:val="00057562"/>
    <w:rsid w:val="00063423"/>
    <w:rsid w:val="000946A8"/>
    <w:rsid w:val="00193728"/>
    <w:rsid w:val="001A17D1"/>
    <w:rsid w:val="001F407B"/>
    <w:rsid w:val="00273299"/>
    <w:rsid w:val="002B349D"/>
    <w:rsid w:val="002B5E7D"/>
    <w:rsid w:val="002D0E91"/>
    <w:rsid w:val="002D5DA7"/>
    <w:rsid w:val="002F26B6"/>
    <w:rsid w:val="003547C3"/>
    <w:rsid w:val="003C4BD7"/>
    <w:rsid w:val="00451960"/>
    <w:rsid w:val="004D5CA1"/>
    <w:rsid w:val="0054266D"/>
    <w:rsid w:val="0059166D"/>
    <w:rsid w:val="006779F7"/>
    <w:rsid w:val="006B4C84"/>
    <w:rsid w:val="006E41C2"/>
    <w:rsid w:val="00723618"/>
    <w:rsid w:val="00735F64"/>
    <w:rsid w:val="007466F6"/>
    <w:rsid w:val="00762B5B"/>
    <w:rsid w:val="00794B79"/>
    <w:rsid w:val="007F0F25"/>
    <w:rsid w:val="008218C8"/>
    <w:rsid w:val="00880D88"/>
    <w:rsid w:val="00891B12"/>
    <w:rsid w:val="00897916"/>
    <w:rsid w:val="0091331C"/>
    <w:rsid w:val="009431E0"/>
    <w:rsid w:val="00991CE5"/>
    <w:rsid w:val="009B2946"/>
    <w:rsid w:val="00A55FC1"/>
    <w:rsid w:val="00BD7278"/>
    <w:rsid w:val="00C04F0B"/>
    <w:rsid w:val="00C34399"/>
    <w:rsid w:val="00C378B9"/>
    <w:rsid w:val="00CA0B19"/>
    <w:rsid w:val="00CB5F4D"/>
    <w:rsid w:val="00CE7E55"/>
    <w:rsid w:val="00CF6612"/>
    <w:rsid w:val="00E9604E"/>
    <w:rsid w:val="00F07A35"/>
    <w:rsid w:val="00F10BC9"/>
    <w:rsid w:val="00F65DE1"/>
    <w:rsid w:val="00FA2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233FA"/>
  <w15:chartTrackingRefBased/>
  <w15:docId w15:val="{83BC9925-32FE-4354-86EA-082155644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66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5E7D"/>
    <w:rPr>
      <w:color w:val="0563C1" w:themeColor="hyperlink"/>
      <w:u w:val="single"/>
    </w:rPr>
  </w:style>
  <w:style w:type="character" w:styleId="UnresolvedMention">
    <w:name w:val="Unresolved Mention"/>
    <w:basedOn w:val="DefaultParagraphFont"/>
    <w:uiPriority w:val="99"/>
    <w:semiHidden/>
    <w:unhideWhenUsed/>
    <w:rsid w:val="002B5E7D"/>
    <w:rPr>
      <w:color w:val="605E5C"/>
      <w:shd w:val="clear" w:color="auto" w:fill="E1DFDD"/>
    </w:rPr>
  </w:style>
  <w:style w:type="paragraph" w:styleId="ListParagraph">
    <w:name w:val="List Paragraph"/>
    <w:basedOn w:val="Normal"/>
    <w:uiPriority w:val="34"/>
    <w:qFormat/>
    <w:rsid w:val="00943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15919">
      <w:bodyDiv w:val="1"/>
      <w:marLeft w:val="0"/>
      <w:marRight w:val="0"/>
      <w:marTop w:val="0"/>
      <w:marBottom w:val="0"/>
      <w:divBdr>
        <w:top w:val="none" w:sz="0" w:space="0" w:color="auto"/>
        <w:left w:val="none" w:sz="0" w:space="0" w:color="auto"/>
        <w:bottom w:val="none" w:sz="0" w:space="0" w:color="auto"/>
        <w:right w:val="none" w:sz="0" w:space="0" w:color="auto"/>
      </w:divBdr>
    </w:div>
    <w:div w:id="497890852">
      <w:bodyDiv w:val="1"/>
      <w:marLeft w:val="0"/>
      <w:marRight w:val="0"/>
      <w:marTop w:val="0"/>
      <w:marBottom w:val="0"/>
      <w:divBdr>
        <w:top w:val="none" w:sz="0" w:space="0" w:color="auto"/>
        <w:left w:val="none" w:sz="0" w:space="0" w:color="auto"/>
        <w:bottom w:val="none" w:sz="0" w:space="0" w:color="auto"/>
        <w:right w:val="none" w:sz="0" w:space="0" w:color="auto"/>
      </w:divBdr>
    </w:div>
    <w:div w:id="652953011">
      <w:bodyDiv w:val="1"/>
      <w:marLeft w:val="0"/>
      <w:marRight w:val="0"/>
      <w:marTop w:val="0"/>
      <w:marBottom w:val="0"/>
      <w:divBdr>
        <w:top w:val="none" w:sz="0" w:space="0" w:color="auto"/>
        <w:left w:val="none" w:sz="0" w:space="0" w:color="auto"/>
        <w:bottom w:val="none" w:sz="0" w:space="0" w:color="auto"/>
        <w:right w:val="none" w:sz="0" w:space="0" w:color="auto"/>
      </w:divBdr>
    </w:div>
    <w:div w:id="659115251">
      <w:bodyDiv w:val="1"/>
      <w:marLeft w:val="0"/>
      <w:marRight w:val="0"/>
      <w:marTop w:val="0"/>
      <w:marBottom w:val="0"/>
      <w:divBdr>
        <w:top w:val="none" w:sz="0" w:space="0" w:color="auto"/>
        <w:left w:val="none" w:sz="0" w:space="0" w:color="auto"/>
        <w:bottom w:val="none" w:sz="0" w:space="0" w:color="auto"/>
        <w:right w:val="none" w:sz="0" w:space="0" w:color="auto"/>
      </w:divBdr>
    </w:div>
    <w:div w:id="671104312">
      <w:bodyDiv w:val="1"/>
      <w:marLeft w:val="0"/>
      <w:marRight w:val="0"/>
      <w:marTop w:val="0"/>
      <w:marBottom w:val="0"/>
      <w:divBdr>
        <w:top w:val="none" w:sz="0" w:space="0" w:color="auto"/>
        <w:left w:val="none" w:sz="0" w:space="0" w:color="auto"/>
        <w:bottom w:val="none" w:sz="0" w:space="0" w:color="auto"/>
        <w:right w:val="none" w:sz="0" w:space="0" w:color="auto"/>
      </w:divBdr>
    </w:div>
    <w:div w:id="679893843">
      <w:bodyDiv w:val="1"/>
      <w:marLeft w:val="0"/>
      <w:marRight w:val="0"/>
      <w:marTop w:val="0"/>
      <w:marBottom w:val="0"/>
      <w:divBdr>
        <w:top w:val="none" w:sz="0" w:space="0" w:color="auto"/>
        <w:left w:val="none" w:sz="0" w:space="0" w:color="auto"/>
        <w:bottom w:val="none" w:sz="0" w:space="0" w:color="auto"/>
        <w:right w:val="none" w:sz="0" w:space="0" w:color="auto"/>
      </w:divBdr>
    </w:div>
    <w:div w:id="856651563">
      <w:bodyDiv w:val="1"/>
      <w:marLeft w:val="0"/>
      <w:marRight w:val="0"/>
      <w:marTop w:val="0"/>
      <w:marBottom w:val="0"/>
      <w:divBdr>
        <w:top w:val="none" w:sz="0" w:space="0" w:color="auto"/>
        <w:left w:val="none" w:sz="0" w:space="0" w:color="auto"/>
        <w:bottom w:val="none" w:sz="0" w:space="0" w:color="auto"/>
        <w:right w:val="none" w:sz="0" w:space="0" w:color="auto"/>
      </w:divBdr>
    </w:div>
    <w:div w:id="985621513">
      <w:bodyDiv w:val="1"/>
      <w:marLeft w:val="0"/>
      <w:marRight w:val="0"/>
      <w:marTop w:val="0"/>
      <w:marBottom w:val="0"/>
      <w:divBdr>
        <w:top w:val="none" w:sz="0" w:space="0" w:color="auto"/>
        <w:left w:val="none" w:sz="0" w:space="0" w:color="auto"/>
        <w:bottom w:val="none" w:sz="0" w:space="0" w:color="auto"/>
        <w:right w:val="none" w:sz="0" w:space="0" w:color="auto"/>
      </w:divBdr>
    </w:div>
    <w:div w:id="1025861406">
      <w:bodyDiv w:val="1"/>
      <w:marLeft w:val="0"/>
      <w:marRight w:val="0"/>
      <w:marTop w:val="0"/>
      <w:marBottom w:val="0"/>
      <w:divBdr>
        <w:top w:val="none" w:sz="0" w:space="0" w:color="auto"/>
        <w:left w:val="none" w:sz="0" w:space="0" w:color="auto"/>
        <w:bottom w:val="none" w:sz="0" w:space="0" w:color="auto"/>
        <w:right w:val="none" w:sz="0" w:space="0" w:color="auto"/>
      </w:divBdr>
    </w:div>
    <w:div w:id="1107770311">
      <w:bodyDiv w:val="1"/>
      <w:marLeft w:val="0"/>
      <w:marRight w:val="0"/>
      <w:marTop w:val="0"/>
      <w:marBottom w:val="0"/>
      <w:divBdr>
        <w:top w:val="none" w:sz="0" w:space="0" w:color="auto"/>
        <w:left w:val="none" w:sz="0" w:space="0" w:color="auto"/>
        <w:bottom w:val="none" w:sz="0" w:space="0" w:color="auto"/>
        <w:right w:val="none" w:sz="0" w:space="0" w:color="auto"/>
      </w:divBdr>
    </w:div>
    <w:div w:id="1110708655">
      <w:bodyDiv w:val="1"/>
      <w:marLeft w:val="0"/>
      <w:marRight w:val="0"/>
      <w:marTop w:val="0"/>
      <w:marBottom w:val="0"/>
      <w:divBdr>
        <w:top w:val="none" w:sz="0" w:space="0" w:color="auto"/>
        <w:left w:val="none" w:sz="0" w:space="0" w:color="auto"/>
        <w:bottom w:val="none" w:sz="0" w:space="0" w:color="auto"/>
        <w:right w:val="none" w:sz="0" w:space="0" w:color="auto"/>
      </w:divBdr>
      <w:divsChild>
        <w:div w:id="447238131">
          <w:marLeft w:val="0"/>
          <w:marRight w:val="0"/>
          <w:marTop w:val="0"/>
          <w:marBottom w:val="0"/>
          <w:divBdr>
            <w:top w:val="none" w:sz="0" w:space="0" w:color="auto"/>
            <w:left w:val="none" w:sz="0" w:space="0" w:color="auto"/>
            <w:bottom w:val="none" w:sz="0" w:space="0" w:color="auto"/>
            <w:right w:val="none" w:sz="0" w:space="0" w:color="auto"/>
          </w:divBdr>
          <w:divsChild>
            <w:div w:id="1290159717">
              <w:marLeft w:val="0"/>
              <w:marRight w:val="0"/>
              <w:marTop w:val="0"/>
              <w:marBottom w:val="0"/>
              <w:divBdr>
                <w:top w:val="none" w:sz="0" w:space="0" w:color="auto"/>
                <w:left w:val="none" w:sz="0" w:space="0" w:color="auto"/>
                <w:bottom w:val="none" w:sz="0" w:space="0" w:color="auto"/>
                <w:right w:val="none" w:sz="0" w:space="0" w:color="auto"/>
              </w:divBdr>
              <w:divsChild>
                <w:div w:id="409276305">
                  <w:marLeft w:val="0"/>
                  <w:marRight w:val="0"/>
                  <w:marTop w:val="0"/>
                  <w:marBottom w:val="0"/>
                  <w:divBdr>
                    <w:top w:val="none" w:sz="0" w:space="0" w:color="auto"/>
                    <w:left w:val="none" w:sz="0" w:space="0" w:color="auto"/>
                    <w:bottom w:val="none" w:sz="0" w:space="0" w:color="auto"/>
                    <w:right w:val="none" w:sz="0" w:space="0" w:color="auto"/>
                  </w:divBdr>
                  <w:divsChild>
                    <w:div w:id="12111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144451">
      <w:bodyDiv w:val="1"/>
      <w:marLeft w:val="0"/>
      <w:marRight w:val="0"/>
      <w:marTop w:val="0"/>
      <w:marBottom w:val="0"/>
      <w:divBdr>
        <w:top w:val="none" w:sz="0" w:space="0" w:color="auto"/>
        <w:left w:val="none" w:sz="0" w:space="0" w:color="auto"/>
        <w:bottom w:val="none" w:sz="0" w:space="0" w:color="auto"/>
        <w:right w:val="none" w:sz="0" w:space="0" w:color="auto"/>
      </w:divBdr>
    </w:div>
    <w:div w:id="1340230115">
      <w:bodyDiv w:val="1"/>
      <w:marLeft w:val="0"/>
      <w:marRight w:val="0"/>
      <w:marTop w:val="0"/>
      <w:marBottom w:val="0"/>
      <w:divBdr>
        <w:top w:val="none" w:sz="0" w:space="0" w:color="auto"/>
        <w:left w:val="none" w:sz="0" w:space="0" w:color="auto"/>
        <w:bottom w:val="none" w:sz="0" w:space="0" w:color="auto"/>
        <w:right w:val="none" w:sz="0" w:space="0" w:color="auto"/>
      </w:divBdr>
    </w:div>
    <w:div w:id="1349214484">
      <w:bodyDiv w:val="1"/>
      <w:marLeft w:val="0"/>
      <w:marRight w:val="0"/>
      <w:marTop w:val="0"/>
      <w:marBottom w:val="0"/>
      <w:divBdr>
        <w:top w:val="none" w:sz="0" w:space="0" w:color="auto"/>
        <w:left w:val="none" w:sz="0" w:space="0" w:color="auto"/>
        <w:bottom w:val="none" w:sz="0" w:space="0" w:color="auto"/>
        <w:right w:val="none" w:sz="0" w:space="0" w:color="auto"/>
      </w:divBdr>
    </w:div>
    <w:div w:id="1431581849">
      <w:bodyDiv w:val="1"/>
      <w:marLeft w:val="0"/>
      <w:marRight w:val="0"/>
      <w:marTop w:val="0"/>
      <w:marBottom w:val="0"/>
      <w:divBdr>
        <w:top w:val="none" w:sz="0" w:space="0" w:color="auto"/>
        <w:left w:val="none" w:sz="0" w:space="0" w:color="auto"/>
        <w:bottom w:val="none" w:sz="0" w:space="0" w:color="auto"/>
        <w:right w:val="none" w:sz="0" w:space="0" w:color="auto"/>
      </w:divBdr>
    </w:div>
    <w:div w:id="1442411356">
      <w:bodyDiv w:val="1"/>
      <w:marLeft w:val="0"/>
      <w:marRight w:val="0"/>
      <w:marTop w:val="0"/>
      <w:marBottom w:val="0"/>
      <w:divBdr>
        <w:top w:val="none" w:sz="0" w:space="0" w:color="auto"/>
        <w:left w:val="none" w:sz="0" w:space="0" w:color="auto"/>
        <w:bottom w:val="none" w:sz="0" w:space="0" w:color="auto"/>
        <w:right w:val="none" w:sz="0" w:space="0" w:color="auto"/>
      </w:divBdr>
    </w:div>
    <w:div w:id="1569614174">
      <w:bodyDiv w:val="1"/>
      <w:marLeft w:val="0"/>
      <w:marRight w:val="0"/>
      <w:marTop w:val="0"/>
      <w:marBottom w:val="0"/>
      <w:divBdr>
        <w:top w:val="none" w:sz="0" w:space="0" w:color="auto"/>
        <w:left w:val="none" w:sz="0" w:space="0" w:color="auto"/>
        <w:bottom w:val="none" w:sz="0" w:space="0" w:color="auto"/>
        <w:right w:val="none" w:sz="0" w:space="0" w:color="auto"/>
      </w:divBdr>
    </w:div>
    <w:div w:id="1628320227">
      <w:bodyDiv w:val="1"/>
      <w:marLeft w:val="0"/>
      <w:marRight w:val="0"/>
      <w:marTop w:val="0"/>
      <w:marBottom w:val="0"/>
      <w:divBdr>
        <w:top w:val="none" w:sz="0" w:space="0" w:color="auto"/>
        <w:left w:val="none" w:sz="0" w:space="0" w:color="auto"/>
        <w:bottom w:val="none" w:sz="0" w:space="0" w:color="auto"/>
        <w:right w:val="none" w:sz="0" w:space="0" w:color="auto"/>
      </w:divBdr>
    </w:div>
    <w:div w:id="1663116366">
      <w:bodyDiv w:val="1"/>
      <w:marLeft w:val="0"/>
      <w:marRight w:val="0"/>
      <w:marTop w:val="0"/>
      <w:marBottom w:val="0"/>
      <w:divBdr>
        <w:top w:val="none" w:sz="0" w:space="0" w:color="auto"/>
        <w:left w:val="none" w:sz="0" w:space="0" w:color="auto"/>
        <w:bottom w:val="none" w:sz="0" w:space="0" w:color="auto"/>
        <w:right w:val="none" w:sz="0" w:space="0" w:color="auto"/>
      </w:divBdr>
    </w:div>
    <w:div w:id="1842548727">
      <w:bodyDiv w:val="1"/>
      <w:marLeft w:val="0"/>
      <w:marRight w:val="0"/>
      <w:marTop w:val="0"/>
      <w:marBottom w:val="0"/>
      <w:divBdr>
        <w:top w:val="none" w:sz="0" w:space="0" w:color="auto"/>
        <w:left w:val="none" w:sz="0" w:space="0" w:color="auto"/>
        <w:bottom w:val="none" w:sz="0" w:space="0" w:color="auto"/>
        <w:right w:val="none" w:sz="0" w:space="0" w:color="auto"/>
      </w:divBdr>
    </w:div>
    <w:div w:id="1909534912">
      <w:bodyDiv w:val="1"/>
      <w:marLeft w:val="0"/>
      <w:marRight w:val="0"/>
      <w:marTop w:val="0"/>
      <w:marBottom w:val="0"/>
      <w:divBdr>
        <w:top w:val="none" w:sz="0" w:space="0" w:color="auto"/>
        <w:left w:val="none" w:sz="0" w:space="0" w:color="auto"/>
        <w:bottom w:val="none" w:sz="0" w:space="0" w:color="auto"/>
        <w:right w:val="none" w:sz="0" w:space="0" w:color="auto"/>
      </w:divBdr>
    </w:div>
    <w:div w:id="2048018463">
      <w:bodyDiv w:val="1"/>
      <w:marLeft w:val="0"/>
      <w:marRight w:val="0"/>
      <w:marTop w:val="0"/>
      <w:marBottom w:val="0"/>
      <w:divBdr>
        <w:top w:val="none" w:sz="0" w:space="0" w:color="auto"/>
        <w:left w:val="none" w:sz="0" w:space="0" w:color="auto"/>
        <w:bottom w:val="none" w:sz="0" w:space="0" w:color="auto"/>
        <w:right w:val="none" w:sz="0" w:space="0" w:color="auto"/>
      </w:divBdr>
    </w:div>
    <w:div w:id="2072265336">
      <w:bodyDiv w:val="1"/>
      <w:marLeft w:val="0"/>
      <w:marRight w:val="0"/>
      <w:marTop w:val="0"/>
      <w:marBottom w:val="0"/>
      <w:divBdr>
        <w:top w:val="none" w:sz="0" w:space="0" w:color="auto"/>
        <w:left w:val="none" w:sz="0" w:space="0" w:color="auto"/>
        <w:bottom w:val="none" w:sz="0" w:space="0" w:color="auto"/>
        <w:right w:val="none" w:sz="0" w:space="0" w:color="auto"/>
      </w:divBdr>
    </w:div>
    <w:div w:id="2104180399">
      <w:bodyDiv w:val="1"/>
      <w:marLeft w:val="0"/>
      <w:marRight w:val="0"/>
      <w:marTop w:val="0"/>
      <w:marBottom w:val="0"/>
      <w:divBdr>
        <w:top w:val="none" w:sz="0" w:space="0" w:color="auto"/>
        <w:left w:val="none" w:sz="0" w:space="0" w:color="auto"/>
        <w:bottom w:val="none" w:sz="0" w:space="0" w:color="auto"/>
        <w:right w:val="none" w:sz="0" w:space="0" w:color="auto"/>
      </w:divBdr>
      <w:divsChild>
        <w:div w:id="261956257">
          <w:marLeft w:val="0"/>
          <w:marRight w:val="0"/>
          <w:marTop w:val="0"/>
          <w:marBottom w:val="0"/>
          <w:divBdr>
            <w:top w:val="none" w:sz="0" w:space="0" w:color="auto"/>
            <w:left w:val="none" w:sz="0" w:space="0" w:color="auto"/>
            <w:bottom w:val="none" w:sz="0" w:space="0" w:color="auto"/>
            <w:right w:val="none" w:sz="0" w:space="0" w:color="auto"/>
          </w:divBdr>
          <w:divsChild>
            <w:div w:id="1864783988">
              <w:marLeft w:val="0"/>
              <w:marRight w:val="0"/>
              <w:marTop w:val="0"/>
              <w:marBottom w:val="0"/>
              <w:divBdr>
                <w:top w:val="none" w:sz="0" w:space="0" w:color="auto"/>
                <w:left w:val="none" w:sz="0" w:space="0" w:color="auto"/>
                <w:bottom w:val="none" w:sz="0" w:space="0" w:color="auto"/>
                <w:right w:val="none" w:sz="0" w:space="0" w:color="auto"/>
              </w:divBdr>
              <w:divsChild>
                <w:div w:id="608586066">
                  <w:marLeft w:val="0"/>
                  <w:marRight w:val="0"/>
                  <w:marTop w:val="0"/>
                  <w:marBottom w:val="0"/>
                  <w:divBdr>
                    <w:top w:val="none" w:sz="0" w:space="0" w:color="auto"/>
                    <w:left w:val="none" w:sz="0" w:space="0" w:color="auto"/>
                    <w:bottom w:val="none" w:sz="0" w:space="0" w:color="auto"/>
                    <w:right w:val="none" w:sz="0" w:space="0" w:color="auto"/>
                  </w:divBdr>
                  <w:divsChild>
                    <w:div w:id="20569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414AFB-0CE0-4232-BF39-F3EDA3D90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10341</Words>
  <Characters>58945</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PT ANOA MANDIRI SEJAHTERA</cp:lastModifiedBy>
  <cp:revision>2</cp:revision>
  <dcterms:created xsi:type="dcterms:W3CDTF">2026-06-05T23:36:00Z</dcterms:created>
  <dcterms:modified xsi:type="dcterms:W3CDTF">2026-06-05T23:36:00Z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http://www.zotero.org/styles/chicago-notes-bibliography</vt:lpwstr>
  </property>
  <property fmtid="{D5CDD505-2E9C-101B-9397-08002B2CF9AE}" pid="7" name="Mendeley Recent Style Name 2_1">
    <vt:lpwstr>Chicago Manual of Style 18th edition (notes and bibliography)</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http://www.zotero.org/styles/oscola-journal-abbreviations</vt:lpwstr>
  </property>
  <property fmtid="{D5CDD505-2E9C-101B-9397-08002B2CF9AE}" pid="17" name="Mendeley Recent Style Name 7_1">
    <vt:lpwstr>OSCOLA 4th edition (journal abbreviations)</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