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83A0" w14:textId="0A85913D" w:rsidR="00F07245" w:rsidRDefault="00B23DED" w:rsidP="00B23DED">
      <w:pPr>
        <w:spacing w:line="240" w:lineRule="auto"/>
        <w:jc w:val="center"/>
        <w:rPr>
          <w:rFonts w:ascii="Times New Roman" w:eastAsia="Times New Roman" w:hAnsi="Times New Roman" w:cs="Times New Roman"/>
          <w:b/>
          <w:bCs/>
          <w:sz w:val="24"/>
          <w:szCs w:val="24"/>
        </w:rPr>
      </w:pPr>
      <w:r w:rsidRPr="00B23DED">
        <w:rPr>
          <w:rFonts w:ascii="Times New Roman" w:eastAsia="Times New Roman" w:hAnsi="Times New Roman" w:cs="Times New Roman"/>
          <w:b/>
          <w:bCs/>
          <w:sz w:val="24"/>
          <w:szCs w:val="24"/>
        </w:rPr>
        <w:t>Complications, Risk Factors, and Quality of Life after Intestinal Stoma Formation: A Systematic Review and Meta-Analysis</w:t>
      </w:r>
    </w:p>
    <w:p w14:paraId="772FF77D" w14:textId="77777777" w:rsidR="00B23DED" w:rsidRPr="00FA43A5" w:rsidRDefault="00B23DED" w:rsidP="00B23DED">
      <w:pPr>
        <w:spacing w:line="240" w:lineRule="auto"/>
        <w:jc w:val="center"/>
        <w:rPr>
          <w:rFonts w:ascii="Times New Roman" w:hAnsi="Times New Roman" w:cs="Times New Roman"/>
          <w:b/>
          <w:bCs/>
          <w:sz w:val="24"/>
          <w:szCs w:val="24"/>
        </w:rPr>
      </w:pPr>
    </w:p>
    <w:p w14:paraId="2E5A8231" w14:textId="77777777" w:rsidR="001F61C6" w:rsidRPr="00FA43A5" w:rsidRDefault="001F61C6" w:rsidP="007D156C">
      <w:pPr>
        <w:pStyle w:val="SectionHeading"/>
        <w:spacing w:line="276" w:lineRule="auto"/>
        <w:rPr>
          <w:rFonts w:cs="Times New Roman"/>
          <w:bCs/>
          <w:szCs w:val="24"/>
        </w:rPr>
      </w:pPr>
      <w:r w:rsidRPr="00FA43A5">
        <w:rPr>
          <w:rFonts w:eastAsia="Times New Roman" w:cs="Times New Roman"/>
          <w:bCs/>
          <w:szCs w:val="24"/>
        </w:rPr>
        <w:t>Abstract</w:t>
      </w:r>
    </w:p>
    <w:p w14:paraId="26581DEA" w14:textId="66F4B9DA" w:rsidR="001F61C6" w:rsidRPr="00FA43A5" w:rsidRDefault="00B50ECB" w:rsidP="007D156C">
      <w:pPr>
        <w:spacing w:line="276" w:lineRule="auto"/>
        <w:jc w:val="both"/>
        <w:rPr>
          <w:rFonts w:ascii="Times New Roman" w:hAnsi="Times New Roman" w:cs="Times New Roman"/>
          <w:sz w:val="24"/>
          <w:szCs w:val="24"/>
        </w:rPr>
      </w:pPr>
      <w:r w:rsidRPr="00FA43A5">
        <w:rPr>
          <w:rFonts w:ascii="Times New Roman" w:hAnsi="Times New Roman" w:cs="Times New Roman"/>
          <w:sz w:val="24"/>
          <w:szCs w:val="24"/>
        </w:rPr>
        <w:t>This systematic review and meta-analysis examined postoperative complications, associated risk factors, and quality of life among patients with intestinal stomas. Articles published from 2017 onward were searched in PubMed/MEDLINE, Scopus, and Web of Science, and the selection process followed PRISMA 2020. Of 295 records identified, 5 duplicates were removed, 290 records were screened, 70 full-text articles were assessed, and 12 studies met the inclusion criteria. The included studies addressed early and postoperative stoma complications, high-output stoma, postoperative ileus, readmission, stoma-related obstruction, complications after stoma closure, sigmoid stoma complications after abdominoperineal resection, and quality-of-life outcomes. Most included studies were published in 2021 and used retrospective designs. The forest plot showed a pooled effect of 1.12 with a 95% confidence interval of 0.60-1.65, while heterogeneity was high (Q(10)=104.53, p &lt; 0.001; I²=86.98%). The funnel plot was not fully symmetrical. These findings indicate that intestinal stoma complications are influenced by clinical, procedural, stoma-related, and patient-level factors, and that quality-of-life outcomes should be considered alongside postoperative morbidity.</w:t>
      </w:r>
    </w:p>
    <w:p w14:paraId="48432398" w14:textId="549A0481" w:rsidR="00FA43A5" w:rsidRDefault="00240EDF" w:rsidP="007D156C">
      <w:pPr>
        <w:spacing w:line="276" w:lineRule="auto"/>
        <w:ind w:left="1170" w:hanging="1170"/>
        <w:rPr>
          <w:rFonts w:ascii="Times New Roman" w:hAnsi="Times New Roman" w:cs="Times New Roman"/>
          <w:sz w:val="24"/>
          <w:szCs w:val="24"/>
        </w:rPr>
      </w:pPr>
      <w:r w:rsidRPr="00FA43A5">
        <w:rPr>
          <w:rFonts w:ascii="Times New Roman" w:eastAsia="Times New Roman" w:hAnsi="Times New Roman" w:cs="Times New Roman"/>
          <w:b/>
          <w:bCs/>
          <w:sz w:val="24"/>
          <w:szCs w:val="24"/>
        </w:rPr>
        <w:t>Keywords:</w:t>
      </w:r>
      <w:r w:rsidRPr="00FA43A5">
        <w:rPr>
          <w:rFonts w:ascii="Times New Roman" w:eastAsia="Times New Roman" w:hAnsi="Times New Roman" w:cs="Times New Roman"/>
          <w:sz w:val="24"/>
          <w:szCs w:val="24"/>
        </w:rPr>
        <w:t xml:space="preserve"> Intestinal stoma, Postoperative complications, Risk factors, Quality of life, Meta-analysis.</w:t>
      </w:r>
    </w:p>
    <w:p w14:paraId="5E2B3B6B" w14:textId="77777777" w:rsidR="007D156C" w:rsidRPr="007D156C" w:rsidRDefault="007D156C" w:rsidP="007D156C">
      <w:pPr>
        <w:spacing w:line="276" w:lineRule="auto"/>
        <w:ind w:left="1170" w:hanging="1170"/>
        <w:rPr>
          <w:rFonts w:ascii="Times New Roman" w:hAnsi="Times New Roman" w:cs="Times New Roman"/>
          <w:sz w:val="24"/>
          <w:szCs w:val="24"/>
        </w:rPr>
      </w:pPr>
    </w:p>
    <w:p w14:paraId="445564AB" w14:textId="77777777" w:rsidR="00F07245" w:rsidRPr="00FA43A5" w:rsidRDefault="00240EDF" w:rsidP="00FA43A5">
      <w:pPr>
        <w:pStyle w:val="SectionHeading"/>
        <w:spacing w:line="480" w:lineRule="auto"/>
        <w:rPr>
          <w:rFonts w:cs="Times New Roman"/>
          <w:bCs/>
          <w:szCs w:val="24"/>
        </w:rPr>
      </w:pPr>
      <w:r w:rsidRPr="00FA43A5">
        <w:rPr>
          <w:rFonts w:eastAsia="Times New Roman" w:cs="Times New Roman"/>
          <w:bCs/>
          <w:szCs w:val="24"/>
        </w:rPr>
        <w:t>Introduction</w:t>
      </w:r>
    </w:p>
    <w:p w14:paraId="1B03DA40" w14:textId="77777777" w:rsidR="00240EDF" w:rsidRPr="00FA43A5" w:rsidRDefault="00240EDF"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Intestinal stoma is a surgical procedure that creates a connection between the intestinal lumen and the abdominal wall to divert the passage of feces or intestinal contents, either temporarily or permanently. This procedure is commonly performed in patients with colorectal cancer, inflammatory bowel disease, abdominal trauma, obstruction, perforation, anal sphincter dysfunction, and other emergency conditions requiring intestinal diversion. Although a stoma can be life-saving and support postoperative recovery, its presence is not merely a technical surgical issue. Qassim et al. (1) explained that stoma complications are relatively high compared with other surgical procedures, with an average rate of approximately 40% and a range of 14–79%, while Elnaim et al. (2) reported that stoma complications may reach 10–70% and include skin irritation, </w:t>
      </w:r>
      <w:r w:rsidRPr="00FA43A5">
        <w:rPr>
          <w:rFonts w:ascii="Times New Roman" w:hAnsi="Times New Roman" w:cs="Times New Roman"/>
          <w:sz w:val="24"/>
          <w:szCs w:val="24"/>
        </w:rPr>
        <w:lastRenderedPageBreak/>
        <w:t>infection, necrosis, stenosis, prolapse, retraction, parastomal hernia, and nutritional problems in high-output stoma. This wide range indicates that morbidity after stoma formation remains an important clinical issue and cannot yet be predicted uniformly across different patient populations.</w:t>
      </w:r>
    </w:p>
    <w:p w14:paraId="7DD892D3" w14:textId="77777777" w:rsidR="00240EDF" w:rsidRPr="00FA43A5" w:rsidRDefault="00240EDF"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Postoperative complications in patients with intestinal stoma require serious attention because they may occur from the early phase after surgery to the later phase when patients return to their daily activities. Early complications such as peristomal dermatitis, mucocutaneous separation, stoma bleeding, infection, edema, necrosis, and stoma obstruction can interfere with wound healing, prolong hospitalization, increase the need for follow-up consultations, and add to the burden of care. Ambe et al. (3) showed that preoperative stoma site marking was associated with a reduction in overall stoma and peristomal complications, with an OR of 0.519 and 95% CI of 0.421–0.640; a protective effect was also observed for early and late complications in fecal stomas. Nozawa et al. (4) strengthened these findings in emergency surgery, reporting that grade ≥2 complications were lower in the group receiving stoma site marking than in the group without marking, at 24% versus 36%, and that the absence of marking was an independent risk factor for stoma complications, with an adjusted OR of 1.69. These findings provide a basis that preoperative technical factors and the quality of surgical preparation have a direct role in patient morbidity.</w:t>
      </w:r>
    </w:p>
    <w:p w14:paraId="7885B717" w14:textId="77777777" w:rsidR="00F07245" w:rsidRPr="00FA43A5" w:rsidRDefault="00F07245"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Risk factors for intestinal stoma complications are not limited to surgical technique, but are also related to patient characteristics, stoma type, stoma location, and postoperative clinical conditions. </w:t>
      </w:r>
      <w:proofErr w:type="spellStart"/>
      <w:r w:rsidRPr="00FA43A5">
        <w:rPr>
          <w:rFonts w:ascii="Times New Roman" w:hAnsi="Times New Roman" w:cs="Times New Roman"/>
          <w:sz w:val="24"/>
          <w:szCs w:val="24"/>
        </w:rPr>
        <w:t>Dellafiore</w:t>
      </w:r>
      <w:proofErr w:type="spellEnd"/>
      <w:r w:rsidRPr="00FA43A5">
        <w:rPr>
          <w:rFonts w:ascii="Times New Roman" w:hAnsi="Times New Roman" w:cs="Times New Roman"/>
          <w:sz w:val="24"/>
          <w:szCs w:val="24"/>
        </w:rPr>
        <w:t xml:space="preserve"> et al. (5) conducted a systematic review of risk factors for intestinal stoma complications and emphasized the need for critical assessment of factors associated with the occurrence of ostomy complications. Gan et al. (6) performed a meta-analysis of stoma outlet obstruction after colorectal surgery with diverting ileostomy using OR and 95% CI through a random-effects model, particularly for risk factors reported by at least two articles. </w:t>
      </w:r>
      <w:proofErr w:type="spellStart"/>
      <w:r w:rsidRPr="00FA43A5">
        <w:rPr>
          <w:rFonts w:ascii="Times New Roman" w:hAnsi="Times New Roman" w:cs="Times New Roman"/>
          <w:sz w:val="24"/>
          <w:szCs w:val="24"/>
        </w:rPr>
        <w:t>Toffaha</w:t>
      </w:r>
      <w:proofErr w:type="spellEnd"/>
      <w:r w:rsidRPr="00FA43A5">
        <w:rPr>
          <w:rFonts w:ascii="Times New Roman" w:hAnsi="Times New Roman" w:cs="Times New Roman"/>
          <w:sz w:val="24"/>
          <w:szCs w:val="24"/>
        </w:rPr>
        <w:t xml:space="preserve"> et al. </w:t>
      </w:r>
      <w:r w:rsidRPr="00FA43A5">
        <w:rPr>
          <w:rFonts w:ascii="Times New Roman" w:hAnsi="Times New Roman" w:cs="Times New Roman"/>
          <w:sz w:val="24"/>
          <w:szCs w:val="24"/>
        </w:rPr>
        <w:lastRenderedPageBreak/>
        <w:t>(7) also reported that rectus abdominis muscle thickness increased the risk of stoma outlet obstruction, with an OR of 4.04, indicating that anatomical aspects of the abdominal wall should be considered when evaluating postoperative risk. Zhou et al. (8) showed that age ≥60 years, stage IV tumor, ASA ≥3, neoadjuvant chemoradiotherapy, open surgery, postoperative chemotherapy, anastomotic leakage, and local recurrence were associated with the risk of non-closure stoma, suggesting that stoma-related problems may persist until the decision for reversal or stoma closure.</w:t>
      </w:r>
    </w:p>
    <w:p w14:paraId="3CCDD2BC" w14:textId="77777777" w:rsidR="00F07245" w:rsidRPr="00FA43A5" w:rsidRDefault="00F07245"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Peristomal skin disorder is one of the most frequent and most troublesome complications because it is directly related to pouch leakage, pain, odor, embarrassment, and failure of stoma appliance adhesion. Brady et al. (9) reported a high disease burden among people with a new stoma, particularly when recurrent leakage and severe peristomal skin complications occurred during the first year after surgery. </w:t>
      </w:r>
      <w:proofErr w:type="spellStart"/>
      <w:r w:rsidRPr="00FA43A5">
        <w:rPr>
          <w:rFonts w:ascii="Times New Roman" w:hAnsi="Times New Roman" w:cs="Times New Roman"/>
          <w:sz w:val="24"/>
          <w:szCs w:val="24"/>
        </w:rPr>
        <w:t>Poliani</w:t>
      </w:r>
      <w:proofErr w:type="spellEnd"/>
      <w:r w:rsidRPr="00FA43A5">
        <w:rPr>
          <w:rFonts w:ascii="Times New Roman" w:hAnsi="Times New Roman" w:cs="Times New Roman"/>
          <w:sz w:val="24"/>
          <w:szCs w:val="24"/>
        </w:rPr>
        <w:t xml:space="preserve"> et al. (10) stated that stoma leakage remains common among patients; one study cited in their review reported that 57% of patients experienced daytime leakage and 61% experienced nighttime leakage. Shiraishi et al. (11) provided more specific evidence through a prospective multicenter observational study in rectal cancer patients with stoma, showing that loop stoma, stoma height &lt;10 mm, and chemotherapy were independently associated with peristomal skin disorders; diabetes mellitus was also a risk factor for worsening conditions, while stoma height &lt;10 mm was associated with more severe skin disorder development. These findings indicate that peristomal skin outcomes should be treated as a separate quantitative outcome in meta-analysis, rather than merely as a minor complication.</w:t>
      </w:r>
    </w:p>
    <w:p w14:paraId="3F1A46FF" w14:textId="77777777" w:rsidR="00240EDF" w:rsidRPr="00FA43A5" w:rsidRDefault="00240EDF"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Late complications such as parastomal hernia, prolapse, stenosis, and problems during stoma closure also have major clinical and economic impacts. Glynn et al. (12) reported that parastomal hernia reduced health-related quality of life in the domains of pain/discomfort, daily activities, self-care, mobility, and anxiety/depression. Jose et al. (13) highlighted a more specific </w:t>
      </w:r>
      <w:r w:rsidRPr="00FA43A5">
        <w:rPr>
          <w:rFonts w:ascii="Times New Roman" w:hAnsi="Times New Roman" w:cs="Times New Roman"/>
          <w:sz w:val="24"/>
          <w:szCs w:val="24"/>
        </w:rPr>
        <w:lastRenderedPageBreak/>
        <w:t>issue in stoma closure, namely peristomal Candida infection as a risk factor for surgical site infection after stoma closure. Zeng et al. (14) showed that in infantile enterostomy, small-intestinal stoma was a strong risk factor for enterostomy complications, with an OR of 6.405 and 95% CI of 1.647–24.916. Although pediatric populations need to be analyzed separately from adult populations, this finding emphasizes the importance of stoma location as a risk variable. Therefore, research on intestinal stoma complications needs to distinguish between the stoma formation phase, the period of living with a stoma, and the closure phase so that risk estimates are not mixed across different clinical periods.</w:t>
      </w:r>
    </w:p>
    <w:p w14:paraId="6E227029" w14:textId="77777777" w:rsidR="00240EDF" w:rsidRPr="00FA43A5" w:rsidRDefault="00240EDF"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Quality of life in patients with intestinal stoma is an important outcome because patients do not only face anatomical changes, but also changes in body image, eating habits, social activities, sexual relationships, sleep, work, and feelings of safety during activities. </w:t>
      </w:r>
      <w:proofErr w:type="spellStart"/>
      <w:r w:rsidRPr="00FA43A5">
        <w:rPr>
          <w:rFonts w:ascii="Times New Roman" w:hAnsi="Times New Roman" w:cs="Times New Roman"/>
          <w:sz w:val="24"/>
          <w:szCs w:val="24"/>
        </w:rPr>
        <w:t>Zewude</w:t>
      </w:r>
      <w:proofErr w:type="spellEnd"/>
      <w:r w:rsidRPr="00FA43A5">
        <w:rPr>
          <w:rFonts w:ascii="Times New Roman" w:hAnsi="Times New Roman" w:cs="Times New Roman"/>
          <w:sz w:val="24"/>
          <w:szCs w:val="24"/>
        </w:rPr>
        <w:t xml:space="preserve"> et al. (15) showed that patients with stoma experience dietary adjustments and life changes related to quality of life. Leite Junior et al. (16) found that among older adults with intestinal stoma, the mean total quality of life score was 6.71 ± 1.64; the physical domain was among the most affected areas, and patients with ileostomy had lower quality of life scores than those with colostomy. Lupo et al. (17) added that age ≥65 years and permanent stoma were associated with higher quality of life scores, while perceived stress was negatively correlated with quality of life; pain and social embarrassment were also associated with higher stress. </w:t>
      </w:r>
      <w:proofErr w:type="spellStart"/>
      <w:r w:rsidRPr="00FA43A5">
        <w:rPr>
          <w:rFonts w:ascii="Times New Roman" w:hAnsi="Times New Roman" w:cs="Times New Roman"/>
          <w:sz w:val="24"/>
          <w:szCs w:val="24"/>
        </w:rPr>
        <w:t>Açil</w:t>
      </w:r>
      <w:proofErr w:type="spellEnd"/>
      <w:r w:rsidRPr="00FA43A5">
        <w:rPr>
          <w:rFonts w:ascii="Times New Roman" w:hAnsi="Times New Roman" w:cs="Times New Roman"/>
          <w:sz w:val="24"/>
          <w:szCs w:val="24"/>
        </w:rPr>
        <w:t xml:space="preserve"> et al. (18) showed through path analysis that stoma function and work/social life influenced psychological aspects, physical activity, symptoms, and quality of life in colorectal cancer patients with stoma.</w:t>
      </w:r>
    </w:p>
    <w:p w14:paraId="18D20500" w14:textId="7A0B3906" w:rsidR="00FA43A5" w:rsidRPr="00FA43A5" w:rsidRDefault="00240EDF" w:rsidP="000B0868">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Although evidence regarding complications, risk factors, and quality of life among stoma patients continues to grow, research gaps remain in outcome separation and the inconsistency of statistical reporting. Ambe et al. (3) focused their meta-analysis on stoma site marking, Gan et al. </w:t>
      </w:r>
      <w:r w:rsidRPr="00FA43A5">
        <w:rPr>
          <w:rFonts w:ascii="Times New Roman" w:hAnsi="Times New Roman" w:cs="Times New Roman"/>
          <w:sz w:val="24"/>
          <w:szCs w:val="24"/>
        </w:rPr>
        <w:lastRenderedPageBreak/>
        <w:t>(6) focused their synthesis on stoma outlet obstruction, and Díaz-Sánchez et al. (19) focused their meta-analysis on the impact of ostomy on quality of life in colorectal cancer patients. Sritan (20) examined factors affecting quality of life in colorectal cancer patients with stoma through an integrative review, but this focus has not yet integrated postoperative complications, clinical risk factors, and quality of life as a continuum of patient outcomes. This gap indicates the need for a systematic literature review and meta-analysis that integrates quantitative evidence based on OR, RR, HR, 95% CI, p-values, event data, and quality of life scores, while separating the analysis between general complications, specific complications, risk factors, and quality of life so that the pooled estimates are more clinically meaningful. This study aims to analyze postoperative complications, risk factors, and quality of life in patients with intestinal stoma through a systematic literature review and meta-analysis.</w:t>
      </w:r>
    </w:p>
    <w:p w14:paraId="3EC6EB9F" w14:textId="77777777" w:rsidR="00695338" w:rsidRPr="00FA43A5" w:rsidRDefault="002C6D8C" w:rsidP="00FA43A5">
      <w:pPr>
        <w:pStyle w:val="SectionHeading"/>
        <w:spacing w:line="480" w:lineRule="auto"/>
        <w:rPr>
          <w:rFonts w:cs="Times New Roman"/>
          <w:bCs/>
          <w:szCs w:val="24"/>
        </w:rPr>
      </w:pPr>
      <w:r w:rsidRPr="00FA43A5">
        <w:rPr>
          <w:rFonts w:eastAsia="Times New Roman" w:cs="Times New Roman"/>
          <w:bCs/>
          <w:szCs w:val="24"/>
        </w:rPr>
        <w:t>Methods</w:t>
      </w:r>
    </w:p>
    <w:p w14:paraId="704A0D1F" w14:textId="77777777" w:rsidR="002C6D8C" w:rsidRPr="00FA43A5" w:rsidRDefault="002C6D8C"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This systematic review and meta-analysis was conducted to synthesize evidence on postoperative complications, associated risk factors, and quality of life among patients with intestinal stomas. The review was designed to combine findings from primary quantitative studies and to provide pooled estimates where comparable effect measures were available. Reporting followed the Preferred Reporting Items for Systematic Reviews and Meta-Analyses (PRISMA) 2020 statement, particularly for the identification, screening, eligibility assessment, and inclusion of studies. Page et al. (21) explained that PRISMA 2020 provides updated reporting guidance for systematic reviews involving quantitative synthesis.</w:t>
      </w:r>
    </w:p>
    <w:p w14:paraId="63E660B6" w14:textId="77777777" w:rsidR="002C6D8C" w:rsidRPr="00FA43A5" w:rsidRDefault="002C6D8C"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The review question was structured using the PICO framework, with patients with intestinal stomas as the population, clinical or technical risk factors as exposures, patients without the relevant risk factor or reference groups as comparators, and postoperative complications or quality-</w:t>
      </w:r>
      <w:r w:rsidRPr="00FA43A5">
        <w:rPr>
          <w:rFonts w:ascii="Times New Roman" w:hAnsi="Times New Roman" w:cs="Times New Roman"/>
          <w:sz w:val="24"/>
          <w:szCs w:val="24"/>
        </w:rPr>
        <w:lastRenderedPageBreak/>
        <w:t>of-life outcomes as the outcomes of interest. The quantitative synthesis followed the principles of clinical meta-analysis described by Higgins et al. (22), including the selection of effect measures, calculation of pooled estimates, and assessment of between-study variation.</w:t>
      </w:r>
    </w:p>
    <w:p w14:paraId="0B2C6A18" w14:textId="4ECF4B16" w:rsidR="00B10FC9" w:rsidRDefault="007D156C" w:rsidP="007D156C">
      <w:pPr>
        <w:spacing w:after="120" w:line="480" w:lineRule="auto"/>
        <w:jc w:val="both"/>
        <w:rPr>
          <w:rFonts w:ascii="Times New Roman" w:hAnsi="Times New Roman" w:cs="Times New Roman"/>
          <w:sz w:val="24"/>
          <w:szCs w:val="24"/>
        </w:rPr>
      </w:pPr>
      <w:r w:rsidRPr="007D156C">
        <w:rPr>
          <w:rFonts w:ascii="Times New Roman" w:hAnsi="Times New Roman" w:cs="Times New Roman"/>
          <w:sz w:val="24"/>
          <w:szCs w:val="24"/>
        </w:rPr>
        <w:t>The search was performed in PubMed/MEDLINE, Scopus, and Web of Science because these databases index medical, surgical, and clinical epidemiology literature relevant to intestinal stoma outcomes. The search was limited to peer-reviewed articles published from 2017 onward and written in English and/or Indonesian. Eligible study designs included prospective cohort studies, retrospective cohort studies, case-control studies, analytical cross-sectional studies, registry-based studies, and observational comparative studies. Reviews, systematic reviews, scoping reviews, meta-analyses, narrative reviews, editorials, letters to the editor, protocols, reports, and case series were excluded because they did not provide primary quantitative data suitable for effect-size extraction. The review question and search terms were structured according to the PICO framework presented in Table 1.</w:t>
      </w:r>
    </w:p>
    <w:p w14:paraId="43037C6B" w14:textId="2103003A" w:rsidR="007B12C8" w:rsidRDefault="007B12C8" w:rsidP="007D156C">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Search terms were developed from the PICO components and combined using Boolean operators. The search strategy included terms for intestinal stoma and related procedures, terms for postoperative and stoma-related complications, and terms for risk factors, predictors, odds ratios, confidence intervals, and quality of life. The database-specific search strategies and the number of records retrieved from each database are presented in Table 2.</w:t>
      </w:r>
    </w:p>
    <w:p w14:paraId="2599C923" w14:textId="41EED6F6" w:rsidR="00CA3E29" w:rsidRPr="00FA43A5" w:rsidRDefault="00CA3E29"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 xml:space="preserve">Records retrieved from PubMed/MEDLINE, Scopus, and Web of Science were collated before duplicate removal. The initial search yielded 295 records, consisting of 92 records from PubMed/MEDLINE, 118 records from Scopus, and 85 records from Web of Science. After removing 5 duplicate records, 290 records were screened by title and abstract. During this screening stage, 220 records were excluded because they were not relevant to intestinal stoma, did </w:t>
      </w:r>
      <w:r w:rsidRPr="00FA43A5">
        <w:rPr>
          <w:rFonts w:ascii="Times New Roman" w:hAnsi="Times New Roman" w:cs="Times New Roman"/>
          <w:sz w:val="24"/>
          <w:szCs w:val="24"/>
        </w:rPr>
        <w:lastRenderedPageBreak/>
        <w:t>not evaluate postoperative complications or risk factors, did not report quality-of-life outcomes, lacked extractable OR, p-value, or CI data, or used publication types that were not eligible for quantitative synthesis. A total of 70 articles proceeded to full-text assessment.</w:t>
      </w:r>
    </w:p>
    <w:p w14:paraId="24A55690" w14:textId="4F993845" w:rsidR="00695338" w:rsidRPr="00FA43A5" w:rsidRDefault="00D4273F" w:rsidP="00B10FC9">
      <w:pPr>
        <w:spacing w:after="120" w:line="480" w:lineRule="auto"/>
        <w:jc w:val="both"/>
        <w:rPr>
          <w:rFonts w:ascii="Times New Roman" w:hAnsi="Times New Roman" w:cs="Times New Roman"/>
          <w:sz w:val="24"/>
          <w:szCs w:val="24"/>
        </w:rPr>
      </w:pPr>
      <w:r w:rsidRPr="00D4273F">
        <w:rPr>
          <w:rFonts w:ascii="Times New Roman" w:hAnsi="Times New Roman" w:cs="Times New Roman"/>
          <w:sz w:val="24"/>
          <w:szCs w:val="24"/>
        </w:rPr>
        <w:t>The study selection process is shown in Figure 1. The PRISMA flow diagram summarizes the identification, screening, eligibility, and inclusion process, including the number of records obtained from each database, duplicate records removed, records excluded at title and abstract screening, full-text articles assessed, reasons for full-text exclusion, and final studies included in the quantitative synthesis</w:t>
      </w:r>
      <w:r w:rsidR="00CA3E29" w:rsidRPr="00FA43A5">
        <w:rPr>
          <w:rFonts w:ascii="Times New Roman" w:hAnsi="Times New Roman" w:cs="Times New Roman"/>
          <w:sz w:val="24"/>
          <w:szCs w:val="24"/>
        </w:rPr>
        <w:t>.</w:t>
      </w:r>
    </w:p>
    <w:p w14:paraId="77127CC4" w14:textId="77777777" w:rsidR="007E6AF7" w:rsidRPr="00FA43A5" w:rsidRDefault="007E6AF7"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At the full-text evaluation stage, 58 articles were excluded for prespecified reasons: 18 articles did not present odds ratio (OR), p-value, and confidence interval (CI) values; 10 articles did not have a population specific to patients with intestinal stoma; 9 articles did not report risk factors that could be analyzed; 7 articles did not clearly report complication or quality-of-life outcomes; 8 articles had inappropriate study designs; and 6 articles did not provide full-text access. After the selection process was completed, 12 articles met the inclusion criteria and were included in the meta-analysis.</w:t>
      </w:r>
    </w:p>
    <w:p w14:paraId="1B497107" w14:textId="77777777" w:rsidR="007E6AF7" w:rsidRPr="00FA43A5" w:rsidRDefault="007E6AF7"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 xml:space="preserve">The inclusion criteria were as follows: (1) articles published from 2017 onward; (2) primary quantitative studies; (3) study populations consisting of patients with intestinal stoma; (4) studies evaluating postoperative complications, stoma-related complications, risk factors, or quality of life; (5) studies reporting OR, p-value, CI values, or data that could be calculated into OR; (6) full-text availability; and (7) publication in English or Indonesian. The exclusion criteria were as follows: (1) reviews, systematic reviews, meta-analyses, editorials, letters, protocols, case reports, or case series; (2) studies that did not separate data on stoma patients from other surgical populations; (3) studies that only discussed stoma devices or stoma education without clinical </w:t>
      </w:r>
      <w:r w:rsidRPr="00FA43A5">
        <w:rPr>
          <w:rFonts w:ascii="Times New Roman" w:hAnsi="Times New Roman" w:cs="Times New Roman"/>
          <w:sz w:val="24"/>
          <w:szCs w:val="24"/>
        </w:rPr>
        <w:lastRenderedPageBreak/>
        <w:t>outcomes; (4) studies that did not provide extractable OR, p-value, or CI data; and (5) duplicate publications using the same dataset.</w:t>
      </w:r>
    </w:p>
    <w:p w14:paraId="70046F12" w14:textId="70C17261" w:rsidR="00695338" w:rsidRPr="00FA43A5" w:rsidRDefault="007E6AF7" w:rsidP="00B10FC9">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Data extraction was performed using Microsoft Excel. Extracted variables included author, publication year, country, study design, sample size, type of stoma, risk factors analyzed, type of complication or quality-of-life outcome, and statistical data including odds ratio (OR), p-value, confidence interval (CI), and I² when reported. Data were organized for meta-analysis and presentation in forest plots. The OR and CI values from each article were entered into JASP as the main effect measures to obtain the pooled estimate, confidence interval, study weights, and heterogeneity statistics. Between-study heterogeneity was evaluated using Cochran’s Q and I², and small-study effects or possible publication bias were explored visually using a funnel plot. The final results were interpreted by considering the direction and magnitude of the pooled estimate, confidence interval, heterogeneity, and consistency of findings across the included studies.</w:t>
      </w:r>
    </w:p>
    <w:p w14:paraId="7525E7C4" w14:textId="77777777" w:rsidR="00B000F2" w:rsidRPr="00FA43A5" w:rsidRDefault="007B12C8" w:rsidP="00FA43A5">
      <w:pPr>
        <w:pStyle w:val="SectionHeading"/>
        <w:spacing w:line="480" w:lineRule="auto"/>
        <w:rPr>
          <w:rFonts w:cs="Times New Roman"/>
          <w:bCs/>
          <w:szCs w:val="24"/>
        </w:rPr>
      </w:pPr>
      <w:r w:rsidRPr="00FA43A5">
        <w:rPr>
          <w:rFonts w:eastAsia="Times New Roman" w:cs="Times New Roman"/>
          <w:bCs/>
          <w:szCs w:val="24"/>
        </w:rPr>
        <w:t>Results</w:t>
      </w:r>
    </w:p>
    <w:p w14:paraId="385F70F2" w14:textId="77777777" w:rsidR="00576BD8" w:rsidRDefault="00520EF1" w:rsidP="00576BD8">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The results of this study were organized to describe the synthesis process of articles that met the inclusion criteria in the systematic literature review and meta-analysis on postoperative complications, risk factors, and quality of life in patients with intestinal stoma. At the final stage of selection, 12 articles met the inclusion criteria and were included in the synthesis. These articles covered various outcomes, including early stoma complications, postoperative complications, peristomal skin complications, mucocutaneous separation, high-output stoma, stoma-related obstruction, readmission, complications after stoma closure, and quality of life in patients with stoma. The differences in outcome focus indicate that intestinal stoma has broad clinical impacts, ranging from the early phase after stoma formation to continued care and stoma closure.</w:t>
      </w:r>
    </w:p>
    <w:p w14:paraId="5A553F32" w14:textId="788E7C79" w:rsidR="00576BD8" w:rsidRDefault="00520EF1" w:rsidP="00576BD8">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lastRenderedPageBreak/>
        <w:t xml:space="preserve">Table 3 presents the distribution of included articles based on publication year, study design, and outcome focus. </w:t>
      </w:r>
      <w:r w:rsidR="005167E4" w:rsidRPr="005167E4">
        <w:rPr>
          <w:rFonts w:ascii="Times New Roman" w:hAnsi="Times New Roman" w:cs="Times New Roman"/>
          <w:sz w:val="24"/>
          <w:szCs w:val="24"/>
        </w:rPr>
        <w:t>Most articles were published in 2021, with 4 articles or 33.33%, indicating that studies on intestinal stoma developed considerably during this period, particularly on the topics of high-output stoma, stoma-related obstruction, stoma closure, and patients’ quality of life</w:t>
      </w:r>
      <w:r w:rsidRPr="00FA43A5">
        <w:rPr>
          <w:rFonts w:ascii="Times New Roman" w:hAnsi="Times New Roman" w:cs="Times New Roman"/>
          <w:sz w:val="24"/>
          <w:szCs w:val="24"/>
        </w:rPr>
        <w:t xml:space="preserve">. In terms of study design, the majority of articles used a retrospective cohort/study design, with 9 articles or 75.00%. Therefore, the study characteristics presented mainly assessed patients’ clinical data after stoma procedures. </w:t>
      </w:r>
      <w:r w:rsidR="000754B7" w:rsidRPr="000754B7">
        <w:rPr>
          <w:rFonts w:ascii="Times New Roman" w:hAnsi="Times New Roman" w:cs="Times New Roman"/>
          <w:sz w:val="24"/>
          <w:szCs w:val="24"/>
        </w:rPr>
        <w:t>The most common outcome focus was early/postoperative stoma complications, reported in 5 articles or 41.67%</w:t>
      </w:r>
      <w:r w:rsidRPr="00FA43A5">
        <w:rPr>
          <w:rFonts w:ascii="Times New Roman" w:hAnsi="Times New Roman" w:cs="Times New Roman"/>
          <w:sz w:val="24"/>
          <w:szCs w:val="24"/>
        </w:rPr>
        <w:t>.</w:t>
      </w:r>
    </w:p>
    <w:p w14:paraId="7CF6D812" w14:textId="0C2DF679" w:rsidR="00520EF1" w:rsidRPr="00576BD8" w:rsidRDefault="00576BD8" w:rsidP="00576BD8">
      <w:pPr>
        <w:spacing w:line="480" w:lineRule="auto"/>
        <w:ind w:firstLine="709"/>
        <w:jc w:val="both"/>
        <w:rPr>
          <w:rFonts w:ascii="Times New Roman" w:hAnsi="Times New Roman" w:cs="Times New Roman"/>
          <w:sz w:val="24"/>
          <w:szCs w:val="24"/>
        </w:rPr>
      </w:pPr>
      <w:r w:rsidRPr="00576BD8">
        <w:rPr>
          <w:rFonts w:ascii="Times New Roman" w:eastAsia="Times New Roman" w:hAnsi="Times New Roman" w:cs="Times New Roman"/>
          <w:sz w:val="24"/>
          <w:szCs w:val="24"/>
        </w:rPr>
        <w:t>The SLR results on postoperative complications, risk factors, and quality of life in patients with intestinal stoma are summarized in Table 4.</w:t>
      </w:r>
      <w:r>
        <w:rPr>
          <w:rFonts w:ascii="Times New Roman" w:eastAsia="Times New Roman" w:hAnsi="Times New Roman" w:cs="Times New Roman"/>
          <w:sz w:val="24"/>
          <w:szCs w:val="24"/>
        </w:rPr>
        <w:t xml:space="preserve"> </w:t>
      </w:r>
      <w:r w:rsidR="00520EF1" w:rsidRPr="00FA43A5">
        <w:rPr>
          <w:rFonts w:ascii="Times New Roman" w:hAnsi="Times New Roman" w:cs="Times New Roman"/>
          <w:sz w:val="24"/>
          <w:szCs w:val="24"/>
        </w:rPr>
        <w:t xml:space="preserve">Table 4 presents the characteristics of the 12 included articles, covering the authors, research focus, country, study design, study object, and main findings. The articles presented came from several countries, namely </w:t>
      </w:r>
      <w:r w:rsidR="00CD278D" w:rsidRPr="00CD278D">
        <w:rPr>
          <w:rFonts w:ascii="Times New Roman" w:hAnsi="Times New Roman" w:cs="Times New Roman"/>
          <w:sz w:val="24"/>
          <w:szCs w:val="24"/>
        </w:rPr>
        <w:t>United Kingdom</w:t>
      </w:r>
      <w:r w:rsidR="00520EF1" w:rsidRPr="00FA43A5">
        <w:rPr>
          <w:rFonts w:ascii="Times New Roman" w:hAnsi="Times New Roman" w:cs="Times New Roman"/>
          <w:sz w:val="24"/>
          <w:szCs w:val="24"/>
        </w:rPr>
        <w:t xml:space="preserve">/Scotland, Turkey, Taiwan, South Korea, Japan, Mexico, and China, indicating that complications and quality of life among patients with intestinal stoma are concerns across various healthcare systems. The research focus in this table varied, ranging from complications after emergency stoma formation in MacDonald et al. (23), early ostomy complications in </w:t>
      </w:r>
      <w:proofErr w:type="spellStart"/>
      <w:r w:rsidR="00520EF1" w:rsidRPr="00FA43A5">
        <w:rPr>
          <w:rFonts w:ascii="Times New Roman" w:hAnsi="Times New Roman" w:cs="Times New Roman"/>
          <w:sz w:val="24"/>
          <w:szCs w:val="24"/>
        </w:rPr>
        <w:t>Ayik</w:t>
      </w:r>
      <w:proofErr w:type="spellEnd"/>
      <w:r w:rsidR="00520EF1" w:rsidRPr="00FA43A5">
        <w:rPr>
          <w:rFonts w:ascii="Times New Roman" w:hAnsi="Times New Roman" w:cs="Times New Roman"/>
          <w:sz w:val="24"/>
          <w:szCs w:val="24"/>
        </w:rPr>
        <w:t xml:space="preserve"> et al. (24) and </w:t>
      </w:r>
      <w:proofErr w:type="spellStart"/>
      <w:r w:rsidR="00520EF1" w:rsidRPr="00FA43A5">
        <w:rPr>
          <w:rFonts w:ascii="Times New Roman" w:hAnsi="Times New Roman" w:cs="Times New Roman"/>
          <w:sz w:val="24"/>
          <w:szCs w:val="24"/>
        </w:rPr>
        <w:t>Ayik</w:t>
      </w:r>
      <w:proofErr w:type="spellEnd"/>
      <w:r w:rsidR="00520EF1" w:rsidRPr="00FA43A5">
        <w:rPr>
          <w:rFonts w:ascii="Times New Roman" w:hAnsi="Times New Roman" w:cs="Times New Roman"/>
          <w:sz w:val="24"/>
          <w:szCs w:val="24"/>
        </w:rPr>
        <w:t xml:space="preserve"> et al. (25), comparison between ileostomy and colostomy in Yang et al. (26), high-output stoma in Lee et al. (27) and Takeda et al. (28), stoma-related obstruction in </w:t>
      </w:r>
      <w:proofErr w:type="spellStart"/>
      <w:r w:rsidR="00520EF1" w:rsidRPr="00FA43A5">
        <w:rPr>
          <w:rFonts w:ascii="Times New Roman" w:hAnsi="Times New Roman" w:cs="Times New Roman"/>
          <w:sz w:val="24"/>
          <w:szCs w:val="24"/>
        </w:rPr>
        <w:t>Maemoto</w:t>
      </w:r>
      <w:proofErr w:type="spellEnd"/>
      <w:r w:rsidR="00520EF1" w:rsidRPr="00FA43A5">
        <w:rPr>
          <w:rFonts w:ascii="Times New Roman" w:hAnsi="Times New Roman" w:cs="Times New Roman"/>
          <w:sz w:val="24"/>
          <w:szCs w:val="24"/>
        </w:rPr>
        <w:t xml:space="preserve"> et al. (29), stoma closure complications in Kilinc et al. (30) and Vergara-Fernández et al. (31), sigmoid stoma complications in </w:t>
      </w:r>
      <w:proofErr w:type="spellStart"/>
      <w:r w:rsidR="00520EF1" w:rsidRPr="00FA43A5">
        <w:rPr>
          <w:rFonts w:ascii="Times New Roman" w:hAnsi="Times New Roman" w:cs="Times New Roman"/>
          <w:sz w:val="24"/>
          <w:szCs w:val="24"/>
        </w:rPr>
        <w:t>Lv</w:t>
      </w:r>
      <w:proofErr w:type="spellEnd"/>
      <w:r w:rsidR="00520EF1" w:rsidRPr="00FA43A5">
        <w:rPr>
          <w:rFonts w:ascii="Times New Roman" w:hAnsi="Times New Roman" w:cs="Times New Roman"/>
          <w:sz w:val="24"/>
          <w:szCs w:val="24"/>
        </w:rPr>
        <w:t xml:space="preserve"> et al. (32), prediction of early complications in Ba et al. (33), and quality of life among stoma patients in Liu et al. (34).</w:t>
      </w:r>
    </w:p>
    <w:p w14:paraId="199627A7" w14:textId="030E8623" w:rsidR="00FF1FB0" w:rsidRDefault="005167E4" w:rsidP="00DA396E">
      <w:pPr>
        <w:spacing w:line="480" w:lineRule="auto"/>
        <w:ind w:firstLine="709"/>
        <w:jc w:val="both"/>
        <w:rPr>
          <w:rFonts w:ascii="Times New Roman" w:hAnsi="Times New Roman" w:cs="Times New Roman"/>
          <w:sz w:val="24"/>
          <w:szCs w:val="24"/>
        </w:rPr>
      </w:pPr>
      <w:r w:rsidRPr="005167E4">
        <w:rPr>
          <w:rFonts w:ascii="Times New Roman" w:eastAsia="Times New Roman" w:hAnsi="Times New Roman" w:cs="Times New Roman"/>
          <w:sz w:val="24"/>
          <w:szCs w:val="24"/>
        </w:rPr>
        <w:t xml:space="preserve">The forest plot of the analyzed articles is shown in Figure 2 and was used to examine the direction and magnitude of the association between risk factors and the occurrence of </w:t>
      </w:r>
      <w:r w:rsidRPr="005167E4">
        <w:rPr>
          <w:rFonts w:ascii="Times New Roman" w:eastAsia="Times New Roman" w:hAnsi="Times New Roman" w:cs="Times New Roman"/>
          <w:sz w:val="24"/>
          <w:szCs w:val="24"/>
        </w:rPr>
        <w:lastRenderedPageBreak/>
        <w:t>complications in patients with intestinal stoma</w:t>
      </w:r>
      <w:r w:rsidR="00520EF1" w:rsidRPr="00FA43A5">
        <w:rPr>
          <w:rFonts w:ascii="Times New Roman" w:eastAsia="Times New Roman" w:hAnsi="Times New Roman" w:cs="Times New Roman"/>
          <w:sz w:val="24"/>
          <w:szCs w:val="24"/>
        </w:rPr>
        <w:t>. Each row represents the findings of an individual article, while the diamond shape at the bottom represents the pooled effect of all included articles. The heterogeneity value is also shown to assess the extent of variation in findings across the articles.</w:t>
      </w:r>
    </w:p>
    <w:p w14:paraId="1C7449B8" w14:textId="32E338D2" w:rsidR="00520EF1" w:rsidRPr="00FA43A5" w:rsidRDefault="00520EF1" w:rsidP="00FA43A5">
      <w:pPr>
        <w:spacing w:line="480" w:lineRule="auto"/>
        <w:ind w:firstLine="851"/>
        <w:jc w:val="both"/>
        <w:rPr>
          <w:rFonts w:ascii="Times New Roman" w:hAnsi="Times New Roman" w:cs="Times New Roman"/>
          <w:sz w:val="24"/>
          <w:szCs w:val="24"/>
        </w:rPr>
      </w:pPr>
      <w:r w:rsidRPr="00FA43A5">
        <w:rPr>
          <w:rFonts w:ascii="Times New Roman" w:eastAsia="Times New Roman" w:hAnsi="Times New Roman" w:cs="Times New Roman"/>
          <w:sz w:val="24"/>
          <w:szCs w:val="24"/>
        </w:rPr>
        <w:t>The forest plot showed that most articles had an effect direction that tended to increase the risk of complications, although the magnitude of effects varied across articles. The pooled effect showed a value of 1.12 with a 95% CI of 0.60-1.65. Because this confidence interval crosses the null value of 1.00, the pooled estimate should be interpreted cautiously and should not be presented as definitive evidence of a statistically significant overall pooled effect based on the confidence interval alone. The heterogeneity value was high, namely Q(10) = 104.53; p &lt; 0.001 and I² = 86.98%, indicating substantial variation in findings across articles. This condition suggests that differences in stoma type, patient characteristics, study design, type of complication, and clinical phase, such as stoma formation and stoma closure, may influence the effect size reported by each article.</w:t>
      </w:r>
    </w:p>
    <w:p w14:paraId="316E1BC3" w14:textId="10DCE677" w:rsidR="008821F7" w:rsidRDefault="00535E77" w:rsidP="008821F7">
      <w:pPr>
        <w:spacing w:line="480" w:lineRule="auto"/>
        <w:ind w:firstLine="851"/>
        <w:jc w:val="both"/>
        <w:rPr>
          <w:rFonts w:ascii="Times New Roman" w:hAnsi="Times New Roman" w:cs="Times New Roman"/>
          <w:sz w:val="24"/>
          <w:szCs w:val="24"/>
        </w:rPr>
      </w:pPr>
      <w:r w:rsidRPr="00535E77">
        <w:rPr>
          <w:rFonts w:ascii="Times New Roman" w:eastAsia="Times New Roman" w:hAnsi="Times New Roman" w:cs="Times New Roman"/>
          <w:sz w:val="24"/>
          <w:szCs w:val="24"/>
        </w:rPr>
        <w:t>The funnel plot is shown in Figure 3. It was used to examine the distribution of articles based on residual value and standard error. The dots in the figure represent the analyzed articles, while the funnel-shaped lines indicate the expected distribution area if the article results are relatively balanced. A symmetrical distribution of dots around the center line usually indicates a lower possibility of publication bias</w:t>
      </w:r>
      <w:r w:rsidR="00520EF1" w:rsidRPr="00FA43A5">
        <w:rPr>
          <w:rFonts w:ascii="Times New Roman" w:eastAsia="Times New Roman" w:hAnsi="Times New Roman" w:cs="Times New Roman"/>
          <w:sz w:val="24"/>
          <w:szCs w:val="24"/>
        </w:rPr>
        <w:t>.</w:t>
      </w:r>
    </w:p>
    <w:p w14:paraId="7EA53927" w14:textId="473211D3" w:rsidR="00DA396E" w:rsidRPr="008821F7" w:rsidRDefault="00576BD8" w:rsidP="008821F7">
      <w:pPr>
        <w:spacing w:line="480" w:lineRule="auto"/>
        <w:ind w:firstLine="851"/>
        <w:jc w:val="both"/>
        <w:rPr>
          <w:rFonts w:ascii="Times New Roman" w:hAnsi="Times New Roman" w:cs="Times New Roman"/>
          <w:sz w:val="24"/>
          <w:szCs w:val="24"/>
        </w:rPr>
      </w:pPr>
      <w:r w:rsidRPr="00576BD8">
        <w:rPr>
          <w:rFonts w:ascii="Times New Roman" w:eastAsia="Times New Roman" w:hAnsi="Times New Roman" w:cs="Times New Roman"/>
          <w:sz w:val="24"/>
          <w:szCs w:val="24"/>
        </w:rPr>
        <w:t>The funnel plot shown in Figure 3 indicates that the distribution of articles was not fully symmetrical, as most points were located on the right side of the center line, while fewer points were found on the left side</w:t>
      </w:r>
      <w:r w:rsidR="00520EF1" w:rsidRPr="00FA43A5">
        <w:rPr>
          <w:rFonts w:ascii="Times New Roman" w:eastAsia="Times New Roman" w:hAnsi="Times New Roman" w:cs="Times New Roman"/>
          <w:sz w:val="24"/>
          <w:szCs w:val="24"/>
        </w:rPr>
        <w:t xml:space="preserve">. Several articles also appeared in areas with larger standard errors, indicating variation in estimation precision across articles. This pattern suggests a possible </w:t>
      </w:r>
      <w:r w:rsidR="00520EF1" w:rsidRPr="00FA43A5">
        <w:rPr>
          <w:rFonts w:ascii="Times New Roman" w:eastAsia="Times New Roman" w:hAnsi="Times New Roman" w:cs="Times New Roman"/>
          <w:sz w:val="24"/>
          <w:szCs w:val="24"/>
        </w:rPr>
        <w:lastRenderedPageBreak/>
        <w:t>imbalance in the distribution of results, which may be influenced by sample size, differences in outcomes, variations in study design, or the high heterogeneity observed in the forest plot.</w:t>
      </w:r>
    </w:p>
    <w:p w14:paraId="07655BE8" w14:textId="7EE0518B" w:rsidR="00FF1FB0" w:rsidRPr="00FA43A5" w:rsidRDefault="00520EF1" w:rsidP="00FA43A5">
      <w:pPr>
        <w:pStyle w:val="SectionHeading"/>
        <w:spacing w:line="480" w:lineRule="auto"/>
        <w:rPr>
          <w:rFonts w:cs="Times New Roman"/>
          <w:bCs/>
          <w:szCs w:val="24"/>
        </w:rPr>
      </w:pPr>
      <w:r w:rsidRPr="00FA43A5">
        <w:rPr>
          <w:rFonts w:eastAsia="Times New Roman" w:cs="Times New Roman"/>
          <w:bCs/>
          <w:szCs w:val="24"/>
        </w:rPr>
        <w:t>Discussion</w:t>
      </w:r>
    </w:p>
    <w:p w14:paraId="56837DC4" w14:textId="77777777" w:rsidR="007B12C8" w:rsidRPr="00FA43A5" w:rsidRDefault="007B12C8"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The results of this study show that postoperative complications in patients with intestinal stoma cannot be understood as a single outcome, because each article presented different clinical phases and types of complications. The synthesis of articles showed that stoma complications often occurred in the early phase after stoma formation, particularly in patients undergoing emergency surgery, patients with ileostomy, patients with more severe clinical conditions, and patients with technical problems related to stoma height and location. MacDonald et al. (23) emphasized that research on emergency intestinal stoma formation aimed to assess the incidence of stoma-related complications and risk factors in this population, while </w:t>
      </w:r>
      <w:proofErr w:type="spellStart"/>
      <w:r w:rsidRPr="00FA43A5">
        <w:rPr>
          <w:rFonts w:ascii="Times New Roman" w:hAnsi="Times New Roman" w:cs="Times New Roman"/>
          <w:sz w:val="24"/>
          <w:szCs w:val="24"/>
        </w:rPr>
        <w:t>Ayik</w:t>
      </w:r>
      <w:proofErr w:type="spellEnd"/>
      <w:r w:rsidRPr="00FA43A5">
        <w:rPr>
          <w:rFonts w:ascii="Times New Roman" w:hAnsi="Times New Roman" w:cs="Times New Roman"/>
          <w:sz w:val="24"/>
          <w:szCs w:val="24"/>
        </w:rPr>
        <w:t xml:space="preserve"> et al. (24) showed that early ostomy complications were more likely to occur after emergency colorectal surgery than after elective surgery. These findings strengthen the forest plot results, which showed that the overall direction of effect tended to be positive toward the risk of complications, although the strength of association across articles was not uniform. Steinhagen et al. (35) also explained that peristomal skin complications occur more frequently in ileostomy than in colostomy, indicating that differences in stoma type should be considered an important source of clinical variation.</w:t>
      </w:r>
    </w:p>
    <w:p w14:paraId="0D7CA1AC" w14:textId="77777777" w:rsidR="007B12C8" w:rsidRPr="00FA43A5" w:rsidRDefault="007B12C8"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The risk factors identified in the included articles show that stoma complications are influenced by a combination of patient-related, procedural, and stoma care factors. </w:t>
      </w:r>
      <w:proofErr w:type="spellStart"/>
      <w:r w:rsidRPr="00FA43A5">
        <w:rPr>
          <w:rFonts w:ascii="Times New Roman" w:hAnsi="Times New Roman" w:cs="Times New Roman"/>
          <w:sz w:val="24"/>
          <w:szCs w:val="24"/>
        </w:rPr>
        <w:t>Ayik</w:t>
      </w:r>
      <w:proofErr w:type="spellEnd"/>
      <w:r w:rsidRPr="00FA43A5">
        <w:rPr>
          <w:rFonts w:ascii="Times New Roman" w:hAnsi="Times New Roman" w:cs="Times New Roman"/>
          <w:sz w:val="24"/>
          <w:szCs w:val="24"/>
        </w:rPr>
        <w:t xml:space="preserve"> et al. (24) found that malignant disease, comorbidity, loop ostomy, female sex, neoadjuvant therapy, ileostomy, and ostomy height of less than 10 mm were associated with specific complications such as peristomal irritant contact dermatitis and mucocutaneous separation. MacDonald et al. (23) also identified obesity and emergency surgery as important factors in complications after stoma </w:t>
      </w:r>
      <w:r w:rsidRPr="00FA43A5">
        <w:rPr>
          <w:rFonts w:ascii="Times New Roman" w:hAnsi="Times New Roman" w:cs="Times New Roman"/>
          <w:sz w:val="24"/>
          <w:szCs w:val="24"/>
        </w:rPr>
        <w:lastRenderedPageBreak/>
        <w:t>formation. Chan et al. (36) supported this finding through a systematic review that identified 22 potential risk factors for complications after stoma formation. This means that the risk of complications is not only inherent in the surgical decision itself, but also in preoperative preparedness, the patient’s physical condition, stoma configuration, and the quality of follow-up care. The high heterogeneity value in the meta-analysis can be understood because the analyzed articles did not assess exactly the same clinical phases and complications, ranging from early complications, high-output stoma, stoma-related obstruction, to complications after closure.</w:t>
      </w:r>
    </w:p>
    <w:p w14:paraId="0152F252" w14:textId="77777777" w:rsidR="007B12C8" w:rsidRPr="00FA43A5" w:rsidRDefault="007B12C8"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The difference between ileostomy and colostomy is an important issue in the discussion because these two types of stoma have different complication patterns. Yang et al. (26) showed that protective colostomy was more strongly associated with stoma retraction than protective ileostomy, whereas ileostomy is often associated with high-output stoma and fluid imbalance. The findings from Lee et al. (27) and Takeda et al. (28) in the SLR table also showed that high-output stoma and postoperative ileus may be associated with readmission and impaired patient recovery. Ge et al. (37) added that comparisons between preventive loop ileostomy and colostomy revealed different complication patterns, such as a higher rate of prolapse in colostomy, while several other outcomes were not always significantly different. Therefore, the selection of stoma type should not only consider the purpose of anastomotic protection, but also the complication profile that patients may experience after hospital discharge.</w:t>
      </w:r>
    </w:p>
    <w:p w14:paraId="6626D50E" w14:textId="77777777" w:rsidR="007B12C8" w:rsidRPr="00FA43A5" w:rsidRDefault="007B12C8"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Quality of life in patients with intestinal stoma is also an important part of the discussion because physical complications often develop into psychological, social, and functional barriers. Liu et al. (34) examined quality of life among colorectal cancer patients with stoma using a quantitative cross-sectional design and assessed factors associated with patients’ quality of life. These findings are consistent with D’Ambrosio et al. (38), who stated that peristomal skin </w:t>
      </w:r>
      <w:r w:rsidRPr="00FA43A5">
        <w:rPr>
          <w:rFonts w:ascii="Times New Roman" w:hAnsi="Times New Roman" w:cs="Times New Roman"/>
          <w:sz w:val="24"/>
          <w:szCs w:val="24"/>
        </w:rPr>
        <w:lastRenderedPageBreak/>
        <w:t>complications are the most common skin problems after ostomy surgery and have an important impact on patients’ quality of life. Guerra et al. (39) also assessed risk factors for dermatitis, pruritus/xerosis, infection, and ulceration in patients with stoma, further confirming that skin problems are not merely local complications but also part of patients’ daily lived experience. Therefore, quality of life should be understood as an outcome closely related to complications, self-care ability, pouch leakage, discomfort, and limitations in social activities.</w:t>
      </w:r>
    </w:p>
    <w:p w14:paraId="7602DD4B" w14:textId="238E9085" w:rsidR="001F61C6" w:rsidRPr="00FA43A5" w:rsidRDefault="007B12C8" w:rsidP="00DA396E">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Overall, the results of this SLR and meta-analysis show that intestinal stoma complications have a broad pattern, ranging from complications after stoma formation and problems during stoma use to complications after stoma closure. The funnel plot, which was not fully symmetrical, and the high heterogeneity value indicate that the results should be interpreted cautiously, especially because the articles differed in study design, stoma type, patient characteristics, and outcome definitions. Nevertheless, the overall direction of the findings provides a clear clinical message that complication prevention needs to begin in the preoperative phase through patient risk assessment, stoma site selection, stoma type selection, stoma care education, and peristomal skin monitoring. These results also emphasize that future studies need to present more standardized definitions of complications and more complete statistical reporting so that evidence regarding complication risks and quality of life in stoma patients can be compared more robustly across studies.</w:t>
      </w:r>
    </w:p>
    <w:p w14:paraId="66F08AF1" w14:textId="77777777" w:rsidR="00FF1FB0" w:rsidRPr="00FA43A5" w:rsidRDefault="007B12C8" w:rsidP="00FA43A5">
      <w:pPr>
        <w:pStyle w:val="SectionHeading"/>
        <w:spacing w:line="480" w:lineRule="auto"/>
        <w:rPr>
          <w:rFonts w:cs="Times New Roman"/>
          <w:bCs/>
          <w:szCs w:val="24"/>
        </w:rPr>
      </w:pPr>
      <w:r w:rsidRPr="00FA43A5">
        <w:rPr>
          <w:rFonts w:eastAsia="Times New Roman" w:cs="Times New Roman"/>
          <w:bCs/>
          <w:szCs w:val="24"/>
        </w:rPr>
        <w:t>Conclusion</w:t>
      </w:r>
    </w:p>
    <w:p w14:paraId="350F33C4" w14:textId="77777777" w:rsidR="001F61C6" w:rsidRPr="00FA43A5" w:rsidRDefault="001F61C6" w:rsidP="00FA43A5">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 xml:space="preserve">The findings of this study show that complications in patients with intestinal stoma vary widely, ranging from early complications after stoma formation, peristomal skin complications, mucocutaneous separation, high-output stoma, stoma-related obstruction, readmission, and complications after stoma closure. Among the 12 included articles, most studies used retrospective </w:t>
      </w:r>
      <w:r w:rsidRPr="00FA43A5">
        <w:rPr>
          <w:rFonts w:ascii="Times New Roman" w:eastAsia="Times New Roman" w:hAnsi="Times New Roman" w:cs="Times New Roman"/>
          <w:sz w:val="24"/>
          <w:szCs w:val="24"/>
        </w:rPr>
        <w:lastRenderedPageBreak/>
        <w:t>designs and more frequently examined early or postoperative stoma complications. The meta-analysis showed a pooled effect of 1.12 with a 95% CI of 0.60-1.65. This estimate suggests a general direction toward increased risk; however, because the confidence interval crosses 1.00, the pooled effect should be interpreted cautiously and should be aligned with the original JASP output. The heterogeneity statistics, Q(10) = 104.53; p &lt; 0.001 and I² = 86.98%, indicate high heterogeneity; therefore, the results should be interpreted by considering differences in stoma type, clinical phase, patient characteristics, and outcome definitions across the included studies.</w:t>
      </w:r>
    </w:p>
    <w:p w14:paraId="2341B57B" w14:textId="77777777" w:rsidR="001F61C6" w:rsidRPr="00FA43A5" w:rsidRDefault="001F61C6" w:rsidP="00FA43A5">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The implication of this study is that prevention of stoma complications should begin in the preoperative phase and continue through intraoperative management and follow-up care after hospital discharge. Health care professionals need to consider risk factors such as stoma type, patient clinical condition, emergency surgery, stoma height, comorbidities, and the need for stoma care education. Peristomal skin monitoring, education on stoma pouch use, strengthening of self-care ability, and regular evaluation may help reduce the risk of complications and maintain patients’ quality of life. For health care services, these findings may provide a basis for strengthening risk-based stoma care protocols.</w:t>
      </w:r>
    </w:p>
    <w:p w14:paraId="51A921ED" w14:textId="1F6DBF78" w:rsidR="001F61C6" w:rsidRDefault="001F61C6" w:rsidP="000B0868">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The limitations of this study lie in the variation in article designs, differences in outcome types, and the high heterogeneity across studies. In addition, studies on quality of life were still limited compared with studies examining clinical complications; therefore, the synthesis of quality-of-life outcomes was not as strong as that of complication outcomes. Future studies are recommended to use more uniform complication definitions, report statistical data more completely, and separate analyses based on stoma type, timing of complication onset, and phase of care. Prospective multicenter studies are also needed to explain more robustly the relationship between risk factors, complications, and quality of life in patients with intestinal stoma.</w:t>
      </w:r>
    </w:p>
    <w:p w14:paraId="382EE4C5" w14:textId="77777777" w:rsidR="000B0868" w:rsidRPr="00FA43A5" w:rsidRDefault="000B0868" w:rsidP="000B0868">
      <w:pPr>
        <w:spacing w:line="480" w:lineRule="auto"/>
        <w:ind w:firstLine="709"/>
        <w:jc w:val="both"/>
        <w:rPr>
          <w:rFonts w:ascii="Times New Roman" w:hAnsi="Times New Roman" w:cs="Times New Roman"/>
          <w:sz w:val="24"/>
          <w:szCs w:val="24"/>
        </w:rPr>
      </w:pPr>
    </w:p>
    <w:p w14:paraId="60876739" w14:textId="77777777" w:rsidR="00F07245" w:rsidRPr="00FA43A5" w:rsidRDefault="007B12C8" w:rsidP="00FA43A5">
      <w:pPr>
        <w:pStyle w:val="SectionHeading"/>
        <w:spacing w:line="480" w:lineRule="auto"/>
        <w:rPr>
          <w:rFonts w:cs="Times New Roman"/>
          <w:bCs/>
          <w:szCs w:val="24"/>
        </w:rPr>
      </w:pPr>
      <w:r w:rsidRPr="00FA43A5">
        <w:rPr>
          <w:rFonts w:eastAsia="Times New Roman" w:cs="Times New Roman"/>
          <w:bCs/>
          <w:szCs w:val="24"/>
        </w:rPr>
        <w:t>References</w:t>
      </w:r>
    </w:p>
    <w:p w14:paraId="0C10C049"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Qassim T, Saeed MF, Qassim A, Al-Rawi S, Al-Salmi S, Salman MT, et al. Intestinal stomas—Current practice and challenges: An institutional review. </w:t>
      </w:r>
      <w:proofErr w:type="spellStart"/>
      <w:r w:rsidRPr="004E2E96">
        <w:rPr>
          <w:rFonts w:ascii="Times New Roman" w:hAnsi="Times New Roman" w:cs="Times New Roman"/>
          <w:sz w:val="24"/>
          <w:szCs w:val="24"/>
        </w:rPr>
        <w:t>Euroasian</w:t>
      </w:r>
      <w:proofErr w:type="spellEnd"/>
      <w:r w:rsidRPr="004E2E96">
        <w:rPr>
          <w:rFonts w:ascii="Times New Roman" w:hAnsi="Times New Roman" w:cs="Times New Roman"/>
          <w:sz w:val="24"/>
          <w:szCs w:val="24"/>
        </w:rPr>
        <w:t xml:space="preserve"> Journal of Hepato-Gastroenterology. 2023;13(2):115–119. doi:10.5005/jp-journals-10018-1404</w:t>
      </w:r>
    </w:p>
    <w:p w14:paraId="20E7356F" w14:textId="7091F0A0" w:rsidR="002B6A30" w:rsidRDefault="002B6A3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B6A30">
        <w:rPr>
          <w:rFonts w:ascii="Times New Roman" w:hAnsi="Times New Roman" w:cs="Times New Roman"/>
          <w:sz w:val="24"/>
          <w:szCs w:val="24"/>
        </w:rPr>
        <w:t xml:space="preserve">Elnaim AL, Wong M, </w:t>
      </w:r>
      <w:proofErr w:type="spellStart"/>
      <w:r w:rsidRPr="002B6A30">
        <w:rPr>
          <w:rFonts w:ascii="Times New Roman" w:hAnsi="Times New Roman" w:cs="Times New Roman"/>
          <w:sz w:val="24"/>
          <w:szCs w:val="24"/>
        </w:rPr>
        <w:t>Sagap</w:t>
      </w:r>
      <w:proofErr w:type="spellEnd"/>
      <w:r w:rsidRPr="002B6A30">
        <w:rPr>
          <w:rFonts w:ascii="Times New Roman" w:hAnsi="Times New Roman" w:cs="Times New Roman"/>
          <w:sz w:val="24"/>
          <w:szCs w:val="24"/>
        </w:rPr>
        <w:t xml:space="preserve"> I. Intestinal stomas; basics, complications and controversy: systematic review. Academic Medicine &amp; Surgery. Published online December 7, 2024. doi:10.62186/001c.127121</w:t>
      </w:r>
    </w:p>
    <w:p w14:paraId="1C305C9E" w14:textId="13759524"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Ambe PC, Kugler CM, </w:t>
      </w:r>
      <w:proofErr w:type="spellStart"/>
      <w:r w:rsidRPr="004E2E96">
        <w:rPr>
          <w:rFonts w:ascii="Times New Roman" w:hAnsi="Times New Roman" w:cs="Times New Roman"/>
          <w:sz w:val="24"/>
          <w:szCs w:val="24"/>
        </w:rPr>
        <w:t>Breuing</w:t>
      </w:r>
      <w:proofErr w:type="spellEnd"/>
      <w:r w:rsidRPr="004E2E96">
        <w:rPr>
          <w:rFonts w:ascii="Times New Roman" w:hAnsi="Times New Roman" w:cs="Times New Roman"/>
          <w:sz w:val="24"/>
          <w:szCs w:val="24"/>
        </w:rPr>
        <w:t xml:space="preserve"> J, Grohmann E, Friedel J, Hess S, et al. The effect of preoperative stoma site marking on risk of stoma-related complications in patients with intestinal ostomy: A systematic review and meta-analysis. Colorectal Disease. 2022;24(8):904–917. doi:10.1111/codi.16118</w:t>
      </w:r>
    </w:p>
    <w:p w14:paraId="5B081157"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Nozawa H, Sasaki S, Hayashi C, Kawasaki A, Sasaki K, </w:t>
      </w:r>
      <w:proofErr w:type="spellStart"/>
      <w:r w:rsidRPr="004E2E96">
        <w:rPr>
          <w:rFonts w:ascii="Times New Roman" w:hAnsi="Times New Roman" w:cs="Times New Roman"/>
          <w:sz w:val="24"/>
          <w:szCs w:val="24"/>
        </w:rPr>
        <w:t>Murono</w:t>
      </w:r>
      <w:proofErr w:type="spellEnd"/>
      <w:r w:rsidRPr="004E2E96">
        <w:rPr>
          <w:rFonts w:ascii="Times New Roman" w:hAnsi="Times New Roman" w:cs="Times New Roman"/>
          <w:sz w:val="24"/>
          <w:szCs w:val="24"/>
        </w:rPr>
        <w:t xml:space="preserve"> K, et al. Preoperative stoma site marking reduces postoperative stoma-related complications in emergency surgery: A single center retrospective cohort study. Scandinavian Journal of Surgery. 2024;113(1):40–49. doi:10.1177/14574969231186282</w:t>
      </w:r>
    </w:p>
    <w:p w14:paraId="2CC2817F"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4E2E96">
        <w:rPr>
          <w:rFonts w:ascii="Times New Roman" w:hAnsi="Times New Roman" w:cs="Times New Roman"/>
          <w:sz w:val="24"/>
          <w:szCs w:val="24"/>
        </w:rPr>
        <w:t>Dellafiore</w:t>
      </w:r>
      <w:proofErr w:type="spellEnd"/>
      <w:r w:rsidRPr="004E2E96">
        <w:rPr>
          <w:rFonts w:ascii="Times New Roman" w:hAnsi="Times New Roman" w:cs="Times New Roman"/>
          <w:sz w:val="24"/>
          <w:szCs w:val="24"/>
        </w:rPr>
        <w:t xml:space="preserve"> F, Caruso R, </w:t>
      </w:r>
      <w:proofErr w:type="spellStart"/>
      <w:r w:rsidRPr="004E2E96">
        <w:rPr>
          <w:rFonts w:ascii="Times New Roman" w:hAnsi="Times New Roman" w:cs="Times New Roman"/>
          <w:sz w:val="24"/>
          <w:szCs w:val="24"/>
        </w:rPr>
        <w:t>Bonavina</w:t>
      </w:r>
      <w:proofErr w:type="spellEnd"/>
      <w:r w:rsidRPr="004E2E96">
        <w:rPr>
          <w:rFonts w:ascii="Times New Roman" w:hAnsi="Times New Roman" w:cs="Times New Roman"/>
          <w:sz w:val="24"/>
          <w:szCs w:val="24"/>
        </w:rPr>
        <w:t xml:space="preserve"> L, </w:t>
      </w:r>
      <w:proofErr w:type="spellStart"/>
      <w:r w:rsidRPr="004E2E96">
        <w:rPr>
          <w:rFonts w:ascii="Times New Roman" w:hAnsi="Times New Roman" w:cs="Times New Roman"/>
          <w:sz w:val="24"/>
          <w:szCs w:val="24"/>
        </w:rPr>
        <w:t>Udugampolage</w:t>
      </w:r>
      <w:proofErr w:type="spellEnd"/>
      <w:r w:rsidRPr="004E2E96">
        <w:rPr>
          <w:rFonts w:ascii="Times New Roman" w:hAnsi="Times New Roman" w:cs="Times New Roman"/>
          <w:sz w:val="24"/>
          <w:szCs w:val="24"/>
        </w:rPr>
        <w:t xml:space="preserve"> NS, Villa G, Russo S, et al. Risk factors and pooled incidence of intestinal stoma complications: Systematic review and meta-analysis. Current Medical Research and Opinion. 2022;38(7):1103–1113. doi:10.1080/03007995.2022.2081455</w:t>
      </w:r>
    </w:p>
    <w:p w14:paraId="6ACA4D5F" w14:textId="77777777" w:rsidR="005C0EAC" w:rsidRDefault="005C0EAC"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5C0EAC">
        <w:rPr>
          <w:rFonts w:ascii="Times New Roman" w:hAnsi="Times New Roman" w:cs="Times New Roman"/>
          <w:sz w:val="24"/>
          <w:szCs w:val="24"/>
        </w:rPr>
        <w:t>Gan JX, Liu HP, Chen K. Prevalence and pooled risk factors of stoma outlet obstruction after colorectal surgery with diverting ileostomy: a systematic review and meta-analysis. International Journal of Colorectal Disease. 2025;40:119. doi:10.1007/s00384-025-04862-5</w:t>
      </w:r>
    </w:p>
    <w:p w14:paraId="50DDC807" w14:textId="29C91FD7" w:rsidR="002B6A30" w:rsidRDefault="002B6A3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2B6A30">
        <w:rPr>
          <w:rFonts w:ascii="Times New Roman" w:hAnsi="Times New Roman" w:cs="Times New Roman"/>
          <w:sz w:val="24"/>
          <w:szCs w:val="24"/>
        </w:rPr>
        <w:t>Toffaha</w:t>
      </w:r>
      <w:proofErr w:type="spellEnd"/>
      <w:r w:rsidRPr="002B6A30">
        <w:rPr>
          <w:rFonts w:ascii="Times New Roman" w:hAnsi="Times New Roman" w:cs="Times New Roman"/>
          <w:sz w:val="24"/>
          <w:szCs w:val="24"/>
        </w:rPr>
        <w:t xml:space="preserve"> A, Badr A, Al-Dhaheri M, </w:t>
      </w:r>
      <w:proofErr w:type="spellStart"/>
      <w:r w:rsidRPr="002B6A30">
        <w:rPr>
          <w:rFonts w:ascii="Times New Roman" w:hAnsi="Times New Roman" w:cs="Times New Roman"/>
          <w:sz w:val="24"/>
          <w:szCs w:val="24"/>
        </w:rPr>
        <w:t>Aleter</w:t>
      </w:r>
      <w:proofErr w:type="spellEnd"/>
      <w:r w:rsidRPr="002B6A30">
        <w:rPr>
          <w:rFonts w:ascii="Times New Roman" w:hAnsi="Times New Roman" w:cs="Times New Roman"/>
          <w:sz w:val="24"/>
          <w:szCs w:val="24"/>
        </w:rPr>
        <w:t xml:space="preserve"> A, Latif E, </w:t>
      </w:r>
      <w:proofErr w:type="spellStart"/>
      <w:r w:rsidRPr="002B6A30">
        <w:rPr>
          <w:rFonts w:ascii="Times New Roman" w:hAnsi="Times New Roman" w:cs="Times New Roman"/>
          <w:sz w:val="24"/>
          <w:szCs w:val="24"/>
        </w:rPr>
        <w:t>Kurer</w:t>
      </w:r>
      <w:proofErr w:type="spellEnd"/>
      <w:r w:rsidRPr="002B6A30">
        <w:rPr>
          <w:rFonts w:ascii="Times New Roman" w:hAnsi="Times New Roman" w:cs="Times New Roman"/>
          <w:sz w:val="24"/>
          <w:szCs w:val="24"/>
        </w:rPr>
        <w:t xml:space="preserve"> M, et al. Risk factors for stoma outlet obstruction: systematic review and meta-analysis. Langenbeck’s Archives of Surgery. 2025;410:317. doi:10.1007/s00423-025-03892-5</w:t>
      </w:r>
    </w:p>
    <w:p w14:paraId="6B174630" w14:textId="77777777" w:rsidR="00281858" w:rsidRDefault="00281858"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81858">
        <w:rPr>
          <w:rFonts w:ascii="Times New Roman" w:hAnsi="Times New Roman" w:cs="Times New Roman"/>
          <w:sz w:val="24"/>
          <w:szCs w:val="24"/>
        </w:rPr>
        <w:t>Zhou L, Qin Z, Wang L. Risk factors and incidence of non-closure stoma in patients with anterior resection of rectal cancer with temporary stoma: A systematic review and meta-analysis. European Journal of Surgical Oncology. 2023;49(12):107120. doi:10.1016/j.ejso.2023.107120</w:t>
      </w:r>
    </w:p>
    <w:p w14:paraId="29C8BA05" w14:textId="77777777" w:rsidR="00281858" w:rsidRDefault="00281858"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81858">
        <w:rPr>
          <w:rFonts w:ascii="Times New Roman" w:hAnsi="Times New Roman" w:cs="Times New Roman"/>
          <w:sz w:val="24"/>
          <w:szCs w:val="24"/>
        </w:rPr>
        <w:t>Brady RRW, Sheard D, Howard K, et al. The prevalence of leakage, peristomal skin complications and impact on quality of life in the first year following stoma surgery. Nursing Reports. 2025;15(3):107. doi:10.3390/nursrep15030107</w:t>
      </w:r>
    </w:p>
    <w:p w14:paraId="72F74301" w14:textId="23D747E9" w:rsidR="002B6A30" w:rsidRDefault="002B6A3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2B6A30">
        <w:rPr>
          <w:rFonts w:ascii="Times New Roman" w:hAnsi="Times New Roman" w:cs="Times New Roman"/>
          <w:sz w:val="24"/>
          <w:szCs w:val="24"/>
        </w:rPr>
        <w:t>Poliani</w:t>
      </w:r>
      <w:proofErr w:type="spellEnd"/>
      <w:r w:rsidRPr="002B6A30">
        <w:rPr>
          <w:rFonts w:ascii="Times New Roman" w:hAnsi="Times New Roman" w:cs="Times New Roman"/>
          <w:sz w:val="24"/>
          <w:szCs w:val="24"/>
        </w:rPr>
        <w:t xml:space="preserve"> A, </w:t>
      </w:r>
      <w:proofErr w:type="spellStart"/>
      <w:r w:rsidRPr="002B6A30">
        <w:rPr>
          <w:rFonts w:ascii="Times New Roman" w:hAnsi="Times New Roman" w:cs="Times New Roman"/>
          <w:sz w:val="24"/>
          <w:szCs w:val="24"/>
        </w:rPr>
        <w:t>Marcomini</w:t>
      </w:r>
      <w:proofErr w:type="spellEnd"/>
      <w:r w:rsidRPr="002B6A30">
        <w:rPr>
          <w:rFonts w:ascii="Times New Roman" w:hAnsi="Times New Roman" w:cs="Times New Roman"/>
          <w:sz w:val="24"/>
          <w:szCs w:val="24"/>
        </w:rPr>
        <w:t xml:space="preserve"> I, Butti P, </w:t>
      </w:r>
      <w:proofErr w:type="spellStart"/>
      <w:r w:rsidRPr="002B6A30">
        <w:rPr>
          <w:rFonts w:ascii="Times New Roman" w:hAnsi="Times New Roman" w:cs="Times New Roman"/>
          <w:sz w:val="24"/>
          <w:szCs w:val="24"/>
        </w:rPr>
        <w:t>Nedesca</w:t>
      </w:r>
      <w:proofErr w:type="spellEnd"/>
      <w:r w:rsidRPr="002B6A30">
        <w:rPr>
          <w:rFonts w:ascii="Times New Roman" w:hAnsi="Times New Roman" w:cs="Times New Roman"/>
          <w:sz w:val="24"/>
          <w:szCs w:val="24"/>
        </w:rPr>
        <w:t xml:space="preserve"> ED, Manara DF, Villa G. Stoma leakage: prevalence, associated factors, and assessment tools—a scoping review. Nursing Reports. 2026;16(2):46. doi:10.3390/nursrep16020046</w:t>
      </w:r>
    </w:p>
    <w:p w14:paraId="5A6DC473" w14:textId="77777777" w:rsidR="008371CC" w:rsidRDefault="008371CC"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8371CC">
        <w:rPr>
          <w:rFonts w:ascii="Times New Roman" w:hAnsi="Times New Roman" w:cs="Times New Roman"/>
          <w:sz w:val="24"/>
          <w:szCs w:val="24"/>
        </w:rPr>
        <w:lastRenderedPageBreak/>
        <w:t xml:space="preserve">Shiraishi T, Ogawa H, Katayama C, </w:t>
      </w:r>
      <w:proofErr w:type="spellStart"/>
      <w:r w:rsidRPr="008371CC">
        <w:rPr>
          <w:rFonts w:ascii="Times New Roman" w:hAnsi="Times New Roman" w:cs="Times New Roman"/>
          <w:sz w:val="24"/>
          <w:szCs w:val="24"/>
        </w:rPr>
        <w:t>Osone</w:t>
      </w:r>
      <w:proofErr w:type="spellEnd"/>
      <w:r w:rsidRPr="008371CC">
        <w:rPr>
          <w:rFonts w:ascii="Times New Roman" w:hAnsi="Times New Roman" w:cs="Times New Roman"/>
          <w:sz w:val="24"/>
          <w:szCs w:val="24"/>
        </w:rPr>
        <w:t xml:space="preserve"> K, Okada T, Katoh R, et al. Association of chemotherapy and stoma features with peristomal skin disorders in rectal cancer patients. Scientific Reports. 2025;15(1):42214. doi:10.1038/s41598-025-26387-1</w:t>
      </w:r>
    </w:p>
    <w:p w14:paraId="6EDC8347" w14:textId="3AD6B86B" w:rsidR="00281858" w:rsidRDefault="00281858"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81858">
        <w:rPr>
          <w:rFonts w:ascii="Times New Roman" w:hAnsi="Times New Roman" w:cs="Times New Roman"/>
          <w:sz w:val="24"/>
          <w:szCs w:val="24"/>
        </w:rPr>
        <w:t>Glynn J, Hollingworth W, Harris J, Mohiuddin S, Ellis L, Reeves BC, et al. The impact of parastomal hernia on quality of life using data from the CIPHER prospective cohort study. The European Journal of Health Economics. 2025;26(7):1209–1218. doi:10.1007/s10198-025-01768-5</w:t>
      </w:r>
    </w:p>
    <w:p w14:paraId="33EFF991" w14:textId="77777777" w:rsidR="00281858" w:rsidRDefault="00281858"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81858">
        <w:rPr>
          <w:rFonts w:ascii="Times New Roman" w:hAnsi="Times New Roman" w:cs="Times New Roman"/>
          <w:sz w:val="24"/>
          <w:szCs w:val="24"/>
        </w:rPr>
        <w:t>Jose A, Kothari R, Sharma DB, Sharma D. Incidence and impact of peristomal candidiasis on outcomes after intestinal stoma closure: A prospective study. Tropical Doctor. 2025;55(2):121–123. doi:10.1177/00494755251329636</w:t>
      </w:r>
    </w:p>
    <w:p w14:paraId="54DD5B00" w14:textId="2694C255"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Zeng Z, Hu Y, Hou S, Yang R, Shi Z, Li X. Risk factors for complications after infantile enterostomy: Development of a clinical prediction model. Frontiers in Public Health. 2025;13:1566789. doi:10.3389/fpubh.2025.1566789</w:t>
      </w:r>
    </w:p>
    <w:p w14:paraId="3AF5B265"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4E2E96">
        <w:rPr>
          <w:rFonts w:ascii="Times New Roman" w:hAnsi="Times New Roman" w:cs="Times New Roman"/>
          <w:sz w:val="24"/>
          <w:szCs w:val="24"/>
        </w:rPr>
        <w:t>Zewude</w:t>
      </w:r>
      <w:proofErr w:type="spellEnd"/>
      <w:r w:rsidRPr="004E2E96">
        <w:rPr>
          <w:rFonts w:ascii="Times New Roman" w:hAnsi="Times New Roman" w:cs="Times New Roman"/>
          <w:sz w:val="24"/>
          <w:szCs w:val="24"/>
        </w:rPr>
        <w:t xml:space="preserve"> WC, Derese T, Suga Y, </w:t>
      </w:r>
      <w:proofErr w:type="spellStart"/>
      <w:r w:rsidRPr="004E2E96">
        <w:rPr>
          <w:rFonts w:ascii="Times New Roman" w:hAnsi="Times New Roman" w:cs="Times New Roman"/>
          <w:sz w:val="24"/>
          <w:szCs w:val="24"/>
        </w:rPr>
        <w:t>Teklewold</w:t>
      </w:r>
      <w:proofErr w:type="spellEnd"/>
      <w:r w:rsidRPr="004E2E96">
        <w:rPr>
          <w:rFonts w:ascii="Times New Roman" w:hAnsi="Times New Roman" w:cs="Times New Roman"/>
          <w:sz w:val="24"/>
          <w:szCs w:val="24"/>
        </w:rPr>
        <w:t xml:space="preserve"> B. Quality of life in patients living with stoma. Ethiopian Journal of Health Sciences. 2021;31(5):993–1000. doi:10.4314/ejhs.v31i5.11</w:t>
      </w:r>
    </w:p>
    <w:p w14:paraId="35723AEC"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Leite Junior </w:t>
      </w:r>
      <w:proofErr w:type="spellStart"/>
      <w:r w:rsidRPr="004E2E96">
        <w:rPr>
          <w:rFonts w:ascii="Times New Roman" w:hAnsi="Times New Roman" w:cs="Times New Roman"/>
          <w:sz w:val="24"/>
          <w:szCs w:val="24"/>
        </w:rPr>
        <w:t>VdO</w:t>
      </w:r>
      <w:proofErr w:type="spellEnd"/>
      <w:r w:rsidRPr="004E2E96">
        <w:rPr>
          <w:rFonts w:ascii="Times New Roman" w:hAnsi="Times New Roman" w:cs="Times New Roman"/>
          <w:sz w:val="24"/>
          <w:szCs w:val="24"/>
        </w:rPr>
        <w:t xml:space="preserve">, Vieira GG, Lima KS, Costa SM, Carvalho </w:t>
      </w:r>
      <w:proofErr w:type="spellStart"/>
      <w:r w:rsidRPr="004E2E96">
        <w:rPr>
          <w:rFonts w:ascii="Times New Roman" w:hAnsi="Times New Roman" w:cs="Times New Roman"/>
          <w:sz w:val="24"/>
          <w:szCs w:val="24"/>
        </w:rPr>
        <w:t>ARBd</w:t>
      </w:r>
      <w:proofErr w:type="spellEnd"/>
      <w:r w:rsidRPr="004E2E96">
        <w:rPr>
          <w:rFonts w:ascii="Times New Roman" w:hAnsi="Times New Roman" w:cs="Times New Roman"/>
          <w:sz w:val="24"/>
          <w:szCs w:val="24"/>
        </w:rPr>
        <w:t xml:space="preserve">, Soeiro </w:t>
      </w:r>
      <w:proofErr w:type="spellStart"/>
      <w:r w:rsidRPr="004E2E96">
        <w:rPr>
          <w:rFonts w:ascii="Times New Roman" w:hAnsi="Times New Roman" w:cs="Times New Roman"/>
          <w:sz w:val="24"/>
          <w:szCs w:val="24"/>
        </w:rPr>
        <w:t>VMdS</w:t>
      </w:r>
      <w:proofErr w:type="spellEnd"/>
      <w:r w:rsidRPr="004E2E96">
        <w:rPr>
          <w:rFonts w:ascii="Times New Roman" w:hAnsi="Times New Roman" w:cs="Times New Roman"/>
          <w:sz w:val="24"/>
          <w:szCs w:val="24"/>
        </w:rPr>
        <w:t>, et al. Quality of life and its determinants in older adults with intestinal stomas: A cross-sectional study. International Journal of Environmental Research and Public Health. 2025;22(3):375. doi:10.3390/ijerph22030375</w:t>
      </w:r>
    </w:p>
    <w:p w14:paraId="492743C5"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Lupo R, </w:t>
      </w:r>
      <w:proofErr w:type="spellStart"/>
      <w:r w:rsidRPr="004E2E96">
        <w:rPr>
          <w:rFonts w:ascii="Times New Roman" w:hAnsi="Times New Roman" w:cs="Times New Roman"/>
          <w:sz w:val="24"/>
          <w:szCs w:val="24"/>
        </w:rPr>
        <w:t>Rubbi</w:t>
      </w:r>
      <w:proofErr w:type="spellEnd"/>
      <w:r w:rsidRPr="004E2E96">
        <w:rPr>
          <w:rFonts w:ascii="Times New Roman" w:hAnsi="Times New Roman" w:cs="Times New Roman"/>
          <w:sz w:val="24"/>
          <w:szCs w:val="24"/>
        </w:rPr>
        <w:t xml:space="preserve"> I, Barletta A, Mele C, </w:t>
      </w:r>
      <w:proofErr w:type="spellStart"/>
      <w:r w:rsidRPr="004E2E96">
        <w:rPr>
          <w:rFonts w:ascii="Times New Roman" w:hAnsi="Times New Roman" w:cs="Times New Roman"/>
          <w:sz w:val="24"/>
          <w:szCs w:val="24"/>
        </w:rPr>
        <w:t>Lezzi</w:t>
      </w:r>
      <w:proofErr w:type="spellEnd"/>
      <w:r w:rsidRPr="004E2E96">
        <w:rPr>
          <w:rFonts w:ascii="Times New Roman" w:hAnsi="Times New Roman" w:cs="Times New Roman"/>
          <w:sz w:val="24"/>
          <w:szCs w:val="24"/>
        </w:rPr>
        <w:t xml:space="preserve"> A, </w:t>
      </w:r>
      <w:proofErr w:type="spellStart"/>
      <w:r w:rsidRPr="004E2E96">
        <w:rPr>
          <w:rFonts w:ascii="Times New Roman" w:hAnsi="Times New Roman" w:cs="Times New Roman"/>
          <w:sz w:val="24"/>
          <w:szCs w:val="24"/>
        </w:rPr>
        <w:t>Botrugno</w:t>
      </w:r>
      <w:proofErr w:type="spellEnd"/>
      <w:r w:rsidRPr="004E2E96">
        <w:rPr>
          <w:rFonts w:ascii="Times New Roman" w:hAnsi="Times New Roman" w:cs="Times New Roman"/>
          <w:sz w:val="24"/>
          <w:szCs w:val="24"/>
        </w:rPr>
        <w:t xml:space="preserve"> I, Mottillo G, Manca D, </w:t>
      </w:r>
      <w:proofErr w:type="spellStart"/>
      <w:r w:rsidRPr="004E2E96">
        <w:rPr>
          <w:rFonts w:ascii="Times New Roman" w:hAnsi="Times New Roman" w:cs="Times New Roman"/>
          <w:sz w:val="24"/>
          <w:szCs w:val="24"/>
        </w:rPr>
        <w:t>Potì</w:t>
      </w:r>
      <w:proofErr w:type="spellEnd"/>
      <w:r w:rsidRPr="004E2E96">
        <w:rPr>
          <w:rFonts w:ascii="Times New Roman" w:hAnsi="Times New Roman" w:cs="Times New Roman"/>
          <w:sz w:val="24"/>
          <w:szCs w:val="24"/>
        </w:rPr>
        <w:t xml:space="preserve"> O, Triglia C, et al. Quality of life and psychophysical consequences in individuals with intestinal stoma: An observational study. International Journal of Environmental Research and Public Health. 2025;22(9):1327. doi:10.3390/ijerph22091327</w:t>
      </w:r>
    </w:p>
    <w:p w14:paraId="0460BF52"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4E2E96">
        <w:rPr>
          <w:rFonts w:ascii="Times New Roman" w:hAnsi="Times New Roman" w:cs="Times New Roman"/>
          <w:sz w:val="24"/>
          <w:szCs w:val="24"/>
        </w:rPr>
        <w:t>Açil</w:t>
      </w:r>
      <w:proofErr w:type="spellEnd"/>
      <w:r w:rsidRPr="004E2E96">
        <w:rPr>
          <w:rFonts w:ascii="Times New Roman" w:hAnsi="Times New Roman" w:cs="Times New Roman"/>
          <w:sz w:val="24"/>
          <w:szCs w:val="24"/>
        </w:rPr>
        <w:t xml:space="preserve"> HC, Yilmaz AÇ, </w:t>
      </w:r>
      <w:proofErr w:type="spellStart"/>
      <w:r w:rsidRPr="004E2E96">
        <w:rPr>
          <w:rFonts w:ascii="Times New Roman" w:hAnsi="Times New Roman" w:cs="Times New Roman"/>
          <w:sz w:val="24"/>
          <w:szCs w:val="24"/>
        </w:rPr>
        <w:t>Aygin</w:t>
      </w:r>
      <w:proofErr w:type="spellEnd"/>
      <w:r w:rsidRPr="004E2E96">
        <w:rPr>
          <w:rFonts w:ascii="Times New Roman" w:hAnsi="Times New Roman" w:cs="Times New Roman"/>
          <w:sz w:val="24"/>
          <w:szCs w:val="24"/>
        </w:rPr>
        <w:t xml:space="preserve"> D. The effect of recovery status and life conditions on the quality of life in colorectal cancer patients with stoma: A path analysis. Frontiers in Psychology. 2025;16:1693626. doi:10.3389/fpsyg.2025.1693626</w:t>
      </w:r>
    </w:p>
    <w:p w14:paraId="7F645D3A" w14:textId="77777777" w:rsidR="004E2E96" w:rsidRDefault="004E2E96"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Díaz-Sánchez C, Rodríguez-Muñoz PM, Navarro-López V, Carmona-Torres JM, Sánchez-Gil A, Sánchez-González JL, et al. Impact of ostomy on quality of life in patients with colorectal cancer: A systematic review and meta-analysis. Healthcare. 2026;14(4):444. doi:10.3390/healthcare14040444</w:t>
      </w:r>
    </w:p>
    <w:p w14:paraId="4CBD3038"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Sritan S. Factors contributing to the quality of life among Thai patients diagnosed with colorectal cancer with a stoma: An integrative review. Journal of Advanced Nursing. 2023;79:1–14. doi:10.1111/jan.15460</w:t>
      </w:r>
    </w:p>
    <w:p w14:paraId="405A95C9"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Page MJ, McKenzie JE, Bossuyt PM, </w:t>
      </w:r>
      <w:proofErr w:type="spellStart"/>
      <w:r w:rsidRPr="004E2E96">
        <w:rPr>
          <w:rFonts w:ascii="Times New Roman" w:hAnsi="Times New Roman" w:cs="Times New Roman"/>
          <w:sz w:val="24"/>
          <w:szCs w:val="24"/>
        </w:rPr>
        <w:t>Boutron</w:t>
      </w:r>
      <w:proofErr w:type="spellEnd"/>
      <w:r w:rsidRPr="004E2E96">
        <w:rPr>
          <w:rFonts w:ascii="Times New Roman" w:hAnsi="Times New Roman" w:cs="Times New Roman"/>
          <w:sz w:val="24"/>
          <w:szCs w:val="24"/>
        </w:rPr>
        <w:t xml:space="preserve"> I, Hoffmann TC, Mulrow CD, et al. The PRISMA 2020 statement: An updated guideline for reporting systematic reviews. BMJ. 2021;372:n71. doi:10.1136/bmj.n71</w:t>
      </w:r>
    </w:p>
    <w:p w14:paraId="1BBDAAD3" w14:textId="1FEC38CF" w:rsidR="004E2E96" w:rsidRDefault="00B83BEA"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B83BEA">
        <w:rPr>
          <w:rFonts w:ascii="Times New Roman" w:hAnsi="Times New Roman" w:cs="Times New Roman"/>
          <w:sz w:val="24"/>
          <w:szCs w:val="24"/>
        </w:rPr>
        <w:t xml:space="preserve">Higgins JPT, Thomas J, Chandler J, Cumpston M, Li T, Page MJ, et al. Cochrane Handbook for Systematic Reviews of Interventions. Version 6.5. Cochrane; 2024. Available from: </w:t>
      </w:r>
      <w:hyperlink r:id="rId5" w:history="1">
        <w:r w:rsidRPr="00BE3E3F">
          <w:rPr>
            <w:rStyle w:val="Hyperlink"/>
            <w:rFonts w:ascii="Times New Roman" w:hAnsi="Times New Roman" w:cs="Times New Roman"/>
            <w:sz w:val="24"/>
            <w:szCs w:val="24"/>
          </w:rPr>
          <w:t>https://www.cochrane.org/authors/handbooks-and-manuals/handbook/current</w:t>
        </w:r>
      </w:hyperlink>
      <w:r>
        <w:rPr>
          <w:rFonts w:ascii="Times New Roman" w:hAnsi="Times New Roman" w:cs="Times New Roman"/>
          <w:sz w:val="24"/>
          <w:szCs w:val="24"/>
        </w:rPr>
        <w:t xml:space="preserve"> </w:t>
      </w:r>
      <w:r w:rsidR="00E80081">
        <w:t>.</w:t>
      </w:r>
    </w:p>
    <w:p w14:paraId="429A7334"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lastRenderedPageBreak/>
        <w:t>MacDonald S, Wong L-S, Ng HJ, Hastings C, Ross I, Quasim T, et al. Post-operative outcomes and identification of risk factors for complications after emergency intestinal stoma surgery: A multi-</w:t>
      </w:r>
      <w:proofErr w:type="spellStart"/>
      <w:r w:rsidRPr="004E2E96">
        <w:rPr>
          <w:rFonts w:ascii="Times New Roman" w:hAnsi="Times New Roman" w:cs="Times New Roman"/>
          <w:sz w:val="24"/>
          <w:szCs w:val="24"/>
        </w:rPr>
        <w:t>centre</w:t>
      </w:r>
      <w:proofErr w:type="spellEnd"/>
      <w:r w:rsidRPr="004E2E96">
        <w:rPr>
          <w:rFonts w:ascii="Times New Roman" w:hAnsi="Times New Roman" w:cs="Times New Roman"/>
          <w:sz w:val="24"/>
          <w:szCs w:val="24"/>
        </w:rPr>
        <w:t xml:space="preserve"> retrospective study. Colorectal Disease. 2024;26(5):994–1003. doi:10.1111/codi.16947</w:t>
      </w:r>
    </w:p>
    <w:p w14:paraId="30CB050B"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99514B">
        <w:rPr>
          <w:rFonts w:ascii="Times New Roman" w:hAnsi="Times New Roman" w:cs="Times New Roman"/>
          <w:sz w:val="24"/>
          <w:szCs w:val="24"/>
        </w:rPr>
        <w:t>Ayik</w:t>
      </w:r>
      <w:proofErr w:type="spellEnd"/>
      <w:r w:rsidRPr="0099514B">
        <w:rPr>
          <w:rFonts w:ascii="Times New Roman" w:hAnsi="Times New Roman" w:cs="Times New Roman"/>
          <w:sz w:val="24"/>
          <w:szCs w:val="24"/>
        </w:rPr>
        <w:t xml:space="preserve"> C, </w:t>
      </w:r>
      <w:proofErr w:type="spellStart"/>
      <w:r w:rsidRPr="0099514B">
        <w:rPr>
          <w:rFonts w:ascii="Times New Roman" w:hAnsi="Times New Roman" w:cs="Times New Roman"/>
          <w:sz w:val="24"/>
          <w:szCs w:val="24"/>
        </w:rPr>
        <w:t>Bişgin</w:t>
      </w:r>
      <w:proofErr w:type="spellEnd"/>
      <w:r w:rsidRPr="0099514B">
        <w:rPr>
          <w:rFonts w:ascii="Times New Roman" w:hAnsi="Times New Roman" w:cs="Times New Roman"/>
          <w:sz w:val="24"/>
          <w:szCs w:val="24"/>
        </w:rPr>
        <w:t xml:space="preserve"> T, Cenan D, </w:t>
      </w:r>
      <w:proofErr w:type="spellStart"/>
      <w:r w:rsidRPr="0099514B">
        <w:rPr>
          <w:rFonts w:ascii="Times New Roman" w:hAnsi="Times New Roman" w:cs="Times New Roman"/>
          <w:sz w:val="24"/>
          <w:szCs w:val="24"/>
        </w:rPr>
        <w:t>Manoğlu</w:t>
      </w:r>
      <w:proofErr w:type="spellEnd"/>
      <w:r w:rsidRPr="0099514B">
        <w:rPr>
          <w:rFonts w:ascii="Times New Roman" w:hAnsi="Times New Roman" w:cs="Times New Roman"/>
          <w:sz w:val="24"/>
          <w:szCs w:val="24"/>
        </w:rPr>
        <w:t xml:space="preserve"> B, Özden D, </w:t>
      </w:r>
      <w:proofErr w:type="spellStart"/>
      <w:r w:rsidRPr="0099514B">
        <w:rPr>
          <w:rFonts w:ascii="Times New Roman" w:hAnsi="Times New Roman" w:cs="Times New Roman"/>
          <w:sz w:val="24"/>
          <w:szCs w:val="24"/>
        </w:rPr>
        <w:t>Sökmen</w:t>
      </w:r>
      <w:proofErr w:type="spellEnd"/>
      <w:r w:rsidRPr="0099514B">
        <w:rPr>
          <w:rFonts w:ascii="Times New Roman" w:hAnsi="Times New Roman" w:cs="Times New Roman"/>
          <w:sz w:val="24"/>
          <w:szCs w:val="24"/>
        </w:rPr>
        <w:t xml:space="preserve"> S. Risk factors for early ostomy complications in emergency and elective colorectal surgery: A single-center retrospective cohort study. Scandinavian Journal of Surgery. 2024;113(1):50–59. doi:10.1177/14574969231190291</w:t>
      </w:r>
    </w:p>
    <w:p w14:paraId="10F0FF08"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99514B">
        <w:rPr>
          <w:rFonts w:ascii="Times New Roman" w:hAnsi="Times New Roman" w:cs="Times New Roman"/>
          <w:sz w:val="24"/>
          <w:szCs w:val="24"/>
        </w:rPr>
        <w:t>Ayik</w:t>
      </w:r>
      <w:proofErr w:type="spellEnd"/>
      <w:r w:rsidRPr="0099514B">
        <w:rPr>
          <w:rFonts w:ascii="Times New Roman" w:hAnsi="Times New Roman" w:cs="Times New Roman"/>
          <w:sz w:val="24"/>
          <w:szCs w:val="24"/>
        </w:rPr>
        <w:t xml:space="preserve"> C, Özden D, Cenan D. Ostomy complications, risk factors, and applied nursing care: A retrospective, descriptive study. Wound Management &amp; Prevention. 2020;66(9):20–30. doi:10.25270/wmp.2020.9.2030</w:t>
      </w:r>
    </w:p>
    <w:p w14:paraId="2EBB7EE2"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Yang Y-W, Huang S-C, Cheng H-H, Chang S-C, Jiang J-K, Wang H-S, et al. Protective loop ileostomy or colostomy? A risk evaluation of all common complications. Annals of Coloproctology. 2024;40(6):580–587. doi:10.3393/ac.2022.00710.0101</w:t>
      </w:r>
    </w:p>
    <w:p w14:paraId="39F4C295"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Lee N, Lee SY, Kim CH, Kwak HD, Ju JK, Kim HR. The relationship between high-output stomas, postoperative ileus, and readmission after rectal cancer surgery with diverting ileostomy. Annals of Coloproctology. 2021;37(1):44–50. doi:10.3393/ac.2020.08.03</w:t>
      </w:r>
    </w:p>
    <w:p w14:paraId="24266A97"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Takeda M, Takahashi H, Haraguchi N, Miyoshi N, Hata T, Yamamoto H, et al. Factors predictive of high-output ileostomy: A retrospective single-center comparative study. Surgery Today. 2019;49(6):482–487. doi:10.1007/s00595-018-1756-2</w:t>
      </w:r>
    </w:p>
    <w:p w14:paraId="507C2B33"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99514B">
        <w:rPr>
          <w:rFonts w:ascii="Times New Roman" w:hAnsi="Times New Roman" w:cs="Times New Roman"/>
          <w:sz w:val="24"/>
          <w:szCs w:val="24"/>
        </w:rPr>
        <w:t>Maemoto</w:t>
      </w:r>
      <w:proofErr w:type="spellEnd"/>
      <w:r w:rsidRPr="0099514B">
        <w:rPr>
          <w:rFonts w:ascii="Times New Roman" w:hAnsi="Times New Roman" w:cs="Times New Roman"/>
          <w:sz w:val="24"/>
          <w:szCs w:val="24"/>
        </w:rPr>
        <w:t xml:space="preserve"> R, </w:t>
      </w:r>
      <w:proofErr w:type="spellStart"/>
      <w:r w:rsidRPr="0099514B">
        <w:rPr>
          <w:rFonts w:ascii="Times New Roman" w:hAnsi="Times New Roman" w:cs="Times New Roman"/>
          <w:sz w:val="24"/>
          <w:szCs w:val="24"/>
        </w:rPr>
        <w:t>Tsujinaka</w:t>
      </w:r>
      <w:proofErr w:type="spellEnd"/>
      <w:r w:rsidRPr="0099514B">
        <w:rPr>
          <w:rFonts w:ascii="Times New Roman" w:hAnsi="Times New Roman" w:cs="Times New Roman"/>
          <w:sz w:val="24"/>
          <w:szCs w:val="24"/>
        </w:rPr>
        <w:t xml:space="preserve"> S, </w:t>
      </w:r>
      <w:proofErr w:type="spellStart"/>
      <w:r w:rsidRPr="0099514B">
        <w:rPr>
          <w:rFonts w:ascii="Times New Roman" w:hAnsi="Times New Roman" w:cs="Times New Roman"/>
          <w:sz w:val="24"/>
          <w:szCs w:val="24"/>
        </w:rPr>
        <w:t>Miyakura</w:t>
      </w:r>
      <w:proofErr w:type="spellEnd"/>
      <w:r w:rsidRPr="0099514B">
        <w:rPr>
          <w:rFonts w:ascii="Times New Roman" w:hAnsi="Times New Roman" w:cs="Times New Roman"/>
          <w:sz w:val="24"/>
          <w:szCs w:val="24"/>
        </w:rPr>
        <w:t xml:space="preserve"> Y, Fukuda R, </w:t>
      </w:r>
      <w:proofErr w:type="spellStart"/>
      <w:r w:rsidRPr="0099514B">
        <w:rPr>
          <w:rFonts w:ascii="Times New Roman" w:hAnsi="Times New Roman" w:cs="Times New Roman"/>
          <w:sz w:val="24"/>
          <w:szCs w:val="24"/>
        </w:rPr>
        <w:t>Kakizawa</w:t>
      </w:r>
      <w:proofErr w:type="spellEnd"/>
      <w:r w:rsidRPr="0099514B">
        <w:rPr>
          <w:rFonts w:ascii="Times New Roman" w:hAnsi="Times New Roman" w:cs="Times New Roman"/>
          <w:sz w:val="24"/>
          <w:szCs w:val="24"/>
        </w:rPr>
        <w:t xml:space="preserve"> N, </w:t>
      </w:r>
      <w:proofErr w:type="spellStart"/>
      <w:r w:rsidRPr="0099514B">
        <w:rPr>
          <w:rFonts w:ascii="Times New Roman" w:hAnsi="Times New Roman" w:cs="Times New Roman"/>
          <w:sz w:val="24"/>
          <w:szCs w:val="24"/>
        </w:rPr>
        <w:t>Takenami</w:t>
      </w:r>
      <w:proofErr w:type="spellEnd"/>
      <w:r w:rsidRPr="0099514B">
        <w:rPr>
          <w:rFonts w:ascii="Times New Roman" w:hAnsi="Times New Roman" w:cs="Times New Roman"/>
          <w:sz w:val="24"/>
          <w:szCs w:val="24"/>
        </w:rPr>
        <w:t xml:space="preserve"> T, et al. Risk factors and management of stoma-related obstruction after laparoscopic colorectal surgery with diverting ileostomy. Asian Journal of Surgery. 2021;44(8):1037–1042. doi:10.1016/j.asjsur.2021.01.002</w:t>
      </w:r>
    </w:p>
    <w:p w14:paraId="50F4FB1B"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Kilinc G, </w:t>
      </w:r>
      <w:proofErr w:type="spellStart"/>
      <w:r w:rsidRPr="0099514B">
        <w:rPr>
          <w:rFonts w:ascii="Times New Roman" w:hAnsi="Times New Roman" w:cs="Times New Roman"/>
          <w:sz w:val="24"/>
          <w:szCs w:val="24"/>
        </w:rPr>
        <w:t>Ustun</w:t>
      </w:r>
      <w:proofErr w:type="spellEnd"/>
      <w:r w:rsidRPr="0099514B">
        <w:rPr>
          <w:rFonts w:ascii="Times New Roman" w:hAnsi="Times New Roman" w:cs="Times New Roman"/>
          <w:sz w:val="24"/>
          <w:szCs w:val="24"/>
        </w:rPr>
        <w:t xml:space="preserve"> M, Tuncer K, </w:t>
      </w:r>
      <w:proofErr w:type="spellStart"/>
      <w:r w:rsidRPr="0099514B">
        <w:rPr>
          <w:rFonts w:ascii="Times New Roman" w:hAnsi="Times New Roman" w:cs="Times New Roman"/>
          <w:sz w:val="24"/>
          <w:szCs w:val="24"/>
        </w:rPr>
        <w:t>Sert</w:t>
      </w:r>
      <w:proofErr w:type="spellEnd"/>
      <w:r w:rsidRPr="0099514B">
        <w:rPr>
          <w:rFonts w:ascii="Times New Roman" w:hAnsi="Times New Roman" w:cs="Times New Roman"/>
          <w:sz w:val="24"/>
          <w:szCs w:val="24"/>
        </w:rPr>
        <w:t xml:space="preserve"> I. Risk factors for the morbidity and mortality of stoma closure. Journal of the College of Physicians and Surgeons Pakistan. 2021;31(9):1085–1088. doi:10.29271/jcpsp.2021.09.1085</w:t>
      </w:r>
    </w:p>
    <w:p w14:paraId="2EE73DE3"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Vergara-Fernández O, Trejo-Avila M, Salgado-</w:t>
      </w:r>
      <w:proofErr w:type="spellStart"/>
      <w:r w:rsidRPr="0099514B">
        <w:rPr>
          <w:rFonts w:ascii="Times New Roman" w:hAnsi="Times New Roman" w:cs="Times New Roman"/>
          <w:sz w:val="24"/>
          <w:szCs w:val="24"/>
        </w:rPr>
        <w:t>Nesme</w:t>
      </w:r>
      <w:proofErr w:type="spellEnd"/>
      <w:r w:rsidRPr="0099514B">
        <w:rPr>
          <w:rFonts w:ascii="Times New Roman" w:hAnsi="Times New Roman" w:cs="Times New Roman"/>
          <w:sz w:val="24"/>
          <w:szCs w:val="24"/>
        </w:rPr>
        <w:t xml:space="preserve"> N. Multivariate analysis of risk factors for complications after loop ileostomy closure. </w:t>
      </w:r>
      <w:proofErr w:type="spellStart"/>
      <w:r w:rsidRPr="0099514B">
        <w:rPr>
          <w:rFonts w:ascii="Times New Roman" w:hAnsi="Times New Roman" w:cs="Times New Roman"/>
          <w:sz w:val="24"/>
          <w:szCs w:val="24"/>
        </w:rPr>
        <w:t>Cirugía</w:t>
      </w:r>
      <w:proofErr w:type="spellEnd"/>
      <w:r w:rsidRPr="0099514B">
        <w:rPr>
          <w:rFonts w:ascii="Times New Roman" w:hAnsi="Times New Roman" w:cs="Times New Roman"/>
          <w:sz w:val="24"/>
          <w:szCs w:val="24"/>
        </w:rPr>
        <w:t xml:space="preserve"> y </w:t>
      </w:r>
      <w:proofErr w:type="spellStart"/>
      <w:r w:rsidRPr="0099514B">
        <w:rPr>
          <w:rFonts w:ascii="Times New Roman" w:hAnsi="Times New Roman" w:cs="Times New Roman"/>
          <w:sz w:val="24"/>
          <w:szCs w:val="24"/>
        </w:rPr>
        <w:t>Cirujanos</w:t>
      </w:r>
      <w:proofErr w:type="spellEnd"/>
      <w:r w:rsidRPr="0099514B">
        <w:rPr>
          <w:rFonts w:ascii="Times New Roman" w:hAnsi="Times New Roman" w:cs="Times New Roman"/>
          <w:sz w:val="24"/>
          <w:szCs w:val="24"/>
        </w:rPr>
        <w:t>. 2019;87(3):337–346. doi:10.24875/CIRU.18000611</w:t>
      </w:r>
    </w:p>
    <w:p w14:paraId="5B49DEF8"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99514B">
        <w:rPr>
          <w:rFonts w:ascii="Times New Roman" w:hAnsi="Times New Roman" w:cs="Times New Roman"/>
          <w:sz w:val="24"/>
          <w:szCs w:val="24"/>
        </w:rPr>
        <w:t>Lv</w:t>
      </w:r>
      <w:proofErr w:type="spellEnd"/>
      <w:r w:rsidRPr="0099514B">
        <w:rPr>
          <w:rFonts w:ascii="Times New Roman" w:hAnsi="Times New Roman" w:cs="Times New Roman"/>
          <w:sz w:val="24"/>
          <w:szCs w:val="24"/>
        </w:rPr>
        <w:t xml:space="preserve"> Q, Yuan Y, Xiang Z. Analysis of risk factors for the sigmoid stoma complications in patients after abdominoperineal resection surgery: An observational study. Medicine. 2024;103(26):e38751. doi:10.1097/MD.0000000000038751</w:t>
      </w:r>
    </w:p>
    <w:p w14:paraId="6937FCBA"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Ba M-Q, Zheng W-L, Zhang Y-L, Zhang L-L, Chen J-J, Ma J, et al. Construction of a nomogram prediction model for early postoperative stoma complications of colorectal cancer. World Journal of Gastrointestinal Surgery. 2025;17(1):100547. doi:10.4240/wjgs.v17.i1.100547</w:t>
      </w:r>
    </w:p>
    <w:p w14:paraId="06515EF4"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Liu H, Zhu X, Yu J, He P, Shen B, Tang X, et al. The quality of life of patients with colorectal cancer and a stoma in China: A quantitative cross-sectional study. Advances in Skin &amp; Wound Care. 2021;34(6):302–309. doi:10.1097/01.ASW.0000744348.32773.b9</w:t>
      </w:r>
    </w:p>
    <w:p w14:paraId="06D35232"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lastRenderedPageBreak/>
        <w:t>Steinhagen E, Colwell J, Cannon LM. Intestinal stomas—Postoperative stoma care and peristomal skin complications. Clinics in Colon and Rectal Surgery. 2017;30(3):184–192. doi:10.1055/s-0037-1598159</w:t>
      </w:r>
    </w:p>
    <w:p w14:paraId="0C85D896"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Chan MS, Moore Z, Patton D, McNamara D, O’Connor T, </w:t>
      </w:r>
      <w:proofErr w:type="spellStart"/>
      <w:r w:rsidRPr="0099514B">
        <w:rPr>
          <w:rFonts w:ascii="Times New Roman" w:hAnsi="Times New Roman" w:cs="Times New Roman"/>
          <w:sz w:val="24"/>
          <w:szCs w:val="24"/>
        </w:rPr>
        <w:t>Avsar</w:t>
      </w:r>
      <w:proofErr w:type="spellEnd"/>
      <w:r w:rsidRPr="0099514B">
        <w:rPr>
          <w:rFonts w:ascii="Times New Roman" w:hAnsi="Times New Roman" w:cs="Times New Roman"/>
          <w:sz w:val="24"/>
          <w:szCs w:val="24"/>
        </w:rPr>
        <w:t xml:space="preserve"> P. A systematic review of patient risk factors for complications following stoma formation among adults undergoing colorectal surgery. International Journal of Colorectal Disease. 2023;38:238. doi:10.1007/s00384-023-04523-5</w:t>
      </w:r>
    </w:p>
    <w:p w14:paraId="5481900C"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Ge Z, Zhao X, Liu Z, Yang G, Wu Q, Wang X, et al. Complications of preventive loop ileostomy versus colostomy: A meta-analysis, trial sequential analysis, and systematic review. BMC Surgery. 2023;23:235. doi:10.1186/s12893-023-02129-w</w:t>
      </w:r>
    </w:p>
    <w:p w14:paraId="60A32E74"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D’Ambrosio F, Pappalardo C, Scardigno A, Maida A, Ricciardi R, </w:t>
      </w:r>
      <w:proofErr w:type="spellStart"/>
      <w:r w:rsidRPr="0099514B">
        <w:rPr>
          <w:rFonts w:ascii="Times New Roman" w:hAnsi="Times New Roman" w:cs="Times New Roman"/>
          <w:sz w:val="24"/>
          <w:szCs w:val="24"/>
        </w:rPr>
        <w:t>Calabrò</w:t>
      </w:r>
      <w:proofErr w:type="spellEnd"/>
      <w:r w:rsidRPr="0099514B">
        <w:rPr>
          <w:rFonts w:ascii="Times New Roman" w:hAnsi="Times New Roman" w:cs="Times New Roman"/>
          <w:sz w:val="24"/>
          <w:szCs w:val="24"/>
        </w:rPr>
        <w:t xml:space="preserve"> GE. Peristomal skin complications in ileostomy and colostomy patients: What we need to know from a public health perspective. International Journal of Environmental Research and Public Health. 2022;20(1):79. doi:10.3390/ijerph20010079</w:t>
      </w:r>
    </w:p>
    <w:p w14:paraId="1292499B" w14:textId="123043BC" w:rsidR="009926A4"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Guerra E, Denti FC, Di Pasquale C, </w:t>
      </w:r>
      <w:proofErr w:type="spellStart"/>
      <w:r w:rsidRPr="0099514B">
        <w:rPr>
          <w:rFonts w:ascii="Times New Roman" w:hAnsi="Times New Roman" w:cs="Times New Roman"/>
          <w:sz w:val="24"/>
          <w:szCs w:val="24"/>
        </w:rPr>
        <w:t>Caroppo</w:t>
      </w:r>
      <w:proofErr w:type="spellEnd"/>
      <w:r w:rsidRPr="0099514B">
        <w:rPr>
          <w:rFonts w:ascii="Times New Roman" w:hAnsi="Times New Roman" w:cs="Times New Roman"/>
          <w:sz w:val="24"/>
          <w:szCs w:val="24"/>
        </w:rPr>
        <w:t xml:space="preserve"> F, Angileri L, Cioni M, et al. Peristomal skin complications: Detailed analysis of a web-based survey and predictive risk factors. Healthcare. 2023;11(13):1823. doi:10.3390/healthcare11131823</w:t>
      </w:r>
    </w:p>
    <w:p w14:paraId="5AC4E6A1" w14:textId="77777777" w:rsidR="00E71FA4" w:rsidRDefault="00E71FA4" w:rsidP="00E71FA4">
      <w:pPr>
        <w:rPr>
          <w:rFonts w:ascii="Times New Roman" w:hAnsi="Times New Roman" w:cs="Times New Roman"/>
          <w:sz w:val="24"/>
          <w:szCs w:val="24"/>
        </w:rPr>
      </w:pPr>
    </w:p>
    <w:p w14:paraId="69F84500" w14:textId="77777777" w:rsidR="00EC5716" w:rsidRDefault="00EC5716" w:rsidP="00E71FA4">
      <w:pPr>
        <w:rPr>
          <w:rFonts w:ascii="Times New Roman" w:hAnsi="Times New Roman" w:cs="Times New Roman"/>
          <w:b/>
          <w:bCs/>
          <w:sz w:val="24"/>
          <w:szCs w:val="24"/>
        </w:rPr>
      </w:pPr>
    </w:p>
    <w:p w14:paraId="51FE1F7E" w14:textId="77777777" w:rsidR="00EC5716" w:rsidRDefault="00EC5716" w:rsidP="00E71FA4">
      <w:pPr>
        <w:rPr>
          <w:rFonts w:ascii="Times New Roman" w:hAnsi="Times New Roman" w:cs="Times New Roman"/>
          <w:b/>
          <w:bCs/>
          <w:sz w:val="24"/>
          <w:szCs w:val="24"/>
        </w:rPr>
      </w:pPr>
    </w:p>
    <w:p w14:paraId="489A6CEF" w14:textId="77777777" w:rsidR="00EC5716" w:rsidRDefault="00EC5716" w:rsidP="00E71FA4">
      <w:pPr>
        <w:rPr>
          <w:rFonts w:ascii="Times New Roman" w:hAnsi="Times New Roman" w:cs="Times New Roman"/>
          <w:b/>
          <w:bCs/>
          <w:sz w:val="24"/>
          <w:szCs w:val="24"/>
        </w:rPr>
      </w:pPr>
    </w:p>
    <w:p w14:paraId="4AEB665D" w14:textId="77777777" w:rsidR="00EC5716" w:rsidRDefault="00EC5716" w:rsidP="00E71FA4">
      <w:pPr>
        <w:rPr>
          <w:rFonts w:ascii="Times New Roman" w:hAnsi="Times New Roman" w:cs="Times New Roman"/>
          <w:b/>
          <w:bCs/>
          <w:sz w:val="24"/>
          <w:szCs w:val="24"/>
        </w:rPr>
      </w:pPr>
    </w:p>
    <w:p w14:paraId="234A38A5" w14:textId="77777777" w:rsidR="00EC5716" w:rsidRDefault="00EC5716" w:rsidP="00E71FA4">
      <w:pPr>
        <w:rPr>
          <w:rFonts w:ascii="Times New Roman" w:hAnsi="Times New Roman" w:cs="Times New Roman"/>
          <w:b/>
          <w:bCs/>
          <w:sz w:val="24"/>
          <w:szCs w:val="24"/>
        </w:rPr>
      </w:pPr>
    </w:p>
    <w:p w14:paraId="532D35BE" w14:textId="77777777" w:rsidR="00EC5716" w:rsidRDefault="00EC5716" w:rsidP="00E71FA4">
      <w:pPr>
        <w:rPr>
          <w:rFonts w:ascii="Times New Roman" w:hAnsi="Times New Roman" w:cs="Times New Roman"/>
          <w:b/>
          <w:bCs/>
          <w:sz w:val="24"/>
          <w:szCs w:val="24"/>
        </w:rPr>
      </w:pPr>
    </w:p>
    <w:p w14:paraId="56BCC2C8" w14:textId="77777777" w:rsidR="00EC5716" w:rsidRDefault="00EC5716" w:rsidP="00E71FA4">
      <w:pPr>
        <w:rPr>
          <w:rFonts w:ascii="Times New Roman" w:hAnsi="Times New Roman" w:cs="Times New Roman"/>
          <w:b/>
          <w:bCs/>
          <w:sz w:val="24"/>
          <w:szCs w:val="24"/>
        </w:rPr>
      </w:pPr>
    </w:p>
    <w:p w14:paraId="099BA68D" w14:textId="77777777" w:rsidR="00EC5716" w:rsidRDefault="00EC5716" w:rsidP="00E71FA4">
      <w:pPr>
        <w:rPr>
          <w:rFonts w:ascii="Times New Roman" w:hAnsi="Times New Roman" w:cs="Times New Roman"/>
          <w:b/>
          <w:bCs/>
          <w:sz w:val="24"/>
          <w:szCs w:val="24"/>
        </w:rPr>
      </w:pPr>
    </w:p>
    <w:p w14:paraId="4C78EA02" w14:textId="77777777" w:rsidR="00EC5716" w:rsidRDefault="00EC5716" w:rsidP="00E71FA4">
      <w:pPr>
        <w:rPr>
          <w:rFonts w:ascii="Times New Roman" w:hAnsi="Times New Roman" w:cs="Times New Roman"/>
          <w:b/>
          <w:bCs/>
          <w:sz w:val="24"/>
          <w:szCs w:val="24"/>
        </w:rPr>
      </w:pPr>
    </w:p>
    <w:p w14:paraId="4719E18A" w14:textId="77777777" w:rsidR="00EC5716" w:rsidRDefault="00EC5716" w:rsidP="00E71FA4">
      <w:pPr>
        <w:rPr>
          <w:rFonts w:ascii="Times New Roman" w:hAnsi="Times New Roman" w:cs="Times New Roman"/>
          <w:b/>
          <w:bCs/>
          <w:sz w:val="24"/>
          <w:szCs w:val="24"/>
        </w:rPr>
      </w:pPr>
    </w:p>
    <w:p w14:paraId="3D8859C0" w14:textId="77777777" w:rsidR="00EC5716" w:rsidRDefault="00EC5716" w:rsidP="00E71FA4">
      <w:pPr>
        <w:rPr>
          <w:rFonts w:ascii="Times New Roman" w:hAnsi="Times New Roman" w:cs="Times New Roman"/>
          <w:b/>
          <w:bCs/>
          <w:sz w:val="24"/>
          <w:szCs w:val="24"/>
        </w:rPr>
      </w:pPr>
    </w:p>
    <w:p w14:paraId="079956CA" w14:textId="77777777" w:rsidR="00EC5716" w:rsidRDefault="00EC5716" w:rsidP="00E71FA4">
      <w:pPr>
        <w:rPr>
          <w:rFonts w:ascii="Times New Roman" w:hAnsi="Times New Roman" w:cs="Times New Roman"/>
          <w:b/>
          <w:bCs/>
          <w:sz w:val="24"/>
          <w:szCs w:val="24"/>
        </w:rPr>
      </w:pPr>
    </w:p>
    <w:p w14:paraId="31A75A25" w14:textId="77777777" w:rsidR="00EC5716" w:rsidRDefault="00EC5716" w:rsidP="00E71FA4">
      <w:pPr>
        <w:rPr>
          <w:rFonts w:ascii="Times New Roman" w:hAnsi="Times New Roman" w:cs="Times New Roman"/>
          <w:b/>
          <w:bCs/>
          <w:sz w:val="24"/>
          <w:szCs w:val="24"/>
        </w:rPr>
      </w:pPr>
    </w:p>
    <w:p w14:paraId="30C5D34B" w14:textId="20A33EA7" w:rsidR="00E71FA4" w:rsidRPr="00E71FA4" w:rsidRDefault="00E71FA4" w:rsidP="00E71FA4">
      <w:pPr>
        <w:rPr>
          <w:rFonts w:ascii="Times New Roman" w:hAnsi="Times New Roman" w:cs="Times New Roman"/>
          <w:b/>
          <w:bCs/>
          <w:sz w:val="24"/>
          <w:szCs w:val="24"/>
        </w:rPr>
      </w:pPr>
      <w:r w:rsidRPr="00E71FA4">
        <w:rPr>
          <w:rFonts w:ascii="Times New Roman" w:hAnsi="Times New Roman" w:cs="Times New Roman"/>
          <w:b/>
          <w:bCs/>
          <w:sz w:val="24"/>
          <w:szCs w:val="24"/>
        </w:rPr>
        <w:t>Tables</w:t>
      </w:r>
    </w:p>
    <w:p w14:paraId="6CE39A47" w14:textId="52072459" w:rsidR="00E71FA4" w:rsidRDefault="00E71FA4" w:rsidP="00E71FA4">
      <w:pPr>
        <w:rPr>
          <w:rFonts w:ascii="Times New Roman" w:hAnsi="Times New Roman" w:cs="Times New Roman"/>
          <w:sz w:val="24"/>
          <w:szCs w:val="24"/>
        </w:rPr>
      </w:pPr>
      <w:r w:rsidRPr="00E71FA4">
        <w:rPr>
          <w:rFonts w:ascii="Times New Roman" w:hAnsi="Times New Roman" w:cs="Times New Roman"/>
          <w:b/>
          <w:bCs/>
          <w:sz w:val="24"/>
          <w:szCs w:val="24"/>
        </w:rPr>
        <w:t xml:space="preserve">Table 1. </w:t>
      </w:r>
      <w:r w:rsidRPr="00E71FA4">
        <w:rPr>
          <w:rFonts w:ascii="Times New Roman" w:hAnsi="Times New Roman" w:cs="Times New Roman"/>
          <w:sz w:val="24"/>
          <w:szCs w:val="24"/>
        </w:rPr>
        <w:t>PICO Framework of the Study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9"/>
        <w:gridCol w:w="6661"/>
      </w:tblGrid>
      <w:tr w:rsidR="00E71FA4" w:rsidRPr="00E71FA4" w14:paraId="61194C76" w14:textId="77777777" w:rsidTr="00A42B32">
        <w:trPr>
          <w:trHeight w:val="290"/>
          <w:tblHeader/>
          <w:jc w:val="center"/>
        </w:trPr>
        <w:tc>
          <w:tcPr>
            <w:tcW w:w="2689" w:type="dxa"/>
            <w:tcBorders>
              <w:top w:val="single" w:sz="4" w:space="0" w:color="auto"/>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43C90A1" w14:textId="77777777" w:rsidR="00E71FA4" w:rsidRPr="00E71FA4" w:rsidRDefault="00E71FA4" w:rsidP="00E71FA4">
            <w:pPr>
              <w:spacing w:after="0" w:line="240" w:lineRule="auto"/>
              <w:jc w:val="center"/>
              <w:rPr>
                <w:rFonts w:ascii="Times New Roman" w:hAnsi="Times New Roman" w:cs="Times New Roman"/>
                <w:b/>
                <w:bCs/>
                <w:sz w:val="24"/>
                <w:szCs w:val="24"/>
              </w:rPr>
            </w:pPr>
            <w:r w:rsidRPr="00E71FA4">
              <w:rPr>
                <w:rFonts w:ascii="Times New Roman" w:hAnsi="Times New Roman" w:cs="Times New Roman"/>
                <w:b/>
                <w:bCs/>
                <w:sz w:val="24"/>
                <w:szCs w:val="24"/>
              </w:rPr>
              <w:lastRenderedPageBreak/>
              <w:t>Component</w:t>
            </w:r>
          </w:p>
        </w:tc>
        <w:tc>
          <w:tcPr>
            <w:tcW w:w="6661"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52855BA3" w14:textId="77777777" w:rsidR="00E71FA4" w:rsidRPr="00E71FA4" w:rsidRDefault="00E71FA4" w:rsidP="00E71FA4">
            <w:pPr>
              <w:spacing w:after="0" w:line="240" w:lineRule="auto"/>
              <w:jc w:val="center"/>
              <w:rPr>
                <w:rFonts w:ascii="Times New Roman" w:hAnsi="Times New Roman" w:cs="Times New Roman"/>
                <w:b/>
                <w:bCs/>
                <w:sz w:val="24"/>
                <w:szCs w:val="24"/>
              </w:rPr>
            </w:pPr>
            <w:r w:rsidRPr="00E71FA4">
              <w:rPr>
                <w:rFonts w:ascii="Times New Roman" w:hAnsi="Times New Roman" w:cs="Times New Roman"/>
                <w:b/>
                <w:bCs/>
                <w:sz w:val="24"/>
                <w:szCs w:val="24"/>
              </w:rPr>
              <w:t>Information</w:t>
            </w:r>
          </w:p>
        </w:tc>
      </w:tr>
      <w:tr w:rsidR="00E71FA4" w:rsidRPr="00E71FA4" w14:paraId="7648BFEB" w14:textId="77777777" w:rsidTr="00A42B32">
        <w:trPr>
          <w:trHeight w:val="290"/>
          <w:jc w:val="center"/>
        </w:trPr>
        <w:tc>
          <w:tcPr>
            <w:tcW w:w="2689"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22973950"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P (Population)</w:t>
            </w:r>
          </w:p>
        </w:tc>
        <w:tc>
          <w:tcPr>
            <w:tcW w:w="6661"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E7E81DD"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Patients with intestinal stoma, including ileostomy, colostomy, jejunostomy, enterostomy, loop stoma, end stoma, temporary stoma, or permanent stoma.</w:t>
            </w:r>
          </w:p>
        </w:tc>
      </w:tr>
      <w:tr w:rsidR="00E71FA4" w:rsidRPr="00E71FA4" w14:paraId="10209BB7" w14:textId="77777777" w:rsidTr="00A42B32">
        <w:trPr>
          <w:trHeight w:val="290"/>
          <w:jc w:val="center"/>
        </w:trPr>
        <w:tc>
          <w:tcPr>
            <w:tcW w:w="2689"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5FF782E5"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I (Intervention/Exposure)</w:t>
            </w:r>
          </w:p>
        </w:tc>
        <w:tc>
          <w:tcPr>
            <w:tcW w:w="6661"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5657404"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Clinical, technical, and treatment risk factors related to complications or quality of life, such as stoma type, emergency surgery, elective surgery, stoma-site marking, diabetes mellitus, obesity, ASA score, chemotherapy, radiotherapy, loop stoma, end stoma, and stoma height.</w:t>
            </w:r>
          </w:p>
        </w:tc>
      </w:tr>
      <w:tr w:rsidR="00E71FA4" w:rsidRPr="00E71FA4" w14:paraId="166A4408" w14:textId="77777777" w:rsidTr="00A42B32">
        <w:trPr>
          <w:trHeight w:val="290"/>
          <w:jc w:val="center"/>
        </w:trPr>
        <w:tc>
          <w:tcPr>
            <w:tcW w:w="2689"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4E02824A"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C (Comparison)</w:t>
            </w:r>
          </w:p>
        </w:tc>
        <w:tc>
          <w:tcPr>
            <w:tcW w:w="6661"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14D1D4F"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Group without risk factors, reference group, comparison stoma type, patients without complications, or patients with better quality of life.</w:t>
            </w:r>
          </w:p>
        </w:tc>
      </w:tr>
      <w:tr w:rsidR="00E71FA4" w:rsidRPr="00E71FA4" w14:paraId="75AE07AE" w14:textId="77777777" w:rsidTr="00A42B32">
        <w:trPr>
          <w:trHeight w:val="290"/>
          <w:jc w:val="center"/>
        </w:trPr>
        <w:tc>
          <w:tcPr>
            <w:tcW w:w="2689"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05C0A2B4"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O (Outcome)</w:t>
            </w:r>
          </w:p>
        </w:tc>
        <w:tc>
          <w:tcPr>
            <w:tcW w:w="6661"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A2E84EB"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Postoperative complications, stoma-related complications, peristomal skin complications, mucocutaneous separation, stoma necrosis, retraction, prolapse, parastomal hernia, high-output stoma, stoma outlet obstruction, readmission, surgical site infection, stoma closure/reversal complications, and poor quality of life.</w:t>
            </w:r>
          </w:p>
        </w:tc>
      </w:tr>
    </w:tbl>
    <w:p w14:paraId="169AE1A6" w14:textId="77777777" w:rsidR="00E71FA4" w:rsidRDefault="00E71FA4" w:rsidP="00E71FA4">
      <w:pPr>
        <w:rPr>
          <w:rFonts w:ascii="Times New Roman" w:hAnsi="Times New Roman" w:cs="Times New Roman"/>
          <w:b/>
          <w:bCs/>
          <w:sz w:val="24"/>
          <w:szCs w:val="24"/>
        </w:rPr>
      </w:pPr>
    </w:p>
    <w:p w14:paraId="791B96A0" w14:textId="0A205CF5" w:rsidR="00E71FA4" w:rsidRDefault="00E71FA4" w:rsidP="00E71FA4">
      <w:pPr>
        <w:rPr>
          <w:rFonts w:ascii="Times New Roman" w:hAnsi="Times New Roman" w:cs="Times New Roman"/>
          <w:sz w:val="24"/>
          <w:szCs w:val="24"/>
        </w:rPr>
      </w:pPr>
      <w:r w:rsidRPr="00E71FA4">
        <w:rPr>
          <w:rFonts w:ascii="Times New Roman" w:hAnsi="Times New Roman" w:cs="Times New Roman"/>
          <w:b/>
          <w:bCs/>
          <w:sz w:val="24"/>
          <w:szCs w:val="24"/>
        </w:rPr>
        <w:t xml:space="preserve">Table 2. </w:t>
      </w:r>
      <w:r w:rsidRPr="00E71FA4">
        <w:rPr>
          <w:rFonts w:ascii="Times New Roman" w:hAnsi="Times New Roman" w:cs="Times New Roman"/>
          <w:sz w:val="24"/>
          <w:szCs w:val="24"/>
        </w:rPr>
        <w:t>Number of Articles by Search Database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8"/>
        <w:gridCol w:w="6482"/>
        <w:gridCol w:w="1100"/>
      </w:tblGrid>
      <w:tr w:rsidR="009B18FE" w:rsidRPr="009B18FE" w14:paraId="2C533936" w14:textId="77777777" w:rsidTr="00A42B32">
        <w:trPr>
          <w:trHeight w:val="290"/>
          <w:tblHeader/>
          <w:jc w:val="center"/>
        </w:trPr>
        <w:tc>
          <w:tcPr>
            <w:tcW w:w="1584" w:type="dxa"/>
            <w:tcBorders>
              <w:top w:val="single" w:sz="4" w:space="0" w:color="auto"/>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1F61E8F9"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Database</w:t>
            </w:r>
          </w:p>
        </w:tc>
        <w:tc>
          <w:tcPr>
            <w:tcW w:w="7776"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0A336423"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Keyword</w:t>
            </w:r>
          </w:p>
        </w:tc>
        <w:tc>
          <w:tcPr>
            <w:tcW w:w="1296"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709557B9"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Number of Articles</w:t>
            </w:r>
          </w:p>
        </w:tc>
      </w:tr>
      <w:tr w:rsidR="009B18FE" w:rsidRPr="009B18FE" w14:paraId="0AE1147B" w14:textId="77777777" w:rsidTr="00A42B32">
        <w:trPr>
          <w:trHeight w:val="290"/>
          <w:jc w:val="center"/>
        </w:trPr>
        <w:tc>
          <w:tcPr>
            <w:tcW w:w="1584"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0FC6A0C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PubMed/MEDLINE</w:t>
            </w:r>
          </w:p>
        </w:tc>
        <w:tc>
          <w:tcPr>
            <w:tcW w:w="77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212320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 xml:space="preserve">(“intestinal stoma” OR ostomy OR stoma OR ileostomy OR colostomy OR enterostomy) AND (“postoperative complications” OR “stoma-related complications” OR “peristomal skin complications” OR “mucocutaneous separation” OR “parastomal hernia” OR “high-output stoma” OR readmission OR “surgical site infection”) AND (“risk factors” OR predictor OR determinants OR “odds ratio” OR “confidence interval” OR “quality of life” OR </w:t>
            </w:r>
            <w:proofErr w:type="spellStart"/>
            <w:r w:rsidRPr="009B18FE">
              <w:rPr>
                <w:rFonts w:ascii="Times New Roman" w:hAnsi="Times New Roman" w:cs="Times New Roman"/>
                <w:sz w:val="24"/>
                <w:szCs w:val="24"/>
              </w:rPr>
              <w:t>HRQoL</w:t>
            </w:r>
            <w:proofErr w:type="spellEnd"/>
            <w:r w:rsidRPr="009B18FE">
              <w:rPr>
                <w:rFonts w:ascii="Times New Roman" w:hAnsi="Times New Roman" w:cs="Times New Roman"/>
                <w:sz w:val="24"/>
                <w:szCs w:val="24"/>
              </w:rPr>
              <w:t xml:space="preserve"> OR “Stoma-QOL”)</w:t>
            </w:r>
          </w:p>
        </w:tc>
        <w:tc>
          <w:tcPr>
            <w:tcW w:w="129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F15300D"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sz w:val="24"/>
                <w:szCs w:val="24"/>
              </w:rPr>
              <w:t>92</w:t>
            </w:r>
          </w:p>
        </w:tc>
      </w:tr>
      <w:tr w:rsidR="009B18FE" w:rsidRPr="009B18FE" w14:paraId="21785997" w14:textId="77777777" w:rsidTr="00A42B32">
        <w:trPr>
          <w:trHeight w:val="290"/>
          <w:jc w:val="center"/>
        </w:trPr>
        <w:tc>
          <w:tcPr>
            <w:tcW w:w="1584"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7DB572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Scopus</w:t>
            </w:r>
          </w:p>
        </w:tc>
        <w:tc>
          <w:tcPr>
            <w:tcW w:w="77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4AC1E6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 xml:space="preserve">TITLE-ABS-KEY (“intestinal stoma” OR ostomy OR ileostomy OR colostomy OR enterostomy) AND TITLE-ABS-KEY (“postoperative complication” OR “stoma-related complication” OR “peristomal skin complication” OR “parastomal hernia” OR “high-output stoma” OR retraction OR prolapse OR necrosis OR readmission) AND TITLE-ABS-KEY (“risk factor” OR predictor OR determinant OR “quality of life” OR </w:t>
            </w:r>
            <w:proofErr w:type="spellStart"/>
            <w:r w:rsidRPr="009B18FE">
              <w:rPr>
                <w:rFonts w:ascii="Times New Roman" w:hAnsi="Times New Roman" w:cs="Times New Roman"/>
                <w:sz w:val="24"/>
                <w:szCs w:val="24"/>
              </w:rPr>
              <w:t>HRQoL</w:t>
            </w:r>
            <w:proofErr w:type="spellEnd"/>
            <w:r w:rsidRPr="009B18FE">
              <w:rPr>
                <w:rFonts w:ascii="Times New Roman" w:hAnsi="Times New Roman" w:cs="Times New Roman"/>
                <w:sz w:val="24"/>
                <w:szCs w:val="24"/>
              </w:rPr>
              <w:t xml:space="preserve"> OR “odds ratio” OR “confidence interval”) AND PUBYEAR &gt; 2016</w:t>
            </w:r>
          </w:p>
        </w:tc>
        <w:tc>
          <w:tcPr>
            <w:tcW w:w="129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A184E15"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sz w:val="24"/>
                <w:szCs w:val="24"/>
              </w:rPr>
              <w:t>118</w:t>
            </w:r>
          </w:p>
        </w:tc>
      </w:tr>
      <w:tr w:rsidR="009B18FE" w:rsidRPr="009B18FE" w14:paraId="7583A2F5" w14:textId="77777777" w:rsidTr="00A42B32">
        <w:trPr>
          <w:trHeight w:val="290"/>
          <w:jc w:val="center"/>
        </w:trPr>
        <w:tc>
          <w:tcPr>
            <w:tcW w:w="1584"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2111C72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lastRenderedPageBreak/>
              <w:t>Web of Science</w:t>
            </w:r>
          </w:p>
        </w:tc>
        <w:tc>
          <w:tcPr>
            <w:tcW w:w="77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212001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 xml:space="preserve">TS=(“intestinal stoma” OR ostomy OR ileostomy OR colostomy OR enterostomy) AND TS=(“postoperative complication” OR “stoma-related complication” OR “peristomal skin complication” OR “mucocutaneous separation” OR “parastomal hernia” OR “high-output stoma” OR readmission OR “surgical site infection”) AND TS=(“risk factor” OR predictor OR determinant OR “quality of life” OR </w:t>
            </w:r>
            <w:proofErr w:type="spellStart"/>
            <w:r w:rsidRPr="009B18FE">
              <w:rPr>
                <w:rFonts w:ascii="Times New Roman" w:hAnsi="Times New Roman" w:cs="Times New Roman"/>
                <w:sz w:val="24"/>
                <w:szCs w:val="24"/>
              </w:rPr>
              <w:t>HRQoL</w:t>
            </w:r>
            <w:proofErr w:type="spellEnd"/>
            <w:r w:rsidRPr="009B18FE">
              <w:rPr>
                <w:rFonts w:ascii="Times New Roman" w:hAnsi="Times New Roman" w:cs="Times New Roman"/>
                <w:sz w:val="24"/>
                <w:szCs w:val="24"/>
              </w:rPr>
              <w:t xml:space="preserve"> OR “Stoma-QOL”)</w:t>
            </w:r>
          </w:p>
        </w:tc>
        <w:tc>
          <w:tcPr>
            <w:tcW w:w="129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799E219"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sz w:val="24"/>
                <w:szCs w:val="24"/>
              </w:rPr>
              <w:t>85</w:t>
            </w:r>
          </w:p>
        </w:tc>
      </w:tr>
      <w:tr w:rsidR="009B18FE" w:rsidRPr="009B18FE" w14:paraId="4F903EE4" w14:textId="77777777" w:rsidTr="00A42B32">
        <w:trPr>
          <w:trHeight w:val="290"/>
          <w:jc w:val="center"/>
        </w:trPr>
        <w:tc>
          <w:tcPr>
            <w:tcW w:w="7776" w:type="dxa"/>
            <w:gridSpan w:val="2"/>
            <w:tcBorders>
              <w:top w:val="single" w:sz="4" w:space="0" w:color="auto"/>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560F94F4" w14:textId="77777777" w:rsidR="009B18FE" w:rsidRPr="009B18FE" w:rsidRDefault="009B18FE" w:rsidP="009B18FE">
            <w:pPr>
              <w:spacing w:after="0" w:line="240" w:lineRule="auto"/>
              <w:rPr>
                <w:rFonts w:ascii="Times New Roman" w:hAnsi="Times New Roman" w:cs="Times New Roman"/>
                <w:sz w:val="24"/>
                <w:szCs w:val="24"/>
              </w:rPr>
            </w:pPr>
          </w:p>
        </w:tc>
        <w:tc>
          <w:tcPr>
            <w:tcW w:w="129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ED22989"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sz w:val="24"/>
                <w:szCs w:val="24"/>
              </w:rPr>
              <w:t>295</w:t>
            </w:r>
          </w:p>
        </w:tc>
      </w:tr>
    </w:tbl>
    <w:p w14:paraId="36D7D462" w14:textId="77777777" w:rsidR="00E71FA4" w:rsidRPr="00E71FA4" w:rsidRDefault="00E71FA4" w:rsidP="00E71FA4">
      <w:pPr>
        <w:rPr>
          <w:rFonts w:ascii="Times New Roman" w:hAnsi="Times New Roman" w:cs="Times New Roman"/>
          <w:b/>
          <w:bCs/>
          <w:sz w:val="24"/>
          <w:szCs w:val="24"/>
        </w:rPr>
      </w:pPr>
    </w:p>
    <w:p w14:paraId="75068B20" w14:textId="642F61BD" w:rsidR="00E71FA4" w:rsidRDefault="00E71FA4" w:rsidP="00E71FA4">
      <w:pPr>
        <w:rPr>
          <w:rFonts w:ascii="Times New Roman" w:hAnsi="Times New Roman" w:cs="Times New Roman"/>
          <w:sz w:val="24"/>
          <w:szCs w:val="24"/>
        </w:rPr>
      </w:pPr>
      <w:r w:rsidRPr="00E71FA4">
        <w:rPr>
          <w:rFonts w:ascii="Times New Roman" w:hAnsi="Times New Roman" w:cs="Times New Roman"/>
          <w:b/>
          <w:bCs/>
          <w:sz w:val="24"/>
          <w:szCs w:val="24"/>
        </w:rPr>
        <w:t xml:space="preserve">Table 3. </w:t>
      </w:r>
      <w:r w:rsidRPr="00E71FA4">
        <w:rPr>
          <w:rFonts w:ascii="Times New Roman" w:hAnsi="Times New Roman" w:cs="Times New Roman"/>
          <w:sz w:val="24"/>
          <w:szCs w:val="24"/>
        </w:rPr>
        <w:t>Descriptive Distribution of Included Articles Based on Study Characteristics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4"/>
        <w:gridCol w:w="4242"/>
        <w:gridCol w:w="1552"/>
        <w:gridCol w:w="1562"/>
      </w:tblGrid>
      <w:tr w:rsidR="009B18FE" w:rsidRPr="009B18FE" w14:paraId="500A95C5" w14:textId="77777777" w:rsidTr="00A42B32">
        <w:trPr>
          <w:tblHeader/>
          <w:jc w:val="center"/>
        </w:trPr>
        <w:tc>
          <w:tcPr>
            <w:tcW w:w="1994" w:type="dxa"/>
            <w:tcMar>
              <w:top w:w="70" w:type="dxa"/>
              <w:left w:w="70" w:type="dxa"/>
              <w:bottom w:w="70" w:type="dxa"/>
              <w:right w:w="70" w:type="dxa"/>
            </w:tcMar>
            <w:vAlign w:val="center"/>
          </w:tcPr>
          <w:p w14:paraId="613B6924"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b/>
                <w:sz w:val="24"/>
                <w:szCs w:val="24"/>
              </w:rPr>
              <w:t>Characteristics</w:t>
            </w:r>
          </w:p>
        </w:tc>
        <w:tc>
          <w:tcPr>
            <w:tcW w:w="4242" w:type="dxa"/>
            <w:tcMar>
              <w:top w:w="70" w:type="dxa"/>
              <w:left w:w="70" w:type="dxa"/>
              <w:bottom w:w="70" w:type="dxa"/>
              <w:right w:w="70" w:type="dxa"/>
            </w:tcMar>
            <w:vAlign w:val="center"/>
          </w:tcPr>
          <w:p w14:paraId="3F3D6365"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b/>
                <w:sz w:val="24"/>
                <w:szCs w:val="24"/>
              </w:rPr>
              <w:t>Category</w:t>
            </w:r>
          </w:p>
        </w:tc>
        <w:tc>
          <w:tcPr>
            <w:tcW w:w="1552" w:type="dxa"/>
            <w:tcMar>
              <w:top w:w="70" w:type="dxa"/>
              <w:left w:w="70" w:type="dxa"/>
              <w:bottom w:w="70" w:type="dxa"/>
              <w:right w:w="70" w:type="dxa"/>
            </w:tcMar>
            <w:vAlign w:val="center"/>
          </w:tcPr>
          <w:p w14:paraId="311AE0F3"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b/>
                <w:sz w:val="24"/>
                <w:szCs w:val="24"/>
              </w:rPr>
              <w:t>Number of Articles</w:t>
            </w:r>
          </w:p>
        </w:tc>
        <w:tc>
          <w:tcPr>
            <w:tcW w:w="1562" w:type="dxa"/>
            <w:tcMar>
              <w:top w:w="70" w:type="dxa"/>
              <w:left w:w="70" w:type="dxa"/>
              <w:bottom w:w="70" w:type="dxa"/>
              <w:right w:w="70" w:type="dxa"/>
            </w:tcMar>
            <w:vAlign w:val="center"/>
          </w:tcPr>
          <w:p w14:paraId="6F349A26"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b/>
                <w:sz w:val="24"/>
                <w:szCs w:val="24"/>
              </w:rPr>
              <w:t>Percentage</w:t>
            </w:r>
          </w:p>
        </w:tc>
      </w:tr>
      <w:tr w:rsidR="009B18FE" w:rsidRPr="009B18FE" w14:paraId="0DBE7228" w14:textId="77777777" w:rsidTr="00A42B32">
        <w:trPr>
          <w:jc w:val="center"/>
        </w:trPr>
        <w:tc>
          <w:tcPr>
            <w:tcW w:w="1994" w:type="dxa"/>
            <w:vMerge w:val="restart"/>
            <w:tcMar>
              <w:top w:w="70" w:type="dxa"/>
              <w:left w:w="70" w:type="dxa"/>
              <w:bottom w:w="70" w:type="dxa"/>
              <w:right w:w="70" w:type="dxa"/>
            </w:tcMar>
            <w:vAlign w:val="center"/>
          </w:tcPr>
          <w:p w14:paraId="41208B0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Publication Year</w:t>
            </w:r>
          </w:p>
        </w:tc>
        <w:tc>
          <w:tcPr>
            <w:tcW w:w="4242" w:type="dxa"/>
            <w:tcMar>
              <w:top w:w="70" w:type="dxa"/>
              <w:left w:w="70" w:type="dxa"/>
              <w:bottom w:w="70" w:type="dxa"/>
              <w:right w:w="70" w:type="dxa"/>
            </w:tcMar>
            <w:vAlign w:val="center"/>
          </w:tcPr>
          <w:p w14:paraId="1883151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2019</w:t>
            </w:r>
          </w:p>
        </w:tc>
        <w:tc>
          <w:tcPr>
            <w:tcW w:w="1552" w:type="dxa"/>
            <w:tcMar>
              <w:top w:w="70" w:type="dxa"/>
              <w:left w:w="70" w:type="dxa"/>
              <w:bottom w:w="70" w:type="dxa"/>
              <w:right w:w="70" w:type="dxa"/>
            </w:tcMar>
            <w:vAlign w:val="center"/>
          </w:tcPr>
          <w:p w14:paraId="77CCE30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w:t>
            </w:r>
          </w:p>
        </w:tc>
        <w:tc>
          <w:tcPr>
            <w:tcW w:w="1562" w:type="dxa"/>
            <w:tcMar>
              <w:top w:w="70" w:type="dxa"/>
              <w:left w:w="70" w:type="dxa"/>
              <w:bottom w:w="70" w:type="dxa"/>
              <w:right w:w="70" w:type="dxa"/>
            </w:tcMar>
            <w:vAlign w:val="center"/>
          </w:tcPr>
          <w:p w14:paraId="0A2D7A6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16.67%</w:t>
            </w:r>
          </w:p>
        </w:tc>
      </w:tr>
      <w:tr w:rsidR="009B18FE" w:rsidRPr="009B18FE" w14:paraId="366AB8C7" w14:textId="77777777" w:rsidTr="00A42B32">
        <w:trPr>
          <w:jc w:val="center"/>
        </w:trPr>
        <w:tc>
          <w:tcPr>
            <w:tcW w:w="1994" w:type="dxa"/>
            <w:vMerge/>
            <w:tcMar>
              <w:top w:w="70" w:type="dxa"/>
              <w:left w:w="70" w:type="dxa"/>
              <w:bottom w:w="70" w:type="dxa"/>
              <w:right w:w="70" w:type="dxa"/>
            </w:tcMar>
            <w:vAlign w:val="center"/>
          </w:tcPr>
          <w:p w14:paraId="5E2E11BE"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286B7C1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2020</w:t>
            </w:r>
          </w:p>
        </w:tc>
        <w:tc>
          <w:tcPr>
            <w:tcW w:w="1552" w:type="dxa"/>
            <w:tcMar>
              <w:top w:w="70" w:type="dxa"/>
              <w:left w:w="70" w:type="dxa"/>
              <w:bottom w:w="70" w:type="dxa"/>
              <w:right w:w="70" w:type="dxa"/>
            </w:tcMar>
            <w:vAlign w:val="center"/>
          </w:tcPr>
          <w:p w14:paraId="3E85596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1CC46BD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0238C4AD" w14:textId="77777777" w:rsidTr="00A42B32">
        <w:trPr>
          <w:jc w:val="center"/>
        </w:trPr>
        <w:tc>
          <w:tcPr>
            <w:tcW w:w="1994" w:type="dxa"/>
            <w:vMerge/>
            <w:tcMar>
              <w:top w:w="70" w:type="dxa"/>
              <w:left w:w="70" w:type="dxa"/>
              <w:bottom w:w="70" w:type="dxa"/>
              <w:right w:w="70" w:type="dxa"/>
            </w:tcMar>
            <w:vAlign w:val="center"/>
          </w:tcPr>
          <w:p w14:paraId="373F8CAD"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C048F4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2021</w:t>
            </w:r>
          </w:p>
        </w:tc>
        <w:tc>
          <w:tcPr>
            <w:tcW w:w="1552" w:type="dxa"/>
            <w:tcMar>
              <w:top w:w="70" w:type="dxa"/>
              <w:left w:w="70" w:type="dxa"/>
              <w:bottom w:w="70" w:type="dxa"/>
              <w:right w:w="70" w:type="dxa"/>
            </w:tcMar>
            <w:vAlign w:val="center"/>
          </w:tcPr>
          <w:p w14:paraId="75F98D1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4</w:t>
            </w:r>
          </w:p>
        </w:tc>
        <w:tc>
          <w:tcPr>
            <w:tcW w:w="1562" w:type="dxa"/>
            <w:tcMar>
              <w:top w:w="70" w:type="dxa"/>
              <w:left w:w="70" w:type="dxa"/>
              <w:bottom w:w="70" w:type="dxa"/>
              <w:right w:w="70" w:type="dxa"/>
            </w:tcMar>
            <w:vAlign w:val="center"/>
          </w:tcPr>
          <w:p w14:paraId="01A7176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33.33%</w:t>
            </w:r>
          </w:p>
        </w:tc>
      </w:tr>
      <w:tr w:rsidR="009B18FE" w:rsidRPr="009B18FE" w14:paraId="732DECEC" w14:textId="77777777" w:rsidTr="00A42B32">
        <w:trPr>
          <w:jc w:val="center"/>
        </w:trPr>
        <w:tc>
          <w:tcPr>
            <w:tcW w:w="1994" w:type="dxa"/>
            <w:vMerge/>
            <w:tcMar>
              <w:top w:w="70" w:type="dxa"/>
              <w:left w:w="70" w:type="dxa"/>
              <w:bottom w:w="70" w:type="dxa"/>
              <w:right w:w="70" w:type="dxa"/>
            </w:tcMar>
            <w:vAlign w:val="center"/>
          </w:tcPr>
          <w:p w14:paraId="56DDCB8F"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5D7007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2023</w:t>
            </w:r>
          </w:p>
        </w:tc>
        <w:tc>
          <w:tcPr>
            <w:tcW w:w="1552" w:type="dxa"/>
            <w:tcMar>
              <w:top w:w="70" w:type="dxa"/>
              <w:left w:w="70" w:type="dxa"/>
              <w:bottom w:w="70" w:type="dxa"/>
              <w:right w:w="70" w:type="dxa"/>
            </w:tcMar>
            <w:vAlign w:val="center"/>
          </w:tcPr>
          <w:p w14:paraId="7439490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54B3075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47E4B705" w14:textId="77777777" w:rsidTr="00A42B32">
        <w:trPr>
          <w:jc w:val="center"/>
        </w:trPr>
        <w:tc>
          <w:tcPr>
            <w:tcW w:w="1994" w:type="dxa"/>
            <w:vMerge/>
            <w:tcMar>
              <w:top w:w="70" w:type="dxa"/>
              <w:left w:w="70" w:type="dxa"/>
              <w:bottom w:w="70" w:type="dxa"/>
              <w:right w:w="70" w:type="dxa"/>
            </w:tcMar>
            <w:vAlign w:val="center"/>
          </w:tcPr>
          <w:p w14:paraId="43E702C9"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062A5F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2024</w:t>
            </w:r>
          </w:p>
        </w:tc>
        <w:tc>
          <w:tcPr>
            <w:tcW w:w="1552" w:type="dxa"/>
            <w:tcMar>
              <w:top w:w="70" w:type="dxa"/>
              <w:left w:w="70" w:type="dxa"/>
              <w:bottom w:w="70" w:type="dxa"/>
              <w:right w:w="70" w:type="dxa"/>
            </w:tcMar>
            <w:vAlign w:val="center"/>
          </w:tcPr>
          <w:p w14:paraId="338609D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w:t>
            </w:r>
          </w:p>
        </w:tc>
        <w:tc>
          <w:tcPr>
            <w:tcW w:w="1562" w:type="dxa"/>
            <w:tcMar>
              <w:top w:w="70" w:type="dxa"/>
              <w:left w:w="70" w:type="dxa"/>
              <w:bottom w:w="70" w:type="dxa"/>
              <w:right w:w="70" w:type="dxa"/>
            </w:tcMar>
            <w:vAlign w:val="center"/>
          </w:tcPr>
          <w:p w14:paraId="3834426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16.67%</w:t>
            </w:r>
          </w:p>
        </w:tc>
      </w:tr>
      <w:tr w:rsidR="009B18FE" w:rsidRPr="009B18FE" w14:paraId="77187B8E" w14:textId="77777777" w:rsidTr="00A42B32">
        <w:trPr>
          <w:jc w:val="center"/>
        </w:trPr>
        <w:tc>
          <w:tcPr>
            <w:tcW w:w="1994" w:type="dxa"/>
            <w:vMerge/>
            <w:tcMar>
              <w:top w:w="70" w:type="dxa"/>
              <w:left w:w="70" w:type="dxa"/>
              <w:bottom w:w="70" w:type="dxa"/>
              <w:right w:w="70" w:type="dxa"/>
            </w:tcMar>
            <w:vAlign w:val="center"/>
          </w:tcPr>
          <w:p w14:paraId="2C4E24D7"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CE826C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2025</w:t>
            </w:r>
          </w:p>
        </w:tc>
        <w:tc>
          <w:tcPr>
            <w:tcW w:w="1552" w:type="dxa"/>
            <w:tcMar>
              <w:top w:w="70" w:type="dxa"/>
              <w:left w:w="70" w:type="dxa"/>
              <w:bottom w:w="70" w:type="dxa"/>
              <w:right w:w="70" w:type="dxa"/>
            </w:tcMar>
            <w:vAlign w:val="center"/>
          </w:tcPr>
          <w:p w14:paraId="0124252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62B28EA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32538545" w14:textId="77777777" w:rsidTr="00A42B32">
        <w:trPr>
          <w:jc w:val="center"/>
        </w:trPr>
        <w:tc>
          <w:tcPr>
            <w:tcW w:w="1994" w:type="dxa"/>
            <w:vMerge w:val="restart"/>
            <w:tcMar>
              <w:top w:w="70" w:type="dxa"/>
              <w:left w:w="70" w:type="dxa"/>
              <w:bottom w:w="70" w:type="dxa"/>
              <w:right w:w="70" w:type="dxa"/>
            </w:tcMar>
            <w:vAlign w:val="center"/>
          </w:tcPr>
          <w:p w14:paraId="0148F3C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Research design</w:t>
            </w:r>
          </w:p>
        </w:tc>
        <w:tc>
          <w:tcPr>
            <w:tcW w:w="4242" w:type="dxa"/>
            <w:tcMar>
              <w:top w:w="70" w:type="dxa"/>
              <w:left w:w="70" w:type="dxa"/>
              <w:bottom w:w="70" w:type="dxa"/>
              <w:right w:w="70" w:type="dxa"/>
            </w:tcMar>
            <w:vAlign w:val="center"/>
          </w:tcPr>
          <w:p w14:paraId="66BD7A4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cohort/study</w:t>
            </w:r>
          </w:p>
        </w:tc>
        <w:tc>
          <w:tcPr>
            <w:tcW w:w="1552" w:type="dxa"/>
            <w:tcMar>
              <w:top w:w="70" w:type="dxa"/>
              <w:left w:w="70" w:type="dxa"/>
              <w:bottom w:w="70" w:type="dxa"/>
              <w:right w:w="70" w:type="dxa"/>
            </w:tcMar>
            <w:vAlign w:val="center"/>
          </w:tcPr>
          <w:p w14:paraId="0E09C7B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9</w:t>
            </w:r>
          </w:p>
        </w:tc>
        <w:tc>
          <w:tcPr>
            <w:tcW w:w="1562" w:type="dxa"/>
            <w:tcMar>
              <w:top w:w="70" w:type="dxa"/>
              <w:left w:w="70" w:type="dxa"/>
              <w:bottom w:w="70" w:type="dxa"/>
              <w:right w:w="70" w:type="dxa"/>
            </w:tcMar>
            <w:vAlign w:val="center"/>
          </w:tcPr>
          <w:p w14:paraId="283FCAC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75.00%</w:t>
            </w:r>
          </w:p>
        </w:tc>
      </w:tr>
      <w:tr w:rsidR="009B18FE" w:rsidRPr="009B18FE" w14:paraId="5AE08FCC" w14:textId="77777777" w:rsidTr="00A42B32">
        <w:trPr>
          <w:jc w:val="center"/>
        </w:trPr>
        <w:tc>
          <w:tcPr>
            <w:tcW w:w="1994" w:type="dxa"/>
            <w:vMerge/>
            <w:tcMar>
              <w:top w:w="70" w:type="dxa"/>
              <w:left w:w="70" w:type="dxa"/>
              <w:bottom w:w="70" w:type="dxa"/>
              <w:right w:w="70" w:type="dxa"/>
            </w:tcMar>
            <w:vAlign w:val="center"/>
          </w:tcPr>
          <w:p w14:paraId="492C7265"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92D6DB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descriptive study</w:t>
            </w:r>
          </w:p>
        </w:tc>
        <w:tc>
          <w:tcPr>
            <w:tcW w:w="1552" w:type="dxa"/>
            <w:tcMar>
              <w:top w:w="70" w:type="dxa"/>
              <w:left w:w="70" w:type="dxa"/>
              <w:bottom w:w="70" w:type="dxa"/>
              <w:right w:w="70" w:type="dxa"/>
            </w:tcMar>
            <w:vAlign w:val="center"/>
          </w:tcPr>
          <w:p w14:paraId="6ED734A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510C2B2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38E5D958" w14:textId="77777777" w:rsidTr="00A42B32">
        <w:trPr>
          <w:jc w:val="center"/>
        </w:trPr>
        <w:tc>
          <w:tcPr>
            <w:tcW w:w="1994" w:type="dxa"/>
            <w:vMerge/>
            <w:tcMar>
              <w:top w:w="70" w:type="dxa"/>
              <w:left w:w="70" w:type="dxa"/>
              <w:bottom w:w="70" w:type="dxa"/>
              <w:right w:w="70" w:type="dxa"/>
            </w:tcMar>
            <w:vAlign w:val="center"/>
          </w:tcPr>
          <w:p w14:paraId="73F95F05"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0BF41D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Prediction model study</w:t>
            </w:r>
          </w:p>
        </w:tc>
        <w:tc>
          <w:tcPr>
            <w:tcW w:w="1552" w:type="dxa"/>
            <w:tcMar>
              <w:top w:w="70" w:type="dxa"/>
              <w:left w:w="70" w:type="dxa"/>
              <w:bottom w:w="70" w:type="dxa"/>
              <w:right w:w="70" w:type="dxa"/>
            </w:tcMar>
            <w:vAlign w:val="center"/>
          </w:tcPr>
          <w:p w14:paraId="044CEAA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15D21E6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33DE72BA" w14:textId="77777777" w:rsidTr="00A42B32">
        <w:trPr>
          <w:jc w:val="center"/>
        </w:trPr>
        <w:tc>
          <w:tcPr>
            <w:tcW w:w="1994" w:type="dxa"/>
            <w:vMerge/>
            <w:tcMar>
              <w:top w:w="70" w:type="dxa"/>
              <w:left w:w="70" w:type="dxa"/>
              <w:bottom w:w="70" w:type="dxa"/>
              <w:right w:w="70" w:type="dxa"/>
            </w:tcMar>
            <w:vAlign w:val="center"/>
          </w:tcPr>
          <w:p w14:paraId="64CFE314"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647558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Cross-sectional study</w:t>
            </w:r>
          </w:p>
        </w:tc>
        <w:tc>
          <w:tcPr>
            <w:tcW w:w="1552" w:type="dxa"/>
            <w:tcMar>
              <w:top w:w="70" w:type="dxa"/>
              <w:left w:w="70" w:type="dxa"/>
              <w:bottom w:w="70" w:type="dxa"/>
              <w:right w:w="70" w:type="dxa"/>
            </w:tcMar>
            <w:vAlign w:val="center"/>
          </w:tcPr>
          <w:p w14:paraId="49A7E42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48E9293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718B62A1" w14:textId="77777777" w:rsidTr="00A42B32">
        <w:trPr>
          <w:jc w:val="center"/>
        </w:trPr>
        <w:tc>
          <w:tcPr>
            <w:tcW w:w="1994" w:type="dxa"/>
            <w:vMerge w:val="restart"/>
            <w:tcMar>
              <w:top w:w="70" w:type="dxa"/>
              <w:left w:w="70" w:type="dxa"/>
              <w:bottom w:w="70" w:type="dxa"/>
              <w:right w:w="70" w:type="dxa"/>
            </w:tcMar>
            <w:vAlign w:val="center"/>
          </w:tcPr>
          <w:p w14:paraId="77E4244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Outcome focus</w:t>
            </w:r>
          </w:p>
        </w:tc>
        <w:tc>
          <w:tcPr>
            <w:tcW w:w="4242" w:type="dxa"/>
            <w:tcMar>
              <w:top w:w="70" w:type="dxa"/>
              <w:left w:w="70" w:type="dxa"/>
              <w:bottom w:w="70" w:type="dxa"/>
              <w:right w:w="70" w:type="dxa"/>
            </w:tcMar>
            <w:vAlign w:val="center"/>
          </w:tcPr>
          <w:p w14:paraId="0651C34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Early/postoperative stoma complications</w:t>
            </w:r>
          </w:p>
        </w:tc>
        <w:tc>
          <w:tcPr>
            <w:tcW w:w="1552" w:type="dxa"/>
            <w:tcMar>
              <w:top w:w="70" w:type="dxa"/>
              <w:left w:w="70" w:type="dxa"/>
              <w:bottom w:w="70" w:type="dxa"/>
              <w:right w:w="70" w:type="dxa"/>
            </w:tcMar>
            <w:vAlign w:val="center"/>
          </w:tcPr>
          <w:p w14:paraId="09BCD62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5</w:t>
            </w:r>
          </w:p>
        </w:tc>
        <w:tc>
          <w:tcPr>
            <w:tcW w:w="1562" w:type="dxa"/>
            <w:tcMar>
              <w:top w:w="70" w:type="dxa"/>
              <w:left w:w="70" w:type="dxa"/>
              <w:bottom w:w="70" w:type="dxa"/>
              <w:right w:w="70" w:type="dxa"/>
            </w:tcMar>
            <w:vAlign w:val="center"/>
          </w:tcPr>
          <w:p w14:paraId="2C7076D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41.67%</w:t>
            </w:r>
          </w:p>
        </w:tc>
      </w:tr>
      <w:tr w:rsidR="009B18FE" w:rsidRPr="009B18FE" w14:paraId="6739E67F" w14:textId="77777777" w:rsidTr="00A42B32">
        <w:trPr>
          <w:jc w:val="center"/>
        </w:trPr>
        <w:tc>
          <w:tcPr>
            <w:tcW w:w="1994" w:type="dxa"/>
            <w:vMerge/>
            <w:tcMar>
              <w:top w:w="70" w:type="dxa"/>
              <w:left w:w="70" w:type="dxa"/>
              <w:bottom w:w="70" w:type="dxa"/>
              <w:right w:w="70" w:type="dxa"/>
            </w:tcMar>
            <w:vAlign w:val="center"/>
          </w:tcPr>
          <w:p w14:paraId="0B539C7F"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21A77E1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High-output stoma/postoperative ileus/readmission</w:t>
            </w:r>
          </w:p>
        </w:tc>
        <w:tc>
          <w:tcPr>
            <w:tcW w:w="1552" w:type="dxa"/>
            <w:tcMar>
              <w:top w:w="70" w:type="dxa"/>
              <w:left w:w="70" w:type="dxa"/>
              <w:bottom w:w="70" w:type="dxa"/>
              <w:right w:w="70" w:type="dxa"/>
            </w:tcMar>
            <w:vAlign w:val="center"/>
          </w:tcPr>
          <w:p w14:paraId="319D1CE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w:t>
            </w:r>
          </w:p>
        </w:tc>
        <w:tc>
          <w:tcPr>
            <w:tcW w:w="1562" w:type="dxa"/>
            <w:tcMar>
              <w:top w:w="70" w:type="dxa"/>
              <w:left w:w="70" w:type="dxa"/>
              <w:bottom w:w="70" w:type="dxa"/>
              <w:right w:w="70" w:type="dxa"/>
            </w:tcMar>
            <w:vAlign w:val="center"/>
          </w:tcPr>
          <w:p w14:paraId="736AE75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16.67%</w:t>
            </w:r>
          </w:p>
        </w:tc>
      </w:tr>
      <w:tr w:rsidR="009B18FE" w:rsidRPr="009B18FE" w14:paraId="6D31B182" w14:textId="77777777" w:rsidTr="00A42B32">
        <w:trPr>
          <w:jc w:val="center"/>
        </w:trPr>
        <w:tc>
          <w:tcPr>
            <w:tcW w:w="1994" w:type="dxa"/>
            <w:vMerge/>
            <w:tcMar>
              <w:top w:w="70" w:type="dxa"/>
              <w:left w:w="70" w:type="dxa"/>
              <w:bottom w:w="70" w:type="dxa"/>
              <w:right w:w="70" w:type="dxa"/>
            </w:tcMar>
            <w:vAlign w:val="center"/>
          </w:tcPr>
          <w:p w14:paraId="334C7393"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6FA954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Stoma-related obstruction</w:t>
            </w:r>
          </w:p>
        </w:tc>
        <w:tc>
          <w:tcPr>
            <w:tcW w:w="1552" w:type="dxa"/>
            <w:tcMar>
              <w:top w:w="70" w:type="dxa"/>
              <w:left w:w="70" w:type="dxa"/>
              <w:bottom w:w="70" w:type="dxa"/>
              <w:right w:w="70" w:type="dxa"/>
            </w:tcMar>
            <w:vAlign w:val="center"/>
          </w:tcPr>
          <w:p w14:paraId="263DE4E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2F83C53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51FA68F8" w14:textId="77777777" w:rsidTr="00A42B32">
        <w:trPr>
          <w:jc w:val="center"/>
        </w:trPr>
        <w:tc>
          <w:tcPr>
            <w:tcW w:w="1994" w:type="dxa"/>
            <w:vMerge/>
            <w:tcMar>
              <w:top w:w="70" w:type="dxa"/>
              <w:left w:w="70" w:type="dxa"/>
              <w:bottom w:w="70" w:type="dxa"/>
              <w:right w:w="70" w:type="dxa"/>
            </w:tcMar>
            <w:vAlign w:val="center"/>
          </w:tcPr>
          <w:p w14:paraId="2673C2F6"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20B1F3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Complications after stoma closure</w:t>
            </w:r>
          </w:p>
        </w:tc>
        <w:tc>
          <w:tcPr>
            <w:tcW w:w="1552" w:type="dxa"/>
            <w:tcMar>
              <w:top w:w="70" w:type="dxa"/>
              <w:left w:w="70" w:type="dxa"/>
              <w:bottom w:w="70" w:type="dxa"/>
              <w:right w:w="70" w:type="dxa"/>
            </w:tcMar>
            <w:vAlign w:val="center"/>
          </w:tcPr>
          <w:p w14:paraId="3FB9AEF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w:t>
            </w:r>
          </w:p>
        </w:tc>
        <w:tc>
          <w:tcPr>
            <w:tcW w:w="1562" w:type="dxa"/>
            <w:tcMar>
              <w:top w:w="70" w:type="dxa"/>
              <w:left w:w="70" w:type="dxa"/>
              <w:bottom w:w="70" w:type="dxa"/>
              <w:right w:w="70" w:type="dxa"/>
            </w:tcMar>
            <w:vAlign w:val="center"/>
          </w:tcPr>
          <w:p w14:paraId="517A0AB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16.67%</w:t>
            </w:r>
          </w:p>
        </w:tc>
      </w:tr>
      <w:tr w:rsidR="009B18FE" w:rsidRPr="009B18FE" w14:paraId="17EEFF48" w14:textId="77777777" w:rsidTr="00A42B32">
        <w:trPr>
          <w:jc w:val="center"/>
        </w:trPr>
        <w:tc>
          <w:tcPr>
            <w:tcW w:w="1994" w:type="dxa"/>
            <w:vMerge/>
            <w:tcMar>
              <w:top w:w="70" w:type="dxa"/>
              <w:left w:w="70" w:type="dxa"/>
              <w:bottom w:w="70" w:type="dxa"/>
              <w:right w:w="70" w:type="dxa"/>
            </w:tcMar>
            <w:vAlign w:val="center"/>
          </w:tcPr>
          <w:p w14:paraId="0E99E569"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102B58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Complications of sigmoid stoma after APR</w:t>
            </w:r>
          </w:p>
        </w:tc>
        <w:tc>
          <w:tcPr>
            <w:tcW w:w="1552" w:type="dxa"/>
            <w:tcMar>
              <w:top w:w="70" w:type="dxa"/>
              <w:left w:w="70" w:type="dxa"/>
              <w:bottom w:w="70" w:type="dxa"/>
              <w:right w:w="70" w:type="dxa"/>
            </w:tcMar>
            <w:vAlign w:val="center"/>
          </w:tcPr>
          <w:p w14:paraId="1FFAC15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71D8743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34611941" w14:textId="77777777" w:rsidTr="00A42B32">
        <w:trPr>
          <w:jc w:val="center"/>
        </w:trPr>
        <w:tc>
          <w:tcPr>
            <w:tcW w:w="1994" w:type="dxa"/>
            <w:vMerge/>
            <w:tcMar>
              <w:top w:w="70" w:type="dxa"/>
              <w:left w:w="70" w:type="dxa"/>
              <w:bottom w:w="70" w:type="dxa"/>
              <w:right w:w="70" w:type="dxa"/>
            </w:tcMar>
            <w:vAlign w:val="center"/>
          </w:tcPr>
          <w:p w14:paraId="46C42188"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6D4736F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Quality of life</w:t>
            </w:r>
          </w:p>
        </w:tc>
        <w:tc>
          <w:tcPr>
            <w:tcW w:w="1552" w:type="dxa"/>
            <w:tcMar>
              <w:top w:w="70" w:type="dxa"/>
              <w:left w:w="70" w:type="dxa"/>
              <w:bottom w:w="70" w:type="dxa"/>
              <w:right w:w="70" w:type="dxa"/>
            </w:tcMar>
            <w:vAlign w:val="center"/>
          </w:tcPr>
          <w:p w14:paraId="6014BCC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169A314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bl>
    <w:p w14:paraId="42536BE6" w14:textId="77777777" w:rsidR="009B18FE" w:rsidRPr="00E71FA4" w:rsidRDefault="009B18FE" w:rsidP="00E71FA4">
      <w:pPr>
        <w:rPr>
          <w:rFonts w:ascii="Times New Roman" w:hAnsi="Times New Roman" w:cs="Times New Roman"/>
          <w:b/>
          <w:bCs/>
          <w:sz w:val="24"/>
          <w:szCs w:val="24"/>
        </w:rPr>
      </w:pPr>
    </w:p>
    <w:p w14:paraId="58826800" w14:textId="3F39D2C3" w:rsidR="00E71FA4" w:rsidRDefault="00E71FA4" w:rsidP="00E71FA4">
      <w:pPr>
        <w:rPr>
          <w:rFonts w:ascii="Times New Roman" w:hAnsi="Times New Roman" w:cs="Times New Roman"/>
          <w:sz w:val="24"/>
          <w:szCs w:val="24"/>
        </w:rPr>
      </w:pPr>
      <w:r w:rsidRPr="00E71FA4">
        <w:rPr>
          <w:rFonts w:ascii="Times New Roman" w:hAnsi="Times New Roman" w:cs="Times New Roman"/>
          <w:b/>
          <w:bCs/>
          <w:sz w:val="24"/>
          <w:szCs w:val="24"/>
        </w:rPr>
        <w:lastRenderedPageBreak/>
        <w:t xml:space="preserve">Table 4. </w:t>
      </w:r>
      <w:r w:rsidRPr="00E71FA4">
        <w:rPr>
          <w:rFonts w:ascii="Times New Roman" w:hAnsi="Times New Roman" w:cs="Times New Roman"/>
          <w:sz w:val="24"/>
          <w:szCs w:val="24"/>
        </w:rPr>
        <w:t>Characteristics of SLR Inclusion Articles on Postoperative Complications, Risk Factors, and Quality of Life of Patients with Intestinal Stoma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
        <w:gridCol w:w="1636"/>
        <w:gridCol w:w="1353"/>
        <w:gridCol w:w="1915"/>
        <w:gridCol w:w="1539"/>
        <w:gridCol w:w="1973"/>
      </w:tblGrid>
      <w:tr w:rsidR="009B18FE" w:rsidRPr="009B18FE" w14:paraId="6CB66FE2" w14:textId="77777777" w:rsidTr="00A42B32">
        <w:trPr>
          <w:cantSplit/>
          <w:trHeight w:val="300"/>
          <w:tblHeader/>
          <w:jc w:val="center"/>
        </w:trPr>
        <w:tc>
          <w:tcPr>
            <w:tcW w:w="1296" w:type="dxa"/>
            <w:tcBorders>
              <w:top w:val="single" w:sz="4" w:space="0" w:color="auto"/>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0EB15D1"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Author (Year)</w:t>
            </w:r>
          </w:p>
        </w:tc>
        <w:tc>
          <w:tcPr>
            <w:tcW w:w="2376"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05B0E5B9"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Research Focus</w:t>
            </w:r>
          </w:p>
        </w:tc>
        <w:tc>
          <w:tcPr>
            <w:tcW w:w="1152"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6E6998E3"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Country</w:t>
            </w:r>
          </w:p>
        </w:tc>
        <w:tc>
          <w:tcPr>
            <w:tcW w:w="1584"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641B1C85"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Research Design</w:t>
            </w:r>
          </w:p>
        </w:tc>
        <w:tc>
          <w:tcPr>
            <w:tcW w:w="2232"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7F22156C"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Research Object</w:t>
            </w:r>
          </w:p>
        </w:tc>
        <w:tc>
          <w:tcPr>
            <w:tcW w:w="2880"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599CBAC8"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Key Findings</w:t>
            </w:r>
          </w:p>
        </w:tc>
      </w:tr>
      <w:tr w:rsidR="009B18FE" w:rsidRPr="009B18FE" w14:paraId="4684CEF3"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2DEF1A2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MacDonald et al. (2024)</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8CB171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Postoperative outcomes and risk factors after emergency intestinal stoma formation</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242C8A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United Kingdom/Scotland</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7182740"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t>Multicentre</w:t>
            </w:r>
            <w:proofErr w:type="spellEnd"/>
            <w:r w:rsidRPr="009B18FE">
              <w:rPr>
                <w:rFonts w:ascii="Times New Roman" w:hAnsi="Times New Roman" w:cs="Times New Roman"/>
                <w:sz w:val="24"/>
                <w:szCs w:val="24"/>
              </w:rPr>
              <w:t xml:space="preserve"> retrospective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4A69CC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Patients undergoing emergency intestinal stoma formation</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6D8CED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This study is relevant to the subtheme of complications after emergency stoma formation and postoperative clinical risk factors. (PubMed)</w:t>
            </w:r>
          </w:p>
        </w:tc>
      </w:tr>
      <w:tr w:rsidR="009B18FE" w:rsidRPr="009B18FE" w14:paraId="09D53067"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00411DF"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t>Ayik</w:t>
            </w:r>
            <w:proofErr w:type="spellEnd"/>
            <w:r w:rsidRPr="009B18FE">
              <w:rPr>
                <w:rFonts w:ascii="Times New Roman" w:hAnsi="Times New Roman" w:cs="Times New Roman"/>
                <w:sz w:val="24"/>
                <w:szCs w:val="24"/>
              </w:rPr>
              <w:t xml:space="preserve"> et al. (2024)</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72E90C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Risk factors for early ostomy complications in emergency and elective colorectal surgery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075B47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Turkey</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E98B7E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Single-center retrospective cohort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3D3289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872 ostomy patients; 573 patients experienced ≥1 complication</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6C9768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Early complications occurred in 65.7% of patients; complications differed between emergency and elective surgery, with logistic regression models for risk factors of PICD and mucocutaneous separation.</w:t>
            </w:r>
          </w:p>
        </w:tc>
      </w:tr>
      <w:tr w:rsidR="009B18FE" w:rsidRPr="009B18FE" w14:paraId="3BA169D1"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52AE8F99"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t>Ayik</w:t>
            </w:r>
            <w:proofErr w:type="spellEnd"/>
            <w:r w:rsidRPr="009B18FE">
              <w:rPr>
                <w:rFonts w:ascii="Times New Roman" w:hAnsi="Times New Roman" w:cs="Times New Roman"/>
                <w:sz w:val="24"/>
                <w:szCs w:val="24"/>
              </w:rPr>
              <w:t xml:space="preserve"> et al. (2020)</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DC7B28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Ostomy complications, risk factors, and applied nursing care</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119C07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Turkey</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3FA392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descriptive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16F5A6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572 patients received ostomy care by WOC nurses</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7EC9F2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Early complications occurred in 56.5% of patients; PICD and mucocutaneous separation were the most common complications, with risk factors including BMI &gt;24.9 kg/m², ileostomy, temporary ostomy, end ostomy, and ostomy height &lt;10 mm.</w:t>
            </w:r>
          </w:p>
        </w:tc>
      </w:tr>
      <w:tr w:rsidR="009B18FE" w:rsidRPr="009B18FE" w14:paraId="47C2B70A"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3A65381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lastRenderedPageBreak/>
              <w:t>Yang et al. (2023/2024)</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8251B7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Protective loop ileostomy or colostomy? A risk evaluation of all common complications</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29AEFD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Taiwan</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CF07FA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cohort study with complication recording by WOC nurses</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15EBE8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410 patients; 176 protective colostomy and 234 protective ileostomy</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AC0211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Ileostomy was more frequently associated with high-output stoma, whereas colostomy was more frequently associated with stoma retraction; stoma type, sex, open surgery, and diversion duration &gt;4 months were factors associated with complications.</w:t>
            </w:r>
          </w:p>
        </w:tc>
      </w:tr>
      <w:tr w:rsidR="009B18FE" w:rsidRPr="009B18FE" w14:paraId="243ADDC7"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13F4D73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Lee et al. (2021)</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2F252D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Relationship between high-output stomas, postoperative ileus, and readmission after rectal cancer surgery with diverting ileostomy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56102D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South Korea</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5B6817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cohort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591952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302 rectal cancer patients with diverting ileostomy</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D13309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Postoperative ileus was an independent risk factor for all-cause readmission and ileus-related readmission after rectal cancer surgery with diverting ileostomy.</w:t>
            </w:r>
          </w:p>
        </w:tc>
      </w:tr>
      <w:tr w:rsidR="009B18FE" w:rsidRPr="009B18FE" w14:paraId="5BA2F12B"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015AF07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Takeda et al. (2019)</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8C8B30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Factors predictive of high-output ileostomy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689795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Japan</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301343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single-center comparative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03C30B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164 colorectal cancer surgery patients with ileostomy; 151 were analyzed after exclusion of complications causing HOS.</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024B79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High-output syndrome occurred in 36 of 151 patients and was analyzed using logistic regression to identify preoperative and intraoperative predictive factors.</w:t>
            </w:r>
          </w:p>
        </w:tc>
      </w:tr>
      <w:tr w:rsidR="009B18FE" w:rsidRPr="009B18FE" w14:paraId="564D9D60"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150AE101"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lastRenderedPageBreak/>
              <w:t>Maemoto</w:t>
            </w:r>
            <w:proofErr w:type="spellEnd"/>
            <w:r w:rsidRPr="009B18FE">
              <w:rPr>
                <w:rFonts w:ascii="Times New Roman" w:hAnsi="Times New Roman" w:cs="Times New Roman"/>
                <w:sz w:val="24"/>
                <w:szCs w:val="24"/>
              </w:rPr>
              <w:t xml:space="preserve"> et al. (2021)</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D66A9C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Risk factors and management of stoma-related obstruction after laparoscopic colorectal surgery with diverting ileostomy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68CC70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Japan</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1BD5D0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8A6691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155 patients undergoing laparoscopic colorectal surgery with diverting ileostomy</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31ACD9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SROs occurred in 7.7% of patients; ileal-pouch anal anastomosis was an independent risk factor for SROs.</w:t>
            </w:r>
          </w:p>
        </w:tc>
      </w:tr>
      <w:tr w:rsidR="009B18FE" w:rsidRPr="009B18FE" w14:paraId="179FC91D"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A9B5A5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Kilinc et al. (2021)</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4E4CB9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Risk factors for the morbidity and mortality of stoma closure</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863249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Turkey</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E7E97C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descriptive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9929E7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179 patients undergoing stoma closure</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8D612E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ASA score and coronary artery disease are associated with post-closure complications; colostomy is a risk factor for postoperative ileus.</w:t>
            </w:r>
          </w:p>
        </w:tc>
      </w:tr>
      <w:tr w:rsidR="009B18FE" w:rsidRPr="009B18FE" w14:paraId="735091EA"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67F322E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Vergara-Fernández et al. (2019)</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58F72D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Multivariate analysis of risk factors for complications after loop ileostomy closure</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B35FB1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Mexico</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0EEC92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3A6785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136 patients undergoing loop ileostomy closure</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4635F6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Midline laparotomy, immunomodulator, FAP, age ≥65 years, closure time &lt;3 months, and parastomal hernia are risk factors for several complications after ileostomy closure.</w:t>
            </w:r>
          </w:p>
        </w:tc>
      </w:tr>
      <w:tr w:rsidR="009B18FE" w:rsidRPr="009B18FE" w14:paraId="24AD0F56"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4FABC7C"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t>Lv</w:t>
            </w:r>
            <w:proofErr w:type="spellEnd"/>
            <w:r w:rsidRPr="009B18FE">
              <w:rPr>
                <w:rFonts w:ascii="Times New Roman" w:hAnsi="Times New Roman" w:cs="Times New Roman"/>
                <w:sz w:val="24"/>
                <w:szCs w:val="24"/>
              </w:rPr>
              <w:t xml:space="preserve"> et al. (2024)</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21DD24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Analysis of risk factors for sigmoid stoma complications after abdominoperineal resection surgery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D183FD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China</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656CDD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Observational/retrospective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B24633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Patient with sigmoid stoma after abdominoperineal resection</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DFE025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This article is relevant to the subtheme of risk factors for stoma complications after rectal surgery, especially in patients with sigmoid stoma.</w:t>
            </w:r>
          </w:p>
        </w:tc>
      </w:tr>
      <w:tr w:rsidR="009B18FE" w:rsidRPr="009B18FE" w14:paraId="48C7C09E"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1E322B8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lastRenderedPageBreak/>
              <w:t>Ba et al. (2025)</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5BC0F3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Construction of a nomogram prediction model for early postoperative stoma complications of colorectal cancer</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A9F930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China</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6D877A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prediction model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972B15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Colorectal cancer patient with stoma</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009F34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This article is relevant because it presents risk factors and a prediction model for early stoma complications in colorectal cancer patients.</w:t>
            </w:r>
          </w:p>
        </w:tc>
      </w:tr>
      <w:tr w:rsidR="009B18FE" w:rsidRPr="009B18FE" w14:paraId="71027166"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323539C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Liu et al. (2021)</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EF5581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Quality of life of patients with colorectal cancer and a stoma in China</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542107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China</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27DE34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Quantitative cross-sectional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285941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359 colorectal cancer patients with stoma</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98EA95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Patients' quality of life was mostly low; stoma care by others, temporary stoma, and the presence of complications were associated with lower quality of life scores.</w:t>
            </w:r>
          </w:p>
        </w:tc>
      </w:tr>
    </w:tbl>
    <w:p w14:paraId="645CCD70" w14:textId="77777777" w:rsidR="008821F7" w:rsidRDefault="008821F7" w:rsidP="00E71FA4">
      <w:pPr>
        <w:rPr>
          <w:rFonts w:ascii="Times New Roman" w:hAnsi="Times New Roman" w:cs="Times New Roman"/>
          <w:b/>
          <w:bCs/>
          <w:sz w:val="24"/>
          <w:szCs w:val="24"/>
        </w:rPr>
      </w:pPr>
    </w:p>
    <w:p w14:paraId="210AC6C0" w14:textId="3B69C950" w:rsidR="009B18FE" w:rsidRDefault="009B18FE" w:rsidP="00E71FA4">
      <w:pPr>
        <w:rPr>
          <w:rFonts w:ascii="Times New Roman" w:hAnsi="Times New Roman" w:cs="Times New Roman"/>
          <w:b/>
          <w:bCs/>
          <w:sz w:val="24"/>
          <w:szCs w:val="24"/>
        </w:rPr>
      </w:pPr>
      <w:r>
        <w:rPr>
          <w:rFonts w:ascii="Times New Roman" w:hAnsi="Times New Roman" w:cs="Times New Roman"/>
          <w:b/>
          <w:bCs/>
          <w:sz w:val="24"/>
          <w:szCs w:val="24"/>
        </w:rPr>
        <w:t>Figure Legends</w:t>
      </w:r>
    </w:p>
    <w:p w14:paraId="7F0290F5" w14:textId="189553CF" w:rsidR="009B18FE" w:rsidRDefault="009B18FE" w:rsidP="009B18FE">
      <w:pPr>
        <w:rPr>
          <w:rFonts w:ascii="Times New Roman" w:hAnsi="Times New Roman" w:cs="Times New Roman"/>
          <w:sz w:val="24"/>
          <w:szCs w:val="24"/>
        </w:rPr>
      </w:pPr>
      <w:r w:rsidRPr="009B18FE">
        <w:rPr>
          <w:rFonts w:ascii="Times New Roman" w:hAnsi="Times New Roman" w:cs="Times New Roman"/>
          <w:b/>
          <w:bCs/>
          <w:sz w:val="24"/>
          <w:szCs w:val="24"/>
        </w:rPr>
        <w:t xml:space="preserve">Figure 1. </w:t>
      </w:r>
      <w:r w:rsidRPr="009B18FE">
        <w:rPr>
          <w:rFonts w:ascii="Times New Roman" w:hAnsi="Times New Roman" w:cs="Times New Roman"/>
          <w:sz w:val="24"/>
          <w:szCs w:val="24"/>
        </w:rPr>
        <w:t>PRISMA Flow Diagram</w:t>
      </w:r>
    </w:p>
    <w:p w14:paraId="3262D384" w14:textId="2954ACBF" w:rsidR="008821F7" w:rsidRDefault="008821F7" w:rsidP="009B18FE">
      <w:pPr>
        <w:rPr>
          <w:rFonts w:ascii="Times New Roman" w:hAnsi="Times New Roman" w:cs="Times New Roman"/>
          <w:b/>
          <w:bCs/>
          <w:sz w:val="24"/>
          <w:szCs w:val="24"/>
        </w:rPr>
      </w:pPr>
      <w:r w:rsidRPr="00AD5D13">
        <w:rPr>
          <w:rFonts w:ascii="Times New Roman" w:hAnsi="Times New Roman" w:cs="Times New Roman"/>
          <w:noProof/>
          <w:sz w:val="24"/>
          <w:szCs w:val="24"/>
        </w:rPr>
        <w:lastRenderedPageBreak/>
        <w:drawing>
          <wp:inline distT="0" distB="0" distL="0" distR="0" wp14:anchorId="6D414299" wp14:editId="37F4119E">
            <wp:extent cx="5760187" cy="5048250"/>
            <wp:effectExtent l="0" t="0" r="0" b="0"/>
            <wp:docPr id="205092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2526" cy="5050300"/>
                    </a:xfrm>
                    <a:prstGeom prst="rect">
                      <a:avLst/>
                    </a:prstGeom>
                    <a:noFill/>
                  </pic:spPr>
                </pic:pic>
              </a:graphicData>
            </a:graphic>
          </wp:inline>
        </w:drawing>
      </w:r>
    </w:p>
    <w:p w14:paraId="207FF90C" w14:textId="6A1E95B9" w:rsidR="009B18FE" w:rsidRDefault="009B18FE" w:rsidP="009B18FE">
      <w:pPr>
        <w:rPr>
          <w:rFonts w:ascii="Times New Roman" w:hAnsi="Times New Roman" w:cs="Times New Roman"/>
          <w:sz w:val="24"/>
          <w:szCs w:val="24"/>
        </w:rPr>
      </w:pPr>
      <w:r w:rsidRPr="009B18FE">
        <w:rPr>
          <w:rFonts w:ascii="Times New Roman" w:hAnsi="Times New Roman" w:cs="Times New Roman"/>
          <w:b/>
          <w:bCs/>
          <w:sz w:val="24"/>
          <w:szCs w:val="24"/>
        </w:rPr>
        <w:t xml:space="preserve">Figure 2. </w:t>
      </w:r>
      <w:r w:rsidRPr="009B18FE">
        <w:rPr>
          <w:rFonts w:ascii="Times New Roman" w:hAnsi="Times New Roman" w:cs="Times New Roman"/>
          <w:sz w:val="24"/>
          <w:szCs w:val="24"/>
        </w:rPr>
        <w:t>Forest Plot of Risk Factors for Complications in Patients with Intestinal Stoma</w:t>
      </w:r>
    </w:p>
    <w:p w14:paraId="7F8D27DF" w14:textId="653F9696" w:rsidR="008821F7" w:rsidRPr="009B18FE" w:rsidRDefault="008821F7" w:rsidP="009B18FE">
      <w:pPr>
        <w:rPr>
          <w:rFonts w:ascii="Times New Roman" w:hAnsi="Times New Roman" w:cs="Times New Roman"/>
          <w:b/>
          <w:bCs/>
          <w:sz w:val="24"/>
          <w:szCs w:val="24"/>
        </w:rPr>
      </w:pPr>
      <w:r w:rsidRPr="00AD5D13">
        <w:rPr>
          <w:rFonts w:ascii="Times New Roman" w:hAnsi="Times New Roman" w:cs="Times New Roman"/>
          <w:noProof/>
          <w:sz w:val="24"/>
          <w:szCs w:val="24"/>
        </w:rPr>
        <w:lastRenderedPageBreak/>
        <w:drawing>
          <wp:inline distT="0" distB="0" distL="0" distR="0" wp14:anchorId="5380ED01" wp14:editId="778BE233">
            <wp:extent cx="5943600" cy="2820035"/>
            <wp:effectExtent l="0" t="0" r="0" b="0"/>
            <wp:docPr id="266068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40BA8060" w14:textId="77777777" w:rsidR="008821F7" w:rsidRDefault="008821F7" w:rsidP="009B18FE">
      <w:pPr>
        <w:rPr>
          <w:rFonts w:ascii="Times New Roman" w:hAnsi="Times New Roman" w:cs="Times New Roman"/>
          <w:b/>
          <w:bCs/>
          <w:sz w:val="24"/>
          <w:szCs w:val="24"/>
        </w:rPr>
      </w:pPr>
    </w:p>
    <w:p w14:paraId="23C231AB" w14:textId="730B2995" w:rsidR="009B18FE" w:rsidRDefault="009B18FE" w:rsidP="009B18FE">
      <w:pPr>
        <w:rPr>
          <w:rFonts w:ascii="Times New Roman" w:hAnsi="Times New Roman" w:cs="Times New Roman"/>
          <w:sz w:val="24"/>
          <w:szCs w:val="24"/>
        </w:rPr>
      </w:pPr>
      <w:r w:rsidRPr="009B18FE">
        <w:rPr>
          <w:rFonts w:ascii="Times New Roman" w:hAnsi="Times New Roman" w:cs="Times New Roman"/>
          <w:b/>
          <w:bCs/>
          <w:sz w:val="24"/>
          <w:szCs w:val="24"/>
        </w:rPr>
        <w:t xml:space="preserve">Figure 3. </w:t>
      </w:r>
      <w:r w:rsidRPr="009B18FE">
        <w:rPr>
          <w:rFonts w:ascii="Times New Roman" w:hAnsi="Times New Roman" w:cs="Times New Roman"/>
          <w:sz w:val="24"/>
          <w:szCs w:val="24"/>
        </w:rPr>
        <w:t>Funnel Plot Diagram</w:t>
      </w:r>
    </w:p>
    <w:p w14:paraId="5D3E65E6" w14:textId="3DD80936" w:rsidR="008821F7" w:rsidRPr="00E71FA4" w:rsidRDefault="008821F7" w:rsidP="009B18FE">
      <w:pPr>
        <w:rPr>
          <w:rFonts w:ascii="Times New Roman" w:hAnsi="Times New Roman" w:cs="Times New Roman"/>
          <w:b/>
          <w:bCs/>
          <w:sz w:val="24"/>
          <w:szCs w:val="24"/>
        </w:rPr>
      </w:pPr>
      <w:r>
        <w:rPr>
          <w:noProof/>
        </w:rPr>
        <w:drawing>
          <wp:inline distT="0" distB="0" distL="0" distR="0" wp14:anchorId="23E64299" wp14:editId="5395A339">
            <wp:extent cx="4413564" cy="2978213"/>
            <wp:effectExtent l="0" t="0" r="6350" b="0"/>
            <wp:docPr id="177257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9530" cy="2982239"/>
                    </a:xfrm>
                    <a:prstGeom prst="rect">
                      <a:avLst/>
                    </a:prstGeom>
                    <a:noFill/>
                    <a:ln>
                      <a:noFill/>
                    </a:ln>
                  </pic:spPr>
                </pic:pic>
              </a:graphicData>
            </a:graphic>
          </wp:inline>
        </w:drawing>
      </w:r>
    </w:p>
    <w:sectPr w:rsidR="008821F7" w:rsidRPr="00E71FA4" w:rsidSect="006D1F73">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F1519"/>
    <w:multiLevelType w:val="hybridMultilevel"/>
    <w:tmpl w:val="3650FE4A"/>
    <w:lvl w:ilvl="0" w:tplc="3809000F">
      <w:start w:val="1"/>
      <w:numFmt w:val="decimal"/>
      <w:lvlText w:val="%1."/>
      <w:lvlJc w:val="left"/>
      <w:pPr>
        <w:ind w:left="578" w:hanging="360"/>
      </w:pPr>
    </w:lvl>
    <w:lvl w:ilvl="1" w:tplc="38090019" w:tentative="1">
      <w:start w:val="1"/>
      <w:numFmt w:val="lowerLetter"/>
      <w:lvlText w:val="%2."/>
      <w:lvlJc w:val="left"/>
      <w:pPr>
        <w:ind w:left="1298" w:hanging="360"/>
      </w:pPr>
    </w:lvl>
    <w:lvl w:ilvl="2" w:tplc="3809001B" w:tentative="1">
      <w:start w:val="1"/>
      <w:numFmt w:val="lowerRoman"/>
      <w:lvlText w:val="%3."/>
      <w:lvlJc w:val="right"/>
      <w:pPr>
        <w:ind w:left="2018" w:hanging="180"/>
      </w:pPr>
    </w:lvl>
    <w:lvl w:ilvl="3" w:tplc="3809000F" w:tentative="1">
      <w:start w:val="1"/>
      <w:numFmt w:val="decimal"/>
      <w:lvlText w:val="%4."/>
      <w:lvlJc w:val="left"/>
      <w:pPr>
        <w:ind w:left="2738" w:hanging="360"/>
      </w:pPr>
    </w:lvl>
    <w:lvl w:ilvl="4" w:tplc="38090019" w:tentative="1">
      <w:start w:val="1"/>
      <w:numFmt w:val="lowerLetter"/>
      <w:lvlText w:val="%5."/>
      <w:lvlJc w:val="left"/>
      <w:pPr>
        <w:ind w:left="3458" w:hanging="360"/>
      </w:pPr>
    </w:lvl>
    <w:lvl w:ilvl="5" w:tplc="3809001B" w:tentative="1">
      <w:start w:val="1"/>
      <w:numFmt w:val="lowerRoman"/>
      <w:lvlText w:val="%6."/>
      <w:lvlJc w:val="right"/>
      <w:pPr>
        <w:ind w:left="4178" w:hanging="180"/>
      </w:pPr>
    </w:lvl>
    <w:lvl w:ilvl="6" w:tplc="3809000F" w:tentative="1">
      <w:start w:val="1"/>
      <w:numFmt w:val="decimal"/>
      <w:lvlText w:val="%7."/>
      <w:lvlJc w:val="left"/>
      <w:pPr>
        <w:ind w:left="4898" w:hanging="360"/>
      </w:pPr>
    </w:lvl>
    <w:lvl w:ilvl="7" w:tplc="38090019" w:tentative="1">
      <w:start w:val="1"/>
      <w:numFmt w:val="lowerLetter"/>
      <w:lvlText w:val="%8."/>
      <w:lvlJc w:val="left"/>
      <w:pPr>
        <w:ind w:left="5618" w:hanging="360"/>
      </w:pPr>
    </w:lvl>
    <w:lvl w:ilvl="8" w:tplc="3809001B" w:tentative="1">
      <w:start w:val="1"/>
      <w:numFmt w:val="lowerRoman"/>
      <w:lvlText w:val="%9."/>
      <w:lvlJc w:val="right"/>
      <w:pPr>
        <w:ind w:left="6338" w:hanging="180"/>
      </w:pPr>
    </w:lvl>
  </w:abstractNum>
  <w:num w:numId="1" w16cid:durableId="159824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45"/>
    <w:rsid w:val="000245B1"/>
    <w:rsid w:val="00052596"/>
    <w:rsid w:val="000754B7"/>
    <w:rsid w:val="000B0868"/>
    <w:rsid w:val="00125042"/>
    <w:rsid w:val="00193728"/>
    <w:rsid w:val="001B04FE"/>
    <w:rsid w:val="001F61C6"/>
    <w:rsid w:val="00240EDF"/>
    <w:rsid w:val="00281858"/>
    <w:rsid w:val="002B6A30"/>
    <w:rsid w:val="002C6D8C"/>
    <w:rsid w:val="002D5DA7"/>
    <w:rsid w:val="002E2819"/>
    <w:rsid w:val="002F26B6"/>
    <w:rsid w:val="002F5879"/>
    <w:rsid w:val="00395F6E"/>
    <w:rsid w:val="00397343"/>
    <w:rsid w:val="003C1256"/>
    <w:rsid w:val="003C4BD7"/>
    <w:rsid w:val="00451960"/>
    <w:rsid w:val="004571C4"/>
    <w:rsid w:val="004D69EB"/>
    <w:rsid w:val="004E2E96"/>
    <w:rsid w:val="005167E4"/>
    <w:rsid w:val="00520EF1"/>
    <w:rsid w:val="00535E77"/>
    <w:rsid w:val="00551211"/>
    <w:rsid w:val="00576BD8"/>
    <w:rsid w:val="00581769"/>
    <w:rsid w:val="005C0EAC"/>
    <w:rsid w:val="00680A0C"/>
    <w:rsid w:val="00695338"/>
    <w:rsid w:val="006D1F73"/>
    <w:rsid w:val="00723618"/>
    <w:rsid w:val="007466F6"/>
    <w:rsid w:val="007514C6"/>
    <w:rsid w:val="00794B79"/>
    <w:rsid w:val="007B12C8"/>
    <w:rsid w:val="007D156C"/>
    <w:rsid w:val="007D20FE"/>
    <w:rsid w:val="007E6AF7"/>
    <w:rsid w:val="008218C8"/>
    <w:rsid w:val="008371CC"/>
    <w:rsid w:val="008821F7"/>
    <w:rsid w:val="00897916"/>
    <w:rsid w:val="00936F9B"/>
    <w:rsid w:val="00940708"/>
    <w:rsid w:val="00991CE5"/>
    <w:rsid w:val="009926A4"/>
    <w:rsid w:val="0099514B"/>
    <w:rsid w:val="009B18FE"/>
    <w:rsid w:val="009B2946"/>
    <w:rsid w:val="00AD5D13"/>
    <w:rsid w:val="00B000F2"/>
    <w:rsid w:val="00B10FC9"/>
    <w:rsid w:val="00B23DED"/>
    <w:rsid w:val="00B50ECB"/>
    <w:rsid w:val="00B83BEA"/>
    <w:rsid w:val="00BA6859"/>
    <w:rsid w:val="00C930BC"/>
    <w:rsid w:val="00CA0B19"/>
    <w:rsid w:val="00CA3E29"/>
    <w:rsid w:val="00CB5F4D"/>
    <w:rsid w:val="00CD278D"/>
    <w:rsid w:val="00CF6612"/>
    <w:rsid w:val="00D4273F"/>
    <w:rsid w:val="00D50809"/>
    <w:rsid w:val="00DA396E"/>
    <w:rsid w:val="00DB6761"/>
    <w:rsid w:val="00E259D8"/>
    <w:rsid w:val="00E71FA4"/>
    <w:rsid w:val="00E80081"/>
    <w:rsid w:val="00EA5EF9"/>
    <w:rsid w:val="00EC5716"/>
    <w:rsid w:val="00F07245"/>
    <w:rsid w:val="00F10BC9"/>
    <w:rsid w:val="00F65DE1"/>
    <w:rsid w:val="00FA2D9C"/>
    <w:rsid w:val="00FA43A5"/>
    <w:rsid w:val="00FF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1E28"/>
  <w15:chartTrackingRefBased/>
  <w15:docId w15:val="{43987F37-F704-4D36-8EDD-04F6006B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F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7245"/>
    <w:rPr>
      <w:color w:val="0563C1" w:themeColor="hyperlink"/>
      <w:u w:val="single"/>
    </w:rPr>
  </w:style>
  <w:style w:type="character" w:styleId="UnresolvedMention">
    <w:name w:val="Unresolved Mention"/>
    <w:basedOn w:val="DefaultParagraphFont"/>
    <w:uiPriority w:val="99"/>
    <w:semiHidden/>
    <w:unhideWhenUsed/>
    <w:rsid w:val="00F07245"/>
    <w:rPr>
      <w:color w:val="605E5C"/>
      <w:shd w:val="clear" w:color="auto" w:fill="E1DFDD"/>
    </w:rPr>
  </w:style>
  <w:style w:type="paragraph" w:styleId="NormalWeb">
    <w:name w:val="Normal (Web)"/>
    <w:basedOn w:val="Normal"/>
    <w:uiPriority w:val="99"/>
    <w:semiHidden/>
    <w:unhideWhenUsed/>
    <w:rsid w:val="002C6D8C"/>
    <w:rPr>
      <w:rFonts w:ascii="Times New Roman" w:hAnsi="Times New Roman" w:cs="Times New Roman"/>
      <w:sz w:val="24"/>
      <w:szCs w:val="24"/>
    </w:rPr>
  </w:style>
  <w:style w:type="paragraph" w:customStyle="1" w:styleId="ManuscriptTitle">
    <w:name w:val="Manuscript Title"/>
    <w:rPr>
      <w:rFonts w:ascii="Times New Roman" w:hAnsi="Times New Roman"/>
      <w:b/>
      <w:sz w:val="28"/>
    </w:rPr>
  </w:style>
  <w:style w:type="paragraph" w:customStyle="1" w:styleId="SectionHeading">
    <w:name w:val="Section Heading"/>
    <w:rPr>
      <w:rFonts w:ascii="Times New Roman" w:hAnsi="Times New Roman"/>
      <w:b/>
      <w:sz w:val="24"/>
    </w:rPr>
  </w:style>
  <w:style w:type="paragraph" w:styleId="ListParagraph">
    <w:name w:val="List Paragraph"/>
    <w:basedOn w:val="Normal"/>
    <w:uiPriority w:val="34"/>
    <w:qFormat/>
    <w:rsid w:val="004E2E96"/>
    <w:pPr>
      <w:ind w:left="720"/>
      <w:contextualSpacing/>
    </w:pPr>
  </w:style>
  <w:style w:type="character" w:styleId="LineNumber">
    <w:name w:val="line number"/>
    <w:basedOn w:val="DefaultParagraphFont"/>
    <w:uiPriority w:val="99"/>
    <w:semiHidden/>
    <w:unhideWhenUsed/>
    <w:rsid w:val="006D1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0577">
      <w:bodyDiv w:val="1"/>
      <w:marLeft w:val="0"/>
      <w:marRight w:val="0"/>
      <w:marTop w:val="0"/>
      <w:marBottom w:val="0"/>
      <w:divBdr>
        <w:top w:val="none" w:sz="0" w:space="0" w:color="auto"/>
        <w:left w:val="none" w:sz="0" w:space="0" w:color="auto"/>
        <w:bottom w:val="none" w:sz="0" w:space="0" w:color="auto"/>
        <w:right w:val="none" w:sz="0" w:space="0" w:color="auto"/>
      </w:divBdr>
    </w:div>
    <w:div w:id="174997047">
      <w:bodyDiv w:val="1"/>
      <w:marLeft w:val="0"/>
      <w:marRight w:val="0"/>
      <w:marTop w:val="0"/>
      <w:marBottom w:val="0"/>
      <w:divBdr>
        <w:top w:val="none" w:sz="0" w:space="0" w:color="auto"/>
        <w:left w:val="none" w:sz="0" w:space="0" w:color="auto"/>
        <w:bottom w:val="none" w:sz="0" w:space="0" w:color="auto"/>
        <w:right w:val="none" w:sz="0" w:space="0" w:color="auto"/>
      </w:divBdr>
    </w:div>
    <w:div w:id="300157587">
      <w:bodyDiv w:val="1"/>
      <w:marLeft w:val="0"/>
      <w:marRight w:val="0"/>
      <w:marTop w:val="0"/>
      <w:marBottom w:val="0"/>
      <w:divBdr>
        <w:top w:val="none" w:sz="0" w:space="0" w:color="auto"/>
        <w:left w:val="none" w:sz="0" w:space="0" w:color="auto"/>
        <w:bottom w:val="none" w:sz="0" w:space="0" w:color="auto"/>
        <w:right w:val="none" w:sz="0" w:space="0" w:color="auto"/>
      </w:divBdr>
    </w:div>
    <w:div w:id="337080404">
      <w:bodyDiv w:val="1"/>
      <w:marLeft w:val="0"/>
      <w:marRight w:val="0"/>
      <w:marTop w:val="0"/>
      <w:marBottom w:val="0"/>
      <w:divBdr>
        <w:top w:val="none" w:sz="0" w:space="0" w:color="auto"/>
        <w:left w:val="none" w:sz="0" w:space="0" w:color="auto"/>
        <w:bottom w:val="none" w:sz="0" w:space="0" w:color="auto"/>
        <w:right w:val="none" w:sz="0" w:space="0" w:color="auto"/>
      </w:divBdr>
    </w:div>
    <w:div w:id="369888316">
      <w:bodyDiv w:val="1"/>
      <w:marLeft w:val="0"/>
      <w:marRight w:val="0"/>
      <w:marTop w:val="0"/>
      <w:marBottom w:val="0"/>
      <w:divBdr>
        <w:top w:val="none" w:sz="0" w:space="0" w:color="auto"/>
        <w:left w:val="none" w:sz="0" w:space="0" w:color="auto"/>
        <w:bottom w:val="none" w:sz="0" w:space="0" w:color="auto"/>
        <w:right w:val="none" w:sz="0" w:space="0" w:color="auto"/>
      </w:divBdr>
    </w:div>
    <w:div w:id="401875006">
      <w:bodyDiv w:val="1"/>
      <w:marLeft w:val="0"/>
      <w:marRight w:val="0"/>
      <w:marTop w:val="0"/>
      <w:marBottom w:val="0"/>
      <w:divBdr>
        <w:top w:val="none" w:sz="0" w:space="0" w:color="auto"/>
        <w:left w:val="none" w:sz="0" w:space="0" w:color="auto"/>
        <w:bottom w:val="none" w:sz="0" w:space="0" w:color="auto"/>
        <w:right w:val="none" w:sz="0" w:space="0" w:color="auto"/>
      </w:divBdr>
    </w:div>
    <w:div w:id="527253315">
      <w:bodyDiv w:val="1"/>
      <w:marLeft w:val="0"/>
      <w:marRight w:val="0"/>
      <w:marTop w:val="0"/>
      <w:marBottom w:val="0"/>
      <w:divBdr>
        <w:top w:val="none" w:sz="0" w:space="0" w:color="auto"/>
        <w:left w:val="none" w:sz="0" w:space="0" w:color="auto"/>
        <w:bottom w:val="none" w:sz="0" w:space="0" w:color="auto"/>
        <w:right w:val="none" w:sz="0" w:space="0" w:color="auto"/>
      </w:divBdr>
    </w:div>
    <w:div w:id="703601208">
      <w:bodyDiv w:val="1"/>
      <w:marLeft w:val="0"/>
      <w:marRight w:val="0"/>
      <w:marTop w:val="0"/>
      <w:marBottom w:val="0"/>
      <w:divBdr>
        <w:top w:val="none" w:sz="0" w:space="0" w:color="auto"/>
        <w:left w:val="none" w:sz="0" w:space="0" w:color="auto"/>
        <w:bottom w:val="none" w:sz="0" w:space="0" w:color="auto"/>
        <w:right w:val="none" w:sz="0" w:space="0" w:color="auto"/>
      </w:divBdr>
    </w:div>
    <w:div w:id="725880006">
      <w:bodyDiv w:val="1"/>
      <w:marLeft w:val="0"/>
      <w:marRight w:val="0"/>
      <w:marTop w:val="0"/>
      <w:marBottom w:val="0"/>
      <w:divBdr>
        <w:top w:val="none" w:sz="0" w:space="0" w:color="auto"/>
        <w:left w:val="none" w:sz="0" w:space="0" w:color="auto"/>
        <w:bottom w:val="none" w:sz="0" w:space="0" w:color="auto"/>
        <w:right w:val="none" w:sz="0" w:space="0" w:color="auto"/>
      </w:divBdr>
    </w:div>
    <w:div w:id="838037546">
      <w:bodyDiv w:val="1"/>
      <w:marLeft w:val="0"/>
      <w:marRight w:val="0"/>
      <w:marTop w:val="0"/>
      <w:marBottom w:val="0"/>
      <w:divBdr>
        <w:top w:val="none" w:sz="0" w:space="0" w:color="auto"/>
        <w:left w:val="none" w:sz="0" w:space="0" w:color="auto"/>
        <w:bottom w:val="none" w:sz="0" w:space="0" w:color="auto"/>
        <w:right w:val="none" w:sz="0" w:space="0" w:color="auto"/>
      </w:divBdr>
    </w:div>
    <w:div w:id="885797010">
      <w:bodyDiv w:val="1"/>
      <w:marLeft w:val="0"/>
      <w:marRight w:val="0"/>
      <w:marTop w:val="0"/>
      <w:marBottom w:val="0"/>
      <w:divBdr>
        <w:top w:val="none" w:sz="0" w:space="0" w:color="auto"/>
        <w:left w:val="none" w:sz="0" w:space="0" w:color="auto"/>
        <w:bottom w:val="none" w:sz="0" w:space="0" w:color="auto"/>
        <w:right w:val="none" w:sz="0" w:space="0" w:color="auto"/>
      </w:divBdr>
    </w:div>
    <w:div w:id="904875846">
      <w:bodyDiv w:val="1"/>
      <w:marLeft w:val="0"/>
      <w:marRight w:val="0"/>
      <w:marTop w:val="0"/>
      <w:marBottom w:val="0"/>
      <w:divBdr>
        <w:top w:val="none" w:sz="0" w:space="0" w:color="auto"/>
        <w:left w:val="none" w:sz="0" w:space="0" w:color="auto"/>
        <w:bottom w:val="none" w:sz="0" w:space="0" w:color="auto"/>
        <w:right w:val="none" w:sz="0" w:space="0" w:color="auto"/>
      </w:divBdr>
    </w:div>
    <w:div w:id="930696822">
      <w:bodyDiv w:val="1"/>
      <w:marLeft w:val="0"/>
      <w:marRight w:val="0"/>
      <w:marTop w:val="0"/>
      <w:marBottom w:val="0"/>
      <w:divBdr>
        <w:top w:val="none" w:sz="0" w:space="0" w:color="auto"/>
        <w:left w:val="none" w:sz="0" w:space="0" w:color="auto"/>
        <w:bottom w:val="none" w:sz="0" w:space="0" w:color="auto"/>
        <w:right w:val="none" w:sz="0" w:space="0" w:color="auto"/>
      </w:divBdr>
    </w:div>
    <w:div w:id="1023869414">
      <w:bodyDiv w:val="1"/>
      <w:marLeft w:val="0"/>
      <w:marRight w:val="0"/>
      <w:marTop w:val="0"/>
      <w:marBottom w:val="0"/>
      <w:divBdr>
        <w:top w:val="none" w:sz="0" w:space="0" w:color="auto"/>
        <w:left w:val="none" w:sz="0" w:space="0" w:color="auto"/>
        <w:bottom w:val="none" w:sz="0" w:space="0" w:color="auto"/>
        <w:right w:val="none" w:sz="0" w:space="0" w:color="auto"/>
      </w:divBdr>
    </w:div>
    <w:div w:id="1057362317">
      <w:bodyDiv w:val="1"/>
      <w:marLeft w:val="0"/>
      <w:marRight w:val="0"/>
      <w:marTop w:val="0"/>
      <w:marBottom w:val="0"/>
      <w:divBdr>
        <w:top w:val="none" w:sz="0" w:space="0" w:color="auto"/>
        <w:left w:val="none" w:sz="0" w:space="0" w:color="auto"/>
        <w:bottom w:val="none" w:sz="0" w:space="0" w:color="auto"/>
        <w:right w:val="none" w:sz="0" w:space="0" w:color="auto"/>
      </w:divBdr>
    </w:div>
    <w:div w:id="1152216353">
      <w:bodyDiv w:val="1"/>
      <w:marLeft w:val="0"/>
      <w:marRight w:val="0"/>
      <w:marTop w:val="0"/>
      <w:marBottom w:val="0"/>
      <w:divBdr>
        <w:top w:val="none" w:sz="0" w:space="0" w:color="auto"/>
        <w:left w:val="none" w:sz="0" w:space="0" w:color="auto"/>
        <w:bottom w:val="none" w:sz="0" w:space="0" w:color="auto"/>
        <w:right w:val="none" w:sz="0" w:space="0" w:color="auto"/>
      </w:divBdr>
    </w:div>
    <w:div w:id="1164396132">
      <w:bodyDiv w:val="1"/>
      <w:marLeft w:val="0"/>
      <w:marRight w:val="0"/>
      <w:marTop w:val="0"/>
      <w:marBottom w:val="0"/>
      <w:divBdr>
        <w:top w:val="none" w:sz="0" w:space="0" w:color="auto"/>
        <w:left w:val="none" w:sz="0" w:space="0" w:color="auto"/>
        <w:bottom w:val="none" w:sz="0" w:space="0" w:color="auto"/>
        <w:right w:val="none" w:sz="0" w:space="0" w:color="auto"/>
      </w:divBdr>
      <w:divsChild>
        <w:div w:id="616182986">
          <w:marLeft w:val="0"/>
          <w:marRight w:val="0"/>
          <w:marTop w:val="0"/>
          <w:marBottom w:val="0"/>
          <w:divBdr>
            <w:top w:val="none" w:sz="0" w:space="0" w:color="auto"/>
            <w:left w:val="none" w:sz="0" w:space="0" w:color="auto"/>
            <w:bottom w:val="none" w:sz="0" w:space="0" w:color="auto"/>
            <w:right w:val="none" w:sz="0" w:space="0" w:color="auto"/>
          </w:divBdr>
          <w:divsChild>
            <w:div w:id="175196319">
              <w:marLeft w:val="0"/>
              <w:marRight w:val="0"/>
              <w:marTop w:val="0"/>
              <w:marBottom w:val="0"/>
              <w:divBdr>
                <w:top w:val="none" w:sz="0" w:space="0" w:color="auto"/>
                <w:left w:val="none" w:sz="0" w:space="0" w:color="auto"/>
                <w:bottom w:val="none" w:sz="0" w:space="0" w:color="auto"/>
                <w:right w:val="none" w:sz="0" w:space="0" w:color="auto"/>
              </w:divBdr>
              <w:divsChild>
                <w:div w:id="1505317587">
                  <w:marLeft w:val="0"/>
                  <w:marRight w:val="0"/>
                  <w:marTop w:val="0"/>
                  <w:marBottom w:val="0"/>
                  <w:divBdr>
                    <w:top w:val="none" w:sz="0" w:space="0" w:color="auto"/>
                    <w:left w:val="none" w:sz="0" w:space="0" w:color="auto"/>
                    <w:bottom w:val="none" w:sz="0" w:space="0" w:color="auto"/>
                    <w:right w:val="none" w:sz="0" w:space="0" w:color="auto"/>
                  </w:divBdr>
                  <w:divsChild>
                    <w:div w:id="11684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36989">
      <w:bodyDiv w:val="1"/>
      <w:marLeft w:val="0"/>
      <w:marRight w:val="0"/>
      <w:marTop w:val="0"/>
      <w:marBottom w:val="0"/>
      <w:divBdr>
        <w:top w:val="none" w:sz="0" w:space="0" w:color="auto"/>
        <w:left w:val="none" w:sz="0" w:space="0" w:color="auto"/>
        <w:bottom w:val="none" w:sz="0" w:space="0" w:color="auto"/>
        <w:right w:val="none" w:sz="0" w:space="0" w:color="auto"/>
      </w:divBdr>
      <w:divsChild>
        <w:div w:id="2089888399">
          <w:marLeft w:val="0"/>
          <w:marRight w:val="0"/>
          <w:marTop w:val="0"/>
          <w:marBottom w:val="0"/>
          <w:divBdr>
            <w:top w:val="none" w:sz="0" w:space="0" w:color="auto"/>
            <w:left w:val="none" w:sz="0" w:space="0" w:color="auto"/>
            <w:bottom w:val="none" w:sz="0" w:space="0" w:color="auto"/>
            <w:right w:val="none" w:sz="0" w:space="0" w:color="auto"/>
          </w:divBdr>
          <w:divsChild>
            <w:div w:id="1645356775">
              <w:marLeft w:val="0"/>
              <w:marRight w:val="0"/>
              <w:marTop w:val="0"/>
              <w:marBottom w:val="0"/>
              <w:divBdr>
                <w:top w:val="none" w:sz="0" w:space="0" w:color="auto"/>
                <w:left w:val="none" w:sz="0" w:space="0" w:color="auto"/>
                <w:bottom w:val="none" w:sz="0" w:space="0" w:color="auto"/>
                <w:right w:val="none" w:sz="0" w:space="0" w:color="auto"/>
              </w:divBdr>
              <w:divsChild>
                <w:div w:id="595553016">
                  <w:marLeft w:val="0"/>
                  <w:marRight w:val="0"/>
                  <w:marTop w:val="0"/>
                  <w:marBottom w:val="0"/>
                  <w:divBdr>
                    <w:top w:val="none" w:sz="0" w:space="0" w:color="auto"/>
                    <w:left w:val="none" w:sz="0" w:space="0" w:color="auto"/>
                    <w:bottom w:val="none" w:sz="0" w:space="0" w:color="auto"/>
                    <w:right w:val="none" w:sz="0" w:space="0" w:color="auto"/>
                  </w:divBdr>
                  <w:divsChild>
                    <w:div w:id="18744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685428">
      <w:bodyDiv w:val="1"/>
      <w:marLeft w:val="0"/>
      <w:marRight w:val="0"/>
      <w:marTop w:val="0"/>
      <w:marBottom w:val="0"/>
      <w:divBdr>
        <w:top w:val="none" w:sz="0" w:space="0" w:color="auto"/>
        <w:left w:val="none" w:sz="0" w:space="0" w:color="auto"/>
        <w:bottom w:val="none" w:sz="0" w:space="0" w:color="auto"/>
        <w:right w:val="none" w:sz="0" w:space="0" w:color="auto"/>
      </w:divBdr>
    </w:div>
    <w:div w:id="1484735145">
      <w:bodyDiv w:val="1"/>
      <w:marLeft w:val="0"/>
      <w:marRight w:val="0"/>
      <w:marTop w:val="0"/>
      <w:marBottom w:val="0"/>
      <w:divBdr>
        <w:top w:val="none" w:sz="0" w:space="0" w:color="auto"/>
        <w:left w:val="none" w:sz="0" w:space="0" w:color="auto"/>
        <w:bottom w:val="none" w:sz="0" w:space="0" w:color="auto"/>
        <w:right w:val="none" w:sz="0" w:space="0" w:color="auto"/>
      </w:divBdr>
    </w:div>
    <w:div w:id="1487744863">
      <w:bodyDiv w:val="1"/>
      <w:marLeft w:val="0"/>
      <w:marRight w:val="0"/>
      <w:marTop w:val="0"/>
      <w:marBottom w:val="0"/>
      <w:divBdr>
        <w:top w:val="none" w:sz="0" w:space="0" w:color="auto"/>
        <w:left w:val="none" w:sz="0" w:space="0" w:color="auto"/>
        <w:bottom w:val="none" w:sz="0" w:space="0" w:color="auto"/>
        <w:right w:val="none" w:sz="0" w:space="0" w:color="auto"/>
      </w:divBdr>
    </w:div>
    <w:div w:id="1499610338">
      <w:bodyDiv w:val="1"/>
      <w:marLeft w:val="0"/>
      <w:marRight w:val="0"/>
      <w:marTop w:val="0"/>
      <w:marBottom w:val="0"/>
      <w:divBdr>
        <w:top w:val="none" w:sz="0" w:space="0" w:color="auto"/>
        <w:left w:val="none" w:sz="0" w:space="0" w:color="auto"/>
        <w:bottom w:val="none" w:sz="0" w:space="0" w:color="auto"/>
        <w:right w:val="none" w:sz="0" w:space="0" w:color="auto"/>
      </w:divBdr>
    </w:div>
    <w:div w:id="1607729455">
      <w:bodyDiv w:val="1"/>
      <w:marLeft w:val="0"/>
      <w:marRight w:val="0"/>
      <w:marTop w:val="0"/>
      <w:marBottom w:val="0"/>
      <w:divBdr>
        <w:top w:val="none" w:sz="0" w:space="0" w:color="auto"/>
        <w:left w:val="none" w:sz="0" w:space="0" w:color="auto"/>
        <w:bottom w:val="none" w:sz="0" w:space="0" w:color="auto"/>
        <w:right w:val="none" w:sz="0" w:space="0" w:color="auto"/>
      </w:divBdr>
    </w:div>
    <w:div w:id="1672490211">
      <w:bodyDiv w:val="1"/>
      <w:marLeft w:val="0"/>
      <w:marRight w:val="0"/>
      <w:marTop w:val="0"/>
      <w:marBottom w:val="0"/>
      <w:divBdr>
        <w:top w:val="none" w:sz="0" w:space="0" w:color="auto"/>
        <w:left w:val="none" w:sz="0" w:space="0" w:color="auto"/>
        <w:bottom w:val="none" w:sz="0" w:space="0" w:color="auto"/>
        <w:right w:val="none" w:sz="0" w:space="0" w:color="auto"/>
      </w:divBdr>
    </w:div>
    <w:div w:id="1855219678">
      <w:bodyDiv w:val="1"/>
      <w:marLeft w:val="0"/>
      <w:marRight w:val="0"/>
      <w:marTop w:val="0"/>
      <w:marBottom w:val="0"/>
      <w:divBdr>
        <w:top w:val="none" w:sz="0" w:space="0" w:color="auto"/>
        <w:left w:val="none" w:sz="0" w:space="0" w:color="auto"/>
        <w:bottom w:val="none" w:sz="0" w:space="0" w:color="auto"/>
        <w:right w:val="none" w:sz="0" w:space="0" w:color="auto"/>
      </w:divBdr>
    </w:div>
    <w:div w:id="1908950759">
      <w:bodyDiv w:val="1"/>
      <w:marLeft w:val="0"/>
      <w:marRight w:val="0"/>
      <w:marTop w:val="0"/>
      <w:marBottom w:val="0"/>
      <w:divBdr>
        <w:top w:val="none" w:sz="0" w:space="0" w:color="auto"/>
        <w:left w:val="none" w:sz="0" w:space="0" w:color="auto"/>
        <w:bottom w:val="none" w:sz="0" w:space="0" w:color="auto"/>
        <w:right w:val="none" w:sz="0" w:space="0" w:color="auto"/>
      </w:divBdr>
    </w:div>
    <w:div w:id="1919633280">
      <w:bodyDiv w:val="1"/>
      <w:marLeft w:val="0"/>
      <w:marRight w:val="0"/>
      <w:marTop w:val="0"/>
      <w:marBottom w:val="0"/>
      <w:divBdr>
        <w:top w:val="none" w:sz="0" w:space="0" w:color="auto"/>
        <w:left w:val="none" w:sz="0" w:space="0" w:color="auto"/>
        <w:bottom w:val="none" w:sz="0" w:space="0" w:color="auto"/>
        <w:right w:val="none" w:sz="0" w:space="0" w:color="auto"/>
      </w:divBdr>
    </w:div>
    <w:div w:id="1921599485">
      <w:bodyDiv w:val="1"/>
      <w:marLeft w:val="0"/>
      <w:marRight w:val="0"/>
      <w:marTop w:val="0"/>
      <w:marBottom w:val="0"/>
      <w:divBdr>
        <w:top w:val="none" w:sz="0" w:space="0" w:color="auto"/>
        <w:left w:val="none" w:sz="0" w:space="0" w:color="auto"/>
        <w:bottom w:val="none" w:sz="0" w:space="0" w:color="auto"/>
        <w:right w:val="none" w:sz="0" w:space="0" w:color="auto"/>
      </w:divBdr>
    </w:div>
    <w:div w:id="200127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ochrane.org/authors/handbooks-and-manuals/handbook/curr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26</Pages>
  <Words>7063</Words>
  <Characters>40264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PT ANOA MANDIRI SEJAHTERA</cp:lastModifiedBy>
  <cp:revision>10</cp:revision>
  <dcterms:created xsi:type="dcterms:W3CDTF">2026-06-02T07:58:00Z</dcterms:created>
  <dcterms:modified xsi:type="dcterms:W3CDTF">2026-06-05T02:58:00Z</dcterms:modified>
</cp:coreProperties>
</file>