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FE16" w14:textId="77777777" w:rsidR="00436A40" w:rsidRPr="00E71FA4" w:rsidRDefault="00436A40" w:rsidP="00436A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1FA4">
        <w:rPr>
          <w:rFonts w:ascii="Times New Roman" w:hAnsi="Times New Roman" w:cs="Times New Roman"/>
          <w:b/>
          <w:bCs/>
          <w:sz w:val="24"/>
          <w:szCs w:val="24"/>
        </w:rPr>
        <w:t>Tables</w:t>
      </w:r>
    </w:p>
    <w:p w14:paraId="3D048EAC" w14:textId="77777777" w:rsidR="00436A40" w:rsidRDefault="00436A40" w:rsidP="00436A40">
      <w:pPr>
        <w:rPr>
          <w:rFonts w:ascii="Times New Roman" w:hAnsi="Times New Roman" w:cs="Times New Roman"/>
          <w:sz w:val="24"/>
          <w:szCs w:val="24"/>
        </w:rPr>
      </w:pPr>
      <w:r w:rsidRPr="00E71FA4">
        <w:rPr>
          <w:rFonts w:ascii="Times New Roman" w:hAnsi="Times New Roman" w:cs="Times New Roman"/>
          <w:b/>
          <w:bCs/>
          <w:sz w:val="24"/>
          <w:szCs w:val="24"/>
        </w:rPr>
        <w:t xml:space="preserve">Table 1. </w:t>
      </w:r>
      <w:r w:rsidRPr="00E71FA4">
        <w:rPr>
          <w:rFonts w:ascii="Times New Roman" w:hAnsi="Times New Roman" w:cs="Times New Roman"/>
          <w:sz w:val="24"/>
          <w:szCs w:val="24"/>
        </w:rPr>
        <w:t>PICO Framework of the Study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95"/>
        <w:gridCol w:w="6421"/>
      </w:tblGrid>
      <w:tr w:rsidR="00436A40" w:rsidRPr="00E71FA4" w14:paraId="55AE6D32" w14:textId="77777777" w:rsidTr="00891F1C">
        <w:trPr>
          <w:trHeight w:val="290"/>
          <w:tblHeader/>
          <w:jc w:val="center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2E23FE9" w14:textId="77777777" w:rsidR="00436A40" w:rsidRPr="00E71FA4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1F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6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CBACF45" w14:textId="77777777" w:rsidR="00436A40" w:rsidRPr="00E71FA4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1F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Information</w:t>
            </w:r>
          </w:p>
        </w:tc>
      </w:tr>
      <w:tr w:rsidR="00436A40" w:rsidRPr="00E71FA4" w14:paraId="0017B22B" w14:textId="77777777" w:rsidTr="00891F1C">
        <w:trPr>
          <w:trHeight w:val="290"/>
          <w:jc w:val="center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F9FFCFE" w14:textId="77777777" w:rsidR="00436A40" w:rsidRPr="00E71FA4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FA4">
              <w:rPr>
                <w:rFonts w:ascii="Times New Roman" w:hAnsi="Times New Roman" w:cs="Times New Roman"/>
                <w:sz w:val="24"/>
                <w:szCs w:val="24"/>
              </w:rPr>
              <w:t>P (Population)</w:t>
            </w:r>
          </w:p>
        </w:tc>
        <w:tc>
          <w:tcPr>
            <w:tcW w:w="6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7B97058" w14:textId="77777777" w:rsidR="00436A40" w:rsidRPr="00E71FA4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FA4">
              <w:rPr>
                <w:rFonts w:ascii="Times New Roman" w:hAnsi="Times New Roman" w:cs="Times New Roman"/>
                <w:sz w:val="24"/>
                <w:szCs w:val="24"/>
              </w:rPr>
              <w:t>Patients with intestinal stoma, including ileostomy, colostomy, jejunostomy, enterostomy, loop stoma, end stoma, temporary stoma, or permanent stoma.</w:t>
            </w:r>
          </w:p>
        </w:tc>
      </w:tr>
      <w:tr w:rsidR="00436A40" w:rsidRPr="00E71FA4" w14:paraId="6902AD98" w14:textId="77777777" w:rsidTr="00891F1C">
        <w:trPr>
          <w:trHeight w:val="290"/>
          <w:jc w:val="center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81AD910" w14:textId="77777777" w:rsidR="00436A40" w:rsidRPr="00E71FA4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FA4">
              <w:rPr>
                <w:rFonts w:ascii="Times New Roman" w:hAnsi="Times New Roman" w:cs="Times New Roman"/>
                <w:sz w:val="24"/>
                <w:szCs w:val="24"/>
              </w:rPr>
              <w:t>I (Intervention/Exposure)</w:t>
            </w:r>
          </w:p>
        </w:tc>
        <w:tc>
          <w:tcPr>
            <w:tcW w:w="6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906128F" w14:textId="77777777" w:rsidR="00436A40" w:rsidRPr="00E71FA4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FA4">
              <w:rPr>
                <w:rFonts w:ascii="Times New Roman" w:hAnsi="Times New Roman" w:cs="Times New Roman"/>
                <w:sz w:val="24"/>
                <w:szCs w:val="24"/>
              </w:rPr>
              <w:t>Clinical, technical, and treatment risk factors related to complications or quality of life, such as stoma type, emergency surgery, elective surgery, stoma-site marking, diabetes mellitus, obesity, ASA score, chemotherapy, radiotherapy, loop stoma, end stoma, and stoma height.</w:t>
            </w:r>
          </w:p>
        </w:tc>
      </w:tr>
      <w:tr w:rsidR="00436A40" w:rsidRPr="00E71FA4" w14:paraId="3FA3D29C" w14:textId="77777777" w:rsidTr="00891F1C">
        <w:trPr>
          <w:trHeight w:val="290"/>
          <w:jc w:val="center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CAA285" w14:textId="77777777" w:rsidR="00436A40" w:rsidRPr="00E71FA4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FA4">
              <w:rPr>
                <w:rFonts w:ascii="Times New Roman" w:hAnsi="Times New Roman" w:cs="Times New Roman"/>
                <w:sz w:val="24"/>
                <w:szCs w:val="24"/>
              </w:rPr>
              <w:t>C (Comparison)</w:t>
            </w:r>
          </w:p>
        </w:tc>
        <w:tc>
          <w:tcPr>
            <w:tcW w:w="6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6C99D49" w14:textId="77777777" w:rsidR="00436A40" w:rsidRPr="00E71FA4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FA4">
              <w:rPr>
                <w:rFonts w:ascii="Times New Roman" w:hAnsi="Times New Roman" w:cs="Times New Roman"/>
                <w:sz w:val="24"/>
                <w:szCs w:val="24"/>
              </w:rPr>
              <w:t>Group without risk factors, reference group, comparison stoma type, patients without complications, or patients with better quality of life.</w:t>
            </w:r>
          </w:p>
        </w:tc>
      </w:tr>
      <w:tr w:rsidR="00436A40" w:rsidRPr="00E71FA4" w14:paraId="75591A5E" w14:textId="77777777" w:rsidTr="00891F1C">
        <w:trPr>
          <w:trHeight w:val="290"/>
          <w:jc w:val="center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AD38364" w14:textId="77777777" w:rsidR="00436A40" w:rsidRPr="00E71FA4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FA4">
              <w:rPr>
                <w:rFonts w:ascii="Times New Roman" w:hAnsi="Times New Roman" w:cs="Times New Roman"/>
                <w:sz w:val="24"/>
                <w:szCs w:val="24"/>
              </w:rPr>
              <w:t>O (Outcome)</w:t>
            </w:r>
          </w:p>
        </w:tc>
        <w:tc>
          <w:tcPr>
            <w:tcW w:w="6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F644933" w14:textId="77777777" w:rsidR="00436A40" w:rsidRPr="00E71FA4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1FA4">
              <w:rPr>
                <w:rFonts w:ascii="Times New Roman" w:hAnsi="Times New Roman" w:cs="Times New Roman"/>
                <w:sz w:val="24"/>
                <w:szCs w:val="24"/>
              </w:rPr>
              <w:t>Postoperative complications, stoma-related complications, peristomal skin complications, mucocutaneous separation, stoma necrosis, retraction, prolapse, parastomal hernia, high-output stoma, stoma outlet obstruction, readmission, surgical site infection, stoma closure/reversal complications, and poor quality of life.</w:t>
            </w:r>
          </w:p>
        </w:tc>
      </w:tr>
    </w:tbl>
    <w:p w14:paraId="76557744" w14:textId="77777777" w:rsidR="00436A40" w:rsidRDefault="00436A40" w:rsidP="00436A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CD53EE" w14:textId="77777777" w:rsidR="00436A40" w:rsidRDefault="00436A40" w:rsidP="00436A40">
      <w:pPr>
        <w:rPr>
          <w:rFonts w:ascii="Times New Roman" w:hAnsi="Times New Roman" w:cs="Times New Roman"/>
          <w:sz w:val="24"/>
          <w:szCs w:val="24"/>
        </w:rPr>
      </w:pPr>
      <w:r w:rsidRPr="00E71FA4">
        <w:rPr>
          <w:rFonts w:ascii="Times New Roman" w:hAnsi="Times New Roman" w:cs="Times New Roman"/>
          <w:b/>
          <w:bCs/>
          <w:sz w:val="24"/>
          <w:szCs w:val="24"/>
        </w:rPr>
        <w:t xml:space="preserve">Table 2. </w:t>
      </w:r>
      <w:r w:rsidRPr="00E71FA4">
        <w:rPr>
          <w:rFonts w:ascii="Times New Roman" w:hAnsi="Times New Roman" w:cs="Times New Roman"/>
          <w:sz w:val="24"/>
          <w:szCs w:val="24"/>
        </w:rPr>
        <w:t>Number of Articles by Search Database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7"/>
        <w:gridCol w:w="6245"/>
        <w:gridCol w:w="1064"/>
      </w:tblGrid>
      <w:tr w:rsidR="00436A40" w:rsidRPr="009B18FE" w14:paraId="50B2D93A" w14:textId="77777777" w:rsidTr="00891F1C">
        <w:trPr>
          <w:trHeight w:val="290"/>
          <w:tblHeader/>
          <w:jc w:val="center"/>
        </w:trPr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B199E6A" w14:textId="77777777" w:rsidR="00436A40" w:rsidRPr="009B18FE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7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0DF10E4" w14:textId="77777777" w:rsidR="00436A40" w:rsidRPr="009B18FE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Keyword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897C023" w14:textId="77777777" w:rsidR="00436A40" w:rsidRPr="009B18FE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 of Articles</w:t>
            </w:r>
          </w:p>
        </w:tc>
      </w:tr>
      <w:tr w:rsidR="00436A40" w:rsidRPr="009B18FE" w14:paraId="5BE58EC3" w14:textId="77777777" w:rsidTr="00891F1C">
        <w:trPr>
          <w:trHeight w:val="290"/>
          <w:jc w:val="center"/>
        </w:trPr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8447017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PubMed/MEDLINE</w:t>
            </w:r>
          </w:p>
        </w:tc>
        <w:tc>
          <w:tcPr>
            <w:tcW w:w="7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48D2361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 xml:space="preserve">(“intestinal stoma” OR ostomy OR stoma OR ileostomy OR colostomy OR enterostomy) AND (“postoperative complications” OR “stoma-related complications” OR “peristomal skin complications” OR “mucocutaneous separation” OR “parastomal hernia” OR “high-output stoma” OR readmission OR “surgical site infection”) AND (“risk factors” OR predictor OR determinants OR “odds ratio” OR “confidence interval” OR “quality of life” OR </w:t>
            </w:r>
            <w:proofErr w:type="spellStart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HRQoL</w:t>
            </w:r>
            <w:proofErr w:type="spellEnd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 xml:space="preserve"> OR “Stoma-QOL”)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5933859" w14:textId="77777777" w:rsidR="00436A40" w:rsidRPr="009B18FE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</w:tr>
      <w:tr w:rsidR="00436A40" w:rsidRPr="009B18FE" w14:paraId="034C3718" w14:textId="77777777" w:rsidTr="00891F1C">
        <w:trPr>
          <w:trHeight w:val="290"/>
          <w:jc w:val="center"/>
        </w:trPr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0A2C647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Scopus</w:t>
            </w:r>
          </w:p>
        </w:tc>
        <w:tc>
          <w:tcPr>
            <w:tcW w:w="7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F9D59CC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 xml:space="preserve">TITLE-ABS-KEY (“intestinal stoma” OR ostomy OR ileostomy OR colostomy OR enterostomy) AND TITLE-ABS-KEY (“postoperative complication” OR “stoma-related complication” OR “peristomal skin complication” OR “parastomal hernia” OR “high-output stoma” OR retraction OR prolapse OR necrosis OR readmission) AND TITLE-ABS-KEY (“risk factor” OR predictor OR determinant OR “quality of life” OR </w:t>
            </w:r>
            <w:proofErr w:type="spellStart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HRQoL</w:t>
            </w:r>
            <w:proofErr w:type="spellEnd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 xml:space="preserve"> OR “odds ratio” OR “confidence interval”) AND PUBYEAR &gt; 2016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28AD64D" w14:textId="77777777" w:rsidR="00436A40" w:rsidRPr="009B18FE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118</w:t>
            </w:r>
          </w:p>
        </w:tc>
      </w:tr>
      <w:tr w:rsidR="00436A40" w:rsidRPr="009B18FE" w14:paraId="72F7FE99" w14:textId="77777777" w:rsidTr="00891F1C">
        <w:trPr>
          <w:trHeight w:val="290"/>
          <w:jc w:val="center"/>
        </w:trPr>
        <w:tc>
          <w:tcPr>
            <w:tcW w:w="1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DEA5582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Web of Science</w:t>
            </w:r>
          </w:p>
        </w:tc>
        <w:tc>
          <w:tcPr>
            <w:tcW w:w="7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1DF2223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TS</w:t>
            </w:r>
            <w:proofErr w:type="gramStart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=(</w:t>
            </w:r>
            <w:proofErr w:type="gramEnd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“intestinal stoma” OR ostomy OR ileostomy OR colostomy OR enterostomy) AND TS</w:t>
            </w:r>
            <w:proofErr w:type="gramStart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=(</w:t>
            </w:r>
            <w:proofErr w:type="gramEnd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“postoperative complication” OR “stoma-related complication” OR “peristomal skin complication” OR “mucocutaneous separation” OR “parastomal hernia” OR “high-output stoma” OR readmission OR “surgical site infection”) AND TS</w:t>
            </w:r>
            <w:proofErr w:type="gramStart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=(</w:t>
            </w:r>
            <w:proofErr w:type="gramEnd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 xml:space="preserve">“risk factor” OR predictor OR determinant OR “quality of life” OR </w:t>
            </w:r>
            <w:proofErr w:type="spellStart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HRQoL</w:t>
            </w:r>
            <w:proofErr w:type="spellEnd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 xml:space="preserve"> OR “Stoma-QOL”)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82D7541" w14:textId="77777777" w:rsidR="00436A40" w:rsidRPr="009B18FE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436A40" w:rsidRPr="009B18FE" w14:paraId="0DE71FC9" w14:textId="77777777" w:rsidTr="00891F1C">
        <w:trPr>
          <w:trHeight w:val="290"/>
          <w:jc w:val="center"/>
        </w:trPr>
        <w:tc>
          <w:tcPr>
            <w:tcW w:w="77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EEF386E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A54AFC0" w14:textId="77777777" w:rsidR="00436A40" w:rsidRPr="009B18FE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295</w:t>
            </w:r>
          </w:p>
        </w:tc>
      </w:tr>
    </w:tbl>
    <w:p w14:paraId="76BB1CFC" w14:textId="77777777" w:rsidR="00436A40" w:rsidRPr="00E71FA4" w:rsidRDefault="00436A40" w:rsidP="00436A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53EDE1" w14:textId="77777777" w:rsidR="00436A40" w:rsidRDefault="00436A40" w:rsidP="00436A40">
      <w:pPr>
        <w:rPr>
          <w:rFonts w:ascii="Times New Roman" w:hAnsi="Times New Roman" w:cs="Times New Roman"/>
          <w:sz w:val="24"/>
          <w:szCs w:val="24"/>
        </w:rPr>
      </w:pPr>
      <w:r w:rsidRPr="00E71FA4">
        <w:rPr>
          <w:rFonts w:ascii="Times New Roman" w:hAnsi="Times New Roman" w:cs="Times New Roman"/>
          <w:b/>
          <w:bCs/>
          <w:sz w:val="24"/>
          <w:szCs w:val="24"/>
        </w:rPr>
        <w:t xml:space="preserve">Table 3. </w:t>
      </w:r>
      <w:r w:rsidRPr="00E71FA4">
        <w:rPr>
          <w:rFonts w:ascii="Times New Roman" w:hAnsi="Times New Roman" w:cs="Times New Roman"/>
          <w:sz w:val="24"/>
          <w:szCs w:val="24"/>
        </w:rPr>
        <w:t>Descriptive Distribution of Included Articles Based on Study Characteristics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64"/>
        <w:gridCol w:w="4024"/>
        <w:gridCol w:w="1495"/>
        <w:gridCol w:w="1533"/>
      </w:tblGrid>
      <w:tr w:rsidR="00436A40" w:rsidRPr="009B18FE" w14:paraId="04580C45" w14:textId="77777777" w:rsidTr="00891F1C">
        <w:trPr>
          <w:tblHeader/>
          <w:jc w:val="center"/>
        </w:trPr>
        <w:tc>
          <w:tcPr>
            <w:tcW w:w="1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98DCE" w14:textId="77777777" w:rsidR="00436A40" w:rsidRPr="009B18FE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b/>
                <w:sz w:val="24"/>
                <w:szCs w:val="24"/>
              </w:rPr>
              <w:t>Characteristics</w:t>
            </w: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21F31A" w14:textId="77777777" w:rsidR="00436A40" w:rsidRPr="009B18FE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b/>
                <w:sz w:val="24"/>
                <w:szCs w:val="24"/>
              </w:rPr>
              <w:t>Category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80011" w14:textId="77777777" w:rsidR="00436A40" w:rsidRPr="009B18FE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b/>
                <w:sz w:val="24"/>
                <w:szCs w:val="24"/>
              </w:rPr>
              <w:t>Number of Articles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75AED" w14:textId="77777777" w:rsidR="00436A40" w:rsidRPr="009B18FE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b/>
                <w:sz w:val="24"/>
                <w:szCs w:val="24"/>
              </w:rPr>
              <w:t>Percentage</w:t>
            </w:r>
          </w:p>
        </w:tc>
      </w:tr>
      <w:tr w:rsidR="00436A40" w:rsidRPr="009B18FE" w14:paraId="782427EC" w14:textId="77777777" w:rsidTr="00891F1C">
        <w:trPr>
          <w:jc w:val="center"/>
        </w:trPr>
        <w:tc>
          <w:tcPr>
            <w:tcW w:w="1994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DB6232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Publication Year</w:t>
            </w: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2FBAB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DB159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9A88E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16.67%</w:t>
            </w:r>
          </w:p>
        </w:tc>
      </w:tr>
      <w:tr w:rsidR="00436A40" w:rsidRPr="009B18FE" w14:paraId="58F3C144" w14:textId="77777777" w:rsidTr="00891F1C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C8EDC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146CB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5AE6A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0FC17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8.33%</w:t>
            </w:r>
          </w:p>
        </w:tc>
      </w:tr>
      <w:tr w:rsidR="00436A40" w:rsidRPr="009B18FE" w14:paraId="639FD9EC" w14:textId="77777777" w:rsidTr="00891F1C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4A2F6A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09A397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D5A688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27E9B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33.33%</w:t>
            </w:r>
          </w:p>
        </w:tc>
      </w:tr>
      <w:tr w:rsidR="00436A40" w:rsidRPr="009B18FE" w14:paraId="0F2E0978" w14:textId="77777777" w:rsidTr="00891F1C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815DE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EBA50A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273DBC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782B9E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8.33%</w:t>
            </w:r>
          </w:p>
        </w:tc>
      </w:tr>
      <w:tr w:rsidR="00436A40" w:rsidRPr="009B18FE" w14:paraId="1E82354C" w14:textId="77777777" w:rsidTr="00891F1C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2DF57E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FC5C2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25502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3E3AD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16.67%</w:t>
            </w:r>
          </w:p>
        </w:tc>
      </w:tr>
      <w:tr w:rsidR="00436A40" w:rsidRPr="009B18FE" w14:paraId="321F0B6C" w14:textId="77777777" w:rsidTr="00891F1C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436919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3984F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96D954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C4210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8.33%</w:t>
            </w:r>
          </w:p>
        </w:tc>
      </w:tr>
      <w:tr w:rsidR="00436A40" w:rsidRPr="009B18FE" w14:paraId="4AA5B756" w14:textId="77777777" w:rsidTr="00891F1C">
        <w:trPr>
          <w:jc w:val="center"/>
        </w:trPr>
        <w:tc>
          <w:tcPr>
            <w:tcW w:w="1994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05FD22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Research design</w:t>
            </w: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CE575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Retrospective cohort/study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B86C2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D7E5E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75.00%</w:t>
            </w:r>
          </w:p>
        </w:tc>
      </w:tr>
      <w:tr w:rsidR="00436A40" w:rsidRPr="009B18FE" w14:paraId="3091F08B" w14:textId="77777777" w:rsidTr="00891F1C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773A41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2AB8D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Retrospective descriptive study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C1531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5D1E4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8.33%</w:t>
            </w:r>
          </w:p>
        </w:tc>
      </w:tr>
      <w:tr w:rsidR="00436A40" w:rsidRPr="009B18FE" w14:paraId="712E58B7" w14:textId="77777777" w:rsidTr="00891F1C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5E0BB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4B56C6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Prediction model study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4CD8E6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29C9C5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8.33%</w:t>
            </w:r>
          </w:p>
        </w:tc>
      </w:tr>
      <w:tr w:rsidR="00436A40" w:rsidRPr="009B18FE" w14:paraId="46032449" w14:textId="77777777" w:rsidTr="00891F1C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0E4FA1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11A3BD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Cross-sectional study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351BD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3B5D3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8.33%</w:t>
            </w:r>
          </w:p>
        </w:tc>
      </w:tr>
      <w:tr w:rsidR="00436A40" w:rsidRPr="009B18FE" w14:paraId="16E1FC3F" w14:textId="77777777" w:rsidTr="00891F1C">
        <w:trPr>
          <w:jc w:val="center"/>
        </w:trPr>
        <w:tc>
          <w:tcPr>
            <w:tcW w:w="1994" w:type="dxa"/>
            <w:vMerge w:val="restart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3ED0C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Outcome focus</w:t>
            </w: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9A7BF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Early/postoperative stoma complications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521AE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09E6A5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41.67%</w:t>
            </w:r>
          </w:p>
        </w:tc>
      </w:tr>
      <w:tr w:rsidR="00436A40" w:rsidRPr="009B18FE" w14:paraId="771C1367" w14:textId="77777777" w:rsidTr="00891F1C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96A81E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C8D58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High-output stoma/postoperative ileus/readmission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70F68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66E997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16.67%</w:t>
            </w:r>
          </w:p>
        </w:tc>
      </w:tr>
      <w:tr w:rsidR="00436A40" w:rsidRPr="009B18FE" w14:paraId="2BBDC89F" w14:textId="77777777" w:rsidTr="00891F1C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1568D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203B7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Stoma-related obstruction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554890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CDA849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8.33%</w:t>
            </w:r>
          </w:p>
        </w:tc>
      </w:tr>
      <w:tr w:rsidR="00436A40" w:rsidRPr="009B18FE" w14:paraId="552D4A57" w14:textId="77777777" w:rsidTr="00891F1C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635E8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0EDD53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Complications after stoma closure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D7D0B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2B1D6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16.67%</w:t>
            </w:r>
          </w:p>
        </w:tc>
      </w:tr>
      <w:tr w:rsidR="00436A40" w:rsidRPr="009B18FE" w14:paraId="383BD16D" w14:textId="77777777" w:rsidTr="00891F1C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9D63A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C5B1E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Complications of sigmoid stoma after APR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7064E4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B543F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8.33%</w:t>
            </w:r>
          </w:p>
        </w:tc>
      </w:tr>
      <w:tr w:rsidR="00436A40" w:rsidRPr="009B18FE" w14:paraId="435857D5" w14:textId="77777777" w:rsidTr="00891F1C">
        <w:trPr>
          <w:jc w:val="center"/>
        </w:trPr>
        <w:tc>
          <w:tcPr>
            <w:tcW w:w="1994" w:type="dxa"/>
            <w:vMerge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E0296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1612FB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Quality of life</w:t>
            </w:r>
          </w:p>
        </w:tc>
        <w:tc>
          <w:tcPr>
            <w:tcW w:w="15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E2DC88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333D6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8.33%</w:t>
            </w:r>
          </w:p>
        </w:tc>
      </w:tr>
    </w:tbl>
    <w:p w14:paraId="2F2E5DF9" w14:textId="77777777" w:rsidR="00436A40" w:rsidRPr="00E71FA4" w:rsidRDefault="00436A40" w:rsidP="00436A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D7D9E6" w14:textId="77777777" w:rsidR="00436A40" w:rsidRDefault="00436A40" w:rsidP="00436A40">
      <w:pPr>
        <w:rPr>
          <w:rFonts w:ascii="Times New Roman" w:hAnsi="Times New Roman" w:cs="Times New Roman"/>
          <w:sz w:val="24"/>
          <w:szCs w:val="24"/>
        </w:rPr>
      </w:pPr>
      <w:r w:rsidRPr="00E71FA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Table 4. </w:t>
      </w:r>
      <w:r w:rsidRPr="00E71FA4">
        <w:rPr>
          <w:rFonts w:ascii="Times New Roman" w:hAnsi="Times New Roman" w:cs="Times New Roman"/>
          <w:sz w:val="24"/>
          <w:szCs w:val="24"/>
        </w:rPr>
        <w:t>Characteristics of SLR Inclusion Articles on Postoperative Complications, Risk Factors, and Quality of Life of Patients with Intestinal Stoma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3"/>
        <w:gridCol w:w="1577"/>
        <w:gridCol w:w="1306"/>
        <w:gridCol w:w="1845"/>
        <w:gridCol w:w="1484"/>
        <w:gridCol w:w="1901"/>
      </w:tblGrid>
      <w:tr w:rsidR="00436A40" w:rsidRPr="009B18FE" w14:paraId="1BF999B6" w14:textId="77777777" w:rsidTr="00891F1C">
        <w:trPr>
          <w:cantSplit/>
          <w:trHeight w:val="300"/>
          <w:tblHeader/>
          <w:jc w:val="center"/>
        </w:trPr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3CF0820" w14:textId="77777777" w:rsidR="00436A40" w:rsidRPr="009B18FE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 (Year)</w:t>
            </w:r>
          </w:p>
        </w:tc>
        <w:tc>
          <w:tcPr>
            <w:tcW w:w="2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877769D" w14:textId="77777777" w:rsidR="00436A40" w:rsidRPr="009B18FE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Research Focus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A0E2758" w14:textId="77777777" w:rsidR="00436A40" w:rsidRPr="009B18FE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1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C0851A8" w14:textId="77777777" w:rsidR="00436A40" w:rsidRPr="009B18FE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Research Design</w:t>
            </w:r>
          </w:p>
        </w:tc>
        <w:tc>
          <w:tcPr>
            <w:tcW w:w="2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316915" w14:textId="77777777" w:rsidR="00436A40" w:rsidRPr="009B18FE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Research Object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099164E" w14:textId="77777777" w:rsidR="00436A40" w:rsidRPr="009B18FE" w:rsidRDefault="00436A40" w:rsidP="00891F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Findings</w:t>
            </w:r>
          </w:p>
        </w:tc>
      </w:tr>
      <w:tr w:rsidR="00436A40" w:rsidRPr="009B18FE" w14:paraId="0E424C1B" w14:textId="77777777" w:rsidTr="00891F1C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18A99C2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MacDonald et al. (2024)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D397B9F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Postoperative outcomes and risk factors after emergency intestinal stoma formation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1485BED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United Kingdom/Scotland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FFB72C8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Multicentre</w:t>
            </w:r>
            <w:proofErr w:type="spellEnd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 xml:space="preserve"> retrospective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C6F3AC6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Patients undergoing emergency intestinal stoma formation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22E88C9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This study is relevant to the subtheme of complications after emergency stoma formation and postoperative clinical risk factors. (PubMed)</w:t>
            </w:r>
          </w:p>
        </w:tc>
      </w:tr>
      <w:tr w:rsidR="00436A40" w:rsidRPr="009B18FE" w14:paraId="7352C79F" w14:textId="77777777" w:rsidTr="00891F1C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06E6D6B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Ayik</w:t>
            </w:r>
            <w:proofErr w:type="spellEnd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 xml:space="preserve"> et al. (2024)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76871E5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Risk factors for early ostomy complications in emergency and elective colorectal surgery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CE637BC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Turkey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6F4DD18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Single-center retrospective cohort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AD2CB98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872 ostomy patients; 573 patients experienced ≥1 complication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3D95304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Early complications occurred in 65.7% of patients; complications differed between emergency and elective surgery, with logistic regression models for risk factors of PICD and mucocutaneous separation.</w:t>
            </w:r>
          </w:p>
        </w:tc>
      </w:tr>
      <w:tr w:rsidR="00436A40" w:rsidRPr="009B18FE" w14:paraId="2245E7F2" w14:textId="77777777" w:rsidTr="00891F1C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9C112AD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Ayik</w:t>
            </w:r>
            <w:proofErr w:type="spellEnd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 xml:space="preserve"> et al. (2020)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EF650B1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Ostomy complications, risk factors, and applied nursing care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A82419D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Turkey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21BD711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Retrospective descriptive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1164F09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572 patients received ostomy care by WOC nurses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FE2FE62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Early complications occurred in 56.5% of patients; PICD and mucocutaneous separation were the most common complications, with risk factors including BMI &gt;24.9 kg/m², ileostomy, temporary ostomy, end ostomy, and ostomy height &lt;10 mm.</w:t>
            </w:r>
          </w:p>
        </w:tc>
      </w:tr>
      <w:tr w:rsidR="00436A40" w:rsidRPr="009B18FE" w14:paraId="6733F287" w14:textId="77777777" w:rsidTr="00891F1C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EDFE96E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Yang et al. (2023/2024)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F0B1BD8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Protective loop ileostomy or colostomy? A risk evaluation of all common complications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838031E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Taiwan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7DC3A9C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Retrospective cohort study with complication recording by WOC nurses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6C17307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 xml:space="preserve">410 patients; 176 protective colostomy and 234 protective </w:t>
            </w:r>
            <w:proofErr w:type="gramStart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ileostomy</w:t>
            </w:r>
            <w:proofErr w:type="gramEnd"/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6668CCA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Ileostomy was more frequently associated with high-output stoma, whereas colostomy was more frequently associated with stoma retraction; stoma type, sex, open surgery, and diversion duration &gt;4 months were factors associated with complications.</w:t>
            </w:r>
          </w:p>
        </w:tc>
      </w:tr>
      <w:tr w:rsidR="00436A40" w:rsidRPr="009B18FE" w14:paraId="16200502" w14:textId="77777777" w:rsidTr="00891F1C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EEC1A61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Lee et al. (2021)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2BCE64F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Relationship between high-output stomas, postoperative ileus, and readmission after rectal cancer surgery with diverting ileostomy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3DC5432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South Korea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696C06E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Retrospective cohort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06113A2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302 rectal cancer patients with diverting ileostomy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73ACEE6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Postoperative ileus was an independent risk factor for all-cause readmission and ileus-related readmission after rectal cancer surgery with diverting ileostomy.</w:t>
            </w:r>
          </w:p>
        </w:tc>
      </w:tr>
      <w:tr w:rsidR="00436A40" w:rsidRPr="009B18FE" w14:paraId="30B0A5A5" w14:textId="77777777" w:rsidTr="00891F1C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56CC91C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Takeda et al. (2019)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96C1788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Factors predictive of high-output ileostomy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2CF8682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Japan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E681BB7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Retrospective single-center comparative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AFC2A4E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164 colorectal cancer surgery patients with ileostomy; 151 were analyzed after exclusion of complications causing HOS.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6EF9841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High-output syndrome occurred in 36 of 151 patients and was analyzed using logistic regression to identify preoperative and intraoperative predictive factors.</w:t>
            </w:r>
          </w:p>
        </w:tc>
      </w:tr>
      <w:tr w:rsidR="00436A40" w:rsidRPr="009B18FE" w14:paraId="1A4B12E8" w14:textId="77777777" w:rsidTr="00891F1C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3CF6EFB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Maemoto</w:t>
            </w:r>
            <w:proofErr w:type="spellEnd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 xml:space="preserve"> et al. (2021)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7E143F6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Risk factors and management of stoma-related obstruction after laparoscopic colorectal surgery with diverting ileostomy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7F917B9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Japan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A0FE881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Retrospective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F575D99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155 patients undergoing laparoscopic colorectal surgery with diverting ileostomy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5AEB464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SROs occurred in 7.7% of patients; ileal-pouch anal anastomosis was an independent risk factor for SROs.</w:t>
            </w:r>
          </w:p>
        </w:tc>
      </w:tr>
      <w:tr w:rsidR="00436A40" w:rsidRPr="009B18FE" w14:paraId="0D79443B" w14:textId="77777777" w:rsidTr="00891F1C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D21190F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Kilinc et al. (2021)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9CB38EF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Risk factors for the morbidity and mortality of stoma closure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5453CC31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Turkey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DCD4373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Retrospective descriptive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36A16FD7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179 patients undergoing stoma closure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A4C5582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ASA score and coronary artery disease are associated with post-closure complications; colostomy is a risk factor for postoperative ileus.</w:t>
            </w:r>
          </w:p>
        </w:tc>
      </w:tr>
      <w:tr w:rsidR="00436A40" w:rsidRPr="009B18FE" w14:paraId="052BFD68" w14:textId="77777777" w:rsidTr="00891F1C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03B4369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Vergara-Fernández et al. (2019)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C95BA8E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Multivariate analysis of risk factors for complications after loop ileostomy closure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722C842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Mexico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C6958C8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Retrospective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07FAB19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136 patients undergoing loop ileostomy closure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CD3D200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Midline laparotomy, immunomodulator, FAP, age ≥65 years, closure time &lt;3 months, and parastomal hernia are risk factors for several complications after ileostomy closure.</w:t>
            </w:r>
          </w:p>
        </w:tc>
      </w:tr>
      <w:tr w:rsidR="00436A40" w:rsidRPr="009B18FE" w14:paraId="4747ABBC" w14:textId="77777777" w:rsidTr="00891F1C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3A52320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Lv</w:t>
            </w:r>
            <w:proofErr w:type="spellEnd"/>
            <w:r w:rsidRPr="009B18FE">
              <w:rPr>
                <w:rFonts w:ascii="Times New Roman" w:hAnsi="Times New Roman" w:cs="Times New Roman"/>
                <w:sz w:val="24"/>
                <w:szCs w:val="24"/>
              </w:rPr>
              <w:t xml:space="preserve"> et al. (2024)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14139C5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Analysis of risk factors for sigmoid stoma complications after abdominoperineal resection surgery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E522EC7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China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1D97E01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Observational/retrospective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FC3D3FD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Patient with sigmoid stoma after abdominoperineal resection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6A872C4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This article is relevant to the subtheme of risk factors for stoma complications after rectal surgery, especially in patients with sigmoid stoma.</w:t>
            </w:r>
          </w:p>
        </w:tc>
      </w:tr>
      <w:tr w:rsidR="00436A40" w:rsidRPr="009B18FE" w14:paraId="19BB4D64" w14:textId="77777777" w:rsidTr="00891F1C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3941FAB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 et al. (2025)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48FAAD5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Construction of a nomogram prediction model for early postoperative stoma complications of colorectal cancer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6995A57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China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42B6E7C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Retrospective prediction model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613A4B55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Colorectal cancer patient with stoma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1468F63D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This article is relevant because it presents risk factors and a prediction model for early stoma complications in colorectal cancer patients.</w:t>
            </w:r>
          </w:p>
        </w:tc>
      </w:tr>
      <w:tr w:rsidR="00436A40" w:rsidRPr="009B18FE" w14:paraId="39FECF6D" w14:textId="77777777" w:rsidTr="00891F1C">
        <w:trPr>
          <w:cantSplit/>
          <w:trHeight w:val="310"/>
          <w:jc w:val="center"/>
        </w:trPr>
        <w:tc>
          <w:tcPr>
            <w:tcW w:w="12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4194B6E4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Liu et al. (2021)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1392033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Quality of life of patients with colorectal cancer and a stoma in China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0794F011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China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7CA5DBE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Quantitative cross-sectional study</w:t>
            </w:r>
          </w:p>
        </w:tc>
        <w:tc>
          <w:tcPr>
            <w:tcW w:w="2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297B35C0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359 colorectal cancer patients with stoma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14:paraId="76C9E262" w14:textId="77777777" w:rsidR="00436A40" w:rsidRPr="009B18FE" w:rsidRDefault="00436A40" w:rsidP="00891F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18FE">
              <w:rPr>
                <w:rFonts w:ascii="Times New Roman" w:hAnsi="Times New Roman" w:cs="Times New Roman"/>
                <w:sz w:val="24"/>
                <w:szCs w:val="24"/>
              </w:rPr>
              <w:t>Patients' quality of life was mostly low; stoma care by others, temporary stoma, and the presence of complications were associated with lower quality of life scores.</w:t>
            </w:r>
          </w:p>
        </w:tc>
      </w:tr>
    </w:tbl>
    <w:p w14:paraId="03EC7DAF" w14:textId="77777777" w:rsidR="0042106B" w:rsidRDefault="0042106B"/>
    <w:sectPr w:rsidR="004210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A40"/>
    <w:rsid w:val="0042106B"/>
    <w:rsid w:val="00436A40"/>
    <w:rsid w:val="0094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F8341"/>
  <w15:chartTrackingRefBased/>
  <w15:docId w15:val="{D66CC0CB-FC34-4556-9C50-6F791FE43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A4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43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43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A40"/>
    <w:pPr>
      <w:spacing w:before="160"/>
      <w:jc w:val="center"/>
    </w:pPr>
    <w:rPr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436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A40"/>
    <w:pPr>
      <w:ind w:left="720"/>
      <w:contextualSpacing/>
    </w:pPr>
    <w:rPr>
      <w:lang w:val="en-ID"/>
    </w:rPr>
  </w:style>
  <w:style w:type="character" w:styleId="IntenseEmphasis">
    <w:name w:val="Intense Emphasis"/>
    <w:basedOn w:val="DefaultParagraphFont"/>
    <w:uiPriority w:val="21"/>
    <w:qFormat/>
    <w:rsid w:val="00436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1184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 ANOA MANDIRI SEJAHTERA</dc:creator>
  <cp:keywords/>
  <dc:description/>
  <cp:lastModifiedBy>PT ANOA MANDIRI SEJAHTERA</cp:lastModifiedBy>
  <cp:revision>1</cp:revision>
  <dcterms:created xsi:type="dcterms:W3CDTF">2026-06-03T01:40:00Z</dcterms:created>
  <dcterms:modified xsi:type="dcterms:W3CDTF">2026-06-03T01:40:00Z</dcterms:modified>
</cp:coreProperties>
</file>