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Times New Roman"/>
          <w:b/>
          <w:sz w:val="28"/>
        </w:rPr>
        <w:t>Highlights</w:t>
      </w:r>
    </w:p>
    <w:p>
      <w:pPr>
        <w:pStyle w:val="ListBullet"/>
        <w:spacing w:after="120" w:line="240" w:lineRule="auto"/>
      </w:pPr>
      <w:r>
        <w:rPr>
          <w:rFonts w:ascii="Times New Roman" w:hAnsi="Times New Roman" w:eastAsia="Times New Roman"/>
          <w:sz w:val="24"/>
        </w:rPr>
        <w:t>TB case counts showed marked overdispersion across Southeast Sulawesi.</w:t>
      </w:r>
    </w:p>
    <w:p>
      <w:pPr>
        <w:pStyle w:val="ListBullet"/>
        <w:spacing w:after="120" w:line="240" w:lineRule="auto"/>
      </w:pPr>
      <w:r>
        <w:rPr>
          <w:rFonts w:ascii="Times New Roman" w:hAnsi="Times New Roman" w:eastAsia="Times New Roman"/>
          <w:sz w:val="24"/>
        </w:rPr>
        <w:t>GWNBR improved fit over global negative binomial regression.</w:t>
      </w:r>
    </w:p>
    <w:p>
      <w:pPr>
        <w:pStyle w:val="ListBullet"/>
        <w:spacing w:after="120" w:line="240" w:lineRule="auto"/>
      </w:pPr>
      <w:r>
        <w:rPr>
          <w:rFonts w:ascii="Times New Roman" w:hAnsi="Times New Roman" w:eastAsia="Times New Roman"/>
          <w:sz w:val="24"/>
        </w:rPr>
        <w:t>Smoking prevalence was the most frequent locally significant predictor.</w:t>
      </w:r>
    </w:p>
    <w:p>
      <w:pPr>
        <w:pStyle w:val="ListBullet"/>
        <w:spacing w:after="120" w:line="240" w:lineRule="auto"/>
      </w:pPr>
      <w:r>
        <w:rPr>
          <w:rFonts w:ascii="Times New Roman" w:hAnsi="Times New Roman" w:eastAsia="Times New Roman"/>
          <w:sz w:val="24"/>
        </w:rPr>
        <w:t>Local patterns support targeted tobacco control and TB-HIV collaboration.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