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D522A" w14:textId="77777777" w:rsidR="00E34EB5" w:rsidRDefault="00000000">
      <w:pPr>
        <w:spacing w:before="360" w:after="400"/>
        <w:jc w:val="center"/>
      </w:pPr>
      <w:r>
        <w:rPr>
          <w:b/>
          <w:sz w:val="28"/>
        </w:rPr>
        <w:t>Spatial Modeling of Tuberculosis Case Counts in Southeast Sulawesi, Indonesia: A Geographically Weighted Negative Binomial Regression Approach</w:t>
      </w:r>
    </w:p>
    <w:p w14:paraId="6695DCD0" w14:textId="67E8D80D" w:rsidR="00E34EB5" w:rsidRDefault="00000000">
      <w:pPr>
        <w:spacing w:after="200"/>
        <w:jc w:val="center"/>
      </w:pPr>
      <w:r>
        <w:t>Agusrawati</w:t>
      </w:r>
      <w:r w:rsidR="00BF256D">
        <w:rPr>
          <w:sz w:val="18"/>
          <w:vertAlign w:val="superscript"/>
        </w:rPr>
        <w:t>1</w:t>
      </w:r>
      <w:r>
        <w:t>, Baharuddin</w:t>
      </w:r>
      <w:r w:rsidR="00BF256D">
        <w:rPr>
          <w:sz w:val="18"/>
          <w:vertAlign w:val="superscript"/>
        </w:rPr>
        <w:t>1</w:t>
      </w:r>
      <w:r>
        <w:t>, A. Ainun Nurfajrin S.</w:t>
      </w:r>
      <w:r w:rsidR="00BF256D">
        <w:rPr>
          <w:sz w:val="18"/>
          <w:vertAlign w:val="superscript"/>
        </w:rPr>
        <w:t>1</w:t>
      </w:r>
      <w:r>
        <w:t>, Lilis Laome</w:t>
      </w:r>
      <w:r w:rsidR="00BF256D">
        <w:rPr>
          <w:sz w:val="18"/>
          <w:vertAlign w:val="superscript"/>
        </w:rPr>
        <w:t>1</w:t>
      </w:r>
      <w:r>
        <w:t>, Irma Yahya</w:t>
      </w:r>
      <w:r w:rsidR="00BF256D">
        <w:rPr>
          <w:sz w:val="18"/>
          <w:vertAlign w:val="superscript"/>
        </w:rPr>
        <w:t>1</w:t>
      </w:r>
      <w:r>
        <w:t xml:space="preserve">, </w:t>
      </w:r>
      <w:r w:rsidR="00DB7BE7" w:rsidRPr="00DB7BE7">
        <w:t>Ririn Kartika</w:t>
      </w:r>
      <w:r w:rsidR="00DB7BE7" w:rsidRPr="00DB7BE7">
        <w:rPr>
          <w:sz w:val="18"/>
          <w:szCs w:val="16"/>
          <w:vertAlign w:val="superscript"/>
        </w:rPr>
        <w:t>1</w:t>
      </w:r>
    </w:p>
    <w:p w14:paraId="1E450350" w14:textId="32D56166" w:rsidR="00E34EB5" w:rsidRDefault="00BF256D" w:rsidP="00BF256D">
      <w:pPr>
        <w:spacing w:after="40"/>
        <w:ind w:left="142" w:hanging="142"/>
        <w:jc w:val="both"/>
      </w:pPr>
      <w:r>
        <w:rPr>
          <w:sz w:val="18"/>
          <w:vertAlign w:val="superscript"/>
        </w:rPr>
        <w:t>1</w:t>
      </w:r>
      <w:r>
        <w:rPr>
          <w:sz w:val="22"/>
        </w:rPr>
        <w:t xml:space="preserve"> Department of Statistics, Faculty of Mathematics and Natural Sciences, Halu Oleo University</w:t>
      </w:r>
      <w:r w:rsidR="002178E6" w:rsidRPr="002178E6">
        <w:rPr>
          <w:sz w:val="22"/>
        </w:rPr>
        <w:t>, Jalan H.E.A. Mokodompit, Kampus Hijau Bumi Tridharma, Anduonohu, Kendari 93132, Southeast Sulawesi, Indonesia.</w:t>
      </w:r>
    </w:p>
    <w:p w14:paraId="12C4FD9E" w14:textId="6FEDAB81" w:rsidR="00E34EB5" w:rsidRDefault="00000000">
      <w:pPr>
        <w:spacing w:before="200" w:after="40"/>
      </w:pPr>
      <w:r>
        <w:rPr>
          <w:b/>
          <w:sz w:val="22"/>
        </w:rPr>
        <w:t xml:space="preserve">Corresponding author: </w:t>
      </w:r>
      <w:r>
        <w:rPr>
          <w:sz w:val="22"/>
        </w:rPr>
        <w:t>Agusrawati, Department of Statistics, Faculty of Mathematics and Natural Sciences, Halu Oleo</w:t>
      </w:r>
      <w:r w:rsidR="00BF256D">
        <w:rPr>
          <w:sz w:val="22"/>
        </w:rPr>
        <w:t xml:space="preserve"> University</w:t>
      </w:r>
      <w:r>
        <w:rPr>
          <w:sz w:val="22"/>
        </w:rPr>
        <w:t>. E-mail: agusrawati@uho.ac.id</w:t>
      </w:r>
    </w:p>
    <w:p w14:paraId="2A424B13" w14:textId="77777777" w:rsidR="00E34EB5" w:rsidRDefault="00000000">
      <w:pPr>
        <w:spacing w:after="20"/>
      </w:pPr>
      <w:r>
        <w:rPr>
          <w:b/>
          <w:sz w:val="22"/>
        </w:rPr>
        <w:t xml:space="preserve">Running title: </w:t>
      </w:r>
      <w:r>
        <w:rPr>
          <w:sz w:val="22"/>
        </w:rPr>
        <w:t>TB Modeling in Southeast Sulawesi</w:t>
      </w:r>
    </w:p>
    <w:p w14:paraId="4C46E5FA" w14:textId="77777777" w:rsidR="00E34EB5" w:rsidRDefault="00000000">
      <w:pPr>
        <w:spacing w:after="20"/>
      </w:pPr>
      <w:r>
        <w:rPr>
          <w:b/>
          <w:sz w:val="22"/>
        </w:rPr>
        <w:t xml:space="preserve">Manuscript type: </w:t>
      </w:r>
      <w:r>
        <w:rPr>
          <w:sz w:val="22"/>
        </w:rPr>
        <w:t>Original Article</w:t>
      </w:r>
    </w:p>
    <w:p w14:paraId="56F18C00" w14:textId="77777777" w:rsidR="00E34EB5" w:rsidRDefault="00000000">
      <w:pPr>
        <w:spacing w:after="20"/>
      </w:pPr>
      <w:r>
        <w:rPr>
          <w:b/>
          <w:sz w:val="22"/>
        </w:rPr>
        <w:t xml:space="preserve">Tables/Figures: </w:t>
      </w:r>
      <w:r>
        <w:rPr>
          <w:sz w:val="22"/>
        </w:rPr>
        <w:t>3 tables and 2 figures</w:t>
      </w:r>
    </w:p>
    <w:p w14:paraId="0B94B039" w14:textId="77777777" w:rsidR="00E34EB5" w:rsidRDefault="00000000">
      <w:pPr>
        <w:spacing w:after="20"/>
      </w:pPr>
      <w:r>
        <w:rPr>
          <w:b/>
          <w:sz w:val="22"/>
        </w:rPr>
        <w:t xml:space="preserve">Word count (main text only): </w:t>
      </w:r>
      <w:r>
        <w:rPr>
          <w:sz w:val="22"/>
        </w:rPr>
        <w:t>2,208</w:t>
      </w:r>
    </w:p>
    <w:p w14:paraId="6239347A" w14:textId="77777777" w:rsidR="00E34EB5" w:rsidRDefault="00000000">
      <w:pPr>
        <w:spacing w:before="160"/>
      </w:pPr>
      <w:r>
        <w:rPr>
          <w:b/>
          <w:sz w:val="22"/>
        </w:rPr>
        <w:t xml:space="preserve">Author contributions: </w:t>
      </w:r>
      <w:r>
        <w:rPr>
          <w:sz w:val="22"/>
        </w:rPr>
        <w:t>All authors contributed to the conception and design of the study, or acquisition, analysis, or interpretation of data; drafted the manuscript or revised it critically for important intellectual content; and approved the final version for submission.</w:t>
      </w:r>
    </w:p>
    <w:p w14:paraId="479F07E2" w14:textId="77777777" w:rsidR="00E34EB5" w:rsidRDefault="00000000">
      <w:r>
        <w:br w:type="page"/>
      </w:r>
    </w:p>
    <w:p w14:paraId="3AFE4198" w14:textId="77777777" w:rsidR="00E34EB5" w:rsidRDefault="00000000">
      <w:pPr>
        <w:keepNext/>
        <w:spacing w:before="160" w:after="40"/>
      </w:pPr>
      <w:r>
        <w:rPr>
          <w:b/>
        </w:rPr>
        <w:lastRenderedPageBreak/>
        <w:t>Abstract</w:t>
      </w:r>
    </w:p>
    <w:p w14:paraId="47272B8D" w14:textId="77777777" w:rsidR="00E34EB5" w:rsidRDefault="00000000">
      <w:r>
        <w:rPr>
          <w:b/>
        </w:rPr>
        <w:t xml:space="preserve">Background/Objectives: </w:t>
      </w:r>
      <w:r>
        <w:t>Tuberculosis (TB) case counts vary across districts and cities in Southeast Sulawesi, Indonesia. Analyses of count data should accommodate both overdispersion and potential spatial nonstationarity. This study aimed to model district/city-level TB case counts, identify locally significant predictors, and map locality-specific predictor patterns using geographically weighted negative binomial regression (GWNBR).</w:t>
      </w:r>
    </w:p>
    <w:p w14:paraId="44BE9711" w14:textId="77777777" w:rsidR="00E34EB5" w:rsidRDefault="00000000">
      <w:r>
        <w:rPr>
          <w:b/>
        </w:rPr>
        <w:t xml:space="preserve">Methods: </w:t>
      </w:r>
      <w:r>
        <w:t>This ecological study analyzed secondary data from 17 districts/cities in 2024. The outcome was the number of reported TB cases; predictors were the number of community health centers, the percentage of the population aged 15 years or older who smoked, and the number of HIV/AIDS cases. Analyses included variance inflation factors, assessment of overdispersion, global negative binomial regression, the Breusch-Pagan test, GWNBR with an adaptive bisquare kernel, and Akaike information criterion (AIC) comparison.</w:t>
      </w:r>
    </w:p>
    <w:p w14:paraId="5EB62EA8" w14:textId="77777777" w:rsidR="00E34EB5" w:rsidRDefault="00000000">
      <w:r>
        <w:rPr>
          <w:b/>
        </w:rPr>
        <w:t xml:space="preserve">Results: </w:t>
      </w:r>
      <w:r>
        <w:t>All variance inflation factors were below 10. The deviance-to-degrees-of-freedom ratio was 51.90, indicating marked overdispersion. In the global model, smoking prevalence and HIV/AIDS case counts were significantly associated with TB case counts. The Breusch-Pagan statistic was 6.646 (p = 0.084). GWNBR had a lower AIC than the global model (136.00 vs. 139.84) and identified four local predictor patterns.</w:t>
      </w:r>
    </w:p>
    <w:p w14:paraId="0E28C7D0" w14:textId="77777777" w:rsidR="00E34EB5" w:rsidRDefault="00000000">
      <w:r>
        <w:rPr>
          <w:b/>
        </w:rPr>
        <w:t xml:space="preserve">Conclusions: </w:t>
      </w:r>
      <w:r>
        <w:t>GWNBR captured local variation in TB-associated factors and provided more geographically specific information than the global model. These results support geographically tailored TB control strategies, particularly tobacco-control actions and strengthened TB-HIV collaboration.</w:t>
      </w:r>
    </w:p>
    <w:p w14:paraId="4D8635CD" w14:textId="77777777" w:rsidR="00E34EB5" w:rsidRDefault="00000000">
      <w:pPr>
        <w:spacing w:before="80"/>
      </w:pPr>
      <w:r>
        <w:rPr>
          <w:b/>
        </w:rPr>
        <w:t xml:space="preserve">Keywords: </w:t>
      </w:r>
      <w:r>
        <w:t>adaptive bisquare kernel; ecological study; geographic heterogeneity; overdispersed count data; tobacco use</w:t>
      </w:r>
    </w:p>
    <w:p w14:paraId="30CADF00" w14:textId="77777777" w:rsidR="00E34EB5" w:rsidRDefault="00000000">
      <w:pPr>
        <w:keepNext/>
        <w:spacing w:before="160" w:after="40"/>
      </w:pPr>
      <w:r>
        <w:rPr>
          <w:b/>
        </w:rPr>
        <w:lastRenderedPageBreak/>
        <w:t>Introduction</w:t>
      </w:r>
    </w:p>
    <w:p w14:paraId="71D9E18F" w14:textId="77777777" w:rsidR="00E34EB5" w:rsidRDefault="00000000" w:rsidP="00BF256D">
      <w:pPr>
        <w:spacing w:after="40"/>
        <w:ind w:firstLine="432"/>
        <w:jc w:val="both"/>
      </w:pPr>
      <w:r>
        <w:t>Tuberculosis (TB) remains a major global public-health problem. Although preventable and curable, TB continues to cause a substantial burden in many low- and middle-income countries.</w:t>
      </w:r>
      <w:r>
        <w:rPr>
          <w:sz w:val="18"/>
          <w:vertAlign w:val="superscript"/>
        </w:rPr>
        <w:t>1</w:t>
      </w:r>
      <w:r>
        <w:t xml:space="preserve"> Indonesia is among the countries with the highest estimated TB burden globally, making the optimization of case detection, treatment, and prevention a national priority.</w:t>
      </w:r>
      <w:r>
        <w:rPr>
          <w:sz w:val="18"/>
          <w:vertAlign w:val="superscript"/>
        </w:rPr>
        <w:t>2</w:t>
      </w:r>
    </w:p>
    <w:p w14:paraId="4EAF0DA1" w14:textId="77777777" w:rsidR="00E34EB5" w:rsidRDefault="00000000" w:rsidP="00BF256D">
      <w:pPr>
        <w:spacing w:after="40"/>
        <w:ind w:firstLine="432"/>
        <w:jc w:val="both"/>
      </w:pPr>
      <w:r>
        <w:t>TB case counts are rarely distributed uniformly across geographic areas. Differences in social determinants, health behaviors, comorbidities, population mobility, and access to health services may create geographic variation in both the distribution of cases and their associated factors.</w:t>
      </w:r>
      <w:r>
        <w:rPr>
          <w:sz w:val="18"/>
          <w:vertAlign w:val="superscript"/>
        </w:rPr>
        <w:t>3</w:t>
      </w:r>
      <w:r>
        <w:t xml:space="preserve"> Geographically weighted regression was developed to examine spatial nonstationarity by allowing estimated associations to vary by location.</w:t>
      </w:r>
      <w:r>
        <w:rPr>
          <w:sz w:val="18"/>
          <w:vertAlign w:val="superscript"/>
        </w:rPr>
        <w:t>4–6</w:t>
      </w:r>
    </w:p>
    <w:p w14:paraId="2CAABBDF" w14:textId="77777777" w:rsidR="00E34EB5" w:rsidRDefault="00000000" w:rsidP="00BF256D">
      <w:pPr>
        <w:spacing w:after="40"/>
        <w:ind w:firstLine="432"/>
        <w:jc w:val="both"/>
      </w:pPr>
      <w:r>
        <w:t>Southeast Sulawesi is a geographically diverse province that includes both mainland and island districts/cities. Provincial surveillance data show that reported TB cases increased from 2,647 in 2022 to 2,906 in 2023 and 6,524 in 2024.</w:t>
      </w:r>
      <w:r>
        <w:rPr>
          <w:sz w:val="18"/>
          <w:vertAlign w:val="superscript"/>
        </w:rPr>
        <w:t>7</w:t>
      </w:r>
      <w:r>
        <w:t xml:space="preserve"> Local TB studies have described epidemiologic patterns or used nonparametric spline models, but they have not simultaneously addressed count-data overdispersion and location-specific associations.</w:t>
      </w:r>
      <w:r>
        <w:rPr>
          <w:sz w:val="18"/>
          <w:vertAlign w:val="superscript"/>
        </w:rPr>
        <w:t>8,9</w:t>
      </w:r>
    </w:p>
    <w:p w14:paraId="2CF62072" w14:textId="77777777" w:rsidR="00E34EB5" w:rsidRDefault="00000000" w:rsidP="00BF256D">
      <w:pPr>
        <w:spacing w:after="40"/>
        <w:ind w:firstLine="432"/>
        <w:jc w:val="both"/>
      </w:pPr>
      <w:r>
        <w:t>The number of reported TB cases is a count outcome. Poisson regression is commonly used for count data but assumes equality of the conditional mean and variance.</w:t>
      </w:r>
      <w:r>
        <w:rPr>
          <w:sz w:val="18"/>
          <w:vertAlign w:val="superscript"/>
        </w:rPr>
        <w:t>10</w:t>
      </w:r>
      <w:r>
        <w:t xml:space="preserve"> When the variance exceeds the mean, standard errors from a Poisson model may be underestimated; negative binomial regression provides a more appropriate global model by incorporating a dispersion parameter.</w:t>
      </w:r>
      <w:r>
        <w:rPr>
          <w:sz w:val="18"/>
          <w:vertAlign w:val="superscript"/>
        </w:rPr>
        <w:t>11</w:t>
      </w:r>
    </w:p>
    <w:p w14:paraId="7947855C" w14:textId="77777777" w:rsidR="00E34EB5" w:rsidRDefault="00000000" w:rsidP="00BF256D">
      <w:pPr>
        <w:spacing w:after="40"/>
        <w:ind w:firstLine="432"/>
        <w:jc w:val="both"/>
      </w:pPr>
      <w:r>
        <w:t>Geographically weighted negative binomial regression (GWNBR) extends this framework by estimating location-specific parameters for overdispersed count data. Its methodological basis builds on geographically weighted Poisson regression and on the incorporation of overdispersion within geographically weighted models.</w:t>
      </w:r>
      <w:r>
        <w:rPr>
          <w:sz w:val="18"/>
          <w:vertAlign w:val="superscript"/>
        </w:rPr>
        <w:t>12,13</w:t>
      </w:r>
      <w:r>
        <w:t xml:space="preserve"> Previous Indonesian studies have applied GWNBR to TB case </w:t>
      </w:r>
      <w:r>
        <w:lastRenderedPageBreak/>
        <w:t>modeling at provincial and national scales.</w:t>
      </w:r>
      <w:r>
        <w:rPr>
          <w:sz w:val="18"/>
          <w:vertAlign w:val="superscript"/>
        </w:rPr>
        <w:t>14–16</w:t>
      </w:r>
      <w:r>
        <w:t xml:space="preserve"> However, the approach has not been used to characterize local predictor patterns for TB in Southeast Sulawesi.</w:t>
      </w:r>
    </w:p>
    <w:p w14:paraId="47D4135B" w14:textId="77777777" w:rsidR="00E34EB5" w:rsidRDefault="00000000" w:rsidP="00BF256D">
      <w:pPr>
        <w:spacing w:after="40"/>
        <w:ind w:firstLine="432"/>
        <w:jc w:val="both"/>
      </w:pPr>
      <w:r>
        <w:t>This study therefore aimed to model TB case counts in Southeast Sulawesi using GWNBR, identify locally significant predictors, and classify districts/cities according to the combination of locally significant variables. The findings are intended to support geographically tailored TB-control planning while recognizing that associations derived from aggregated data should not be interpreted as individual-level risk estimates.</w:t>
      </w:r>
    </w:p>
    <w:p w14:paraId="2DF76A7E" w14:textId="77777777" w:rsidR="00E34EB5" w:rsidRDefault="00000000" w:rsidP="00BF256D">
      <w:pPr>
        <w:keepNext/>
        <w:spacing w:before="160" w:after="40"/>
        <w:jc w:val="both"/>
      </w:pPr>
      <w:r>
        <w:rPr>
          <w:b/>
        </w:rPr>
        <w:t>Methods</w:t>
      </w:r>
    </w:p>
    <w:p w14:paraId="07BD34DA" w14:textId="77777777" w:rsidR="00E34EB5" w:rsidRDefault="00000000" w:rsidP="00BF256D">
      <w:pPr>
        <w:keepNext/>
        <w:spacing w:before="80" w:after="40"/>
        <w:jc w:val="both"/>
      </w:pPr>
      <w:r>
        <w:rPr>
          <w:b/>
        </w:rPr>
        <w:t>Study design and setting</w:t>
      </w:r>
    </w:p>
    <w:p w14:paraId="00A130D8" w14:textId="77777777" w:rsidR="00E34EB5" w:rsidRDefault="00000000" w:rsidP="00BF256D">
      <w:pPr>
        <w:spacing w:after="40"/>
        <w:ind w:firstLine="432"/>
        <w:jc w:val="both"/>
      </w:pPr>
      <w:r>
        <w:t>This ecological, observational analytic study used a spatial analysis of aggregate secondary data from 17 districts/cities in Southeast Sulawesi, Indonesia, for 2024. The unit of analysis was the district/city rather than the individual. Reporting was informed by the general principles of the Strengthening the Reporting of Observational Studies in Epidemiology (STROBE) statement, with attention to the study design, data sources, variables, statistical methods, and limitations of ecological inference.</w:t>
      </w:r>
      <w:r>
        <w:rPr>
          <w:sz w:val="18"/>
          <w:vertAlign w:val="superscript"/>
        </w:rPr>
        <w:t>18</w:t>
      </w:r>
    </w:p>
    <w:p w14:paraId="42DB70F0" w14:textId="77777777" w:rsidR="00E34EB5" w:rsidRDefault="00000000" w:rsidP="00BF256D">
      <w:pPr>
        <w:spacing w:after="40"/>
        <w:ind w:firstLine="432"/>
        <w:jc w:val="both"/>
      </w:pPr>
      <w:r>
        <w:t>The study was designed to examine geographical variation in reported case counts, rather than to estimate individual TB risk or population-standardized incidence. Administrative boundaries were used as the geographic units. Geographic coordinates for the districts/cities were used only to derive inter-area distances and spatial weights; no household, patient, or other individual-level geolocation data were used.</w:t>
      </w:r>
    </w:p>
    <w:p w14:paraId="77886FF1" w14:textId="77777777" w:rsidR="00E34EB5" w:rsidRDefault="00000000" w:rsidP="00BF256D">
      <w:pPr>
        <w:keepNext/>
        <w:spacing w:before="80" w:after="40"/>
        <w:jc w:val="both"/>
      </w:pPr>
      <w:r>
        <w:rPr>
          <w:b/>
        </w:rPr>
        <w:t>Data sources and variables</w:t>
      </w:r>
    </w:p>
    <w:p w14:paraId="483B642A" w14:textId="77777777" w:rsidR="00E34EB5" w:rsidRDefault="00000000" w:rsidP="00BF256D">
      <w:pPr>
        <w:spacing w:after="40"/>
        <w:ind w:firstLine="432"/>
        <w:jc w:val="both"/>
      </w:pPr>
      <w:r>
        <w:t>The data were obtained from the Southeast Sulawesi Provincial Health Office and Statistics Indonesia (BPS) Southeast Sulawesi.</w:t>
      </w:r>
      <w:r>
        <w:rPr>
          <w:sz w:val="18"/>
          <w:vertAlign w:val="superscript"/>
        </w:rPr>
        <w:t>7,17</w:t>
      </w:r>
      <w:r>
        <w:t xml:space="preserve"> The outcome was the number of reported TB cases in each district/city. The prespecified predictors were the number of community health centers, the </w:t>
      </w:r>
      <w:r>
        <w:lastRenderedPageBreak/>
        <w:t>percentage of people aged 15 years or older who smoked, and the number of HIV/AIDS cases. Smoking and HIV are epidemiologically relevant to TB because tobacco exposure increases the risk of TB infection and active disease, whereas HIV-related immunosuppression increases susceptibility to active TB.</w:t>
      </w:r>
      <w:r>
        <w:rPr>
          <w:sz w:val="18"/>
          <w:vertAlign w:val="superscript"/>
        </w:rPr>
        <w:t>19–21</w:t>
      </w:r>
      <w:r>
        <w:t xml:space="preserve"> The operational definitions and data sources are shown in Table 1.</w:t>
      </w:r>
    </w:p>
    <w:p w14:paraId="297E8397" w14:textId="77777777" w:rsidR="00E34EB5" w:rsidRDefault="00000000" w:rsidP="00BF256D">
      <w:pPr>
        <w:spacing w:after="40"/>
        <w:ind w:firstLine="432"/>
        <w:jc w:val="both"/>
      </w:pPr>
      <w:r>
        <w:t>Additional candidate variables, including total population, population density, and the proportion of people living in poverty, were explored at the preliminary stage. They were not retained in the main model because they did not show meaningful bivariate associations with the outcome in this 17-unit dataset. This selection was intended to preserve a parsimonious and stable model given the limited number of spatial units. Population size was considered as a potential offset; however, because the stated objective was to model reported case counts and identify locality-specific predictor patterns, the final model was fitted to counts without an offset. This choice is considered when interpreting the results and limitations.</w:t>
      </w:r>
    </w:p>
    <w:p w14:paraId="758AF3A5" w14:textId="77777777" w:rsidR="00E34EB5" w:rsidRDefault="00000000" w:rsidP="00BF256D">
      <w:pPr>
        <w:keepNext/>
        <w:spacing w:before="80" w:after="40"/>
        <w:jc w:val="both"/>
      </w:pPr>
      <w:r>
        <w:rPr>
          <w:b/>
        </w:rPr>
        <w:t>Statistical analysis</w:t>
      </w:r>
    </w:p>
    <w:p w14:paraId="6EB1FF31" w14:textId="77777777" w:rsidR="00E34EB5" w:rsidRDefault="00000000" w:rsidP="00BF256D">
      <w:pPr>
        <w:spacing w:after="40"/>
        <w:ind w:firstLine="432"/>
        <w:jc w:val="both"/>
      </w:pPr>
      <w:r>
        <w:t>Analyses began with descriptive exploration of the outcome and predictors. Multicollinearity was evaluated using variance inflation factors (VIFs); values below 10 were interpreted as indicating no serious multicollinearity. Because the outcome was a count, a Poisson model was first considered. Overdispersion was assessed using the deviance-to-degrees-of-freedom ratio, with a value greater than 1 indicating overdispersion. A global negative binomial model was then fitted as the principal nonspatial model.</w:t>
      </w:r>
    </w:p>
    <w:p w14:paraId="3D97FD8D" w14:textId="77777777" w:rsidR="00E34EB5" w:rsidRDefault="00000000" w:rsidP="00BF256D">
      <w:pPr>
        <w:spacing w:after="40"/>
        <w:ind w:firstLine="432"/>
        <w:jc w:val="both"/>
      </w:pPr>
      <w:r>
        <w:t>For district/city i, let Yi denote the reported TB case count, μi the expected number of reported TB cases, and θ the dispersion parameter. The global negative binomial model with a log link was specified as follows:</w:t>
      </w:r>
    </w:p>
    <w:p w14:paraId="0AE6E2B7" w14:textId="77777777" w:rsidR="00E34EB5" w:rsidRDefault="00000000">
      <w:pPr>
        <w:spacing w:before="40" w:after="40" w:line="240" w:lineRule="auto"/>
        <w:jc w:val="center"/>
      </w:pPr>
      <w:r>
        <w:rPr>
          <w:i/>
        </w:rPr>
        <w:t>Yᵢ ~ NB(μᵢ, θ),     log(μᵢ) = β₀ + β₁X₁ᵢ + β₂X₂ᵢ + β₃X₃ᵢ</w:t>
      </w:r>
    </w:p>
    <w:p w14:paraId="56944DD0" w14:textId="77777777" w:rsidR="00E34EB5" w:rsidRDefault="00000000" w:rsidP="00BF256D">
      <w:pPr>
        <w:spacing w:after="40"/>
        <w:ind w:firstLine="432"/>
        <w:jc w:val="both"/>
      </w:pPr>
      <w:r>
        <w:lastRenderedPageBreak/>
        <w:t>In this specification, X1i, X2i, and X3i represent the number of community health centers, smoking prevalence among people aged 15 years or older, and the number of HIV/AIDS cases, respectively. Spatial heterogeneity was examined with the Breusch-Pagan test.</w:t>
      </w:r>
      <w:r>
        <w:rPr>
          <w:sz w:val="18"/>
          <w:vertAlign w:val="superscript"/>
        </w:rPr>
        <w:t>22</w:t>
      </w:r>
    </w:p>
    <w:p w14:paraId="1279FB68" w14:textId="77777777" w:rsidR="00E34EB5" w:rsidRDefault="00000000" w:rsidP="00BF256D">
      <w:pPr>
        <w:spacing w:after="40"/>
        <w:ind w:firstLine="432"/>
        <w:jc w:val="both"/>
      </w:pPr>
      <w:r>
        <w:t>For GWNBR, regression coefficients were allowed to vary by district/city location. At location i with coordinates (ui, vi), the local model was specified as follows:</w:t>
      </w:r>
    </w:p>
    <w:p w14:paraId="6CAE8C43" w14:textId="77777777" w:rsidR="00E34EB5" w:rsidRDefault="00000000">
      <w:pPr>
        <w:spacing w:before="40" w:after="40" w:line="240" w:lineRule="auto"/>
        <w:jc w:val="center"/>
      </w:pPr>
      <w:r>
        <w:rPr>
          <w:i/>
        </w:rPr>
        <w:t>log(μᵢ) = β₀(uᵢ,vᵢ) + β₁(uᵢ,vᵢ)X₁ᵢ + β₂(uᵢ,vᵢ)X₂ᵢ + β₃(uᵢ,vᵢ)X₃ᵢ</w:t>
      </w:r>
    </w:p>
    <w:p w14:paraId="7F47CB1D" w14:textId="77777777" w:rsidR="00E34EB5" w:rsidRDefault="00000000" w:rsidP="00BF256D">
      <w:pPr>
        <w:spacing w:after="40"/>
        <w:ind w:firstLine="432"/>
        <w:jc w:val="both"/>
      </w:pPr>
      <w:r>
        <w:t>Here, βk(ui,vi) denotes the location-specific coefficient for predictor k. Interdistrict/city distances were calculated from geographic coordinates, and spatial weights were constructed with an adaptive bisquare kernel. An adaptive kernel was chosen because the study area includes both mainland and island locations with an uneven spatial configuration. Local significance was interpreted at p &lt; 0.05 (|z| &gt; 1.96).</w:t>
      </w:r>
    </w:p>
    <w:p w14:paraId="00482395" w14:textId="77777777" w:rsidR="00E34EB5" w:rsidRDefault="00000000" w:rsidP="00BF256D">
      <w:pPr>
        <w:spacing w:after="40"/>
        <w:ind w:firstLine="432"/>
        <w:jc w:val="both"/>
      </w:pPr>
      <w:r>
        <w:t>The global and local models were compared using the Akaike information criterion (AIC), with a lower value indicating better relative fit.</w:t>
      </w:r>
      <w:r>
        <w:rPr>
          <w:sz w:val="18"/>
          <w:vertAlign w:val="superscript"/>
        </w:rPr>
        <w:t>23</w:t>
      </w:r>
      <w:r>
        <w:t xml:space="preserve"> Because the number of spatial units was limited, the GWNBR findings were interpreted as exploratory locality-specific associations. The analysis did not use the local estimates to make causal claims or to classify individual residents as being at greater or lower risk.</w:t>
      </w:r>
    </w:p>
    <w:p w14:paraId="6A89AAF9" w14:textId="77777777" w:rsidR="00E34EB5" w:rsidRDefault="00000000">
      <w:pPr>
        <w:keepNext/>
        <w:spacing w:before="80" w:after="40"/>
      </w:pPr>
      <w:r>
        <w:rPr>
          <w:b/>
        </w:rPr>
        <w:t>Ethics and permission statement</w:t>
      </w:r>
    </w:p>
    <w:p w14:paraId="3E70F3DE" w14:textId="77777777" w:rsidR="00E34EB5" w:rsidRDefault="00000000" w:rsidP="00BF256D">
      <w:pPr>
        <w:spacing w:after="40"/>
        <w:ind w:firstLine="432"/>
        <w:jc w:val="both"/>
      </w:pPr>
      <w:r>
        <w:t>Permission to access and use the secondary data was obtained from the Southeast Sulawesi Provincial Health Office. The analysis used aggregate data at the district/city level and did not involve individual-level records, identifiable personal information, biological specimens, or direct contact with human participants. Therefore, informed consent from individual participants was not required.</w:t>
      </w:r>
    </w:p>
    <w:p w14:paraId="0E48529C" w14:textId="77777777" w:rsidR="00E34EB5" w:rsidRDefault="00000000" w:rsidP="00BF256D">
      <w:pPr>
        <w:keepNext/>
        <w:spacing w:before="160" w:after="40"/>
        <w:jc w:val="both"/>
      </w:pPr>
      <w:r>
        <w:rPr>
          <w:b/>
        </w:rPr>
        <w:lastRenderedPageBreak/>
        <w:t>Results</w:t>
      </w:r>
    </w:p>
    <w:p w14:paraId="0795DEAD" w14:textId="77777777" w:rsidR="00E34EB5" w:rsidRDefault="00000000" w:rsidP="00BF256D">
      <w:pPr>
        <w:keepNext/>
        <w:spacing w:before="80" w:after="40"/>
        <w:jc w:val="both"/>
      </w:pPr>
      <w:r>
        <w:rPr>
          <w:b/>
        </w:rPr>
        <w:t>Spatial distribution of TB case counts</w:t>
      </w:r>
    </w:p>
    <w:p w14:paraId="1B8C4893" w14:textId="77777777" w:rsidR="00E34EB5" w:rsidRDefault="00000000" w:rsidP="00BF256D">
      <w:pPr>
        <w:spacing w:after="40"/>
        <w:ind w:firstLine="432"/>
        <w:jc w:val="both"/>
      </w:pPr>
      <w:r>
        <w:t>Reported TB case counts were unevenly distributed across Southeast Sulawesi in 2024. Kendari City had the highest reported case count, whereas Wakatobi was among the areas with the lowest count. This geographic pattern suggested that a model capable of examining local variability could provide information beyond a single global association.</w:t>
      </w:r>
    </w:p>
    <w:p w14:paraId="6FC8EBF1" w14:textId="77777777" w:rsidR="00E34EB5" w:rsidRDefault="00000000" w:rsidP="00BF256D">
      <w:pPr>
        <w:spacing w:after="40"/>
        <w:ind w:firstLine="432"/>
        <w:jc w:val="both"/>
      </w:pPr>
      <w:r>
        <w:t>The geographic distribution of reported TB case counts across the 17 districts/cities is presented in Figure 1. The map is intended to describe the observed distribution of reported cases and does not represent a population-standardized risk surface.</w:t>
      </w:r>
    </w:p>
    <w:p w14:paraId="0A1073C4" w14:textId="77777777" w:rsidR="00E34EB5" w:rsidRDefault="00000000" w:rsidP="00BF256D">
      <w:pPr>
        <w:keepNext/>
        <w:spacing w:before="80" w:after="40"/>
        <w:jc w:val="both"/>
      </w:pPr>
      <w:r>
        <w:rPr>
          <w:b/>
        </w:rPr>
        <w:t>Global model and diagnostic findings</w:t>
      </w:r>
    </w:p>
    <w:p w14:paraId="3435D961" w14:textId="77777777" w:rsidR="00E34EB5" w:rsidRDefault="00000000" w:rsidP="00BF256D">
      <w:pPr>
        <w:spacing w:after="40"/>
        <w:ind w:firstLine="432"/>
        <w:jc w:val="both"/>
      </w:pPr>
      <w:r>
        <w:t>The VIFs for X1, X2, and X3 were 1.10, 1.21, and 1.16, respectively; therefore, there was no evidence of serious multicollinearity. The deviance-to-degrees-of-freedom ratio was 51.90, indicating pronounced overdispersion and supporting the use of a negative binomial model rather than a Poisson model.</w:t>
      </w:r>
    </w:p>
    <w:p w14:paraId="10E13A67" w14:textId="77777777" w:rsidR="00E34EB5" w:rsidRDefault="00000000" w:rsidP="00BF256D">
      <w:pPr>
        <w:spacing w:after="40"/>
        <w:ind w:firstLine="432"/>
        <w:jc w:val="both"/>
      </w:pPr>
      <w:r>
        <w:t>The global negative binomial regression results are summarized in Table 2. Smoking prevalence and HIV/AIDS case counts were positively associated with reported TB case counts, whereas the number of community health centers was not statistically significant. The Breusch-Pagan test yielded a statistic of 6.646 (p = 0.084), providing evidence of spatial heterogeneity at the 10% significance level. This result was treated as suggestive rather than definitive, and local estimates were interpreted cautiously.</w:t>
      </w:r>
    </w:p>
    <w:p w14:paraId="2B8A44EE" w14:textId="77777777" w:rsidR="00E34EB5" w:rsidRDefault="00000000" w:rsidP="00BF256D">
      <w:pPr>
        <w:keepNext/>
        <w:spacing w:before="80" w:after="40"/>
        <w:jc w:val="both"/>
      </w:pPr>
      <w:r>
        <w:rPr>
          <w:b/>
        </w:rPr>
        <w:t>GWNBR local patterns</w:t>
      </w:r>
    </w:p>
    <w:p w14:paraId="72832B2F" w14:textId="77777777" w:rsidR="00E34EB5" w:rsidRDefault="00000000" w:rsidP="00BF256D">
      <w:pPr>
        <w:spacing w:after="40"/>
        <w:ind w:firstLine="432"/>
        <w:jc w:val="both"/>
      </w:pPr>
      <w:r>
        <w:t>GWNBR with an adaptive bisquare kernel showed that associations were not uniform across all districts/cities. On the basis of locally significant predictors, the districts/cities were classified into four patterns (Table 3).</w:t>
      </w:r>
    </w:p>
    <w:p w14:paraId="2D1CAA47" w14:textId="77777777" w:rsidR="00E34EB5" w:rsidRDefault="00000000" w:rsidP="00BF256D">
      <w:pPr>
        <w:spacing w:after="40"/>
        <w:ind w:firstLine="432"/>
        <w:jc w:val="both"/>
      </w:pPr>
      <w:r>
        <w:lastRenderedPageBreak/>
        <w:t>Smoking prevalence (X2) was the predictor most frequently significant at the local level. In Kendari City, all three predictors were locally significant: the coefficient for the number of community health centers was -0.3706 (z = -2.4021), whereas the coefficients for smoking prevalence and HIV/AIDS case counts were 1.5127 (z = 2.5619) and 2.3234 (z = 2.4598), respectively. The district/city groups identified from the locally significant predictor patterns are shown in Figure 2.</w:t>
      </w:r>
    </w:p>
    <w:p w14:paraId="3FBD378A" w14:textId="77777777" w:rsidR="00E34EB5" w:rsidRDefault="00000000" w:rsidP="00BF256D">
      <w:pPr>
        <w:spacing w:after="40"/>
        <w:ind w:firstLine="432"/>
        <w:jc w:val="both"/>
      </w:pPr>
      <w:r>
        <w:t>The GWNBR model had a lower AIC than the global negative binomial model (136.00 vs. 139.84), a difference of 3.84 in favor of the local model. This comparison indicates a better relative fit for the local model, although the magnitude of improvement should be interpreted alongside the small number of spatial units and the exploratory nature of location-specific inference.</w:t>
      </w:r>
    </w:p>
    <w:p w14:paraId="5908897D" w14:textId="77777777" w:rsidR="00E34EB5" w:rsidRDefault="00000000" w:rsidP="00BF256D">
      <w:pPr>
        <w:keepNext/>
        <w:spacing w:before="160" w:after="40"/>
        <w:jc w:val="both"/>
      </w:pPr>
      <w:r>
        <w:rPr>
          <w:b/>
        </w:rPr>
        <w:t>Discussion</w:t>
      </w:r>
    </w:p>
    <w:p w14:paraId="378F70E1" w14:textId="77777777" w:rsidR="00E34EB5" w:rsidRDefault="00000000" w:rsidP="00BF256D">
      <w:pPr>
        <w:spacing w:after="40"/>
        <w:ind w:firstLine="432"/>
        <w:jc w:val="both"/>
      </w:pPr>
      <w:r>
        <w:t>This study found substantial overdispersion in district/city-level TB case counts in Southeast Sulawesi and obtained a better-fitting model with GWNBR than with global negative binomial regression. The local model also demonstrated that predictor patterns differed geographically: smoking prevalence was locally significant in several areas, and Kendari City was the only location in which all three predictors were significant.</w:t>
      </w:r>
    </w:p>
    <w:p w14:paraId="14EA33DE" w14:textId="77777777" w:rsidR="00E34EB5" w:rsidRDefault="00000000" w:rsidP="00BF256D">
      <w:pPr>
        <w:spacing w:after="40"/>
        <w:ind w:firstLine="432"/>
        <w:jc w:val="both"/>
      </w:pPr>
      <w:r>
        <w:t>The positive global and local associations involving smoking prevalence are epidemiologically plausible. Tobacco exposure has been associated with a greater risk of TB infection, active TB disease, and adverse TB-related outcomes.</w:t>
      </w:r>
      <w:r>
        <w:rPr>
          <w:sz w:val="18"/>
          <w:vertAlign w:val="superscript"/>
        </w:rPr>
        <w:t>19</w:t>
      </w:r>
      <w:r>
        <w:t xml:space="preserve"> The present ecological results do not establish individual-level causation, but they indicate that districts/cities with a locally significant smoking association may benefit from more explicit integration of tobacco-control measures into TB prevention and case-finding activities. These measures could include routine smoking-status assessment during TB services, cessation counseling, and coordination between TB programs and local tobacco-control initiatives.</w:t>
      </w:r>
    </w:p>
    <w:p w14:paraId="77D4941A" w14:textId="77777777" w:rsidR="00E34EB5" w:rsidRDefault="00000000" w:rsidP="00BF256D">
      <w:pPr>
        <w:spacing w:after="40"/>
        <w:ind w:firstLine="432"/>
        <w:jc w:val="both"/>
      </w:pPr>
      <w:r>
        <w:lastRenderedPageBreak/>
        <w:t>HIV/AIDS case counts were also associated with TB case counts in the global model and in Kendari City. HIV increases susceptibility to active TB through immunosuppression, and TB-HIV collaboration remains a core component of TB control.</w:t>
      </w:r>
      <w:r>
        <w:rPr>
          <w:sz w:val="18"/>
          <w:vertAlign w:val="superscript"/>
        </w:rPr>
        <w:t>20,21</w:t>
      </w:r>
      <w:r>
        <w:t xml:space="preserve"> The local findings support strengthened TB screening among people living with HIV, coordinated referral pathways, and integrated monitoring in locations where HIV-related associations are prominent. At the program level, local surveillance should be interpreted together with information on HIV testing coverage, ART uptake, TB preventive treatment, and the timeliness of referral, none of which were available in the present aggregate dataset.</w:t>
      </w:r>
    </w:p>
    <w:p w14:paraId="31429C16" w14:textId="77777777" w:rsidR="00E34EB5" w:rsidRDefault="00000000" w:rsidP="00BF256D">
      <w:pPr>
        <w:spacing w:after="40"/>
        <w:ind w:firstLine="432"/>
        <w:jc w:val="both"/>
      </w:pPr>
      <w:r>
        <w:t>The inverse local association between the number of community health centers and TB case counts in Kendari City should be interpreted cautiously. It may reflect better access to diagnosis, treatment initiation, treatment support, and public-health education, but the cross-sectional ecological design cannot determine the direction or mechanism of the relationship. Conversely, greater service availability can sometimes increase notified case counts through improved detection. The coefficient should therefore not be interpreted as evidence that simply increasing the number of facilities will necessarily reduce TB burden. It is more appropriately viewed as a signal for local program review that should be examined together with case-finding practices, laboratory access, treatment performance, and population mobility.</w:t>
      </w:r>
    </w:p>
    <w:p w14:paraId="636ACE88" w14:textId="77777777" w:rsidR="00E34EB5" w:rsidRDefault="00000000" w:rsidP="00BF256D">
      <w:pPr>
        <w:spacing w:after="40"/>
        <w:ind w:firstLine="432"/>
        <w:jc w:val="both"/>
      </w:pPr>
      <w:r>
        <w:t>The lower AIC for GWNBR indicates improved relative fit and, more importantly, provides geographically specific information that cannot be obtained from a global model alone. Such evidence can support differentiated rather than uniform control strategies, consistent with the End TB Strategy emphasis on patient-centered care, prevention, and context-responsive implementation.</w:t>
      </w:r>
      <w:r>
        <w:rPr>
          <w:sz w:val="18"/>
          <w:vertAlign w:val="superscript"/>
        </w:rPr>
        <w:t>24</w:t>
      </w:r>
      <w:r>
        <w:t xml:space="preserve"> In practice, the maps should complement, rather than replace, standard TB indicators such as treatment coverage, notification completeness, treatment outcomes, and laboratory performance. The local </w:t>
      </w:r>
      <w:r>
        <w:lastRenderedPageBreak/>
        <w:t>patterns can be used to prioritize further assessment and program dialogue rather than as stand-alone evidence for allocating resources.</w:t>
      </w:r>
    </w:p>
    <w:p w14:paraId="13822FBE" w14:textId="77777777" w:rsidR="00E34EB5" w:rsidRDefault="00000000" w:rsidP="00BF256D">
      <w:pPr>
        <w:spacing w:after="40"/>
        <w:ind w:firstLine="432"/>
        <w:jc w:val="both"/>
      </w:pPr>
      <w:r>
        <w:t>The Breusch-Pagan result met the exploratory 10% threshold but not the conventional 5% threshold. Together with the limited sample of 17 spatial units, this reinforces the need for cautious interpretation of local significance. Replication with multiple years of data, finer geographic units, or a longitudinal spatial model would help assess whether the observed patterns are stable over time and whether they persist after accounting for population size and changing surveillance intensity.</w:t>
      </w:r>
    </w:p>
    <w:p w14:paraId="046E5AED" w14:textId="77777777" w:rsidR="00E34EB5" w:rsidRDefault="00000000" w:rsidP="00BF256D">
      <w:pPr>
        <w:keepNext/>
        <w:spacing w:before="160" w:after="40"/>
        <w:jc w:val="both"/>
      </w:pPr>
      <w:r>
        <w:rPr>
          <w:b/>
        </w:rPr>
        <w:t>Limitations</w:t>
      </w:r>
    </w:p>
    <w:p w14:paraId="18A2F3D7" w14:textId="77777777" w:rsidR="00E34EB5" w:rsidRDefault="00000000" w:rsidP="00BF256D">
      <w:pPr>
        <w:spacing w:after="40"/>
        <w:ind w:firstLine="432"/>
        <w:jc w:val="both"/>
      </w:pPr>
      <w:r>
        <w:t>Several limitations should be considered. First, the ecological design permits inference at the district/city level only and cannot be used to infer individual-level risk. Second, the analysis used secondary surveillance and administrative data, and its validity depends on the completeness and consistency of reporting. Reported TB case counts may reflect a combination of underlying transmission, access to diagnostic services, notification practices, and program performance.</w:t>
      </w:r>
    </w:p>
    <w:p w14:paraId="3E714C5B" w14:textId="77777777" w:rsidR="00E34EB5" w:rsidRDefault="00000000" w:rsidP="00BF256D">
      <w:pPr>
        <w:spacing w:after="40"/>
        <w:ind w:firstLine="432"/>
        <w:jc w:val="both"/>
      </w:pPr>
      <w:r>
        <w:t>Third, the sample comprised only 17 spatial units; therefore, the number of predictors was deliberately limited and local estimates should be interpreted cautiously. Fourth, population size, density, and poverty were not retained in the main model because of their preliminary associations in this dataset; however, these variables may be relevant in analyses using a population offset, a standardized rate, smaller geographic units, or alternative model structures. Finally, data on housing density, nutritional status, diabetes, mobility, and reporting quality were not available consistently across all areas. These limitations do not negate the value of the study but delimit the conclusions and identify priorities for future work.</w:t>
      </w:r>
    </w:p>
    <w:p w14:paraId="1B8B2351" w14:textId="77777777" w:rsidR="00E34EB5" w:rsidRDefault="00000000" w:rsidP="00BF256D">
      <w:pPr>
        <w:keepNext/>
        <w:spacing w:before="160" w:after="40"/>
        <w:jc w:val="both"/>
      </w:pPr>
      <w:r>
        <w:rPr>
          <w:b/>
        </w:rPr>
        <w:t>Conclusion</w:t>
      </w:r>
    </w:p>
    <w:p w14:paraId="43D68F40" w14:textId="77777777" w:rsidR="00E34EB5" w:rsidRDefault="00000000" w:rsidP="00BF256D">
      <w:pPr>
        <w:spacing w:after="40"/>
        <w:ind w:firstLine="432"/>
        <w:jc w:val="both"/>
      </w:pPr>
      <w:r>
        <w:t xml:space="preserve">Reported TB case counts in Southeast Sulawesi were overdispersed and varied geographically. GWNBR provided a better fit than global negative binomial regression and identified distinct local </w:t>
      </w:r>
      <w:r>
        <w:lastRenderedPageBreak/>
        <w:t>predictor patterns. Smoking prevalence was the most consistently locally significant factor, while Kendari City showed local significance for community health centers, smoking prevalence, and HIV/AIDS case counts. These findings support geographically tailored TB-control strategies, including tobacco-control action, stronger TB-HIV collaboration, and the use of spatial evidence in local program planning.</w:t>
      </w:r>
    </w:p>
    <w:p w14:paraId="19426644" w14:textId="77777777" w:rsidR="00E34EB5" w:rsidRDefault="00000000" w:rsidP="00BF256D">
      <w:pPr>
        <w:keepNext/>
        <w:spacing w:before="160" w:after="40"/>
        <w:jc w:val="both"/>
      </w:pPr>
      <w:r>
        <w:rPr>
          <w:b/>
        </w:rPr>
        <w:t>Acknowledgments</w:t>
      </w:r>
    </w:p>
    <w:p w14:paraId="2359F447" w14:textId="77777777" w:rsidR="00E34EB5" w:rsidRDefault="00000000" w:rsidP="00BF256D">
      <w:pPr>
        <w:spacing w:after="40"/>
        <w:ind w:firstLine="432"/>
        <w:jc w:val="both"/>
      </w:pPr>
      <w:r>
        <w:t>The authors thank the Southeast Sulawesi Provincial Health Office and BPS Southeast Sulawesi for granting access to the aggregate data used in this analysis.</w:t>
      </w:r>
    </w:p>
    <w:p w14:paraId="4CFD1CC3" w14:textId="77777777" w:rsidR="00E34EB5" w:rsidRDefault="00000000" w:rsidP="00BF256D">
      <w:pPr>
        <w:keepNext/>
        <w:spacing w:before="160" w:after="40"/>
        <w:jc w:val="both"/>
      </w:pPr>
      <w:r>
        <w:rPr>
          <w:b/>
        </w:rPr>
        <w:t>Funding</w:t>
      </w:r>
    </w:p>
    <w:p w14:paraId="25453DEE" w14:textId="02B39CAF" w:rsidR="00E34EB5" w:rsidRDefault="00BF256D" w:rsidP="00BF256D">
      <w:pPr>
        <w:spacing w:after="40"/>
        <w:ind w:firstLine="432"/>
        <w:jc w:val="both"/>
      </w:pPr>
      <w:r w:rsidRPr="00BF256D">
        <w:t>This research received no specific grant from any funding agency in the public, commercial, or not-for-profit sectors</w:t>
      </w:r>
      <w:r>
        <w:t>.</w:t>
      </w:r>
    </w:p>
    <w:p w14:paraId="6C65AC2C" w14:textId="77777777" w:rsidR="00E34EB5" w:rsidRDefault="00000000" w:rsidP="00BF256D">
      <w:pPr>
        <w:keepNext/>
        <w:spacing w:before="160" w:after="40"/>
        <w:jc w:val="both"/>
      </w:pPr>
      <w:r>
        <w:rPr>
          <w:b/>
        </w:rPr>
        <w:t>Declaration of interest</w:t>
      </w:r>
    </w:p>
    <w:p w14:paraId="138B1696" w14:textId="77777777" w:rsidR="00E34EB5" w:rsidRDefault="00000000" w:rsidP="00BF256D">
      <w:pPr>
        <w:spacing w:after="40"/>
        <w:ind w:firstLine="432"/>
        <w:jc w:val="both"/>
      </w:pPr>
      <w:r>
        <w:t>The authors declare no competing interests.</w:t>
      </w:r>
    </w:p>
    <w:p w14:paraId="59EE430B" w14:textId="77777777" w:rsidR="00E34EB5" w:rsidRDefault="00000000" w:rsidP="00BF256D">
      <w:pPr>
        <w:keepNext/>
        <w:spacing w:before="160" w:after="40"/>
        <w:jc w:val="both"/>
      </w:pPr>
      <w:r>
        <w:rPr>
          <w:b/>
        </w:rPr>
        <w:t>Author contributions</w:t>
      </w:r>
    </w:p>
    <w:p w14:paraId="248EF2EF" w14:textId="77777777" w:rsidR="00E34EB5" w:rsidRDefault="00000000" w:rsidP="00BF256D">
      <w:pPr>
        <w:spacing w:after="40"/>
        <w:ind w:firstLine="432"/>
        <w:jc w:val="both"/>
      </w:pPr>
      <w:r>
        <w:t>All authors contributed to the conception and design of the study, or acquisition, analysis, or interpretation of data; drafted the manuscript or revised it critically for important intellectual content; and approved the final version for submission.</w:t>
      </w:r>
    </w:p>
    <w:p w14:paraId="1B0A90EB" w14:textId="77777777" w:rsidR="00E34EB5" w:rsidRDefault="00000000" w:rsidP="00BF256D">
      <w:pPr>
        <w:keepNext/>
        <w:spacing w:before="160" w:after="40"/>
        <w:jc w:val="both"/>
      </w:pPr>
      <w:r>
        <w:rPr>
          <w:b/>
        </w:rPr>
        <w:t>Availability of data and materials</w:t>
      </w:r>
    </w:p>
    <w:p w14:paraId="7F6655E4" w14:textId="77777777" w:rsidR="00E34EB5" w:rsidRDefault="00000000" w:rsidP="00BF256D">
      <w:pPr>
        <w:spacing w:after="40"/>
        <w:ind w:firstLine="432"/>
        <w:jc w:val="both"/>
      </w:pPr>
      <w:r>
        <w:t>The aggregate data analyzed in this study are available from the Southeast Sulawesi Provincial Health Office and BPS Southeast Sulawesi. Access may be subject to the providers' administrative requirements.</w:t>
      </w:r>
    </w:p>
    <w:p w14:paraId="13FA19D2" w14:textId="77777777" w:rsidR="00E34EB5" w:rsidRDefault="00000000" w:rsidP="00BF256D">
      <w:pPr>
        <w:keepNext/>
        <w:spacing w:before="160" w:after="40"/>
      </w:pPr>
      <w:r>
        <w:rPr>
          <w:b/>
        </w:rPr>
        <w:lastRenderedPageBreak/>
        <w:t>Declaration of generative AI and AI-assisted technologies in the manuscript preparation process</w:t>
      </w:r>
    </w:p>
    <w:p w14:paraId="7CBD48DB" w14:textId="77777777" w:rsidR="00E34EB5" w:rsidRDefault="00000000" w:rsidP="00BF256D">
      <w:pPr>
        <w:spacing w:after="40"/>
        <w:ind w:firstLine="432"/>
        <w:jc w:val="both"/>
      </w:pPr>
      <w:r>
        <w:t>During the preparation of this work, the authors used ChatGPT (OpenAI) to assist with language editing and manuscript formatting. After using this tool, the authors reviewed and edited the content as needed and take full responsibility for the content of the publication.</w:t>
      </w:r>
    </w:p>
    <w:p w14:paraId="04A0E2E9" w14:textId="77777777" w:rsidR="00E34EB5" w:rsidRDefault="00000000">
      <w:pPr>
        <w:keepNext/>
        <w:pageBreakBefore/>
        <w:spacing w:before="160" w:after="40"/>
      </w:pPr>
      <w:r>
        <w:rPr>
          <w:b/>
        </w:rPr>
        <w:lastRenderedPageBreak/>
        <w:t>References</w:t>
      </w:r>
    </w:p>
    <w:p w14:paraId="2B2DC71C" w14:textId="77777777" w:rsidR="00E34EB5" w:rsidRDefault="00000000" w:rsidP="005F4F9E">
      <w:pPr>
        <w:ind w:left="284" w:hanging="284"/>
      </w:pPr>
      <w:r>
        <w:t>1. World Health Organization. Global tuberculosis report 2024. Geneva: World Health Organization; 2024.</w:t>
      </w:r>
    </w:p>
    <w:p w14:paraId="163C3512" w14:textId="77777777" w:rsidR="00E34EB5" w:rsidRDefault="00000000" w:rsidP="005F4F9E">
      <w:pPr>
        <w:ind w:left="284" w:hanging="284"/>
      </w:pPr>
      <w:r>
        <w:t>2. Ministry of Health, Republic of Indonesia. Indonesia's movement to end tuberculosis [Internet]. Jakarta: Ministry of Health, Republic of Indonesia; 2025 [cited 2026 Jun 24]. Available from: https://kemkes.go.id/id/indonesias-movement-to-end-tb</w:t>
      </w:r>
    </w:p>
    <w:p w14:paraId="1ECCBA59" w14:textId="77777777" w:rsidR="00E34EB5" w:rsidRDefault="00000000" w:rsidP="005F4F9E">
      <w:pPr>
        <w:ind w:left="284" w:hanging="284"/>
      </w:pPr>
      <w:r>
        <w:t>3. Lonnroth K, Jaramillo E, Williams BG, Dye C, Raviglione M. Drivers of tuberculosis epidemics: the role of risk factors and social determinants. Soc Sci Med. 2009;68(12):2240-2246. doi:10.1016/j.socscimed.2009.03.041.</w:t>
      </w:r>
    </w:p>
    <w:p w14:paraId="2F15B4C3" w14:textId="77777777" w:rsidR="00E34EB5" w:rsidRDefault="00000000" w:rsidP="005F4F9E">
      <w:pPr>
        <w:ind w:left="284" w:hanging="284"/>
      </w:pPr>
      <w:r>
        <w:t>4. Brunsdon C, Fotheringham AS, Charlton ME. Geographically weighted regression: a method for exploring spatial nonstationarity. Geogr Anal. 1996;28(4):281-298. doi:10.1111/j.1538-4632.1996.tb00936.x.</w:t>
      </w:r>
    </w:p>
    <w:p w14:paraId="6EC45ACE" w14:textId="77777777" w:rsidR="00E34EB5" w:rsidRDefault="00000000" w:rsidP="005F4F9E">
      <w:pPr>
        <w:ind w:left="284" w:hanging="284"/>
      </w:pPr>
      <w:r>
        <w:t>5. Fotheringham AS, Brunsdon C, Charlton M. Geographically weighted regression: the analysis of spatially varying relationships. Chichester: Wiley; 2002.</w:t>
      </w:r>
    </w:p>
    <w:p w14:paraId="7DDC72FD" w14:textId="77777777" w:rsidR="00E34EB5" w:rsidRDefault="00000000" w:rsidP="005F4F9E">
      <w:pPr>
        <w:ind w:left="284" w:hanging="284"/>
      </w:pPr>
      <w:r>
        <w:t>6. Leung Y, Mei CL, Zhang WX. Statistical tests for spatial nonstationarity based on the geographically weighted regression model. Environ Plan A. 2000;32(1):9-32. doi:10.1068/a3162.</w:t>
      </w:r>
    </w:p>
    <w:p w14:paraId="0D345251" w14:textId="77777777" w:rsidR="00E34EB5" w:rsidRDefault="00000000" w:rsidP="005F4F9E">
      <w:pPr>
        <w:ind w:left="284" w:hanging="284"/>
      </w:pPr>
      <w:r>
        <w:t>7. Dinas Kesehatan Provinsi Sulawesi Tenggara. SIMDATA Sulawesi Tenggara [Internet]. Kendari: Dinas Kesehatan Provinsi Sulawesi Tenggara; 2024 [cited 2026 Jun 24]. Available from: https://simdata.sultraprov.go.id/tabel_opd/Dinas</w:t>
      </w:r>
    </w:p>
    <w:p w14:paraId="2B46B163" w14:textId="77777777" w:rsidR="00E34EB5" w:rsidRDefault="00000000" w:rsidP="005F4F9E">
      <w:pPr>
        <w:ind w:left="284" w:hanging="284"/>
      </w:pPr>
      <w:r>
        <w:t>8. Lestari H. Analisis epidemiologi kejadian tuberkulosis di Provinsi Sulawesi Tenggara tahun 2021-2023. Variable Research Journal. 2024;1(2):802-810.</w:t>
      </w:r>
    </w:p>
    <w:p w14:paraId="520FF323" w14:textId="77777777" w:rsidR="00E34EB5" w:rsidRDefault="00000000" w:rsidP="005F4F9E">
      <w:pPr>
        <w:ind w:left="284" w:hanging="284"/>
      </w:pPr>
      <w:r>
        <w:t>9. Asriyanti R, Yahya I, Abapihi B, Wibawa GNA, Rasdiyanah, Laome L. Penerapan regresi nonparametrik spline dalam memodelkan faktor-faktor yang memengaruhi jumlah kasus tuberkulosis di Sulawesi Tenggara. Seminar Nasional Sains dan Terapan VI. 2022;6:100-109.</w:t>
      </w:r>
    </w:p>
    <w:p w14:paraId="48EF6D31" w14:textId="77777777" w:rsidR="00E34EB5" w:rsidRDefault="00000000" w:rsidP="005F4F9E">
      <w:pPr>
        <w:ind w:left="284" w:hanging="284"/>
      </w:pPr>
      <w:r>
        <w:lastRenderedPageBreak/>
        <w:t>10. McCullagh P, Nelder JA. Generalized linear models. 2nd ed. London: Chapman and Hall; 1989.</w:t>
      </w:r>
    </w:p>
    <w:p w14:paraId="243CC4B9" w14:textId="77777777" w:rsidR="00E34EB5" w:rsidRDefault="00000000" w:rsidP="005F4F9E">
      <w:pPr>
        <w:ind w:left="284" w:hanging="284"/>
      </w:pPr>
      <w:r>
        <w:t>11. Cameron AC, Trivedi PK. Regression analysis of count data. 2nd ed. Cambridge: Cambridge University Press; 2013.</w:t>
      </w:r>
    </w:p>
    <w:p w14:paraId="4A53B177" w14:textId="77777777" w:rsidR="00E34EB5" w:rsidRDefault="00000000" w:rsidP="005F4F9E">
      <w:pPr>
        <w:ind w:left="284" w:hanging="284"/>
      </w:pPr>
      <w:r>
        <w:t>12. Nakaya T, Fotheringham AS, Brunsdon C, Charlton M. Geographically weighted Poisson regression for disease association mapping. Stat Med. 2005;24(17):2695-2717. doi:10.1002/sim.2129.</w:t>
      </w:r>
    </w:p>
    <w:p w14:paraId="07CC0E48" w14:textId="77777777" w:rsidR="00E34EB5" w:rsidRDefault="00000000" w:rsidP="005F4F9E">
      <w:pPr>
        <w:ind w:left="284" w:hanging="284"/>
      </w:pPr>
      <w:r>
        <w:t>13. da Silva AR, Rodrigues TCV. Geographically weighted negative binomial regression-incorporating overdispersion. Stat Comput. 2014;24(5):769-783. doi:10.1007/s11222-013-9401-9.</w:t>
      </w:r>
    </w:p>
    <w:p w14:paraId="3A4C90C9" w14:textId="77777777" w:rsidR="00E34EB5" w:rsidRDefault="00000000" w:rsidP="005F4F9E">
      <w:pPr>
        <w:ind w:left="284" w:hanging="284"/>
      </w:pPr>
      <w:r>
        <w:t>14. Nurfajrin AA, Sunusi N, Herdiani ET. Modeling mixed geographically weighted negative binomial regression on the number of tuberculosis cases in South Sulawesi. Commun Math Biol Neurosci. 2023;2023:1-13. doi:10.28919/cmbn/8267.</w:t>
      </w:r>
    </w:p>
    <w:p w14:paraId="265B4471" w14:textId="77777777" w:rsidR="00E34EB5" w:rsidRDefault="00000000" w:rsidP="005F4F9E">
      <w:pPr>
        <w:ind w:left="284" w:hanging="284"/>
      </w:pPr>
      <w:r>
        <w:t>15. Putri DR, Fathurahman M, Suyitno. Pemodelan jumlah kasus tuberkulosis paru di Indonesia dengan geographically weighted negative binomial regression. Eksponensial. 2024;15(1):49-61. doi:10.30872/eksponensial.v15i1.1303.</w:t>
      </w:r>
    </w:p>
    <w:p w14:paraId="165D593A" w14:textId="77777777" w:rsidR="00E34EB5" w:rsidRDefault="00000000" w:rsidP="005F4F9E">
      <w:pPr>
        <w:ind w:left="284" w:hanging="284"/>
      </w:pPr>
      <w:r>
        <w:t>16. Ayunda A, Husein I, Faigle U. Geographically weighted negative binomial regression (GWNBR) modeling of tuberculosis (TB) in North Sumatra. ZERO: Jurnal Sains, Matematika dan Terapan. 2025;9(1):228-238. doi:10.30829/zero.v9i1.25006.</w:t>
      </w:r>
    </w:p>
    <w:p w14:paraId="1634C610" w14:textId="77777777" w:rsidR="00E34EB5" w:rsidRDefault="00000000" w:rsidP="005F4F9E">
      <w:pPr>
        <w:ind w:left="284" w:hanging="284"/>
      </w:pPr>
      <w:r>
        <w:t>17. Badan Pusat Statistik Provinsi Sulawesi Tenggara. Provinsi Sulawesi Tenggara dalam angka 2025. Kendari: BPS Provinsi Sulawesi Tenggara; 2025.</w:t>
      </w:r>
    </w:p>
    <w:p w14:paraId="019F0BF0" w14:textId="77777777" w:rsidR="00E34EB5" w:rsidRDefault="00000000" w:rsidP="005F4F9E">
      <w:pPr>
        <w:ind w:left="284" w:hanging="284"/>
      </w:pPr>
      <w:r>
        <w:t>18. Vandenbroucke JP, von Elm E, Altman DG, Gotzsche PC, Mulrow CD, Pocock SJ, et al. Strengthening the Reporting of Observational Studies in Epidemiology (STROBE): explanation and elaboration. PLoS Med. 2007;4(10):e297. doi:10.1371/journal.pmed.0040297.</w:t>
      </w:r>
    </w:p>
    <w:p w14:paraId="4D99AB89" w14:textId="77777777" w:rsidR="00E34EB5" w:rsidRDefault="00000000" w:rsidP="005F4F9E">
      <w:pPr>
        <w:ind w:left="284" w:hanging="284"/>
      </w:pPr>
      <w:r>
        <w:lastRenderedPageBreak/>
        <w:t>19. Bates MN, Khalakdina A, Pai M, Chang L, Lessa F, Smith KR. Risk of tuberculosis from exposure to tobacco smoke: a systematic review and meta-analysis. Arch Intern Med. 2007;167(4):335-342. doi:10.1001/archinte.167.4.335.</w:t>
      </w:r>
    </w:p>
    <w:p w14:paraId="1B568D33" w14:textId="77777777" w:rsidR="00E34EB5" w:rsidRDefault="00000000" w:rsidP="005F4F9E">
      <w:pPr>
        <w:ind w:left="284" w:hanging="284"/>
      </w:pPr>
      <w:r>
        <w:t>20. Centers for Disease Control and Prevention. TB risk and people with HIV [Internet]. Atlanta: Centers for Disease Control and Prevention; 2025 [cited 2026 Jun 24]. Available from: https://www.cdc.gov/tb/risk-factors/hiv.html</w:t>
      </w:r>
    </w:p>
    <w:p w14:paraId="6273A814" w14:textId="77777777" w:rsidR="00E34EB5" w:rsidRDefault="00000000" w:rsidP="005F4F9E">
      <w:pPr>
        <w:ind w:left="284" w:hanging="284"/>
      </w:pPr>
      <w:r>
        <w:t>21. World Health Organization. WHO policy on collaborative TB/HIV activities: guidelines for national programmes and other stakeholders. Geneva: World Health Organization; 2012.</w:t>
      </w:r>
    </w:p>
    <w:p w14:paraId="0A03FD35" w14:textId="77777777" w:rsidR="00E34EB5" w:rsidRDefault="00000000" w:rsidP="005F4F9E">
      <w:pPr>
        <w:ind w:left="284" w:hanging="284"/>
      </w:pPr>
      <w:r>
        <w:t>22. Breusch TS, Pagan AR. A simple test for heteroscedasticity and random coefficient variation. Econometrica. 1979;47(5):1287-1294. doi:10.2307/1911963.</w:t>
      </w:r>
    </w:p>
    <w:p w14:paraId="561589FB" w14:textId="77777777" w:rsidR="00E34EB5" w:rsidRDefault="00000000" w:rsidP="005F4F9E">
      <w:pPr>
        <w:ind w:left="284" w:hanging="284"/>
      </w:pPr>
      <w:r>
        <w:t>23. Akaike H. A new look at the statistical model identification. IEEE Trans Autom Control. 1974;19(6):716-723. doi:10.1109/TAC.1974.1100705.</w:t>
      </w:r>
    </w:p>
    <w:p w14:paraId="135B5713" w14:textId="77777777" w:rsidR="00E34EB5" w:rsidRDefault="00000000" w:rsidP="005F4F9E">
      <w:pPr>
        <w:ind w:left="284" w:hanging="284"/>
      </w:pPr>
      <w:r>
        <w:t>24. World Health Organization. The End TB Strategy. Geneva: World Health Organization; 2015.</w:t>
      </w:r>
    </w:p>
    <w:p w14:paraId="3228352B" w14:textId="77777777" w:rsidR="00E34EB5" w:rsidRDefault="00000000">
      <w:r>
        <w:br w:type="page"/>
      </w:r>
    </w:p>
    <w:p w14:paraId="4B8C6E1D" w14:textId="77777777" w:rsidR="00E34EB5" w:rsidRDefault="00000000">
      <w:pPr>
        <w:keepNext/>
        <w:spacing w:before="160" w:after="40"/>
      </w:pPr>
      <w:r>
        <w:rPr>
          <w:b/>
        </w:rPr>
        <w:lastRenderedPageBreak/>
        <w:t>Figure legends</w:t>
      </w:r>
    </w:p>
    <w:p w14:paraId="656930EA" w14:textId="77777777" w:rsidR="00E34EB5" w:rsidRDefault="00000000">
      <w:pPr>
        <w:spacing w:after="80"/>
      </w:pPr>
      <w:r>
        <w:rPr>
          <w:b/>
        </w:rPr>
        <w:t>Figure 1.</w:t>
      </w:r>
      <w:r>
        <w:t xml:space="preserve"> Geographic distribution of reported TB case counts across districts/cities in Southeast Sulawesi, Indonesia, 2024.</w:t>
      </w:r>
    </w:p>
    <w:p w14:paraId="0F866DCF" w14:textId="77777777" w:rsidR="00E34EB5" w:rsidRDefault="00000000">
      <w:pPr>
        <w:spacing w:after="80"/>
      </w:pPr>
      <w:r>
        <w:rPr>
          <w:b/>
        </w:rPr>
        <w:t>Figure 2.</w:t>
      </w:r>
      <w:r>
        <w:t xml:space="preserve"> District/city groups based on locally significant predictors of reported TB case counts in the GWNBR model, Southeast Sulawesi, Indonesia, 2024.</w:t>
      </w:r>
    </w:p>
    <w:p w14:paraId="332F47C9" w14:textId="77777777" w:rsidR="00E34EB5" w:rsidRDefault="00000000">
      <w:r>
        <w:br w:type="page"/>
      </w:r>
    </w:p>
    <w:p w14:paraId="37E1BC97" w14:textId="77777777" w:rsidR="00E34EB5" w:rsidRDefault="00000000">
      <w:pPr>
        <w:keepNext/>
        <w:spacing w:after="120"/>
      </w:pPr>
      <w:r>
        <w:rPr>
          <w:b/>
        </w:rPr>
        <w:lastRenderedPageBreak/>
        <w:t>Table 1. Study variables and data sources</w:t>
      </w:r>
    </w:p>
    <w:tbl>
      <w:tblPr>
        <w:tblStyle w:val="TableGrid"/>
        <w:tblW w:w="0" w:type="auto"/>
        <w:jc w:val="center"/>
        <w:tblLayout w:type="fixed"/>
        <w:tblLook w:val="04A0" w:firstRow="1" w:lastRow="0" w:firstColumn="1" w:lastColumn="0" w:noHBand="0" w:noVBand="1"/>
      </w:tblPr>
      <w:tblGrid>
        <w:gridCol w:w="792"/>
        <w:gridCol w:w="3311"/>
        <w:gridCol w:w="1440"/>
        <w:gridCol w:w="3816"/>
      </w:tblGrid>
      <w:tr w:rsidR="00E34EB5" w14:paraId="71FC7DC0" w14:textId="77777777" w:rsidTr="0087380B">
        <w:trPr>
          <w:tblHeader/>
          <w:jc w:val="center"/>
        </w:trPr>
        <w:tc>
          <w:tcPr>
            <w:tcW w:w="792" w:type="dxa"/>
            <w:vAlign w:val="center"/>
          </w:tcPr>
          <w:p w14:paraId="6A0CCD23" w14:textId="77777777" w:rsidR="00E34EB5" w:rsidRDefault="00000000">
            <w:pPr>
              <w:spacing w:line="240" w:lineRule="auto"/>
              <w:jc w:val="center"/>
            </w:pPr>
            <w:r>
              <w:rPr>
                <w:b/>
                <w:sz w:val="21"/>
              </w:rPr>
              <w:t>Code</w:t>
            </w:r>
          </w:p>
        </w:tc>
        <w:tc>
          <w:tcPr>
            <w:tcW w:w="3311" w:type="dxa"/>
            <w:vAlign w:val="center"/>
          </w:tcPr>
          <w:p w14:paraId="0826A138" w14:textId="77777777" w:rsidR="00E34EB5" w:rsidRDefault="00000000">
            <w:pPr>
              <w:spacing w:line="240" w:lineRule="auto"/>
              <w:jc w:val="center"/>
            </w:pPr>
            <w:r>
              <w:rPr>
                <w:b/>
                <w:sz w:val="21"/>
              </w:rPr>
              <w:t>Variable</w:t>
            </w:r>
          </w:p>
        </w:tc>
        <w:tc>
          <w:tcPr>
            <w:tcW w:w="1440" w:type="dxa"/>
            <w:vAlign w:val="center"/>
          </w:tcPr>
          <w:p w14:paraId="4D038B3A" w14:textId="77777777" w:rsidR="00E34EB5" w:rsidRDefault="00000000">
            <w:pPr>
              <w:spacing w:line="240" w:lineRule="auto"/>
              <w:jc w:val="center"/>
            </w:pPr>
            <w:r>
              <w:rPr>
                <w:b/>
                <w:sz w:val="21"/>
              </w:rPr>
              <w:t>Scale</w:t>
            </w:r>
          </w:p>
        </w:tc>
        <w:tc>
          <w:tcPr>
            <w:tcW w:w="3816" w:type="dxa"/>
            <w:vAlign w:val="center"/>
          </w:tcPr>
          <w:p w14:paraId="1C011E84" w14:textId="77777777" w:rsidR="00E34EB5" w:rsidRDefault="00000000">
            <w:pPr>
              <w:spacing w:line="240" w:lineRule="auto"/>
              <w:jc w:val="center"/>
            </w:pPr>
            <w:r>
              <w:rPr>
                <w:b/>
                <w:sz w:val="21"/>
              </w:rPr>
              <w:t>Data source</w:t>
            </w:r>
          </w:p>
        </w:tc>
      </w:tr>
      <w:tr w:rsidR="00E34EB5" w14:paraId="3798245E" w14:textId="77777777" w:rsidTr="0087380B">
        <w:trPr>
          <w:jc w:val="center"/>
        </w:trPr>
        <w:tc>
          <w:tcPr>
            <w:tcW w:w="792" w:type="dxa"/>
            <w:vAlign w:val="center"/>
          </w:tcPr>
          <w:p w14:paraId="7E7119BE" w14:textId="77777777" w:rsidR="00E34EB5" w:rsidRDefault="00000000">
            <w:pPr>
              <w:spacing w:line="240" w:lineRule="auto"/>
              <w:jc w:val="center"/>
            </w:pPr>
            <w:r>
              <w:rPr>
                <w:sz w:val="21"/>
              </w:rPr>
              <w:t>Y</w:t>
            </w:r>
          </w:p>
        </w:tc>
        <w:tc>
          <w:tcPr>
            <w:tcW w:w="3311" w:type="dxa"/>
            <w:vAlign w:val="center"/>
          </w:tcPr>
          <w:p w14:paraId="53F59CE9" w14:textId="77777777" w:rsidR="00E34EB5" w:rsidRDefault="00000000">
            <w:pPr>
              <w:spacing w:line="240" w:lineRule="auto"/>
              <w:jc w:val="center"/>
            </w:pPr>
            <w:r>
              <w:rPr>
                <w:sz w:val="21"/>
              </w:rPr>
              <w:t>Reported TB cases per district/city</w:t>
            </w:r>
          </w:p>
        </w:tc>
        <w:tc>
          <w:tcPr>
            <w:tcW w:w="1440" w:type="dxa"/>
            <w:vAlign w:val="center"/>
          </w:tcPr>
          <w:p w14:paraId="10917F79" w14:textId="77777777" w:rsidR="00E34EB5" w:rsidRDefault="00000000">
            <w:pPr>
              <w:spacing w:line="240" w:lineRule="auto"/>
            </w:pPr>
            <w:r>
              <w:rPr>
                <w:sz w:val="21"/>
              </w:rPr>
              <w:t>Count</w:t>
            </w:r>
          </w:p>
        </w:tc>
        <w:tc>
          <w:tcPr>
            <w:tcW w:w="3816" w:type="dxa"/>
            <w:vAlign w:val="center"/>
          </w:tcPr>
          <w:p w14:paraId="38D3FCDB" w14:textId="77777777" w:rsidR="00E34EB5" w:rsidRDefault="00000000">
            <w:pPr>
              <w:spacing w:line="240" w:lineRule="auto"/>
            </w:pPr>
            <w:r>
              <w:rPr>
                <w:sz w:val="21"/>
              </w:rPr>
              <w:t>Southeast Sulawesi Provincial Health Office, 2024</w:t>
            </w:r>
          </w:p>
        </w:tc>
      </w:tr>
      <w:tr w:rsidR="00E34EB5" w14:paraId="55D3C433" w14:textId="77777777" w:rsidTr="0087380B">
        <w:trPr>
          <w:jc w:val="center"/>
        </w:trPr>
        <w:tc>
          <w:tcPr>
            <w:tcW w:w="792" w:type="dxa"/>
            <w:vAlign w:val="center"/>
          </w:tcPr>
          <w:p w14:paraId="62B7F693" w14:textId="77777777" w:rsidR="00E34EB5" w:rsidRDefault="00000000">
            <w:pPr>
              <w:spacing w:line="240" w:lineRule="auto"/>
              <w:jc w:val="center"/>
            </w:pPr>
            <w:r>
              <w:rPr>
                <w:sz w:val="21"/>
              </w:rPr>
              <w:t>X1</w:t>
            </w:r>
          </w:p>
        </w:tc>
        <w:tc>
          <w:tcPr>
            <w:tcW w:w="3311" w:type="dxa"/>
            <w:vAlign w:val="center"/>
          </w:tcPr>
          <w:p w14:paraId="467B49BB" w14:textId="77777777" w:rsidR="00E34EB5" w:rsidRDefault="00000000">
            <w:pPr>
              <w:spacing w:line="240" w:lineRule="auto"/>
              <w:jc w:val="center"/>
            </w:pPr>
            <w:r>
              <w:rPr>
                <w:sz w:val="21"/>
              </w:rPr>
              <w:t>Number of community health centers</w:t>
            </w:r>
          </w:p>
        </w:tc>
        <w:tc>
          <w:tcPr>
            <w:tcW w:w="1440" w:type="dxa"/>
            <w:vAlign w:val="center"/>
          </w:tcPr>
          <w:p w14:paraId="02C86D18" w14:textId="77777777" w:rsidR="00E34EB5" w:rsidRDefault="00000000">
            <w:pPr>
              <w:spacing w:line="240" w:lineRule="auto"/>
            </w:pPr>
            <w:r>
              <w:rPr>
                <w:sz w:val="21"/>
              </w:rPr>
              <w:t>Count</w:t>
            </w:r>
          </w:p>
        </w:tc>
        <w:tc>
          <w:tcPr>
            <w:tcW w:w="3816" w:type="dxa"/>
            <w:vAlign w:val="center"/>
          </w:tcPr>
          <w:p w14:paraId="5E0DE33F" w14:textId="77777777" w:rsidR="00E34EB5" w:rsidRDefault="00000000">
            <w:pPr>
              <w:spacing w:line="240" w:lineRule="auto"/>
            </w:pPr>
            <w:r>
              <w:rPr>
                <w:sz w:val="21"/>
              </w:rPr>
              <w:t>Southeast Sulawesi Provincial Health Office / BPS, 2024/2025</w:t>
            </w:r>
          </w:p>
        </w:tc>
      </w:tr>
      <w:tr w:rsidR="00E34EB5" w14:paraId="0327CC67" w14:textId="77777777" w:rsidTr="0087380B">
        <w:trPr>
          <w:jc w:val="center"/>
        </w:trPr>
        <w:tc>
          <w:tcPr>
            <w:tcW w:w="792" w:type="dxa"/>
            <w:vAlign w:val="center"/>
          </w:tcPr>
          <w:p w14:paraId="381AC0FA" w14:textId="77777777" w:rsidR="00E34EB5" w:rsidRDefault="00000000">
            <w:pPr>
              <w:spacing w:line="240" w:lineRule="auto"/>
              <w:jc w:val="center"/>
            </w:pPr>
            <w:r>
              <w:rPr>
                <w:sz w:val="21"/>
              </w:rPr>
              <w:t>X2</w:t>
            </w:r>
          </w:p>
        </w:tc>
        <w:tc>
          <w:tcPr>
            <w:tcW w:w="3311" w:type="dxa"/>
            <w:vAlign w:val="center"/>
          </w:tcPr>
          <w:p w14:paraId="756A1899" w14:textId="77777777" w:rsidR="00E34EB5" w:rsidRDefault="00000000">
            <w:pPr>
              <w:spacing w:line="240" w:lineRule="auto"/>
              <w:jc w:val="center"/>
            </w:pPr>
            <w:r>
              <w:rPr>
                <w:sz w:val="21"/>
              </w:rPr>
              <w:t>Population aged ≥15 years who smoked</w:t>
            </w:r>
          </w:p>
        </w:tc>
        <w:tc>
          <w:tcPr>
            <w:tcW w:w="1440" w:type="dxa"/>
            <w:vAlign w:val="center"/>
          </w:tcPr>
          <w:p w14:paraId="023EA75D" w14:textId="77777777" w:rsidR="00E34EB5" w:rsidRDefault="00000000">
            <w:pPr>
              <w:spacing w:line="240" w:lineRule="auto"/>
            </w:pPr>
            <w:r>
              <w:rPr>
                <w:sz w:val="21"/>
              </w:rPr>
              <w:t>Percentage</w:t>
            </w:r>
          </w:p>
        </w:tc>
        <w:tc>
          <w:tcPr>
            <w:tcW w:w="3816" w:type="dxa"/>
            <w:vAlign w:val="center"/>
          </w:tcPr>
          <w:p w14:paraId="38A73EFA" w14:textId="77777777" w:rsidR="00E34EB5" w:rsidRDefault="00000000">
            <w:pPr>
              <w:spacing w:line="240" w:lineRule="auto"/>
            </w:pPr>
            <w:r>
              <w:rPr>
                <w:sz w:val="21"/>
              </w:rPr>
              <w:t>BPS, 2025</w:t>
            </w:r>
          </w:p>
        </w:tc>
      </w:tr>
      <w:tr w:rsidR="00E34EB5" w14:paraId="4D593FFE" w14:textId="77777777" w:rsidTr="0087380B">
        <w:trPr>
          <w:jc w:val="center"/>
        </w:trPr>
        <w:tc>
          <w:tcPr>
            <w:tcW w:w="792" w:type="dxa"/>
            <w:vAlign w:val="center"/>
          </w:tcPr>
          <w:p w14:paraId="28D92BCA" w14:textId="77777777" w:rsidR="00E34EB5" w:rsidRDefault="00000000">
            <w:pPr>
              <w:spacing w:line="240" w:lineRule="auto"/>
              <w:jc w:val="center"/>
            </w:pPr>
            <w:r>
              <w:rPr>
                <w:sz w:val="21"/>
              </w:rPr>
              <w:t>X3</w:t>
            </w:r>
          </w:p>
        </w:tc>
        <w:tc>
          <w:tcPr>
            <w:tcW w:w="3311" w:type="dxa"/>
            <w:vAlign w:val="center"/>
          </w:tcPr>
          <w:p w14:paraId="2E71A9D8" w14:textId="77777777" w:rsidR="00E34EB5" w:rsidRDefault="00000000">
            <w:pPr>
              <w:spacing w:line="240" w:lineRule="auto"/>
              <w:jc w:val="center"/>
            </w:pPr>
            <w:r>
              <w:rPr>
                <w:sz w:val="21"/>
              </w:rPr>
              <w:t>HIV/AIDS cases</w:t>
            </w:r>
          </w:p>
        </w:tc>
        <w:tc>
          <w:tcPr>
            <w:tcW w:w="1440" w:type="dxa"/>
            <w:vAlign w:val="center"/>
          </w:tcPr>
          <w:p w14:paraId="598D9C8F" w14:textId="77777777" w:rsidR="00E34EB5" w:rsidRDefault="00000000">
            <w:pPr>
              <w:spacing w:line="240" w:lineRule="auto"/>
            </w:pPr>
            <w:r>
              <w:rPr>
                <w:sz w:val="21"/>
              </w:rPr>
              <w:t>Count</w:t>
            </w:r>
          </w:p>
        </w:tc>
        <w:tc>
          <w:tcPr>
            <w:tcW w:w="3816" w:type="dxa"/>
            <w:vAlign w:val="center"/>
          </w:tcPr>
          <w:p w14:paraId="28BBF2AB" w14:textId="77777777" w:rsidR="00E34EB5" w:rsidRDefault="00000000">
            <w:pPr>
              <w:spacing w:line="240" w:lineRule="auto"/>
            </w:pPr>
            <w:r>
              <w:rPr>
                <w:sz w:val="21"/>
              </w:rPr>
              <w:t>Southeast Sulawesi Provincial Health Office, 2024</w:t>
            </w:r>
          </w:p>
        </w:tc>
      </w:tr>
    </w:tbl>
    <w:p w14:paraId="73F8E41D" w14:textId="77777777" w:rsidR="00E34EB5" w:rsidRDefault="00000000">
      <w:pPr>
        <w:spacing w:before="80" w:line="240" w:lineRule="auto"/>
      </w:pPr>
      <w:r>
        <w:rPr>
          <w:i/>
          <w:sz w:val="20"/>
        </w:rPr>
        <w:t>BPS, Statistics Indonesia.</w:t>
      </w:r>
    </w:p>
    <w:p w14:paraId="0C331003" w14:textId="77777777" w:rsidR="0087380B" w:rsidRDefault="0087380B" w:rsidP="0087380B"/>
    <w:p w14:paraId="6BAFFE26" w14:textId="1818D86A" w:rsidR="00E34EB5" w:rsidRDefault="00000000" w:rsidP="0087380B">
      <w:r>
        <w:rPr>
          <w:b/>
        </w:rPr>
        <w:t>Table 2. Global negative binomial regression of reported TB case counts</w:t>
      </w:r>
    </w:p>
    <w:tbl>
      <w:tblPr>
        <w:tblStyle w:val="TableGrid"/>
        <w:tblW w:w="0" w:type="auto"/>
        <w:jc w:val="center"/>
        <w:tblLayout w:type="fixed"/>
        <w:tblLook w:val="04A0" w:firstRow="1" w:lastRow="0" w:firstColumn="1" w:lastColumn="0" w:noHBand="0" w:noVBand="1"/>
      </w:tblPr>
      <w:tblGrid>
        <w:gridCol w:w="3384"/>
        <w:gridCol w:w="1512"/>
        <w:gridCol w:w="1224"/>
        <w:gridCol w:w="936"/>
        <w:gridCol w:w="1440"/>
      </w:tblGrid>
      <w:tr w:rsidR="00E34EB5" w14:paraId="4F258FC0" w14:textId="77777777" w:rsidTr="0087380B">
        <w:trPr>
          <w:tblHeader/>
          <w:jc w:val="center"/>
        </w:trPr>
        <w:tc>
          <w:tcPr>
            <w:tcW w:w="3384" w:type="dxa"/>
            <w:vAlign w:val="center"/>
          </w:tcPr>
          <w:p w14:paraId="59B5F349" w14:textId="77777777" w:rsidR="00E34EB5" w:rsidRDefault="00000000">
            <w:pPr>
              <w:spacing w:line="240" w:lineRule="auto"/>
              <w:jc w:val="center"/>
            </w:pPr>
            <w:r>
              <w:rPr>
                <w:b/>
                <w:sz w:val="21"/>
              </w:rPr>
              <w:t>Variable</w:t>
            </w:r>
          </w:p>
        </w:tc>
        <w:tc>
          <w:tcPr>
            <w:tcW w:w="1512" w:type="dxa"/>
            <w:vAlign w:val="center"/>
          </w:tcPr>
          <w:p w14:paraId="34431E8C" w14:textId="77777777" w:rsidR="00E34EB5" w:rsidRDefault="00000000">
            <w:pPr>
              <w:spacing w:line="240" w:lineRule="auto"/>
              <w:jc w:val="center"/>
            </w:pPr>
            <w:r>
              <w:rPr>
                <w:b/>
                <w:sz w:val="21"/>
              </w:rPr>
              <w:t>Coefficient</w:t>
            </w:r>
          </w:p>
        </w:tc>
        <w:tc>
          <w:tcPr>
            <w:tcW w:w="1224" w:type="dxa"/>
            <w:vAlign w:val="center"/>
          </w:tcPr>
          <w:p w14:paraId="0DF7B156" w14:textId="77777777" w:rsidR="00E34EB5" w:rsidRDefault="00000000">
            <w:pPr>
              <w:spacing w:line="240" w:lineRule="auto"/>
              <w:jc w:val="center"/>
            </w:pPr>
            <w:r>
              <w:rPr>
                <w:b/>
                <w:sz w:val="21"/>
              </w:rPr>
              <w:t>SE</w:t>
            </w:r>
          </w:p>
        </w:tc>
        <w:tc>
          <w:tcPr>
            <w:tcW w:w="936" w:type="dxa"/>
            <w:vAlign w:val="center"/>
          </w:tcPr>
          <w:p w14:paraId="725AE6DD" w14:textId="77777777" w:rsidR="00E34EB5" w:rsidRDefault="00000000">
            <w:pPr>
              <w:spacing w:line="240" w:lineRule="auto"/>
              <w:jc w:val="center"/>
            </w:pPr>
            <w:r>
              <w:rPr>
                <w:b/>
                <w:sz w:val="21"/>
              </w:rPr>
              <w:t>z</w:t>
            </w:r>
          </w:p>
        </w:tc>
        <w:tc>
          <w:tcPr>
            <w:tcW w:w="1440" w:type="dxa"/>
            <w:vAlign w:val="center"/>
          </w:tcPr>
          <w:p w14:paraId="24579616" w14:textId="77777777" w:rsidR="00E34EB5" w:rsidRDefault="00000000">
            <w:pPr>
              <w:spacing w:line="240" w:lineRule="auto"/>
              <w:jc w:val="center"/>
            </w:pPr>
            <w:r>
              <w:rPr>
                <w:b/>
                <w:sz w:val="21"/>
              </w:rPr>
              <w:t>p value</w:t>
            </w:r>
          </w:p>
        </w:tc>
      </w:tr>
      <w:tr w:rsidR="00E34EB5" w14:paraId="7ED93EDA" w14:textId="77777777" w:rsidTr="0087380B">
        <w:trPr>
          <w:jc w:val="center"/>
        </w:trPr>
        <w:tc>
          <w:tcPr>
            <w:tcW w:w="3384" w:type="dxa"/>
            <w:vAlign w:val="center"/>
          </w:tcPr>
          <w:p w14:paraId="6F0896B5" w14:textId="77777777" w:rsidR="00E34EB5" w:rsidRDefault="00000000">
            <w:pPr>
              <w:spacing w:line="240" w:lineRule="auto"/>
              <w:jc w:val="center"/>
            </w:pPr>
            <w:r>
              <w:rPr>
                <w:sz w:val="21"/>
              </w:rPr>
              <w:t>Intercept</w:t>
            </w:r>
          </w:p>
        </w:tc>
        <w:tc>
          <w:tcPr>
            <w:tcW w:w="1512" w:type="dxa"/>
            <w:vAlign w:val="center"/>
          </w:tcPr>
          <w:p w14:paraId="378A956A" w14:textId="77777777" w:rsidR="00E34EB5" w:rsidRDefault="00000000">
            <w:pPr>
              <w:spacing w:line="240" w:lineRule="auto"/>
              <w:jc w:val="center"/>
            </w:pPr>
            <w:r>
              <w:rPr>
                <w:sz w:val="21"/>
              </w:rPr>
              <w:t>2.940</w:t>
            </w:r>
          </w:p>
        </w:tc>
        <w:tc>
          <w:tcPr>
            <w:tcW w:w="1224" w:type="dxa"/>
            <w:vAlign w:val="center"/>
          </w:tcPr>
          <w:p w14:paraId="5A92E07E" w14:textId="77777777" w:rsidR="00E34EB5" w:rsidRDefault="00000000">
            <w:pPr>
              <w:spacing w:line="240" w:lineRule="auto"/>
              <w:jc w:val="center"/>
            </w:pPr>
            <w:r>
              <w:rPr>
                <w:sz w:val="21"/>
              </w:rPr>
              <w:t>0.400</w:t>
            </w:r>
          </w:p>
        </w:tc>
        <w:tc>
          <w:tcPr>
            <w:tcW w:w="936" w:type="dxa"/>
            <w:vAlign w:val="center"/>
          </w:tcPr>
          <w:p w14:paraId="4FBB2B92" w14:textId="77777777" w:rsidR="00E34EB5" w:rsidRDefault="00000000">
            <w:pPr>
              <w:spacing w:line="240" w:lineRule="auto"/>
              <w:jc w:val="center"/>
            </w:pPr>
            <w:r>
              <w:rPr>
                <w:sz w:val="21"/>
              </w:rPr>
              <w:t>7.32</w:t>
            </w:r>
          </w:p>
        </w:tc>
        <w:tc>
          <w:tcPr>
            <w:tcW w:w="1440" w:type="dxa"/>
            <w:vAlign w:val="center"/>
          </w:tcPr>
          <w:p w14:paraId="5A836C29" w14:textId="77777777" w:rsidR="00E34EB5" w:rsidRDefault="00000000">
            <w:pPr>
              <w:spacing w:line="240" w:lineRule="auto"/>
              <w:jc w:val="center"/>
            </w:pPr>
            <w:r>
              <w:rPr>
                <w:sz w:val="21"/>
              </w:rPr>
              <w:t>2.42 × 10⁻⁶</w:t>
            </w:r>
          </w:p>
        </w:tc>
      </w:tr>
      <w:tr w:rsidR="00E34EB5" w14:paraId="4C1A3E6F" w14:textId="77777777" w:rsidTr="0087380B">
        <w:trPr>
          <w:jc w:val="center"/>
        </w:trPr>
        <w:tc>
          <w:tcPr>
            <w:tcW w:w="3384" w:type="dxa"/>
            <w:vAlign w:val="center"/>
          </w:tcPr>
          <w:p w14:paraId="6F4D28DA" w14:textId="77777777" w:rsidR="00E34EB5" w:rsidRDefault="00000000">
            <w:pPr>
              <w:spacing w:line="240" w:lineRule="auto"/>
              <w:jc w:val="center"/>
            </w:pPr>
            <w:r>
              <w:rPr>
                <w:sz w:val="21"/>
              </w:rPr>
              <w:t>X1: Community health centers</w:t>
            </w:r>
          </w:p>
        </w:tc>
        <w:tc>
          <w:tcPr>
            <w:tcW w:w="1512" w:type="dxa"/>
            <w:vAlign w:val="center"/>
          </w:tcPr>
          <w:p w14:paraId="7E25368B" w14:textId="77777777" w:rsidR="00E34EB5" w:rsidRDefault="00000000">
            <w:pPr>
              <w:spacing w:line="240" w:lineRule="auto"/>
              <w:jc w:val="center"/>
            </w:pPr>
            <w:r>
              <w:rPr>
                <w:sz w:val="21"/>
              </w:rPr>
              <w:t>0.014</w:t>
            </w:r>
          </w:p>
        </w:tc>
        <w:tc>
          <w:tcPr>
            <w:tcW w:w="1224" w:type="dxa"/>
            <w:vAlign w:val="center"/>
          </w:tcPr>
          <w:p w14:paraId="74AA5C5E" w14:textId="77777777" w:rsidR="00E34EB5" w:rsidRDefault="00000000">
            <w:pPr>
              <w:spacing w:line="240" w:lineRule="auto"/>
              <w:jc w:val="center"/>
            </w:pPr>
            <w:r>
              <w:rPr>
                <w:sz w:val="21"/>
              </w:rPr>
              <w:t>0.010</w:t>
            </w:r>
          </w:p>
        </w:tc>
        <w:tc>
          <w:tcPr>
            <w:tcW w:w="936" w:type="dxa"/>
            <w:vAlign w:val="center"/>
          </w:tcPr>
          <w:p w14:paraId="46A67550" w14:textId="77777777" w:rsidR="00E34EB5" w:rsidRDefault="00000000">
            <w:pPr>
              <w:spacing w:line="240" w:lineRule="auto"/>
              <w:jc w:val="center"/>
            </w:pPr>
            <w:r>
              <w:rPr>
                <w:sz w:val="21"/>
              </w:rPr>
              <w:t>1.52</w:t>
            </w:r>
          </w:p>
        </w:tc>
        <w:tc>
          <w:tcPr>
            <w:tcW w:w="1440" w:type="dxa"/>
            <w:vAlign w:val="center"/>
          </w:tcPr>
          <w:p w14:paraId="7AEF5EF1" w14:textId="77777777" w:rsidR="00E34EB5" w:rsidRDefault="00000000">
            <w:pPr>
              <w:spacing w:line="240" w:lineRule="auto"/>
              <w:jc w:val="center"/>
            </w:pPr>
            <w:r>
              <w:rPr>
                <w:sz w:val="21"/>
              </w:rPr>
              <w:t>0.1295</w:t>
            </w:r>
          </w:p>
        </w:tc>
      </w:tr>
      <w:tr w:rsidR="00E34EB5" w14:paraId="4DF42B33" w14:textId="77777777" w:rsidTr="0087380B">
        <w:trPr>
          <w:jc w:val="center"/>
        </w:trPr>
        <w:tc>
          <w:tcPr>
            <w:tcW w:w="3384" w:type="dxa"/>
            <w:vAlign w:val="center"/>
          </w:tcPr>
          <w:p w14:paraId="25D9FDF8" w14:textId="77777777" w:rsidR="00E34EB5" w:rsidRDefault="00000000">
            <w:pPr>
              <w:spacing w:line="240" w:lineRule="auto"/>
              <w:jc w:val="center"/>
            </w:pPr>
            <w:r>
              <w:rPr>
                <w:sz w:val="21"/>
              </w:rPr>
              <w:t>X2: Smoking prevalence</w:t>
            </w:r>
          </w:p>
        </w:tc>
        <w:tc>
          <w:tcPr>
            <w:tcW w:w="1512" w:type="dxa"/>
            <w:vAlign w:val="center"/>
          </w:tcPr>
          <w:p w14:paraId="36F0DE2C" w14:textId="77777777" w:rsidR="00E34EB5" w:rsidRDefault="00000000">
            <w:pPr>
              <w:spacing w:line="240" w:lineRule="auto"/>
              <w:jc w:val="center"/>
            </w:pPr>
            <w:r>
              <w:rPr>
                <w:sz w:val="21"/>
              </w:rPr>
              <w:t>0.057</w:t>
            </w:r>
          </w:p>
        </w:tc>
        <w:tc>
          <w:tcPr>
            <w:tcW w:w="1224" w:type="dxa"/>
            <w:vAlign w:val="center"/>
          </w:tcPr>
          <w:p w14:paraId="518817F9" w14:textId="77777777" w:rsidR="00E34EB5" w:rsidRDefault="00000000">
            <w:pPr>
              <w:spacing w:line="240" w:lineRule="auto"/>
              <w:jc w:val="center"/>
            </w:pPr>
            <w:r>
              <w:rPr>
                <w:sz w:val="21"/>
              </w:rPr>
              <w:t>0.020</w:t>
            </w:r>
          </w:p>
        </w:tc>
        <w:tc>
          <w:tcPr>
            <w:tcW w:w="936" w:type="dxa"/>
            <w:vAlign w:val="center"/>
          </w:tcPr>
          <w:p w14:paraId="6D0C8B10" w14:textId="77777777" w:rsidR="00E34EB5" w:rsidRDefault="00000000">
            <w:pPr>
              <w:spacing w:line="240" w:lineRule="auto"/>
              <w:jc w:val="center"/>
            </w:pPr>
            <w:r>
              <w:rPr>
                <w:sz w:val="21"/>
              </w:rPr>
              <w:t>3.09</w:t>
            </w:r>
          </w:p>
        </w:tc>
        <w:tc>
          <w:tcPr>
            <w:tcW w:w="1440" w:type="dxa"/>
            <w:vAlign w:val="center"/>
          </w:tcPr>
          <w:p w14:paraId="153FDC53" w14:textId="77777777" w:rsidR="00E34EB5" w:rsidRDefault="00000000">
            <w:pPr>
              <w:spacing w:line="240" w:lineRule="auto"/>
              <w:jc w:val="center"/>
            </w:pPr>
            <w:r>
              <w:rPr>
                <w:sz w:val="21"/>
              </w:rPr>
              <w:t>0.0019</w:t>
            </w:r>
          </w:p>
        </w:tc>
      </w:tr>
      <w:tr w:rsidR="00E34EB5" w14:paraId="6DD497CE" w14:textId="77777777" w:rsidTr="0087380B">
        <w:trPr>
          <w:jc w:val="center"/>
        </w:trPr>
        <w:tc>
          <w:tcPr>
            <w:tcW w:w="3384" w:type="dxa"/>
            <w:vAlign w:val="center"/>
          </w:tcPr>
          <w:p w14:paraId="2B2A3592" w14:textId="77777777" w:rsidR="00E34EB5" w:rsidRDefault="00000000">
            <w:pPr>
              <w:spacing w:line="240" w:lineRule="auto"/>
              <w:jc w:val="center"/>
            </w:pPr>
            <w:r>
              <w:rPr>
                <w:sz w:val="21"/>
              </w:rPr>
              <w:t>X3: HIV/AIDS cases</w:t>
            </w:r>
          </w:p>
        </w:tc>
        <w:tc>
          <w:tcPr>
            <w:tcW w:w="1512" w:type="dxa"/>
            <w:vAlign w:val="center"/>
          </w:tcPr>
          <w:p w14:paraId="0D55E70D" w14:textId="77777777" w:rsidR="00E34EB5" w:rsidRDefault="00000000">
            <w:pPr>
              <w:spacing w:line="240" w:lineRule="auto"/>
              <w:jc w:val="center"/>
            </w:pPr>
            <w:r>
              <w:rPr>
                <w:sz w:val="21"/>
              </w:rPr>
              <w:t>0.015</w:t>
            </w:r>
          </w:p>
        </w:tc>
        <w:tc>
          <w:tcPr>
            <w:tcW w:w="1224" w:type="dxa"/>
            <w:vAlign w:val="center"/>
          </w:tcPr>
          <w:p w14:paraId="338D9C5D" w14:textId="77777777" w:rsidR="00E34EB5" w:rsidRDefault="00000000">
            <w:pPr>
              <w:spacing w:line="240" w:lineRule="auto"/>
              <w:jc w:val="center"/>
            </w:pPr>
            <w:r>
              <w:rPr>
                <w:sz w:val="21"/>
              </w:rPr>
              <w:t>0.004</w:t>
            </w:r>
          </w:p>
        </w:tc>
        <w:tc>
          <w:tcPr>
            <w:tcW w:w="936" w:type="dxa"/>
            <w:vAlign w:val="center"/>
          </w:tcPr>
          <w:p w14:paraId="5AB46FEE" w14:textId="77777777" w:rsidR="00E34EB5" w:rsidRDefault="00000000">
            <w:pPr>
              <w:spacing w:line="240" w:lineRule="auto"/>
              <w:jc w:val="center"/>
            </w:pPr>
            <w:r>
              <w:rPr>
                <w:sz w:val="21"/>
              </w:rPr>
              <w:t>3.21</w:t>
            </w:r>
          </w:p>
        </w:tc>
        <w:tc>
          <w:tcPr>
            <w:tcW w:w="1440" w:type="dxa"/>
            <w:vAlign w:val="center"/>
          </w:tcPr>
          <w:p w14:paraId="5736D6A0" w14:textId="77777777" w:rsidR="00E34EB5" w:rsidRDefault="00000000">
            <w:pPr>
              <w:spacing w:line="240" w:lineRule="auto"/>
              <w:jc w:val="center"/>
            </w:pPr>
            <w:r>
              <w:rPr>
                <w:sz w:val="21"/>
              </w:rPr>
              <w:t>0.0013</w:t>
            </w:r>
          </w:p>
        </w:tc>
      </w:tr>
    </w:tbl>
    <w:p w14:paraId="0FD0B851" w14:textId="77777777" w:rsidR="00E34EB5" w:rsidRDefault="00000000">
      <w:pPr>
        <w:spacing w:before="80" w:line="240" w:lineRule="auto"/>
      </w:pPr>
      <w:r>
        <w:rPr>
          <w:i/>
          <w:sz w:val="20"/>
        </w:rPr>
        <w:t>SE, standard error. X1, number of community health centers; X2, percentage of population aged ≥15 years who smoked; X3, number of HIV/AIDS cases.</w:t>
      </w:r>
    </w:p>
    <w:p w14:paraId="4133611C" w14:textId="77777777" w:rsidR="0087380B" w:rsidRDefault="0087380B" w:rsidP="0087380B"/>
    <w:p w14:paraId="71327D3D" w14:textId="1E9E7D23" w:rsidR="00E34EB5" w:rsidRDefault="00000000" w:rsidP="0087380B">
      <w:r>
        <w:rPr>
          <w:b/>
        </w:rPr>
        <w:t>Table 3. District/city groups based on locally significant predictors in the GWNBR model</w:t>
      </w:r>
    </w:p>
    <w:tbl>
      <w:tblPr>
        <w:tblStyle w:val="TableGrid"/>
        <w:tblW w:w="0" w:type="auto"/>
        <w:jc w:val="center"/>
        <w:tblLayout w:type="fixed"/>
        <w:tblLook w:val="04A0" w:firstRow="1" w:lastRow="0" w:firstColumn="1" w:lastColumn="0" w:noHBand="0" w:noVBand="1"/>
      </w:tblPr>
      <w:tblGrid>
        <w:gridCol w:w="792"/>
        <w:gridCol w:w="1224"/>
        <w:gridCol w:w="5688"/>
        <w:gridCol w:w="1728"/>
      </w:tblGrid>
      <w:tr w:rsidR="00E34EB5" w14:paraId="735C4D32" w14:textId="77777777" w:rsidTr="0087380B">
        <w:trPr>
          <w:tblHeader/>
          <w:jc w:val="center"/>
        </w:trPr>
        <w:tc>
          <w:tcPr>
            <w:tcW w:w="792" w:type="dxa"/>
            <w:vAlign w:val="center"/>
          </w:tcPr>
          <w:p w14:paraId="38FB7922" w14:textId="77777777" w:rsidR="00E34EB5" w:rsidRDefault="00000000">
            <w:pPr>
              <w:spacing w:line="240" w:lineRule="auto"/>
              <w:jc w:val="center"/>
            </w:pPr>
            <w:r>
              <w:rPr>
                <w:b/>
                <w:sz w:val="21"/>
              </w:rPr>
              <w:t>Group</w:t>
            </w:r>
          </w:p>
        </w:tc>
        <w:tc>
          <w:tcPr>
            <w:tcW w:w="1224" w:type="dxa"/>
            <w:vAlign w:val="center"/>
          </w:tcPr>
          <w:p w14:paraId="2262DD74" w14:textId="77777777" w:rsidR="00E34EB5" w:rsidRDefault="00000000">
            <w:pPr>
              <w:spacing w:line="240" w:lineRule="auto"/>
              <w:jc w:val="center"/>
            </w:pPr>
            <w:r>
              <w:rPr>
                <w:b/>
                <w:sz w:val="21"/>
              </w:rPr>
              <w:t>No. of areas</w:t>
            </w:r>
          </w:p>
        </w:tc>
        <w:tc>
          <w:tcPr>
            <w:tcW w:w="5688" w:type="dxa"/>
            <w:vAlign w:val="center"/>
          </w:tcPr>
          <w:p w14:paraId="45D66549" w14:textId="77777777" w:rsidR="00E34EB5" w:rsidRDefault="00000000">
            <w:pPr>
              <w:spacing w:line="240" w:lineRule="auto"/>
              <w:jc w:val="center"/>
            </w:pPr>
            <w:r>
              <w:rPr>
                <w:b/>
                <w:sz w:val="21"/>
              </w:rPr>
              <w:t>Districts/cities</w:t>
            </w:r>
          </w:p>
        </w:tc>
        <w:tc>
          <w:tcPr>
            <w:tcW w:w="1728" w:type="dxa"/>
            <w:vAlign w:val="center"/>
          </w:tcPr>
          <w:p w14:paraId="4CF8798F" w14:textId="77777777" w:rsidR="00E34EB5" w:rsidRDefault="00000000">
            <w:pPr>
              <w:spacing w:line="240" w:lineRule="auto"/>
              <w:jc w:val="center"/>
            </w:pPr>
            <w:r>
              <w:rPr>
                <w:b/>
                <w:sz w:val="21"/>
              </w:rPr>
              <w:t>Locally significant predictors</w:t>
            </w:r>
          </w:p>
        </w:tc>
      </w:tr>
      <w:tr w:rsidR="00E34EB5" w14:paraId="747820B9" w14:textId="77777777" w:rsidTr="0087380B">
        <w:trPr>
          <w:jc w:val="center"/>
        </w:trPr>
        <w:tc>
          <w:tcPr>
            <w:tcW w:w="792" w:type="dxa"/>
            <w:vAlign w:val="center"/>
          </w:tcPr>
          <w:p w14:paraId="370A66BC" w14:textId="77777777" w:rsidR="00E34EB5" w:rsidRDefault="00000000">
            <w:pPr>
              <w:spacing w:line="240" w:lineRule="auto"/>
              <w:jc w:val="center"/>
            </w:pPr>
            <w:r>
              <w:rPr>
                <w:sz w:val="21"/>
              </w:rPr>
              <w:t>1</w:t>
            </w:r>
          </w:p>
        </w:tc>
        <w:tc>
          <w:tcPr>
            <w:tcW w:w="1224" w:type="dxa"/>
            <w:vAlign w:val="center"/>
          </w:tcPr>
          <w:p w14:paraId="2513FF9C" w14:textId="77777777" w:rsidR="00E34EB5" w:rsidRDefault="00000000">
            <w:pPr>
              <w:spacing w:line="240" w:lineRule="auto"/>
              <w:jc w:val="center"/>
            </w:pPr>
            <w:r>
              <w:rPr>
                <w:sz w:val="21"/>
              </w:rPr>
              <w:t>2</w:t>
            </w:r>
          </w:p>
        </w:tc>
        <w:tc>
          <w:tcPr>
            <w:tcW w:w="5688" w:type="dxa"/>
            <w:vAlign w:val="center"/>
          </w:tcPr>
          <w:p w14:paraId="0B41B7D3" w14:textId="77777777" w:rsidR="00E34EB5" w:rsidRDefault="00000000">
            <w:pPr>
              <w:spacing w:line="240" w:lineRule="auto"/>
            </w:pPr>
            <w:r>
              <w:rPr>
                <w:sz w:val="21"/>
              </w:rPr>
              <w:t>Buton; Baubau City</w:t>
            </w:r>
          </w:p>
        </w:tc>
        <w:tc>
          <w:tcPr>
            <w:tcW w:w="1728" w:type="dxa"/>
            <w:vAlign w:val="center"/>
          </w:tcPr>
          <w:p w14:paraId="7335DD4F" w14:textId="77777777" w:rsidR="00E34EB5" w:rsidRDefault="00000000">
            <w:pPr>
              <w:spacing w:line="240" w:lineRule="auto"/>
            </w:pPr>
            <w:r>
              <w:rPr>
                <w:sz w:val="21"/>
              </w:rPr>
              <w:t>X2</w:t>
            </w:r>
          </w:p>
        </w:tc>
      </w:tr>
      <w:tr w:rsidR="00E34EB5" w14:paraId="6AF400C5" w14:textId="77777777" w:rsidTr="0087380B">
        <w:trPr>
          <w:jc w:val="center"/>
        </w:trPr>
        <w:tc>
          <w:tcPr>
            <w:tcW w:w="792" w:type="dxa"/>
            <w:vAlign w:val="center"/>
          </w:tcPr>
          <w:p w14:paraId="3F8C5151" w14:textId="77777777" w:rsidR="00E34EB5" w:rsidRDefault="00000000">
            <w:pPr>
              <w:spacing w:line="240" w:lineRule="auto"/>
              <w:jc w:val="center"/>
            </w:pPr>
            <w:r>
              <w:rPr>
                <w:sz w:val="21"/>
              </w:rPr>
              <w:t>2</w:t>
            </w:r>
          </w:p>
        </w:tc>
        <w:tc>
          <w:tcPr>
            <w:tcW w:w="1224" w:type="dxa"/>
            <w:vAlign w:val="center"/>
          </w:tcPr>
          <w:p w14:paraId="051870DD" w14:textId="77777777" w:rsidR="00E34EB5" w:rsidRDefault="00000000">
            <w:pPr>
              <w:spacing w:line="240" w:lineRule="auto"/>
              <w:jc w:val="center"/>
            </w:pPr>
            <w:r>
              <w:rPr>
                <w:sz w:val="21"/>
              </w:rPr>
              <w:t>1</w:t>
            </w:r>
          </w:p>
        </w:tc>
        <w:tc>
          <w:tcPr>
            <w:tcW w:w="5688" w:type="dxa"/>
            <w:vAlign w:val="center"/>
          </w:tcPr>
          <w:p w14:paraId="15AE78FF" w14:textId="77777777" w:rsidR="00E34EB5" w:rsidRDefault="00000000">
            <w:pPr>
              <w:spacing w:line="240" w:lineRule="auto"/>
            </w:pPr>
            <w:r>
              <w:rPr>
                <w:sz w:val="21"/>
              </w:rPr>
              <w:t>East Kolaka</w:t>
            </w:r>
          </w:p>
        </w:tc>
        <w:tc>
          <w:tcPr>
            <w:tcW w:w="1728" w:type="dxa"/>
            <w:vAlign w:val="center"/>
          </w:tcPr>
          <w:p w14:paraId="616496A4" w14:textId="77777777" w:rsidR="00E34EB5" w:rsidRDefault="00000000">
            <w:pPr>
              <w:spacing w:line="240" w:lineRule="auto"/>
            </w:pPr>
            <w:r>
              <w:rPr>
                <w:sz w:val="21"/>
              </w:rPr>
              <w:t>X1 and X2</w:t>
            </w:r>
          </w:p>
        </w:tc>
      </w:tr>
      <w:tr w:rsidR="00E34EB5" w14:paraId="4CEE479A" w14:textId="77777777" w:rsidTr="0087380B">
        <w:trPr>
          <w:jc w:val="center"/>
        </w:trPr>
        <w:tc>
          <w:tcPr>
            <w:tcW w:w="792" w:type="dxa"/>
            <w:vAlign w:val="center"/>
          </w:tcPr>
          <w:p w14:paraId="2DCE74B0" w14:textId="77777777" w:rsidR="00E34EB5" w:rsidRDefault="00000000">
            <w:pPr>
              <w:spacing w:line="240" w:lineRule="auto"/>
              <w:jc w:val="center"/>
            </w:pPr>
            <w:r>
              <w:rPr>
                <w:sz w:val="21"/>
              </w:rPr>
              <w:t>3</w:t>
            </w:r>
          </w:p>
        </w:tc>
        <w:tc>
          <w:tcPr>
            <w:tcW w:w="1224" w:type="dxa"/>
            <w:vAlign w:val="center"/>
          </w:tcPr>
          <w:p w14:paraId="645F45CC" w14:textId="77777777" w:rsidR="00E34EB5" w:rsidRDefault="00000000">
            <w:pPr>
              <w:spacing w:line="240" w:lineRule="auto"/>
              <w:jc w:val="center"/>
            </w:pPr>
            <w:r>
              <w:rPr>
                <w:sz w:val="21"/>
              </w:rPr>
              <w:t>1</w:t>
            </w:r>
          </w:p>
        </w:tc>
        <w:tc>
          <w:tcPr>
            <w:tcW w:w="5688" w:type="dxa"/>
            <w:vAlign w:val="center"/>
          </w:tcPr>
          <w:p w14:paraId="3605965A" w14:textId="77777777" w:rsidR="00E34EB5" w:rsidRDefault="00000000">
            <w:pPr>
              <w:spacing w:line="240" w:lineRule="auto"/>
            </w:pPr>
            <w:r>
              <w:rPr>
                <w:sz w:val="21"/>
              </w:rPr>
              <w:t>Kendari City</w:t>
            </w:r>
          </w:p>
        </w:tc>
        <w:tc>
          <w:tcPr>
            <w:tcW w:w="1728" w:type="dxa"/>
            <w:vAlign w:val="center"/>
          </w:tcPr>
          <w:p w14:paraId="0F65BC1C" w14:textId="77777777" w:rsidR="00E34EB5" w:rsidRDefault="00000000">
            <w:pPr>
              <w:spacing w:line="240" w:lineRule="auto"/>
            </w:pPr>
            <w:r>
              <w:rPr>
                <w:sz w:val="21"/>
              </w:rPr>
              <w:t>X1, X2, and X3</w:t>
            </w:r>
          </w:p>
        </w:tc>
      </w:tr>
      <w:tr w:rsidR="00E34EB5" w14:paraId="20C13B0E" w14:textId="77777777" w:rsidTr="0087380B">
        <w:trPr>
          <w:jc w:val="center"/>
        </w:trPr>
        <w:tc>
          <w:tcPr>
            <w:tcW w:w="792" w:type="dxa"/>
            <w:vAlign w:val="center"/>
          </w:tcPr>
          <w:p w14:paraId="6C3DB915" w14:textId="77777777" w:rsidR="00E34EB5" w:rsidRDefault="00000000">
            <w:pPr>
              <w:spacing w:line="240" w:lineRule="auto"/>
              <w:jc w:val="center"/>
            </w:pPr>
            <w:r>
              <w:rPr>
                <w:sz w:val="21"/>
              </w:rPr>
              <w:t>4</w:t>
            </w:r>
          </w:p>
        </w:tc>
        <w:tc>
          <w:tcPr>
            <w:tcW w:w="1224" w:type="dxa"/>
            <w:vAlign w:val="center"/>
          </w:tcPr>
          <w:p w14:paraId="16F2482D" w14:textId="77777777" w:rsidR="00E34EB5" w:rsidRDefault="00000000">
            <w:pPr>
              <w:spacing w:line="240" w:lineRule="auto"/>
              <w:jc w:val="center"/>
            </w:pPr>
            <w:r>
              <w:rPr>
                <w:sz w:val="21"/>
              </w:rPr>
              <w:t>13</w:t>
            </w:r>
          </w:p>
        </w:tc>
        <w:tc>
          <w:tcPr>
            <w:tcW w:w="5688" w:type="dxa"/>
            <w:vAlign w:val="center"/>
          </w:tcPr>
          <w:p w14:paraId="67C7AF67" w14:textId="77777777" w:rsidR="00E34EB5" w:rsidRDefault="00000000">
            <w:pPr>
              <w:spacing w:line="240" w:lineRule="auto"/>
            </w:pPr>
            <w:r>
              <w:rPr>
                <w:sz w:val="21"/>
              </w:rPr>
              <w:t>Kolaka; North Kolaka; North Konawe; Konawe; South Konawe; Konawe Islands; Bombana; Muna; West Muna; North Buton; Central Buton; South Buton; Wakatobi</w:t>
            </w:r>
          </w:p>
        </w:tc>
        <w:tc>
          <w:tcPr>
            <w:tcW w:w="1728" w:type="dxa"/>
            <w:vAlign w:val="center"/>
          </w:tcPr>
          <w:p w14:paraId="72A0E013" w14:textId="77777777" w:rsidR="00E34EB5" w:rsidRDefault="00000000">
            <w:pPr>
              <w:spacing w:line="240" w:lineRule="auto"/>
            </w:pPr>
            <w:r>
              <w:rPr>
                <w:sz w:val="21"/>
              </w:rPr>
              <w:t>None at p &lt; 0.05</w:t>
            </w:r>
          </w:p>
        </w:tc>
      </w:tr>
    </w:tbl>
    <w:p w14:paraId="30034F32" w14:textId="77777777" w:rsidR="00E34EB5" w:rsidRDefault="00000000">
      <w:pPr>
        <w:spacing w:before="80" w:line="240" w:lineRule="auto"/>
      </w:pPr>
      <w:r>
        <w:rPr>
          <w:i/>
          <w:sz w:val="20"/>
        </w:rPr>
        <w:t>X1, number of community health centers; X2, smoking prevalence; X3, HIV/AIDS cases.</w:t>
      </w:r>
    </w:p>
    <w:sectPr w:rsidR="00E34EB5" w:rsidSect="00034616">
      <w:footerReference w:type="default" r:id="rId8"/>
      <w:pgSz w:w="12240" w:h="15840"/>
      <w:pgMar w:top="1224" w:right="1224" w:bottom="1152"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08FD0" w14:textId="77777777" w:rsidR="00B06DDC" w:rsidRDefault="00B06DDC">
      <w:pPr>
        <w:spacing w:line="240" w:lineRule="auto"/>
      </w:pPr>
      <w:r>
        <w:separator/>
      </w:r>
    </w:p>
  </w:endnote>
  <w:endnote w:type="continuationSeparator" w:id="0">
    <w:p w14:paraId="2DDED04C" w14:textId="77777777" w:rsidR="00B06DDC" w:rsidRDefault="00B06D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06075" w14:textId="77777777" w:rsidR="00E34EB5"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9C72B" w14:textId="77777777" w:rsidR="00B06DDC" w:rsidRDefault="00B06DDC">
      <w:pPr>
        <w:spacing w:line="240" w:lineRule="auto"/>
      </w:pPr>
      <w:r>
        <w:separator/>
      </w:r>
    </w:p>
  </w:footnote>
  <w:footnote w:type="continuationSeparator" w:id="0">
    <w:p w14:paraId="47DADD6E" w14:textId="77777777" w:rsidR="00B06DDC" w:rsidRDefault="00B06D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997549">
    <w:abstractNumId w:val="8"/>
  </w:num>
  <w:num w:numId="2" w16cid:durableId="1108740328">
    <w:abstractNumId w:val="6"/>
  </w:num>
  <w:num w:numId="3" w16cid:durableId="362093240">
    <w:abstractNumId w:val="5"/>
  </w:num>
  <w:num w:numId="4" w16cid:durableId="954094394">
    <w:abstractNumId w:val="4"/>
  </w:num>
  <w:num w:numId="5" w16cid:durableId="1314918286">
    <w:abstractNumId w:val="7"/>
  </w:num>
  <w:num w:numId="6" w16cid:durableId="1270696263">
    <w:abstractNumId w:val="3"/>
  </w:num>
  <w:num w:numId="7" w16cid:durableId="739641249">
    <w:abstractNumId w:val="2"/>
  </w:num>
  <w:num w:numId="8" w16cid:durableId="1242982538">
    <w:abstractNumId w:val="1"/>
  </w:num>
  <w:num w:numId="9" w16cid:durableId="1710303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CFF"/>
    <w:rsid w:val="0015074B"/>
    <w:rsid w:val="002178E6"/>
    <w:rsid w:val="002517C0"/>
    <w:rsid w:val="0029639D"/>
    <w:rsid w:val="00326F90"/>
    <w:rsid w:val="005F4F9E"/>
    <w:rsid w:val="0087380B"/>
    <w:rsid w:val="009E54F9"/>
    <w:rsid w:val="00A237E2"/>
    <w:rsid w:val="00A44824"/>
    <w:rsid w:val="00AA1D8D"/>
    <w:rsid w:val="00B06DDC"/>
    <w:rsid w:val="00B47730"/>
    <w:rsid w:val="00B61471"/>
    <w:rsid w:val="00BF256D"/>
    <w:rsid w:val="00C12C1C"/>
    <w:rsid w:val="00CB0664"/>
    <w:rsid w:val="00DB7BE7"/>
    <w:rsid w:val="00E34E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253FED"/>
  <w14:defaultImageDpi w14:val="300"/>
  <w15:docId w15:val="{D5CC3294-8A37-418C-ABD8-53B10BF74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3878</Words>
  <Characters>22110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Spatial Modeling of Tuberculosis Case Counts in Southeast Sulawesi, Indonesia</vt:lpstr>
    </vt:vector>
  </TitlesOfParts>
  <Manager/>
  <Company/>
  <LinksUpToDate>false</LinksUpToDate>
  <CharactersWithSpaces>25937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Modeling of Tuberculosis Case Counts in Southeast Sulawesi, Indonesia</dc:title>
  <dc:subject>Main manuscript for the Indian Journal of Tuberculosis</dc:subject>
  <dc:creator>Agusrawati et al.</dc:creator>
  <cp:keywords/>
  <dc:description>generated by python-docx</dc:description>
  <cp:lastModifiedBy>PT ANOA MANDIRI SEJAHTERA</cp:lastModifiedBy>
  <cp:revision>8</cp:revision>
  <dcterms:created xsi:type="dcterms:W3CDTF">2013-12-23T23:15:00Z</dcterms:created>
  <dcterms:modified xsi:type="dcterms:W3CDTF">2026-06-25T01:58:00Z</dcterms:modified>
  <cp:category/>
</cp:coreProperties>
</file>