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3. Serum biochemical parameters in female rats after 28 days of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Parameter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Normal control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200 mg/kg BW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400 mg/kg BW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Creatinine (mg/dL)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1.70 ± 0.26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1.15 ± 0.18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1.58 ± 0.11 (a)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Urea (mg/dL)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33.58 ± 3.18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47.63 ± 8.70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39.24 ± 12.71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AST (U/L)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225.80 ± 76.42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199.20 ± 38.17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217.75 ± 7.72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ALT (U/L)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61.00 ± 13.71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47.00 ± 8.34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68.20 ± 15.94</w:t>
            </w:r>
          </w:p>
        </w:tc>
      </w:tr>
    </w:tbl>
    <w:p>
      <w:pPr>
        <w:spacing w:line="240" w:lineRule="auto" w:before="80" w:after="0"/>
        <w:jc w:val="left"/>
      </w:pPr>
      <w:r>
        <w:rPr>
          <w:rFonts w:ascii="Times New Roman" w:hAnsi="Times New Roman" w:eastAsia="Times New Roman" w:cs="Times New Roman"/>
          <w:i/>
          <w:sz w:val="18"/>
        </w:rPr>
        <w:t>Data are expressed as mean ± SD (n = 5 per group). Different superscript letters indicate significant differences among groups (P &lt; 0.05); identical letters indicate no significant difference. AST, aspartate aminotransferase; ALT, alanine aminotransferase; EEM, ethanolic extract of Morus alba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/>
  <cp:keywords>Morus alba; subacute toxicity; ethanolic extract; Wistar rats; histopathology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