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1BF6B" w14:textId="77777777" w:rsidR="0017338D" w:rsidRDefault="00000000">
      <w:pPr>
        <w:spacing w:after="120" w:line="360" w:lineRule="auto"/>
        <w:jc w:val="center"/>
      </w:pPr>
      <w:r>
        <w:rPr>
          <w:b/>
        </w:rPr>
        <w:t xml:space="preserve">Subacute Toxicity of Ethanolic </w:t>
      </w:r>
      <w:r>
        <w:rPr>
          <w:b/>
          <w:i/>
        </w:rPr>
        <w:t>Morus alba</w:t>
      </w:r>
      <w:r>
        <w:rPr>
          <w:b/>
        </w:rPr>
        <w:t xml:space="preserve"> Leaf Extract in Wistar Rats</w:t>
      </w:r>
    </w:p>
    <w:p w14:paraId="0C9916F5" w14:textId="77777777" w:rsidR="0017338D" w:rsidRDefault="00000000">
      <w:pPr>
        <w:spacing w:after="120" w:line="360" w:lineRule="auto"/>
        <w:jc w:val="center"/>
      </w:pPr>
      <w:r>
        <w:rPr>
          <w:b/>
        </w:rPr>
        <w:t>ABSTRACT</w:t>
      </w:r>
    </w:p>
    <w:p w14:paraId="6812797D" w14:textId="77777777" w:rsidR="0017338D" w:rsidRDefault="00000000" w:rsidP="006B45FA">
      <w:pPr>
        <w:spacing w:after="120" w:line="360" w:lineRule="auto"/>
        <w:jc w:val="both"/>
      </w:pPr>
      <w:r>
        <w:rPr>
          <w:i/>
        </w:rPr>
        <w:t>Morus alba</w:t>
      </w:r>
      <w:r>
        <w:t xml:space="preserve"> leaves are used in traditional medicine and investigated as ethanolic extract sources for metabolic disorders, but repeated-dose safety information remains limited. This subacute toxicity study evaluated ethanolic </w:t>
      </w:r>
      <w:r>
        <w:rPr>
          <w:i/>
        </w:rPr>
        <w:t>M. alba</w:t>
      </w:r>
      <w:r>
        <w:t xml:space="preserve"> leaf extract (EEM) in Wistar rats using hematology, serum biochemistry, and liver-kidney histopathology. Thirty adult rats of both sexes were randomly assigned to a normal control group and two treatment groups receiving EEM at 200 or 400 mg/kg body weight for 28 consecutive days. Body weight was monitored weekly, and hematological parameters, serum creatinine, urea, aspartate aminotransferase, alanine aminotransferase, and liver and kidney histology were assessed at the end of treatment. No mortality or overt clinical signs of toxicity were observed. Body weight increased in all groups. Most hematological and biochemical parameters were comparable between treated and control rats, although selected erythrocyte-related indices and creatinine differed in female rats. Liver histology showed mild hydropic or cellular degeneration at 200 mg/kg and moderate hepatic alterations, including fatty degeneration, necrosis, and inflammatory cell infiltration, at 400 mg/kg. Kidney tissue remained normal at 200 mg/kg, whereas mild renal edema was observed at 400 mg/kg. EEM was generally tolerated during repeated oral administration; however, dose-related liver and kidney histological changes at 400 mg/kg indicate the need for further safety evaluation.</w:t>
      </w:r>
    </w:p>
    <w:p w14:paraId="27CB9680" w14:textId="77777777" w:rsidR="0017338D" w:rsidRDefault="00000000" w:rsidP="006B45FA">
      <w:pPr>
        <w:spacing w:after="240" w:line="360" w:lineRule="auto"/>
        <w:jc w:val="both"/>
      </w:pPr>
      <w:r>
        <w:t xml:space="preserve">Keywords: Ethanolic extract; Histopathology; </w:t>
      </w:r>
      <w:r>
        <w:rPr>
          <w:i/>
        </w:rPr>
        <w:t>Morus alba</w:t>
      </w:r>
      <w:r>
        <w:t>; Subacute toxicity; Traditional medicine; Wistar rats</w:t>
      </w:r>
    </w:p>
    <w:p w14:paraId="485985D0" w14:textId="77777777" w:rsidR="0017338D" w:rsidRDefault="00000000">
      <w:pPr>
        <w:spacing w:after="120" w:line="360" w:lineRule="auto"/>
      </w:pPr>
      <w:r>
        <w:rPr>
          <w:b/>
        </w:rPr>
        <w:t>INTRODUCTION</w:t>
      </w:r>
    </w:p>
    <w:p w14:paraId="2D6F6A2F" w14:textId="77777777" w:rsidR="0017338D" w:rsidRDefault="00000000" w:rsidP="006B45FA">
      <w:pPr>
        <w:spacing w:after="120" w:line="360" w:lineRule="auto"/>
        <w:jc w:val="both"/>
      </w:pPr>
      <w:r>
        <w:t>Metabolic syndrome is a cluster of metabolic abnormalities characterized by central obesity, insulin resistance, dyslipidemia and impaired glucose regulation. This condition increases the risk of cardiovascular disease and type 2 diabetes mellitus and remains a growing public health problem worldwide (</w:t>
      </w:r>
      <w:proofErr w:type="spellStart"/>
      <w:r>
        <w:t>Muvhulawa</w:t>
      </w:r>
      <w:proofErr w:type="spellEnd"/>
      <w:r>
        <w:t xml:space="preserve"> et al., 2024; Obeidat et al., 2025). Although pharmacological treatment and lifestyle modification remain central to management, poor long-term adherence is still frequently reported in chronic metabolic disorders and may reduce treatment effectiveness (</w:t>
      </w:r>
      <w:proofErr w:type="spellStart"/>
      <w:r>
        <w:t>Religioni</w:t>
      </w:r>
      <w:proofErr w:type="spellEnd"/>
      <w:r>
        <w:t xml:space="preserve"> et al., 2025). These challenges have encouraged further exploration of plant-derived agents with multiple metabolic targets and acceptable safety profiles.</w:t>
      </w:r>
    </w:p>
    <w:p w14:paraId="26495CF3" w14:textId="77777777" w:rsidR="0017338D" w:rsidRDefault="00000000" w:rsidP="006B45FA">
      <w:pPr>
        <w:spacing w:after="120" w:line="360" w:lineRule="auto"/>
        <w:jc w:val="both"/>
      </w:pPr>
      <w:r>
        <w:lastRenderedPageBreak/>
        <w:t>Medicinal plants contain diverse bioactive constituents that may influence mechanisms involved in metabolic syndrome, including insulin signaling, glucose and lipid metabolism, oxidative stress and low-grade inflammation (</w:t>
      </w:r>
      <w:proofErr w:type="spellStart"/>
      <w:r>
        <w:t>Altanam</w:t>
      </w:r>
      <w:proofErr w:type="spellEnd"/>
      <w:r>
        <w:t xml:space="preserve"> et al., 2025; Li et al., 2025; Manful et al., 2025). </w:t>
      </w:r>
      <w:r w:rsidRPr="006B45FA">
        <w:rPr>
          <w:i/>
          <w:iCs/>
        </w:rPr>
        <w:t>Morus alba</w:t>
      </w:r>
      <w:r>
        <w:t xml:space="preserve"> L. is widely used in Asian traditional medicine and is known to contain flavonoids, alkaloids, phenolic acids and related compounds. Previous studies have reported hypoglycemic, antioxidant, anti-inflammatory, cardiometabolic, anti-obesity and pancreatic beta-cell protective properties of M. alba preparations (</w:t>
      </w:r>
      <w:proofErr w:type="spellStart"/>
      <w:r>
        <w:t>Batiha</w:t>
      </w:r>
      <w:proofErr w:type="spellEnd"/>
      <w:r>
        <w:t xml:space="preserve"> et al., 2023; Chen et al., 2023; Author, 2025a, 2026; </w:t>
      </w:r>
      <w:proofErr w:type="spellStart"/>
      <w:r>
        <w:t>Suthamwong</w:t>
      </w:r>
      <w:proofErr w:type="spellEnd"/>
      <w:r>
        <w:t xml:space="preserve"> et al., 2020; Trimarco et al., 2025). These findings support its potential as a complementary candidate for metabolic disorders.</w:t>
      </w:r>
    </w:p>
    <w:p w14:paraId="677FA1E1" w14:textId="77777777" w:rsidR="0017338D" w:rsidRDefault="00000000" w:rsidP="006B45FA">
      <w:pPr>
        <w:spacing w:after="120" w:line="360" w:lineRule="auto"/>
        <w:jc w:val="both"/>
      </w:pPr>
      <w:r>
        <w:t xml:space="preserve">The pharmacological interest in </w:t>
      </w:r>
      <w:r>
        <w:rPr>
          <w:i/>
        </w:rPr>
        <w:t>M. alba</w:t>
      </w:r>
      <w:r>
        <w:t xml:space="preserve"> is particularly relevant for metabolic syndrome because this plant contains constituents that may interact with several interrelated pathways rather than a single therapeutic target. Compounds reported from the leaves include phenolic acids, flavonoids and alkaloids, including constituents linked to carbohydrate metabolism and oxidative stress modulation (</w:t>
      </w:r>
      <w:proofErr w:type="spellStart"/>
      <w:r>
        <w:t>Batiha</w:t>
      </w:r>
      <w:proofErr w:type="spellEnd"/>
      <w:r>
        <w:t xml:space="preserve"> et al., 2023; Chen et al., 2023; Trimarco et al., 2025). However, a pharmacologically active plant preparation is not automatically safe for repeated exposure. Concentrated extracts may contain higher levels of active constituents than traditional preparations, and solvent selection can alter the abundance of polar and semi-polar metabolites. Therefore, safety evaluation of a specific extract type is required before claims of therapeutic potential are expanded to practical use.</w:t>
      </w:r>
    </w:p>
    <w:p w14:paraId="26721925" w14:textId="77777777" w:rsidR="0017338D" w:rsidRDefault="00000000" w:rsidP="006B45FA">
      <w:pPr>
        <w:spacing w:after="120" w:line="360" w:lineRule="auto"/>
        <w:jc w:val="both"/>
      </w:pPr>
      <w:r>
        <w:t xml:space="preserve">Safety evaluation remains essential before plant extracts are developed for repeated use. Acute toxicity studies of </w:t>
      </w:r>
      <w:r>
        <w:rPr>
          <w:i/>
        </w:rPr>
        <w:t>M. alba</w:t>
      </w:r>
      <w:r>
        <w:t xml:space="preserve"> preparations have reported no major toxic signs at high single doses, and a repeated-dose study of an aqueous extract suggested a favorable safety profile at doses up to 4000 mg/kg/day (Fauzi et al., 2024a; Li et al., 2018; Marx et al., 2016; </w:t>
      </w:r>
      <w:proofErr w:type="spellStart"/>
      <w:r>
        <w:t>Nurita</w:t>
      </w:r>
      <w:proofErr w:type="spellEnd"/>
      <w:r>
        <w:t xml:space="preserve"> et al., 2018). However, these findings cannot be directly generalized to ethanolic extracts because extraction solvent can influence phytochemical composition, extraction yield and biological activity (</w:t>
      </w:r>
      <w:proofErr w:type="spellStart"/>
      <w:r>
        <w:t>Bouasla</w:t>
      </w:r>
      <w:proofErr w:type="spellEnd"/>
      <w:r>
        <w:t xml:space="preserve"> et al., 2021; Sun et al., 2025).</w:t>
      </w:r>
    </w:p>
    <w:p w14:paraId="023B6335" w14:textId="77777777" w:rsidR="0017338D" w:rsidRDefault="00000000" w:rsidP="006B45FA">
      <w:pPr>
        <w:spacing w:after="120" w:line="360" w:lineRule="auto"/>
        <w:jc w:val="both"/>
      </w:pPr>
      <w:r>
        <w:t xml:space="preserve">The distinction between acute and subacute toxicity is important for herbal preparations intended to be consumed repeatedly. Acute tests provide information on immediate toxic signs after a single exposure, whereas repeated-dose studies can reveal cumulative or adaptive changes in organs involved in metabolism and excretion. For metabolic syndrome candidates, this distinction is </w:t>
      </w:r>
      <w:r>
        <w:lastRenderedPageBreak/>
        <w:t xml:space="preserve">especially relevant because potential users may require prolonged administration. Liver and kidney evaluation therefore becomes central to preliminary safety assessment, even when no mortality or overt clinical symptoms are observed. The present study was designed to address this evidence gap for ethanolic </w:t>
      </w:r>
      <w:r>
        <w:rPr>
          <w:i/>
        </w:rPr>
        <w:t>M. alba</w:t>
      </w:r>
      <w:r>
        <w:t xml:space="preserve"> leaf extract by integrating clinical observation, body-weight monitoring, hematological and biochemical markers, and microscopic examination of target organs.</w:t>
      </w:r>
    </w:p>
    <w:p w14:paraId="3B5995A9" w14:textId="77777777" w:rsidR="0017338D" w:rsidRDefault="00000000" w:rsidP="006B45FA">
      <w:pPr>
        <w:spacing w:after="120" w:line="360" w:lineRule="auto"/>
        <w:jc w:val="both"/>
      </w:pPr>
      <w:r>
        <w:t xml:space="preserve">Repeated-dose oral toxicity studies over 28 days are commonly used to identify potential target-organ toxicity and provide preliminary safety information for materials intended for prolonged exposure (OECD, 2025). Hematological indices, serum biochemical markers and histopathological examination are particularly relevant for plant-derived preparations because the liver and kidneys are central to xenobiotic metabolism and elimination. Therefore, this study aimed to evaluate the 28-day oral toxicity of ethanolic </w:t>
      </w:r>
      <w:r>
        <w:rPr>
          <w:i/>
        </w:rPr>
        <w:t>M. alba</w:t>
      </w:r>
      <w:r>
        <w:t xml:space="preserve"> leaf extract in male and female Wistar rats by assessing body weight, hematological profiles, liver and kidney function markers, and liver and kidney histopathology.</w:t>
      </w:r>
    </w:p>
    <w:p w14:paraId="76CF5115" w14:textId="77777777" w:rsidR="0017338D" w:rsidRDefault="00000000">
      <w:pPr>
        <w:spacing w:after="120" w:line="360" w:lineRule="auto"/>
      </w:pPr>
      <w:r>
        <w:rPr>
          <w:b/>
        </w:rPr>
        <w:t>MATERIALS AND METHODS</w:t>
      </w:r>
    </w:p>
    <w:p w14:paraId="0A667790" w14:textId="77777777" w:rsidR="0017338D" w:rsidRDefault="00000000">
      <w:pPr>
        <w:spacing w:after="120" w:line="360" w:lineRule="auto"/>
      </w:pPr>
      <w:r>
        <w:rPr>
          <w:b/>
        </w:rPr>
        <w:t>Materials</w:t>
      </w:r>
    </w:p>
    <w:p w14:paraId="18057634" w14:textId="77777777" w:rsidR="0017338D" w:rsidRDefault="00000000" w:rsidP="006B45FA">
      <w:pPr>
        <w:spacing w:after="120" w:line="360" w:lineRule="auto"/>
        <w:jc w:val="both"/>
      </w:pPr>
      <w:r>
        <w:rPr>
          <w:i/>
        </w:rPr>
        <w:t xml:space="preserve">Morus alba </w:t>
      </w:r>
      <w:r w:rsidRPr="006B45FA">
        <w:rPr>
          <w:iCs/>
        </w:rPr>
        <w:t>leaves were collected from a local cultivation area in Indonesia. The extraction solvent used was 70% ethanol. Hematological analysis was performed using an automated hematology analyzer (</w:t>
      </w:r>
      <w:proofErr w:type="spellStart"/>
      <w:r w:rsidRPr="006B45FA">
        <w:rPr>
          <w:iCs/>
        </w:rPr>
        <w:t>Dymind</w:t>
      </w:r>
      <w:proofErr w:type="spellEnd"/>
      <w:r w:rsidRPr="006B45FA">
        <w:rPr>
          <w:iCs/>
        </w:rPr>
        <w:t xml:space="preserve"> DH36, </w:t>
      </w:r>
      <w:proofErr w:type="spellStart"/>
      <w:r w:rsidRPr="006B45FA">
        <w:rPr>
          <w:iCs/>
        </w:rPr>
        <w:t>Dymind</w:t>
      </w:r>
      <w:proofErr w:type="spellEnd"/>
      <w:r w:rsidRPr="006B45FA">
        <w:rPr>
          <w:iCs/>
        </w:rPr>
        <w:t xml:space="preserve"> Biotechnology, Shenzhen, China). Serum biochemical analysis was performed using a </w:t>
      </w:r>
      <w:proofErr w:type="spellStart"/>
      <w:r w:rsidRPr="006B45FA">
        <w:rPr>
          <w:iCs/>
        </w:rPr>
        <w:t>Humalyzer</w:t>
      </w:r>
      <w:proofErr w:type="spellEnd"/>
      <w:r w:rsidRPr="006B45FA">
        <w:rPr>
          <w:iCs/>
        </w:rPr>
        <w:t xml:space="preserve"> 4000 analyzer (HUMAN Diagnostics, Wiesbaden, Germany) with HUMAN diagnostic kits for creatinine, urea, aspartate aminotransferase (AST) and alanine aminotransferase (ALT). Hematoxylin and eosin were used for histological staining</w:t>
      </w:r>
      <w:r>
        <w:rPr>
          <w:i/>
        </w:rPr>
        <w:t>.</w:t>
      </w:r>
    </w:p>
    <w:p w14:paraId="249466C9" w14:textId="77777777" w:rsidR="0017338D" w:rsidRDefault="00000000" w:rsidP="006B45FA">
      <w:pPr>
        <w:spacing w:after="120" w:line="360" w:lineRule="auto"/>
        <w:jc w:val="both"/>
      </w:pPr>
      <w:r>
        <w:t>The materials and equipment were reported to support reproducibility according to the journal format. Because this study focused on a crude ethanolic extract, the extraction solvent, extraction procedure and drying method were described in detail. The source document did not provide a voucher specimen number or detailed phytochemical standardization; therefore, these data were not added to avoid introducing unsupported information. This limitation is acknowledged in the Discussion because botanical authentication and standardization are important for future development of plant-based preparations.</w:t>
      </w:r>
    </w:p>
    <w:p w14:paraId="748C0F08" w14:textId="77777777" w:rsidR="006B45FA" w:rsidRDefault="006B45FA">
      <w:pPr>
        <w:spacing w:after="120" w:line="360" w:lineRule="auto"/>
        <w:rPr>
          <w:b/>
        </w:rPr>
      </w:pPr>
    </w:p>
    <w:p w14:paraId="6C37E1D7" w14:textId="79A2C5D2" w:rsidR="0017338D" w:rsidRDefault="00000000">
      <w:pPr>
        <w:spacing w:after="120" w:line="360" w:lineRule="auto"/>
      </w:pPr>
      <w:r>
        <w:rPr>
          <w:b/>
        </w:rPr>
        <w:lastRenderedPageBreak/>
        <w:t>Methods</w:t>
      </w:r>
    </w:p>
    <w:p w14:paraId="36DFF77B" w14:textId="77777777" w:rsidR="0017338D" w:rsidRDefault="00000000">
      <w:pPr>
        <w:spacing w:after="120" w:line="360" w:lineRule="auto"/>
      </w:pPr>
      <w:r>
        <w:rPr>
          <w:b/>
        </w:rPr>
        <w:t>Plant extraction</w:t>
      </w:r>
    </w:p>
    <w:p w14:paraId="4926059F" w14:textId="77777777" w:rsidR="0017338D" w:rsidRDefault="00000000" w:rsidP="006B45FA">
      <w:pPr>
        <w:spacing w:after="120" w:line="360" w:lineRule="auto"/>
        <w:jc w:val="both"/>
      </w:pPr>
      <w:r>
        <w:t xml:space="preserve">The dried powdered leaves were extracted by maceration with 70% ethanol according to a natural-product extraction approach described by Zhang et al. (2018). The powdered material was moistened and soaked in solvent, then kept in a dark place at room temperature for 72 h with occasional stirring. After filtration, the remaining residue was </w:t>
      </w:r>
      <w:proofErr w:type="spellStart"/>
      <w:r>
        <w:t>remacerated</w:t>
      </w:r>
      <w:proofErr w:type="spellEnd"/>
      <w:r>
        <w:t xml:space="preserve"> using the same solvent. The combined filtrates were concentrated using a rotary evaporator at 60 °C and 75 rpm to obtain a thick extract. The extract was frozen at -20 °C for approximately 24 h and subsequently lyophilized for 24 h to obtain a dry extract. Freeze-drying was used to improve extract stability and preserve bioactive constituents (Coşkun et al., 2024).</w:t>
      </w:r>
    </w:p>
    <w:p w14:paraId="52B279BB" w14:textId="77777777" w:rsidR="0017338D" w:rsidRDefault="00000000" w:rsidP="006B45FA">
      <w:pPr>
        <w:spacing w:after="120" w:line="360" w:lineRule="auto"/>
        <w:jc w:val="both"/>
      </w:pPr>
      <w:r>
        <w:t>Maceration with 70% ethanol was selected because hydroethanolic solvents are commonly used to obtain a broad spectrum of polar and semi-polar plant constituents. The use of a second maceration step was intended to improve extraction of residual constituents from the plant material. Concentration at controlled temperature and subsequent freeze-drying were used to obtain a dry extract suitable for dosing. The extract was administered orally because the intended application of the preparation as a traditional medicine candidate would most likely involve oral exposure.</w:t>
      </w:r>
    </w:p>
    <w:p w14:paraId="23F4D406" w14:textId="77777777" w:rsidR="0017338D" w:rsidRDefault="00000000">
      <w:pPr>
        <w:spacing w:after="120" w:line="360" w:lineRule="auto"/>
      </w:pPr>
      <w:r>
        <w:rPr>
          <w:b/>
        </w:rPr>
        <w:t>Animals and ethical clearance</w:t>
      </w:r>
    </w:p>
    <w:p w14:paraId="0276C2E6" w14:textId="77777777" w:rsidR="0017338D" w:rsidRDefault="00000000" w:rsidP="006B45FA">
      <w:pPr>
        <w:spacing w:after="120" w:line="360" w:lineRule="auto"/>
        <w:jc w:val="both"/>
      </w:pPr>
      <w:r>
        <w:t>Thirty adult Wistar rats of both sexes (2-3 months old, 150-180 g) were used in this study. The animals were obtained from a university-affiliated laboratory animal facility. During a one-week acclimatization period, rats were maintained under standard laboratory conditions with a 12 h light/dark cycle and free access to food and water. Only animals that maintained or gained body weight during acclimatization were included. Ethical clearance for this animal study was approved by an institutional research ethics committee (approval number withheld for blinded review). Animal care and experimental procedures were conducted in accordance with institutional guidelines and applicable animal welfare principles.</w:t>
      </w:r>
    </w:p>
    <w:p w14:paraId="211FA76E" w14:textId="77777777" w:rsidR="0017338D" w:rsidRDefault="00000000">
      <w:pPr>
        <w:spacing w:after="120" w:line="360" w:lineRule="auto"/>
      </w:pPr>
      <w:r>
        <w:rPr>
          <w:b/>
        </w:rPr>
        <w:t>Subacute toxicity study</w:t>
      </w:r>
    </w:p>
    <w:p w14:paraId="5666F171" w14:textId="77777777" w:rsidR="0017338D" w:rsidRDefault="00000000" w:rsidP="006B45FA">
      <w:pPr>
        <w:spacing w:after="120" w:line="360" w:lineRule="auto"/>
        <w:jc w:val="both"/>
      </w:pPr>
      <w:r>
        <w:t xml:space="preserve">The subacute oral toxicity study was conducted for 28 consecutive days. After weighing, animals were randomly allocated into three groups, each comprising 10 rats (5 males and 5 females). Group </w:t>
      </w:r>
      <w:r>
        <w:lastRenderedPageBreak/>
        <w:t xml:space="preserve">I served as the normal control group, whereas groups II and III received ethanolic </w:t>
      </w:r>
      <w:r>
        <w:rPr>
          <w:i/>
        </w:rPr>
        <w:t>M. alba</w:t>
      </w:r>
      <w:r>
        <w:t xml:space="preserve"> leaf extract (EEM) at doses of 200 and 400 mg/kg body weight, respectively. The extract was administered orally once daily for 28 days. Animals were observed for mortality and overt clinical signs of toxicity during the treatment period. Body weight was recorded weekly. At the end of treatment, blood samples were collected via orbital venous sinus and cardiac puncture for hematological and biochemical analyses. The animals were then euthanized, and liver and kidney tissues were collected for histopathological examination.</w:t>
      </w:r>
    </w:p>
    <w:p w14:paraId="46495BA9" w14:textId="77777777" w:rsidR="0017338D" w:rsidRDefault="00000000" w:rsidP="006B45FA">
      <w:pPr>
        <w:spacing w:after="120" w:line="360" w:lineRule="auto"/>
        <w:jc w:val="both"/>
      </w:pPr>
      <w:r>
        <w:t>The selected doses of 200 and 400 mg/kg body weight were used to provide preliminary information on repeated exposure at two levels relevant to the preceding pharmacological development of the extract. Both male and female rats were included because toxicological responses may differ by sex owing to differences in growth pattern, hormonal state, metabolism and body composition. Separating data by sex was therefore considered more informative than pooling all animals into a single group. The endpoints were selected to capture systemic tolerance, blood-related effects, liver and kidney function, and tissue-level alterations that might not be reflected by serum markers alone.</w:t>
      </w:r>
    </w:p>
    <w:p w14:paraId="074E338C" w14:textId="77777777" w:rsidR="0017338D" w:rsidRDefault="00000000">
      <w:pPr>
        <w:spacing w:after="120" w:line="360" w:lineRule="auto"/>
      </w:pPr>
      <w:r>
        <w:rPr>
          <w:b/>
        </w:rPr>
        <w:t>Hematological analysis</w:t>
      </w:r>
    </w:p>
    <w:p w14:paraId="5E1C2A78" w14:textId="77777777" w:rsidR="0017338D" w:rsidRDefault="00000000" w:rsidP="006B45FA">
      <w:pPr>
        <w:spacing w:after="120" w:line="360" w:lineRule="auto"/>
        <w:jc w:val="both"/>
      </w:pPr>
      <w:r>
        <w:t>Hematological parameters included erythrocyte count, red blood cell indices, total and differential white blood cell counts and platelet indices. Measurements were performed using an automated hematology analyzer (</w:t>
      </w:r>
      <w:proofErr w:type="spellStart"/>
      <w:r>
        <w:t>Dymind</w:t>
      </w:r>
      <w:proofErr w:type="spellEnd"/>
      <w:r>
        <w:t xml:space="preserve"> DH36, </w:t>
      </w:r>
      <w:proofErr w:type="spellStart"/>
      <w:r>
        <w:t>Dymind</w:t>
      </w:r>
      <w:proofErr w:type="spellEnd"/>
      <w:r>
        <w:t xml:space="preserve"> Biotechnology, Shenzhen, China).</w:t>
      </w:r>
    </w:p>
    <w:p w14:paraId="799628AA" w14:textId="77777777" w:rsidR="0017338D" w:rsidRDefault="00000000">
      <w:pPr>
        <w:spacing w:after="120" w:line="360" w:lineRule="auto"/>
      </w:pPr>
      <w:r>
        <w:rPr>
          <w:b/>
        </w:rPr>
        <w:t>Biochemical analysis</w:t>
      </w:r>
    </w:p>
    <w:p w14:paraId="10A2F141" w14:textId="77777777" w:rsidR="0017338D" w:rsidRDefault="00000000" w:rsidP="006B45FA">
      <w:pPr>
        <w:spacing w:after="120" w:line="360" w:lineRule="auto"/>
        <w:jc w:val="both"/>
      </w:pPr>
      <w:r>
        <w:t xml:space="preserve">Serum biochemical indices included creatinine and urea for kidney function and AST and ALT for liver function. Measurements were performed using a </w:t>
      </w:r>
      <w:proofErr w:type="spellStart"/>
      <w:r>
        <w:t>Humalyzer</w:t>
      </w:r>
      <w:proofErr w:type="spellEnd"/>
      <w:r>
        <w:t xml:space="preserve"> 4000 analyzer (HUMAN Diagnostics, Wiesbaden, Germany) with HUMAN diagnostic kits.</w:t>
      </w:r>
    </w:p>
    <w:p w14:paraId="560E08E1" w14:textId="77777777" w:rsidR="0017338D" w:rsidRDefault="00000000">
      <w:pPr>
        <w:spacing w:after="120" w:line="360" w:lineRule="auto"/>
      </w:pPr>
      <w:r>
        <w:rPr>
          <w:b/>
        </w:rPr>
        <w:t>Histopathological analysis</w:t>
      </w:r>
    </w:p>
    <w:p w14:paraId="73777767" w14:textId="77777777" w:rsidR="0017338D" w:rsidRDefault="00000000" w:rsidP="006B45FA">
      <w:pPr>
        <w:spacing w:after="120" w:line="360" w:lineRule="auto"/>
        <w:jc w:val="both"/>
      </w:pPr>
      <w:r>
        <w:t>Liver and kidney tissues were fixed in formalin and processed according to standard histological procedures. Briefly, tissues were dehydrated through graded alcohol solutions, embedded in paraffin, sectioned into 5 µm-thick slices, stained with hematoxylin and eosin, and examined under a light microscope for histopathological alterations.</w:t>
      </w:r>
    </w:p>
    <w:p w14:paraId="262982A9" w14:textId="77777777" w:rsidR="006B45FA" w:rsidRDefault="006B45FA">
      <w:pPr>
        <w:spacing w:after="120" w:line="360" w:lineRule="auto"/>
        <w:rPr>
          <w:b/>
        </w:rPr>
      </w:pPr>
    </w:p>
    <w:p w14:paraId="492C9830" w14:textId="3C29AEF3" w:rsidR="0017338D" w:rsidRDefault="00000000">
      <w:pPr>
        <w:spacing w:after="120" w:line="360" w:lineRule="auto"/>
      </w:pPr>
      <w:r>
        <w:rPr>
          <w:b/>
        </w:rPr>
        <w:lastRenderedPageBreak/>
        <w:t>Statistical analysis</w:t>
      </w:r>
    </w:p>
    <w:p w14:paraId="4ED74752" w14:textId="77777777" w:rsidR="0017338D" w:rsidRDefault="00000000" w:rsidP="006B45FA">
      <w:pPr>
        <w:spacing w:after="120" w:line="360" w:lineRule="auto"/>
        <w:jc w:val="both"/>
      </w:pPr>
      <w:r>
        <w:t>Body weight, hematological and biochemical data were expressed as mean ± standard deviation. Differences among groups were analyzed using one-way analysis of variance followed by the least significant difference post hoc test using SPSS version 24. Statistical significance was accepted at p &lt; 0.05.</w:t>
      </w:r>
    </w:p>
    <w:p w14:paraId="33D8057B" w14:textId="77777777" w:rsidR="0017338D" w:rsidRDefault="00000000">
      <w:pPr>
        <w:spacing w:after="120" w:line="360" w:lineRule="auto"/>
      </w:pPr>
      <w:r>
        <w:rPr>
          <w:b/>
        </w:rPr>
        <w:t>RESULTS</w:t>
      </w:r>
    </w:p>
    <w:p w14:paraId="015720B8" w14:textId="77777777" w:rsidR="0017338D" w:rsidRDefault="00000000">
      <w:pPr>
        <w:spacing w:after="120" w:line="360" w:lineRule="auto"/>
      </w:pPr>
      <w:r>
        <w:rPr>
          <w:b/>
        </w:rPr>
        <w:t>Body weight changes and clinical observation</w:t>
      </w:r>
    </w:p>
    <w:p w14:paraId="068EEEF1" w14:textId="77777777" w:rsidR="0017338D" w:rsidRDefault="00000000" w:rsidP="006B45FA">
      <w:pPr>
        <w:spacing w:after="120" w:line="360" w:lineRule="auto"/>
        <w:jc w:val="both"/>
      </w:pPr>
      <w:r>
        <w:t>No mortality or overt signs of toxicity were observed in either sex during the 28-day administration of EEM. All groups showed an overall increase in body weight over the treatment period (Fig. 1). Among female rats, the normal control group showed a 23.5% increase, whereas the EEM 200 and 400 mg/kg groups gained 7.6% and 12.5%, respectively. Among male rats, the normal control and EEM 400 mg/kg groups showed increases of approximately 38% and 30%, respectively, while the EEM 200 mg/kg group showed a more modest increase of approximately 10%.</w:t>
      </w:r>
    </w:p>
    <w:p w14:paraId="34713A97" w14:textId="77777777" w:rsidR="0017338D" w:rsidRDefault="00000000" w:rsidP="006B45FA">
      <w:pPr>
        <w:spacing w:after="120" w:line="360" w:lineRule="auto"/>
        <w:jc w:val="both"/>
      </w:pPr>
      <w:r>
        <w:t>The absence of mortality indicated that neither tested dose produced lethal toxicity during the 28-day observation period. Female rats in all groups gained weight, but the percentage increase was lower in the treated groups than in the normal control group. Male rats also gained weight across groups, although the increase in the EEM 200 mg/kg group was lower than in the control and EEM 400 mg/kg groups. These differences did not present as body-weight loss, but they suggest that body weight should continue to be monitored carefully in subsequent dose-ranging studies, together with food and water intake to determine whether changes reflect normal growth variability or treatment-related effects.</w:t>
      </w:r>
    </w:p>
    <w:p w14:paraId="76E18A2D" w14:textId="77777777" w:rsidR="0017338D" w:rsidRDefault="00000000">
      <w:pPr>
        <w:spacing w:line="360" w:lineRule="auto"/>
        <w:jc w:val="center"/>
      </w:pPr>
      <w:r>
        <w:rPr>
          <w:noProof/>
        </w:rPr>
        <w:lastRenderedPageBreak/>
        <w:drawing>
          <wp:inline distT="0" distB="0" distL="0" distR="0" wp14:anchorId="60D9C934" wp14:editId="1E08C169">
            <wp:extent cx="5257800" cy="2435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body_weight.png"/>
                    <pic:cNvPicPr/>
                  </pic:nvPicPr>
                  <pic:blipFill>
                    <a:blip r:embed="rId8"/>
                    <a:stretch>
                      <a:fillRect/>
                    </a:stretch>
                  </pic:blipFill>
                  <pic:spPr>
                    <a:xfrm>
                      <a:off x="0" y="0"/>
                      <a:ext cx="5257800" cy="2435860"/>
                    </a:xfrm>
                    <a:prstGeom prst="rect">
                      <a:avLst/>
                    </a:prstGeom>
                  </pic:spPr>
                </pic:pic>
              </a:graphicData>
            </a:graphic>
          </wp:inline>
        </w:drawing>
      </w:r>
    </w:p>
    <w:p w14:paraId="457EE0AA" w14:textId="77777777" w:rsidR="0017338D" w:rsidRDefault="00000000">
      <w:pPr>
        <w:spacing w:after="240" w:line="360" w:lineRule="auto"/>
      </w:pPr>
      <w:r>
        <w:t xml:space="preserve">Fig. 1. Average body weight of Wistar rats administered ethanolic extract of </w:t>
      </w:r>
      <w:r>
        <w:rPr>
          <w:i/>
        </w:rPr>
        <w:t>Morus alba</w:t>
      </w:r>
      <w:r>
        <w:t xml:space="preserve"> leaves during the 28-day toxicity evaluation: (A) female rats and (B) male rats. EEMF, ethanolic extract of </w:t>
      </w:r>
      <w:r>
        <w:rPr>
          <w:i/>
        </w:rPr>
        <w:t>Morus alba</w:t>
      </w:r>
      <w:r>
        <w:t xml:space="preserve"> leaves in female rats; EEMM, ethanolic extract of </w:t>
      </w:r>
      <w:r>
        <w:rPr>
          <w:i/>
        </w:rPr>
        <w:t>Morus alba</w:t>
      </w:r>
      <w:r>
        <w:t xml:space="preserve"> leaves in male rats.</w:t>
      </w:r>
    </w:p>
    <w:p w14:paraId="2F7DA2D0" w14:textId="77777777" w:rsidR="0017338D" w:rsidRDefault="00000000">
      <w:pPr>
        <w:spacing w:after="120" w:line="360" w:lineRule="auto"/>
      </w:pPr>
      <w:r>
        <w:rPr>
          <w:b/>
        </w:rPr>
        <w:t>Hematological findings</w:t>
      </w:r>
    </w:p>
    <w:p w14:paraId="01DBE33A" w14:textId="77777777" w:rsidR="0017338D" w:rsidRDefault="00000000" w:rsidP="006B45FA">
      <w:pPr>
        <w:spacing w:after="120" w:line="360" w:lineRule="auto"/>
        <w:jc w:val="both"/>
      </w:pPr>
      <w:r>
        <w:t>Hematological analysis was performed to evaluate potential blood-related effects of EEM in male and female rats. In female rats, leukocyte and platelet parameters were generally comparable between treated groups, whereas selected erythrocyte-related indices differed significantly among groups. In male rats, erythrocyte, leukocyte and platelet parameters were comparable across the control and EEM-treated groups. The complete hematological profile is presented in Table 1.</w:t>
      </w:r>
    </w:p>
    <w:p w14:paraId="6BA8DD7E" w14:textId="77777777" w:rsidR="0017338D" w:rsidRDefault="00000000" w:rsidP="006B45FA">
      <w:pPr>
        <w:spacing w:after="120" w:line="360" w:lineRule="auto"/>
        <w:jc w:val="both"/>
      </w:pPr>
      <w:r>
        <w:t>In female rats, hemoglobin and hematocrit values were higher in the EEM 200 mg/kg group than in the normal control group, while the 400 mg/kg group generally showed intermediate or comparable values. RDW-SD and RDWI were lower in treated females than in controls, and the total WBC count was also lower in both treated female groups. However, differential leukocyte percentages and platelet indices did not show a consistent pattern of disturbance. In male rats, none of the erythrocyte, leukocyte or platelet indices indicated a marked treatment-related shift. Overall, the hematological findings suggest that EEM did not induce overt bone marrow suppression, anemia or thrombocytopenia under the tested conditions, although the sex-specific changes in female rats require cautious interpretation.</w:t>
      </w:r>
    </w:p>
    <w:p w14:paraId="394ABBF7" w14:textId="77777777" w:rsidR="006B45FA" w:rsidRDefault="006B45FA">
      <w:pPr>
        <w:spacing w:after="120" w:line="360" w:lineRule="auto"/>
        <w:rPr>
          <w:b/>
        </w:rPr>
      </w:pPr>
    </w:p>
    <w:p w14:paraId="4846182C" w14:textId="218653D4" w:rsidR="0017338D" w:rsidRDefault="00000000">
      <w:pPr>
        <w:spacing w:after="120" w:line="360" w:lineRule="auto"/>
      </w:pPr>
      <w:r>
        <w:rPr>
          <w:b/>
        </w:rPr>
        <w:lastRenderedPageBreak/>
        <w:t>Serum biochemical findings</w:t>
      </w:r>
    </w:p>
    <w:p w14:paraId="441A2208" w14:textId="77777777" w:rsidR="0017338D" w:rsidRDefault="00000000" w:rsidP="006B45FA">
      <w:pPr>
        <w:spacing w:after="120" w:line="360" w:lineRule="auto"/>
        <w:jc w:val="both"/>
      </w:pPr>
      <w:r>
        <w:t>Repeated oral administration of EEM for 28 days did not significantly change urea, AST or ALT levels compared with the normal control groups in either sex (Table 2). Creatinine levels in male rats were comparable across groups. In female rats, creatinine differed significantly between the normal control and EEM 200 mg/kg groups and between the EEM 200 and 400 mg/kg groups.</w:t>
      </w:r>
    </w:p>
    <w:p w14:paraId="399862C6" w14:textId="77777777" w:rsidR="0017338D" w:rsidRDefault="00000000" w:rsidP="006B45FA">
      <w:pPr>
        <w:spacing w:after="120" w:line="360" w:lineRule="auto"/>
        <w:jc w:val="both"/>
      </w:pPr>
      <w:r>
        <w:t>The biochemical profile did not show a consistent dose-dependent elevation of renal or hepatic markers. In female rats, creatinine was lower in the 200 mg/kg group than in controls and returned toward the control value at 400 mg/kg. Because this pattern was not dose-related and was not accompanied by a significant urea increase, it does not provide strong biochemical evidence of renal impairment. In males, creatinine and urea were comparable across groups. Similarly, AST and ALT did not increase consistently in treated groups of either sex. These data indicate that the extract did not produce measurable functional impairment of liver or kidney function within the 28-day biochemical assessment window.</w:t>
      </w:r>
    </w:p>
    <w:p w14:paraId="261225EA" w14:textId="77777777" w:rsidR="0017338D" w:rsidRDefault="00000000">
      <w:pPr>
        <w:spacing w:after="120" w:line="360" w:lineRule="auto"/>
      </w:pPr>
      <w:r>
        <w:rPr>
          <w:b/>
        </w:rPr>
        <w:t>Histopathological findings</w:t>
      </w:r>
    </w:p>
    <w:p w14:paraId="21454FA3" w14:textId="77777777" w:rsidR="0017338D" w:rsidRDefault="00000000" w:rsidP="006B45FA">
      <w:pPr>
        <w:spacing w:after="120" w:line="360" w:lineRule="auto"/>
        <w:jc w:val="both"/>
      </w:pPr>
      <w:r>
        <w:t>Microscopic examination of liver sections showed mild hydropic or cellular degeneration in male and female rats treated with EEM at 200 mg/kg body weight (Figs. 2 and 3). At 400 mg/kg body weight, more pronounced hepatic alterations were observed in both sexes, including moderate fatty degeneration, hepatocellular necrosis and inflammatory cell infiltration. Kidney histology was normal in both sexes at 200 mg/kg, with preserved glomerular and tubular structures. Mild renal edema was observed at 400 mg/kg in both sexes (Fig. 4).</w:t>
      </w:r>
    </w:p>
    <w:p w14:paraId="7B0CDA95" w14:textId="77777777" w:rsidR="0017338D" w:rsidRDefault="00000000" w:rsidP="006B45FA">
      <w:pPr>
        <w:spacing w:after="120" w:line="360" w:lineRule="auto"/>
        <w:jc w:val="both"/>
      </w:pPr>
      <w:r>
        <w:t>The microscopic findings were more sensitive than the serum biochemical markers in detecting possible organ-level effects. Mild hepatocellular changes at 200 mg/kg were limited, whereas the 400 mg/kg dose produced more evident hepatic alterations in both sexes. Renal morphology remained preserved at 200 mg/kg, supporting a wider safety margin at the lower dose in kidney tissue. At 400 mg/kg, mild renal edema was observed without a parallel biochemical elevation of urea or creatinine. This discrepancy indicates that early structural changes may occur before conventional serum markers become abnormal. For this reason, histopathology should remain a core endpoint in subsequent safety studies on this extract.</w:t>
      </w:r>
    </w:p>
    <w:p w14:paraId="372A7313" w14:textId="77777777" w:rsidR="0017338D" w:rsidRDefault="00000000">
      <w:pPr>
        <w:spacing w:line="360" w:lineRule="auto"/>
        <w:jc w:val="center"/>
      </w:pPr>
      <w:r>
        <w:rPr>
          <w:noProof/>
        </w:rPr>
        <w:lastRenderedPageBreak/>
        <w:drawing>
          <wp:inline distT="0" distB="0" distL="0" distR="0" wp14:anchorId="50F093BD" wp14:editId="38609526">
            <wp:extent cx="5257800" cy="116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emale_liver.jpg"/>
                    <pic:cNvPicPr/>
                  </pic:nvPicPr>
                  <pic:blipFill>
                    <a:blip r:embed="rId9"/>
                    <a:stretch>
                      <a:fillRect/>
                    </a:stretch>
                  </pic:blipFill>
                  <pic:spPr>
                    <a:xfrm>
                      <a:off x="0" y="0"/>
                      <a:ext cx="5257800" cy="1168400"/>
                    </a:xfrm>
                    <a:prstGeom prst="rect">
                      <a:avLst/>
                    </a:prstGeom>
                  </pic:spPr>
                </pic:pic>
              </a:graphicData>
            </a:graphic>
          </wp:inline>
        </w:drawing>
      </w:r>
    </w:p>
    <w:p w14:paraId="728D7DEF" w14:textId="77777777" w:rsidR="0017338D" w:rsidRDefault="00000000">
      <w:pPr>
        <w:spacing w:after="240" w:line="360" w:lineRule="auto"/>
      </w:pPr>
      <w:r>
        <w:t xml:space="preserve">Fig. 2. Liver histology of female rats after 28 days of treatment with ethanolic </w:t>
      </w:r>
      <w:r>
        <w:rPr>
          <w:i/>
        </w:rPr>
        <w:t>Morus alba</w:t>
      </w:r>
      <w:r>
        <w:t xml:space="preserve"> leaf extract (H&amp;E, 40×). (A) Control group showing preserved hepatic architecture. (B) EEM 200 mg/kg showing mild edema and cellular degeneration. (C) EEM 400 mg/kg showing moderate hepatic alterations, including necrosis, macrophage infiltration and fatty degeneration. EEM, ethanolic extract of </w:t>
      </w:r>
      <w:r>
        <w:rPr>
          <w:i/>
        </w:rPr>
        <w:t>Morus alba</w:t>
      </w:r>
      <w:r>
        <w:t xml:space="preserve"> leaves.</w:t>
      </w:r>
    </w:p>
    <w:p w14:paraId="39253874" w14:textId="77777777" w:rsidR="0017338D" w:rsidRDefault="00000000">
      <w:pPr>
        <w:spacing w:line="360" w:lineRule="auto"/>
        <w:jc w:val="center"/>
      </w:pPr>
      <w:r>
        <w:rPr>
          <w:noProof/>
        </w:rPr>
        <w:drawing>
          <wp:inline distT="0" distB="0" distL="0" distR="0" wp14:anchorId="6C46A453" wp14:editId="6D1AF5F7">
            <wp:extent cx="5257800" cy="1192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ale_liver.jpg"/>
                    <pic:cNvPicPr/>
                  </pic:nvPicPr>
                  <pic:blipFill>
                    <a:blip r:embed="rId10"/>
                    <a:stretch>
                      <a:fillRect/>
                    </a:stretch>
                  </pic:blipFill>
                  <pic:spPr>
                    <a:xfrm>
                      <a:off x="0" y="0"/>
                      <a:ext cx="5257800" cy="1192969"/>
                    </a:xfrm>
                    <a:prstGeom prst="rect">
                      <a:avLst/>
                    </a:prstGeom>
                  </pic:spPr>
                </pic:pic>
              </a:graphicData>
            </a:graphic>
          </wp:inline>
        </w:drawing>
      </w:r>
    </w:p>
    <w:p w14:paraId="63F39314" w14:textId="77777777" w:rsidR="0017338D" w:rsidRDefault="00000000">
      <w:pPr>
        <w:spacing w:after="240" w:line="360" w:lineRule="auto"/>
      </w:pPr>
      <w:r>
        <w:t xml:space="preserve">Fig. 3. Liver histology of male rats after 28 days of treatment with ethanolic </w:t>
      </w:r>
      <w:r>
        <w:rPr>
          <w:i/>
        </w:rPr>
        <w:t>Morus alba</w:t>
      </w:r>
      <w:r>
        <w:t xml:space="preserve"> leaf extract (H&amp;E, 40×). (A) Control group showing preserved hepatic architecture. (B) EEM 200 mg/kg showing mild cellular degeneration. (C) EEM 400 mg/kg showing moderate hepatic alterations, including necrosis and macrophage infiltration. EEM, ethanolic extract of </w:t>
      </w:r>
      <w:r>
        <w:rPr>
          <w:i/>
        </w:rPr>
        <w:t>Morus alba</w:t>
      </w:r>
      <w:r>
        <w:t xml:space="preserve"> leaves.</w:t>
      </w:r>
    </w:p>
    <w:p w14:paraId="125E5769" w14:textId="77777777" w:rsidR="0017338D" w:rsidRDefault="00000000">
      <w:pPr>
        <w:spacing w:line="360" w:lineRule="auto"/>
        <w:jc w:val="center"/>
      </w:pPr>
      <w:r>
        <w:rPr>
          <w:noProof/>
        </w:rPr>
        <w:drawing>
          <wp:inline distT="0" distB="0" distL="0" distR="0" wp14:anchorId="3E5B01A3" wp14:editId="445A9C43">
            <wp:extent cx="5257800" cy="2282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kidney.jpg"/>
                    <pic:cNvPicPr/>
                  </pic:nvPicPr>
                  <pic:blipFill>
                    <a:blip r:embed="rId11"/>
                    <a:stretch>
                      <a:fillRect/>
                    </a:stretch>
                  </pic:blipFill>
                  <pic:spPr>
                    <a:xfrm>
                      <a:off x="0" y="0"/>
                      <a:ext cx="5257800" cy="2282202"/>
                    </a:xfrm>
                    <a:prstGeom prst="rect">
                      <a:avLst/>
                    </a:prstGeom>
                  </pic:spPr>
                </pic:pic>
              </a:graphicData>
            </a:graphic>
          </wp:inline>
        </w:drawing>
      </w:r>
    </w:p>
    <w:p w14:paraId="484C1543" w14:textId="77777777" w:rsidR="0017338D" w:rsidRDefault="00000000">
      <w:pPr>
        <w:spacing w:after="240" w:line="360" w:lineRule="auto"/>
      </w:pPr>
      <w:r>
        <w:lastRenderedPageBreak/>
        <w:t xml:space="preserve">Fig. 4. Kidney histology of female and male rats after 28 days of treatment with ethanolic </w:t>
      </w:r>
      <w:r>
        <w:rPr>
          <w:i/>
        </w:rPr>
        <w:t>Morus alba</w:t>
      </w:r>
      <w:r>
        <w:t xml:space="preserve"> leaf extract (H&amp;E, 40×). (A-C) Female rats: control, EEM 200 mg/kg and EEM 400 mg/kg. (D-F) Male rats: control, EEM 200 mg/kg and EEM 400 mg/kg. Kidney structure remained preserved at 200 mg/kg, whereas mild edema was observed at 400 mg/kg. EEM, ethanolic extract of </w:t>
      </w:r>
      <w:r>
        <w:rPr>
          <w:i/>
        </w:rPr>
        <w:t>Morus alba</w:t>
      </w:r>
      <w:r>
        <w:t xml:space="preserve"> leaves.</w:t>
      </w:r>
    </w:p>
    <w:p w14:paraId="29D87512" w14:textId="77777777" w:rsidR="0017338D" w:rsidRDefault="00000000">
      <w:pPr>
        <w:spacing w:after="120" w:line="360" w:lineRule="auto"/>
      </w:pPr>
      <w:r>
        <w:rPr>
          <w:b/>
        </w:rPr>
        <w:t>DISCUSSION</w:t>
      </w:r>
    </w:p>
    <w:p w14:paraId="7010032F" w14:textId="77777777" w:rsidR="0017338D" w:rsidRDefault="00000000" w:rsidP="006B45FA">
      <w:pPr>
        <w:spacing w:after="120" w:line="360" w:lineRule="auto"/>
        <w:jc w:val="both"/>
      </w:pPr>
      <w:r>
        <w:t xml:space="preserve">This study evaluated the 28-day repeated oral toxicity of ethanolic </w:t>
      </w:r>
      <w:r>
        <w:rPr>
          <w:i/>
        </w:rPr>
        <w:t>M. alba</w:t>
      </w:r>
      <w:r>
        <w:t xml:space="preserve"> leaf extract in male and female Wistar rats. No mortality or overt clinical toxicity was observed during treatment, and all groups showed progressive body-weight gain. Body weight is a sensitive indicator in repeated-dose toxicity studies because marked weight loss or growth suppression may indicate systemic toxicity, metabolic stress or reduced food intake (Chapman et al., 2013; </w:t>
      </w:r>
      <w:proofErr w:type="spellStart"/>
      <w:r>
        <w:t>Marxfeld</w:t>
      </w:r>
      <w:proofErr w:type="spellEnd"/>
      <w:r>
        <w:t xml:space="preserve"> et al., 2019; Taylor-Lapole et al., 2022). Although the magnitude of body-weight gain varied between groups and sexes, the absence of weight loss supports the general tolerability of EEM under the tested conditions.</w:t>
      </w:r>
    </w:p>
    <w:p w14:paraId="31572580" w14:textId="77777777" w:rsidR="0017338D" w:rsidRDefault="00000000" w:rsidP="006B45FA">
      <w:pPr>
        <w:spacing w:after="120" w:line="360" w:lineRule="auto"/>
        <w:jc w:val="both"/>
      </w:pPr>
      <w:r>
        <w:t xml:space="preserve">The body-weight findings should be interpreted as a preliminary indicator of systemic tolerability rather than as a complete nutritional or metabolic assessment. In repeated-dose toxicology, progressive weight gain usually supports the absence of severe systemic toxicity, whereas marked weight loss may indicate reduced food intake, metabolic stress or disease (Chapman et al., 2013; </w:t>
      </w:r>
      <w:proofErr w:type="spellStart"/>
      <w:r>
        <w:t>Marxfeld</w:t>
      </w:r>
      <w:proofErr w:type="spellEnd"/>
      <w:r>
        <w:t xml:space="preserve"> et al., 2019). In the present study, no group showed a decrease in body weight over the treatment period. Nevertheless, the lower weight gain observed in some treated groups suggests that future studies should include food consumption, water intake and relative organ weights. These additional variables would help distinguish normal inter-individual variation from subtle treatment-related changes in growth or metabolism.</w:t>
      </w:r>
    </w:p>
    <w:p w14:paraId="77466A0D" w14:textId="77777777" w:rsidR="0017338D" w:rsidRDefault="00000000" w:rsidP="006B45FA">
      <w:pPr>
        <w:spacing w:after="120" w:line="360" w:lineRule="auto"/>
        <w:jc w:val="both"/>
      </w:pPr>
      <w:r>
        <w:t xml:space="preserve">The present findings are broadly consistent with previous safety reports on </w:t>
      </w:r>
      <w:r>
        <w:rPr>
          <w:i/>
        </w:rPr>
        <w:t>M. alba</w:t>
      </w:r>
      <w:r>
        <w:t xml:space="preserve"> preparations. Acute toxicity assessment of </w:t>
      </w:r>
      <w:r>
        <w:rPr>
          <w:i/>
        </w:rPr>
        <w:t>M. alba</w:t>
      </w:r>
      <w:r>
        <w:t xml:space="preserve"> leaf extract reported no major toxic signs after high-dose exposure, and repeated administration of an aqueous extract produced no treatment-related toxicity at markedly higher doses than those used in the present study (Fauzi et al., 2024a; Marx et al., 2016). The current study extends available information by focusing on an ethanolic leaf extract, which may have a different phytochemical profile from aqueous preparations because extraction solvent influences compound yield and biological activity (</w:t>
      </w:r>
      <w:proofErr w:type="spellStart"/>
      <w:r>
        <w:t>Bouasla</w:t>
      </w:r>
      <w:proofErr w:type="spellEnd"/>
      <w:r>
        <w:t xml:space="preserve"> et al., 2021; Sun et al., 2025).</w:t>
      </w:r>
    </w:p>
    <w:p w14:paraId="635F6AA8" w14:textId="77777777" w:rsidR="0017338D" w:rsidRDefault="00000000" w:rsidP="006B45FA">
      <w:pPr>
        <w:spacing w:after="120" w:line="360" w:lineRule="auto"/>
        <w:jc w:val="both"/>
      </w:pPr>
      <w:r>
        <w:lastRenderedPageBreak/>
        <w:t xml:space="preserve">The comparison with previous studies must also consider differences in extract type. Aqueous extracts and ethanolic extracts may differ substantially in their phytochemical profile, particularly in the concentration of phenolic, flavonoid and alkaloid fractions. Therefore, the favorable safety profile reported for aqueous </w:t>
      </w:r>
      <w:r>
        <w:rPr>
          <w:i/>
        </w:rPr>
        <w:t>M. alba</w:t>
      </w:r>
      <w:r>
        <w:t xml:space="preserve"> extract at high doses cannot be used as direct evidence that an ethanolic extract will have the same safety margin (Marx et al., 2016). The current findings support the view that the tested ethanolic extract was generally tolerated, but they also show that histological changes may occur at 400 mg/kg despite unremarkable biochemical markers. This reinforces the need to evaluate each extract type independently rather than generalizing safety conclusions across solvents.</w:t>
      </w:r>
    </w:p>
    <w:p w14:paraId="5E8BABA3" w14:textId="77777777" w:rsidR="0017338D" w:rsidRDefault="00000000" w:rsidP="006B45FA">
      <w:pPr>
        <w:spacing w:after="120" w:line="360" w:lineRule="auto"/>
        <w:jc w:val="both"/>
      </w:pPr>
      <w:r>
        <w:t xml:space="preserve">Hematological assessment provides an important indication of possible systemic toxicity because blood cells and hematopoietic tissues can be sensitive to toxicant exposure (Arika et al., 2016). In male rats, erythrocyte, leukocyte and platelet parameters were comparable across groups. In female rats, several erythrocyte-related indices differed statistically among groups, but the overall pattern did not indicate overt hematological toxicity. Variability in rat hematological parameters can be influenced by age, sex, strain, housing conditions and supplier origin (Filho et al., 2018; </w:t>
      </w:r>
      <w:proofErr w:type="spellStart"/>
      <w:r>
        <w:t>Kampfmann</w:t>
      </w:r>
      <w:proofErr w:type="spellEnd"/>
      <w:r>
        <w:t xml:space="preserve"> et al., 2012; Rahmawati et al., 2022; Sood et al., 2024). Therefore, statistically significant changes should be interpreted together with dose-response pattern, related parameters and histological evidence.</w:t>
      </w:r>
    </w:p>
    <w:p w14:paraId="2F4468AD" w14:textId="77777777" w:rsidR="0017338D" w:rsidRDefault="00000000" w:rsidP="006B45FA">
      <w:pPr>
        <w:spacing w:after="120" w:line="360" w:lineRule="auto"/>
        <w:jc w:val="both"/>
      </w:pPr>
      <w:r>
        <w:t xml:space="preserve">The hematological pattern deserves careful interpretation because several statistically significant changes were observed in female rats. A toxicologically meaningful hematological change would usually be supported by a consistent dose-response relationship and by related alterations across connected parameters. In this study, the significant female changes did not clearly progress from 200 to 400 mg/kg, and platelet indices and differential leukocyte profiles remained largely stable. This pattern suggests biological variability rather than overt </w:t>
      </w:r>
      <w:proofErr w:type="spellStart"/>
      <w:r>
        <w:t>hematotoxicity</w:t>
      </w:r>
      <w:proofErr w:type="spellEnd"/>
      <w:r>
        <w:t>. However, the total WBC reduction in treated females should not be ignored. Future studies with larger sample sizes and baseline hematological measurements would be useful to determine whether the observed difference represents treatment response, supplier-related variation or normal inter-animal variability.</w:t>
      </w:r>
    </w:p>
    <w:p w14:paraId="6E70943B" w14:textId="77777777" w:rsidR="0017338D" w:rsidRDefault="00000000" w:rsidP="006B45FA">
      <w:pPr>
        <w:spacing w:after="120" w:line="360" w:lineRule="auto"/>
        <w:jc w:val="both"/>
      </w:pPr>
      <w:r>
        <w:t xml:space="preserve">Serum creatinine and urea were used to assess kidney function, whereas AST and ALT were used as markers of hepatocellular injury. Creatinine and urea are widely used indicators of renal </w:t>
      </w:r>
      <w:r>
        <w:lastRenderedPageBreak/>
        <w:t xml:space="preserve">function and nitrogen metabolism, although each may be influenced by physiological factors other than kidney injury (Ávila et al., 2025; Gowda et al., 2010; Inker &amp; Titan, 2021). In the present study, urea did not differ significantly between control and treated groups, and male creatinine levels were comparable across groups. Female creatinine showed a significant difference involving the 200 mg/kg group, but this pattern was not dose-dependent. Previous experimental studies have reported protective or neutral effects of </w:t>
      </w:r>
      <w:r>
        <w:rPr>
          <w:i/>
        </w:rPr>
        <w:t>M. alba</w:t>
      </w:r>
      <w:r>
        <w:t xml:space="preserve"> preparations on renal biomarkers in different models (</w:t>
      </w:r>
      <w:proofErr w:type="spellStart"/>
      <w:r>
        <w:t>Dkhil</w:t>
      </w:r>
      <w:proofErr w:type="spellEnd"/>
      <w:r>
        <w:t xml:space="preserve"> et al., 2015; Fauzi et al., 2024b; Nguyen et al., 2025).</w:t>
      </w:r>
    </w:p>
    <w:p w14:paraId="6FF37E09" w14:textId="77777777" w:rsidR="0017338D" w:rsidRDefault="00000000" w:rsidP="006B45FA">
      <w:pPr>
        <w:spacing w:after="120" w:line="360" w:lineRule="auto"/>
        <w:jc w:val="both"/>
      </w:pPr>
      <w:r>
        <w:t>The isolated creatinine difference observed in female rats also requires cautious interpretation. A reduction at 200 mg/kg followed by a value closer to control at 400 mg/kg does not fit the expected pattern of dose-dependent nephrotoxicity. Serum creatinine is influenced by muscle mass, growth rate and hydration status, while urea may vary with protein metabolism and fluid balance (Ávila et al., 2025; Gowda et al., 2010). In the present study, the absence of a parallel urea increase and the normal kidney histology at 200 mg/kg argue against clear renal toxicity at the lower dose. Nonetheless, the mild renal edema at 400 mg/kg indicates that additional renal endpoints, such as urinalysis, electrolyte measurements and relative kidney weight, should be included in future investigations.</w:t>
      </w:r>
    </w:p>
    <w:p w14:paraId="6B3720F8" w14:textId="77777777" w:rsidR="0017338D" w:rsidRDefault="00000000" w:rsidP="006B45FA">
      <w:pPr>
        <w:spacing w:after="120" w:line="360" w:lineRule="auto"/>
        <w:jc w:val="both"/>
      </w:pPr>
      <w:r>
        <w:t>AST and ALT levels did not significantly differ between control and EEM-treated groups in either sex. These enzymes are widely used in liver function assessment, although AST is less liver-specific than ALT because it is also present in cardiac and skeletal muscle, kidney and other tissues (</w:t>
      </w:r>
      <w:proofErr w:type="spellStart"/>
      <w:r>
        <w:t>Altaihani</w:t>
      </w:r>
      <w:proofErr w:type="spellEnd"/>
      <w:r>
        <w:t xml:space="preserve"> et al., 2024). The absence of significant aminotransferase elevation suggests that EEM did not produce measurable biochemical liver injury during the 28-day period. Nevertheless, normal serum enzymes do not exclude early or mild tissue-level injury.</w:t>
      </w:r>
    </w:p>
    <w:p w14:paraId="3CF8B41E" w14:textId="77777777" w:rsidR="0017338D" w:rsidRDefault="00000000" w:rsidP="006B45FA">
      <w:pPr>
        <w:spacing w:after="120" w:line="360" w:lineRule="auto"/>
        <w:jc w:val="both"/>
      </w:pPr>
      <w:r>
        <w:t>The normal aminotransferase findings are useful but should not be overinterpreted. Serum AST and ALT are widely used markers of hepatocellular injury, yet mild or focal histological lesions may not always produce measurable enzyme elevation. This is especially true when the injury is early, adaptive, or not extensive enough to disrupt a large number of hepatocytes. In this study, the 400 mg/kg group showed microscopic liver alterations without significant AST or ALT changes. This pattern indicates that histopathological examination added important sensitivity to the safety evaluation and helped identify a signal that would have been missed if the study had relied only on serum biochemistry.</w:t>
      </w:r>
    </w:p>
    <w:p w14:paraId="2C22BDA3" w14:textId="77777777" w:rsidR="0017338D" w:rsidRDefault="00000000" w:rsidP="006B45FA">
      <w:pPr>
        <w:spacing w:after="120" w:line="360" w:lineRule="auto"/>
        <w:jc w:val="both"/>
      </w:pPr>
      <w:r>
        <w:lastRenderedPageBreak/>
        <w:t xml:space="preserve">Histopathological findings provided the most important safety signal in this study. At 200 mg/kg, liver sections showed mild hydropic or cellular degeneration, while kidney tissues remained normal. At 400 mg/kg, moderate hepatic changes, including fatty degeneration, necrosis and inflammatory cell infiltration, and mild renal edema were observed. The liver is highly vulnerable to repeated exposure to xenobiotics because it is the primary site of metabolic activation and detoxification (Zhang et al., 2022). Herbal-induced liver injury may involve direct hepatocellular toxicity, reactive metabolite formation, oxidative stress, mitochondrial dysfunction and immune-mediated mechanisms (Liu et al., 2016; </w:t>
      </w:r>
      <w:proofErr w:type="spellStart"/>
      <w:r>
        <w:t>Łupina</w:t>
      </w:r>
      <w:proofErr w:type="spellEnd"/>
      <w:r>
        <w:t xml:space="preserve"> et al., 2025). These mechanisms could plausibly explain the discrepancy between unchanged serum transaminases and microscopic liver alterations.</w:t>
      </w:r>
    </w:p>
    <w:p w14:paraId="4BD1EEC8" w14:textId="77777777" w:rsidR="0017338D" w:rsidRDefault="00000000" w:rsidP="006B45FA">
      <w:pPr>
        <w:spacing w:after="120" w:line="360" w:lineRule="auto"/>
        <w:jc w:val="both"/>
      </w:pPr>
      <w:r>
        <w:t xml:space="preserve">The hepatic changes observed at 400 mg/kg may reflect increased metabolic burden from repeated exposure to extract constituents. The liver is the principal organ for xenobiotic biotransformation, and reactive intermediates generated during metabolism can contribute to oxidative stress, mitochondrial dysfunction and inflammatory responses (Liu et al., 2016; Zhang et al., 2022; </w:t>
      </w:r>
      <w:proofErr w:type="spellStart"/>
      <w:r>
        <w:t>Łupina</w:t>
      </w:r>
      <w:proofErr w:type="spellEnd"/>
      <w:r>
        <w:t xml:space="preserve"> et al., 2025). Fatty degeneration and inflammatory cell infiltration in liver tissue are therefore important findings even when clinical signs are absent. These alterations do not necessarily indicate irreversible injury, but they suggest that the higher dose should not be assumed safe without further investigation. A longer recovery or reversibility study would clarify whether the changes persist after extract withdrawal.</w:t>
      </w:r>
    </w:p>
    <w:p w14:paraId="4FC23CF5" w14:textId="77777777" w:rsidR="0017338D" w:rsidRDefault="00000000" w:rsidP="006B45FA">
      <w:pPr>
        <w:spacing w:after="120" w:line="360" w:lineRule="auto"/>
        <w:jc w:val="both"/>
      </w:pPr>
      <w:r>
        <w:t xml:space="preserve">The mild renal edema observed at 400 mg/kg may reflect early renal stress. The kidneys are vulnerable to xenobiotic-induced injury because renal tubular cells are exposed to filtered compounds and metabolites during elimination (George et al., 2017). Some phytochemical classes, including triterpenoid-rich extracts and flavonoids under pro-oxidant conditions, have been associated with renal or oxidative tissue stress despite their pharmacological benefits (Adebiyi et al., 2021; Akpan et al., 2024; </w:t>
      </w:r>
      <w:proofErr w:type="spellStart"/>
      <w:r>
        <w:t>Jomova</w:t>
      </w:r>
      <w:proofErr w:type="spellEnd"/>
      <w:r>
        <w:t xml:space="preserve"> et al., 2025). Thus, the renal histology findings should be interpreted cautiously and warrant confirmatory studies with additional renal biomarkers, organ-weight analysis and longer observation periods.</w:t>
      </w:r>
    </w:p>
    <w:p w14:paraId="69A955B9" w14:textId="77777777" w:rsidR="0017338D" w:rsidRDefault="00000000" w:rsidP="006B45FA">
      <w:pPr>
        <w:spacing w:after="120" w:line="360" w:lineRule="auto"/>
        <w:jc w:val="both"/>
      </w:pPr>
      <w:r>
        <w:t xml:space="preserve">The renal findings were less severe than the hepatic findings but remain relevant. The kidneys receive high blood flow and are responsible for filtration and elimination of many xenobiotics and their metabolites. During repeated exposure, metabolites may concentrate in tubular cells, </w:t>
      </w:r>
      <w:r>
        <w:lastRenderedPageBreak/>
        <w:t>potentially leading to osmotic or oxidative stress (George et al., 2017). Although flavonoids are often considered antioxidant compounds, they may act as pro-oxidants under certain conditions, particularly in the presence of redox-active metals (</w:t>
      </w:r>
      <w:proofErr w:type="spellStart"/>
      <w:r>
        <w:t>Jomova</w:t>
      </w:r>
      <w:proofErr w:type="spellEnd"/>
      <w:r>
        <w:t xml:space="preserve"> et al., 2025). This dual behavior offers one possible explanation for mild renal edema at the higher dose. However, because kidney histology remained normal at 200 mg/kg and biochemical markers were largely unchanged, the renal signal should be regarded as preliminary and requiring confirmation.</w:t>
      </w:r>
    </w:p>
    <w:p w14:paraId="204A886E" w14:textId="77777777" w:rsidR="0017338D" w:rsidRDefault="00000000" w:rsidP="006B45FA">
      <w:pPr>
        <w:spacing w:after="120" w:line="360" w:lineRule="auto"/>
        <w:jc w:val="both"/>
      </w:pPr>
      <w:r>
        <w:t xml:space="preserve">This study has several limitations. First, the sample size per sex and group was limited, which reduces statistical power and the ability to detect subtle toxicological effects. Second, organ weights, food and water intake, phytochemical standardization and quantitative histopathological scoring were not reported. Third, only two dose levels were evaluated, so a definitive no-observed-adverse-effect level could not be established. Despite these limitations, the combination of hematological, biochemical and histopathological endpoints provides useful preliminary evidence for the repeated-dose safety profile of ethanolic </w:t>
      </w:r>
      <w:r>
        <w:rPr>
          <w:i/>
        </w:rPr>
        <w:t>M. alba</w:t>
      </w:r>
      <w:r>
        <w:t xml:space="preserve"> leaf extract.</w:t>
      </w:r>
    </w:p>
    <w:p w14:paraId="66609EDA" w14:textId="77777777" w:rsidR="0017338D" w:rsidRDefault="00000000" w:rsidP="006B45FA">
      <w:pPr>
        <w:spacing w:after="120" w:line="360" w:lineRule="auto"/>
        <w:jc w:val="both"/>
      </w:pPr>
      <w:r>
        <w:t xml:space="preserve">Despite these limitations, the study provides useful preliminary evidence for the safety development of ethanolic </w:t>
      </w:r>
      <w:r>
        <w:rPr>
          <w:i/>
        </w:rPr>
        <w:t>M. alba</w:t>
      </w:r>
      <w:r>
        <w:t xml:space="preserve"> leaf extract. Its main strength lies in the combination of male and female animals, repeated oral exposure, hematological and biochemical assessment, and microscopic evaluation of both liver and kidney tissues. The findings also demonstrate why safety conclusions for herbal extracts should be based on multiple endpoints. If only mortality, body weight and serum markers had been considered, the extract would appear uniformly safe. The histopathological results, however, reveal dose-related target-organ changes that should guide the design of future studies and the selection of safer dose ranges.</w:t>
      </w:r>
    </w:p>
    <w:p w14:paraId="23BB088F" w14:textId="77777777" w:rsidR="0017338D" w:rsidRDefault="00000000">
      <w:pPr>
        <w:spacing w:after="120" w:line="360" w:lineRule="auto"/>
      </w:pPr>
      <w:r>
        <w:rPr>
          <w:b/>
        </w:rPr>
        <w:t>CONCLUSION</w:t>
      </w:r>
    </w:p>
    <w:p w14:paraId="594416FC" w14:textId="77777777" w:rsidR="0017338D" w:rsidRDefault="00000000" w:rsidP="006B45FA">
      <w:pPr>
        <w:spacing w:after="120" w:line="360" w:lineRule="auto"/>
        <w:jc w:val="both"/>
      </w:pPr>
      <w:r>
        <w:t xml:space="preserve">Ethanolic </w:t>
      </w:r>
      <w:r>
        <w:rPr>
          <w:i/>
        </w:rPr>
        <w:t>Morus alba</w:t>
      </w:r>
      <w:r>
        <w:t xml:space="preserve"> leaf extract was generally tolerated after 28 days of repeated oral administration in male and female Wistar rats, with no mortality, overt clinical toxicity or consistent biochemical evidence of liver or kidney dysfunction. However, the histopathological alterations observed in liver and kidney tissues, particularly at 400 mg/kg body weight, indicate potential dose-related target-organ effects. Further safety studies using broader dose ranges, longer exposure periods, phytochemical standardization, organ-weight assessment and quantitative histopathological scoring are needed before this extract is advanced as a therapeutic candidate for metabolic syndrome.</w:t>
      </w:r>
    </w:p>
    <w:p w14:paraId="2432B4DD" w14:textId="77777777" w:rsidR="0017338D" w:rsidRDefault="00000000">
      <w:pPr>
        <w:spacing w:after="120" w:line="360" w:lineRule="auto"/>
      </w:pPr>
      <w:r>
        <w:rPr>
          <w:b/>
        </w:rPr>
        <w:lastRenderedPageBreak/>
        <w:t>CONFLICT OF INTEREST</w:t>
      </w:r>
    </w:p>
    <w:p w14:paraId="48514AAA" w14:textId="77777777" w:rsidR="0017338D" w:rsidRDefault="00000000">
      <w:pPr>
        <w:spacing w:after="120" w:line="360" w:lineRule="auto"/>
      </w:pPr>
      <w:r>
        <w:t>The authors declare no conflict of interest.</w:t>
      </w:r>
    </w:p>
    <w:p w14:paraId="71AA476D" w14:textId="77777777" w:rsidR="0017338D" w:rsidRDefault="00000000">
      <w:pPr>
        <w:spacing w:after="120" w:line="360" w:lineRule="auto"/>
      </w:pPr>
      <w:r>
        <w:rPr>
          <w:b/>
        </w:rPr>
        <w:t>STATEMENT</w:t>
      </w:r>
    </w:p>
    <w:p w14:paraId="2C83217A" w14:textId="77777777" w:rsidR="0017338D" w:rsidRDefault="00000000" w:rsidP="006B45FA">
      <w:pPr>
        <w:spacing w:after="120" w:line="360" w:lineRule="auto"/>
        <w:jc w:val="both"/>
      </w:pPr>
      <w:r>
        <w:t xml:space="preserve">The authors used ChatGPT (GPT-5.5 Thinking, OpenAI; accessed 19 June 2026) to assist with manuscript formatting, grammar and syntax refinement, and adaptation to the </w:t>
      </w:r>
      <w:proofErr w:type="spellStart"/>
      <w:r>
        <w:t>Majalah</w:t>
      </w:r>
      <w:proofErr w:type="spellEnd"/>
      <w:r>
        <w:t xml:space="preserve"> Obat </w:t>
      </w:r>
      <w:proofErr w:type="spellStart"/>
      <w:r>
        <w:t>Tradisional</w:t>
      </w:r>
      <w:proofErr w:type="spellEnd"/>
      <w:r>
        <w:t xml:space="preserve"> journal template. The authors reviewed, edited and verified all AI-assisted content for accuracy, originality and adherence to ethical standards, and take full responsibility for the final content of the manuscript.</w:t>
      </w:r>
    </w:p>
    <w:p w14:paraId="3DA808FB" w14:textId="77777777" w:rsidR="0017338D" w:rsidRDefault="00000000">
      <w:pPr>
        <w:spacing w:after="120" w:line="360" w:lineRule="auto"/>
      </w:pPr>
      <w:r>
        <w:rPr>
          <w:b/>
        </w:rPr>
        <w:t>REFERENCES</w:t>
      </w:r>
    </w:p>
    <w:p w14:paraId="726D5FD8" w14:textId="77777777" w:rsidR="0017338D" w:rsidRDefault="00000000" w:rsidP="006B45FA">
      <w:pPr>
        <w:spacing w:after="60" w:line="360" w:lineRule="auto"/>
        <w:ind w:left="360" w:hanging="360"/>
        <w:jc w:val="both"/>
      </w:pPr>
      <w:r>
        <w:t xml:space="preserve">Adebiyi, O. A., Ameh, D. A., </w:t>
      </w:r>
      <w:proofErr w:type="spellStart"/>
      <w:r>
        <w:t>Onyike</w:t>
      </w:r>
      <w:proofErr w:type="spellEnd"/>
      <w:r>
        <w:t xml:space="preserve">, E., &amp; James, D. B. (2021). Hepatotoxic and nephrotoxic effect of ethanol leaf extract of </w:t>
      </w:r>
      <w:r>
        <w:rPr>
          <w:i/>
        </w:rPr>
        <w:t>Scoparia dulcis</w:t>
      </w:r>
      <w:r>
        <w:t xml:space="preserve"> (Linn) in Wistar rats. Journal of Pharmaceutical Research, 2(4), 20-27.</w:t>
      </w:r>
    </w:p>
    <w:p w14:paraId="6902D96D" w14:textId="77777777" w:rsidR="0017338D" w:rsidRDefault="00000000" w:rsidP="006B45FA">
      <w:pPr>
        <w:spacing w:after="60" w:line="360" w:lineRule="auto"/>
        <w:ind w:left="360" w:hanging="360"/>
        <w:jc w:val="both"/>
      </w:pPr>
      <w:r>
        <w:t xml:space="preserve">Akpan, J. L., </w:t>
      </w:r>
      <w:proofErr w:type="spellStart"/>
      <w:r>
        <w:t>Wokota</w:t>
      </w:r>
      <w:proofErr w:type="spellEnd"/>
      <w:r>
        <w:t xml:space="preserve">, P. N., </w:t>
      </w:r>
      <w:proofErr w:type="spellStart"/>
      <w:r>
        <w:t>Ohadoma</w:t>
      </w:r>
      <w:proofErr w:type="spellEnd"/>
      <w:r>
        <w:t xml:space="preserve">, S. C., </w:t>
      </w:r>
      <w:proofErr w:type="spellStart"/>
      <w:r>
        <w:t>Onwudiwe</w:t>
      </w:r>
      <w:proofErr w:type="spellEnd"/>
      <w:r>
        <w:t xml:space="preserve">, T. C., </w:t>
      </w:r>
      <w:proofErr w:type="spellStart"/>
      <w:r>
        <w:t>Okoroama</w:t>
      </w:r>
      <w:proofErr w:type="spellEnd"/>
      <w:r>
        <w:t xml:space="preserve">, C. E., Iganga, O. N., </w:t>
      </w:r>
      <w:proofErr w:type="spellStart"/>
      <w:r>
        <w:t>Nwokike</w:t>
      </w:r>
      <w:proofErr w:type="spellEnd"/>
      <w:r>
        <w:t xml:space="preserve">, M. O., &amp; </w:t>
      </w:r>
      <w:proofErr w:type="spellStart"/>
      <w:r>
        <w:t>Akuodor</w:t>
      </w:r>
      <w:proofErr w:type="spellEnd"/>
      <w:r>
        <w:t xml:space="preserve">, G. C. (2024). Evaluation of nephrotoxicity effects of the methanol leaf extract of </w:t>
      </w:r>
      <w:r>
        <w:rPr>
          <w:i/>
        </w:rPr>
        <w:t>A. angustifolia</w:t>
      </w:r>
      <w:r>
        <w:t xml:space="preserve"> in Wistar rats. Journal of Applied Sciences and Environmental Management, 13(3), 307-314.</w:t>
      </w:r>
    </w:p>
    <w:p w14:paraId="2D5C2375" w14:textId="77777777" w:rsidR="0017338D" w:rsidRDefault="00000000" w:rsidP="006B45FA">
      <w:pPr>
        <w:spacing w:after="60" w:line="360" w:lineRule="auto"/>
        <w:ind w:left="360" w:hanging="360"/>
        <w:jc w:val="both"/>
      </w:pPr>
      <w:proofErr w:type="spellStart"/>
      <w:r>
        <w:t>Altaihani</w:t>
      </w:r>
      <w:proofErr w:type="spellEnd"/>
      <w:r>
        <w:t xml:space="preserve">, R. A., Fahad, B., Alhazmi, S., </w:t>
      </w:r>
      <w:proofErr w:type="spellStart"/>
      <w:r>
        <w:t>Albagawi</w:t>
      </w:r>
      <w:proofErr w:type="spellEnd"/>
      <w:r>
        <w:t xml:space="preserve">, M. G., Mohamad, N., </w:t>
      </w:r>
      <w:proofErr w:type="spellStart"/>
      <w:r>
        <w:t>Almuzaini</w:t>
      </w:r>
      <w:proofErr w:type="spellEnd"/>
      <w:r>
        <w:t xml:space="preserve">, A., Salem, A., &amp; </w:t>
      </w:r>
      <w:proofErr w:type="spellStart"/>
      <w:r>
        <w:t>Almotlaq</w:t>
      </w:r>
      <w:proofErr w:type="spellEnd"/>
      <w:r>
        <w:t xml:space="preserve">, O. (2024). Liver function tests: An updated review article for clinical pathologists. Journal of Pharmacy and </w:t>
      </w:r>
      <w:proofErr w:type="spellStart"/>
      <w:r>
        <w:t>Bioallied</w:t>
      </w:r>
      <w:proofErr w:type="spellEnd"/>
      <w:r>
        <w:t xml:space="preserve"> Sciences, 23, 1681-1691.</w:t>
      </w:r>
    </w:p>
    <w:p w14:paraId="42C918D2" w14:textId="77777777" w:rsidR="0017338D" w:rsidRDefault="00000000" w:rsidP="006B45FA">
      <w:pPr>
        <w:spacing w:after="60" w:line="360" w:lineRule="auto"/>
        <w:ind w:left="360" w:hanging="360"/>
        <w:jc w:val="both"/>
      </w:pPr>
      <w:proofErr w:type="spellStart"/>
      <w:r>
        <w:t>Altanam</w:t>
      </w:r>
      <w:proofErr w:type="spellEnd"/>
      <w:r>
        <w:t xml:space="preserve">, S. Y., Darwish, N., &amp; </w:t>
      </w:r>
      <w:proofErr w:type="spellStart"/>
      <w:r>
        <w:t>Bakillah</w:t>
      </w:r>
      <w:proofErr w:type="spellEnd"/>
      <w:r>
        <w:t>, A. (2025). Exploring the interplay of antioxidants, inflammation, and oxidative stress: Mechanisms, therapeutic potential, and clinical implications. Diseases, 13(9). https://doi.org/10.3390/diseases13090309</w:t>
      </w:r>
    </w:p>
    <w:p w14:paraId="37C9F78C" w14:textId="77777777" w:rsidR="0017338D" w:rsidRDefault="00000000" w:rsidP="006B45FA">
      <w:pPr>
        <w:spacing w:after="60" w:line="360" w:lineRule="auto"/>
        <w:ind w:left="360" w:hanging="360"/>
        <w:jc w:val="both"/>
      </w:pPr>
      <w:r>
        <w:t>Arika, W., Nyamai, D. W., Musila, M. N., Ngugi, M. P., &amp; Njagi, E. N. M. (2016). Hematological markers of in vivo toxicity. Journal of Hematology &amp; Thromboembolic Diseases, 4(2), 1000236. https://doi.org/10.4172/2329-8790.1000236</w:t>
      </w:r>
    </w:p>
    <w:p w14:paraId="5A2A85BB" w14:textId="77777777" w:rsidR="0017338D" w:rsidRDefault="00000000" w:rsidP="006B45FA">
      <w:pPr>
        <w:spacing w:after="60" w:line="360" w:lineRule="auto"/>
        <w:ind w:left="360" w:hanging="360"/>
        <w:jc w:val="both"/>
      </w:pPr>
      <w:r>
        <w:t>Ávila, M., Mora Sánchez, M. G., Bernal Amador, A. S., &amp; Paniagua, R. (2025). The metabolism of creatinine and its usefulness to evaluate kidney function and body composition in clinical practice. Biomolecules, 15(1). https://doi.org/10.3390/biom15010041</w:t>
      </w:r>
    </w:p>
    <w:p w14:paraId="2C5948E7" w14:textId="77777777" w:rsidR="0017338D" w:rsidRDefault="00000000" w:rsidP="006B45FA">
      <w:pPr>
        <w:spacing w:after="60" w:line="360" w:lineRule="auto"/>
        <w:ind w:left="360" w:hanging="360"/>
        <w:jc w:val="both"/>
      </w:pPr>
      <w:proofErr w:type="spellStart"/>
      <w:r>
        <w:lastRenderedPageBreak/>
        <w:t>Batiha</w:t>
      </w:r>
      <w:proofErr w:type="spellEnd"/>
      <w:r>
        <w:t xml:space="preserve">, G. E.-S., Al-Snafi, A. E., </w:t>
      </w:r>
      <w:proofErr w:type="spellStart"/>
      <w:r>
        <w:t>Thuwaini</w:t>
      </w:r>
      <w:proofErr w:type="spellEnd"/>
      <w:r>
        <w:t>, M. M., Teibo, J. O., Shaheen, H. M., Akomolafe, A. P., Teibo, T. K. A., Al-</w:t>
      </w:r>
      <w:proofErr w:type="spellStart"/>
      <w:r>
        <w:t>kuraishy</w:t>
      </w:r>
      <w:proofErr w:type="spellEnd"/>
      <w:r>
        <w:t>, H. M., Al-</w:t>
      </w:r>
      <w:proofErr w:type="spellStart"/>
      <w:r>
        <w:t>Garbeeb</w:t>
      </w:r>
      <w:proofErr w:type="spellEnd"/>
      <w:r>
        <w:t xml:space="preserve">, A. I., Alexiou, A., &amp; Papadakis, M. (2023). </w:t>
      </w:r>
      <w:r>
        <w:rPr>
          <w:i/>
        </w:rPr>
        <w:t>Morus alba</w:t>
      </w:r>
      <w:r>
        <w:t>: A comprehensive phytochemical and pharmacological review. Naunyn-Schmiedeberg’s Archives of Pharmacology, 396(7), 1399-1413. https://doi.org/10.1007/s00210-023-02434-4</w:t>
      </w:r>
    </w:p>
    <w:p w14:paraId="784E83F5" w14:textId="77777777" w:rsidR="0017338D" w:rsidRDefault="00000000" w:rsidP="006B45FA">
      <w:pPr>
        <w:spacing w:after="60" w:line="360" w:lineRule="auto"/>
        <w:ind w:left="360" w:hanging="360"/>
        <w:jc w:val="both"/>
      </w:pPr>
      <w:proofErr w:type="spellStart"/>
      <w:r>
        <w:t>Bouasla</w:t>
      </w:r>
      <w:proofErr w:type="spellEnd"/>
      <w:r>
        <w:t xml:space="preserve">, I., Hamel, T., </w:t>
      </w:r>
      <w:proofErr w:type="spellStart"/>
      <w:r>
        <w:t>Barour</w:t>
      </w:r>
      <w:proofErr w:type="spellEnd"/>
      <w:r>
        <w:t xml:space="preserve">, C., </w:t>
      </w:r>
      <w:proofErr w:type="spellStart"/>
      <w:r>
        <w:t>Bouasla</w:t>
      </w:r>
      <w:proofErr w:type="spellEnd"/>
      <w:r>
        <w:t xml:space="preserve">, A., </w:t>
      </w:r>
      <w:proofErr w:type="spellStart"/>
      <w:r>
        <w:t>Hachouf</w:t>
      </w:r>
      <w:proofErr w:type="spellEnd"/>
      <w:r>
        <w:t xml:space="preserve">, M., Bouguerra, O. M., &amp; </w:t>
      </w:r>
      <w:proofErr w:type="spellStart"/>
      <w:r>
        <w:t>Messarah</w:t>
      </w:r>
      <w:proofErr w:type="spellEnd"/>
      <w:r>
        <w:t xml:space="preserve">, M. (2021). Evaluation of solvent influence on phytochemical content and antioxidant activities of two Algerian endemic taxa: Stachys </w:t>
      </w:r>
      <w:proofErr w:type="spellStart"/>
      <w:r>
        <w:t>marrubiifolia</w:t>
      </w:r>
      <w:proofErr w:type="spellEnd"/>
      <w:r>
        <w:t xml:space="preserve"> Viv. and Lamium </w:t>
      </w:r>
      <w:proofErr w:type="spellStart"/>
      <w:r>
        <w:t>flexuosum</w:t>
      </w:r>
      <w:proofErr w:type="spellEnd"/>
      <w:r>
        <w:t xml:space="preserve"> Ten. (</w:t>
      </w:r>
      <w:proofErr w:type="spellStart"/>
      <w:r>
        <w:t>Lamiaceae</w:t>
      </w:r>
      <w:proofErr w:type="spellEnd"/>
      <w:r>
        <w:t>). European Journal of Integrative Medicine, 42, 101267. https://doi.org/10.1016/j.eujim.2020.101267</w:t>
      </w:r>
    </w:p>
    <w:p w14:paraId="77293720" w14:textId="77777777" w:rsidR="0017338D" w:rsidRDefault="00000000" w:rsidP="006B45FA">
      <w:pPr>
        <w:spacing w:after="60" w:line="360" w:lineRule="auto"/>
        <w:ind w:left="360" w:hanging="360"/>
        <w:jc w:val="both"/>
      </w:pPr>
      <w:r>
        <w:t xml:space="preserve">Chapman, K., Sewell, F., Allais, L., </w:t>
      </w:r>
      <w:proofErr w:type="spellStart"/>
      <w:r>
        <w:t>Delongeas</w:t>
      </w:r>
      <w:proofErr w:type="spellEnd"/>
      <w:r>
        <w:t xml:space="preserve">, J.-L., Donald, E., Festag, M., Kervyn, S., Ockert, D., Palmer, H., Popovic, M., Roosen, W., </w:t>
      </w:r>
      <w:proofErr w:type="spellStart"/>
      <w:r>
        <w:t>Schoenmakers</w:t>
      </w:r>
      <w:proofErr w:type="spellEnd"/>
      <w:r>
        <w:t>, A., Somers, K., Stark, C., Stei, P., &amp; Robinson, S. (2013). A global pharmaceutical company initiative: An evidence-based approach to define the upper limit of body weight loss in short term toxicity studies. Regulatory Toxicology and Pharmacology, 67(1), 27-38. https://doi.org/10.1016/j.yrtph.2013.04.003</w:t>
      </w:r>
    </w:p>
    <w:p w14:paraId="0334C0D6" w14:textId="77777777" w:rsidR="0017338D" w:rsidRDefault="00000000" w:rsidP="006B45FA">
      <w:pPr>
        <w:spacing w:after="60" w:line="360" w:lineRule="auto"/>
        <w:ind w:left="360" w:hanging="360"/>
        <w:jc w:val="both"/>
      </w:pPr>
      <w:r>
        <w:t>Chen, S., Xi, M., Gao, F., Li, M., Dong, T., Geng, Z., Liu, C., Huang, F., Wang, J., Li, X., Wei, P., &amp; Miao, F. (2023). Evaluation of mulberry leaves’ hypoglycemic properties and hypoglycemic mechanisms. Frontiers in Pharmacology, 14, 1045309. https://doi.org/10.3389/fphar.2023.1045309</w:t>
      </w:r>
    </w:p>
    <w:p w14:paraId="19D68F1C" w14:textId="77777777" w:rsidR="0017338D" w:rsidRDefault="00000000" w:rsidP="006B45FA">
      <w:pPr>
        <w:spacing w:after="60" w:line="360" w:lineRule="auto"/>
        <w:ind w:left="360" w:hanging="360"/>
        <w:jc w:val="both"/>
      </w:pPr>
      <w:r>
        <w:t xml:space="preserve">Coşkun, N., </w:t>
      </w:r>
      <w:proofErr w:type="spellStart"/>
      <w:r>
        <w:t>Sarıtaş</w:t>
      </w:r>
      <w:proofErr w:type="spellEnd"/>
      <w:r>
        <w:t xml:space="preserve">, S., Jaouhari, Y., </w:t>
      </w:r>
      <w:proofErr w:type="spellStart"/>
      <w:r>
        <w:t>Bordiga</w:t>
      </w:r>
      <w:proofErr w:type="spellEnd"/>
      <w:r>
        <w:t>, M., &amp; Karav, S. (2024). The impact of freeze drying on bioactivity and physical properties of food products. Applied Sciences, 14(20). https://doi.org/10.3390/app14209183</w:t>
      </w:r>
    </w:p>
    <w:p w14:paraId="573CF5F2" w14:textId="77777777" w:rsidR="0017338D" w:rsidRDefault="00000000" w:rsidP="006B45FA">
      <w:pPr>
        <w:spacing w:after="60" w:line="360" w:lineRule="auto"/>
        <w:ind w:left="360" w:hanging="360"/>
        <w:jc w:val="both"/>
      </w:pPr>
      <w:proofErr w:type="spellStart"/>
      <w:r>
        <w:t>Dkhil</w:t>
      </w:r>
      <w:proofErr w:type="spellEnd"/>
      <w:r>
        <w:t xml:space="preserve">, M. A., </w:t>
      </w:r>
      <w:proofErr w:type="spellStart"/>
      <w:r>
        <w:t>Bauomy</w:t>
      </w:r>
      <w:proofErr w:type="spellEnd"/>
      <w:r>
        <w:t>, A. A., Diab, M. S. M., &amp; Al-</w:t>
      </w:r>
      <w:proofErr w:type="spellStart"/>
      <w:r>
        <w:t>Quraishy</w:t>
      </w:r>
      <w:proofErr w:type="spellEnd"/>
      <w:r>
        <w:t xml:space="preserve">, S. (2015). The antioxidant effect of </w:t>
      </w:r>
      <w:r>
        <w:rPr>
          <w:i/>
        </w:rPr>
        <w:t>Morus alba</w:t>
      </w:r>
      <w:r>
        <w:t xml:space="preserve"> leaves extract on kidney, testes, spleen and intestine of mice. Pakistan Journal of Zoology, 47(2), 393-397.</w:t>
      </w:r>
    </w:p>
    <w:p w14:paraId="58B42E69" w14:textId="77777777" w:rsidR="0017338D" w:rsidRDefault="00000000" w:rsidP="006B45FA">
      <w:pPr>
        <w:spacing w:after="60" w:line="360" w:lineRule="auto"/>
        <w:ind w:left="360" w:hanging="360"/>
        <w:jc w:val="both"/>
      </w:pPr>
      <w:r>
        <w:t xml:space="preserve">Fauzi, A., </w:t>
      </w:r>
      <w:proofErr w:type="spellStart"/>
      <w:r>
        <w:t>Kifli</w:t>
      </w:r>
      <w:proofErr w:type="spellEnd"/>
      <w:r>
        <w:t xml:space="preserve">, N., Noor, M. H. M., Hamzah, H., &amp; Azlan, A. (2024a). Hematological, biochemical, and histopathological evaluation of the </w:t>
      </w:r>
      <w:r>
        <w:rPr>
          <w:i/>
        </w:rPr>
        <w:t>Morus alba</w:t>
      </w:r>
      <w:r>
        <w:t xml:space="preserve"> L. leaf extract from Brunei Darussalam: Acute toxicity study in ICR mice. Open Veterinary Journal, 14(3), 750-758. https://doi.org/10.5455/OVJ.2024.v14.i3.1</w:t>
      </w:r>
    </w:p>
    <w:p w14:paraId="136568C2" w14:textId="77777777" w:rsidR="0017338D" w:rsidRDefault="00000000" w:rsidP="006B45FA">
      <w:pPr>
        <w:spacing w:after="60" w:line="360" w:lineRule="auto"/>
        <w:ind w:left="360" w:hanging="360"/>
        <w:jc w:val="both"/>
      </w:pPr>
      <w:r>
        <w:lastRenderedPageBreak/>
        <w:t xml:space="preserve">Fauzi, A., </w:t>
      </w:r>
      <w:proofErr w:type="spellStart"/>
      <w:r>
        <w:t>Titisari</w:t>
      </w:r>
      <w:proofErr w:type="spellEnd"/>
      <w:r>
        <w:t xml:space="preserve">, N., Noor, M. H. M., Azlan, A., &amp; Hamzah, H. (2024b). Therapeutic effect of </w:t>
      </w:r>
      <w:r>
        <w:rPr>
          <w:i/>
        </w:rPr>
        <w:t>Morus alba</w:t>
      </w:r>
      <w:r>
        <w:t xml:space="preserve"> leaf extract and chlorogenic acid on inhibiting the progression of kidney disease. Cogent Food &amp; Agriculture, 10(1), 2301841. https://doi.org/10.1080/23311932.2024.2301841</w:t>
      </w:r>
    </w:p>
    <w:p w14:paraId="3470A28F" w14:textId="77777777" w:rsidR="0017338D" w:rsidRDefault="00000000" w:rsidP="006B45FA">
      <w:pPr>
        <w:spacing w:after="60" w:line="360" w:lineRule="auto"/>
        <w:ind w:left="360" w:hanging="360"/>
        <w:jc w:val="both"/>
      </w:pPr>
      <w:r>
        <w:t xml:space="preserve">Filho, W. J., Lima, C. C., Rodolfo, M., Paunksnis, R., Silva, A. A., </w:t>
      </w:r>
      <w:proofErr w:type="spellStart"/>
      <w:r>
        <w:t>Perilhão</w:t>
      </w:r>
      <w:proofErr w:type="spellEnd"/>
      <w:r>
        <w:t>, M. S., Caldeira, M., Bocalini, D., &amp; Rodrigues, R. (2018). Reference database of hematological parameters for growing and aging rats. The Aging Male, 21(2), 145-148. https://doi.org/10.1080/13685538.2017.1350156</w:t>
      </w:r>
    </w:p>
    <w:p w14:paraId="601917BF" w14:textId="77777777" w:rsidR="0017338D" w:rsidRDefault="00000000" w:rsidP="006B45FA">
      <w:pPr>
        <w:spacing w:after="60" w:line="360" w:lineRule="auto"/>
        <w:ind w:left="360" w:hanging="360"/>
        <w:jc w:val="both"/>
      </w:pPr>
      <w:r>
        <w:t xml:space="preserve">George, B., You, D., Joy, M. S., &amp; </w:t>
      </w:r>
      <w:proofErr w:type="spellStart"/>
      <w:r>
        <w:t>Aleksunes</w:t>
      </w:r>
      <w:proofErr w:type="spellEnd"/>
      <w:r>
        <w:t>, L. M. (2017). Xenobiotic transporters and kidney injury. Advanced Drug Delivery Reviews, 116, 73-91. https://doi.org/10.1016/j.addr.2017.01.005</w:t>
      </w:r>
    </w:p>
    <w:p w14:paraId="3DB0E563" w14:textId="77777777" w:rsidR="0017338D" w:rsidRDefault="00000000" w:rsidP="006B45FA">
      <w:pPr>
        <w:spacing w:after="60" w:line="360" w:lineRule="auto"/>
        <w:ind w:left="360" w:hanging="360"/>
        <w:jc w:val="both"/>
      </w:pPr>
      <w:r>
        <w:t>Gowda, S., Desai, P. B., Kulkarni, S. S., Hull, V. V., Math, A. A. K., &amp; Vernekar, S. N. (2010). Markers of renal function tests. North American Journal of Medical Sciences, 2(4), 170-173.</w:t>
      </w:r>
    </w:p>
    <w:p w14:paraId="465CC920" w14:textId="77777777" w:rsidR="0017338D" w:rsidRDefault="00000000" w:rsidP="006B45FA">
      <w:pPr>
        <w:spacing w:after="60" w:line="360" w:lineRule="auto"/>
        <w:ind w:left="360" w:hanging="360"/>
        <w:jc w:val="both"/>
      </w:pPr>
      <w:r>
        <w:t>Inker, L. A., &amp; Titan, S. (2021). Measurement and estimation of GFR for use in clinical practice: Core curriculum 2021. American Journal of Kidney Diseases, 78(5), 736-749. https://doi.org/10.1053/j.ajkd.2021.04.016</w:t>
      </w:r>
    </w:p>
    <w:p w14:paraId="709CB95F" w14:textId="77777777" w:rsidR="0017338D" w:rsidRDefault="00000000" w:rsidP="006B45FA">
      <w:pPr>
        <w:spacing w:after="60" w:line="360" w:lineRule="auto"/>
        <w:ind w:left="360" w:hanging="360"/>
        <w:jc w:val="both"/>
      </w:pPr>
      <w:proofErr w:type="spellStart"/>
      <w:r>
        <w:t>Jomova</w:t>
      </w:r>
      <w:proofErr w:type="spellEnd"/>
      <w:r>
        <w:t xml:space="preserve">, K., Alomar, S. Y., Valko, R., Liska, J., </w:t>
      </w:r>
      <w:proofErr w:type="spellStart"/>
      <w:r>
        <w:t>Nepovimova</w:t>
      </w:r>
      <w:proofErr w:type="spellEnd"/>
      <w:r>
        <w:t xml:space="preserve">, E., Kuca, K., &amp; Valko, M. (2025). Flavonoids and their role in oxidative stress, inflammation, and human diseases. </w:t>
      </w:r>
      <w:proofErr w:type="spellStart"/>
      <w:r>
        <w:t>Chemico</w:t>
      </w:r>
      <w:proofErr w:type="spellEnd"/>
      <w:r>
        <w:t>-Biological Interactions, 413, 111489. https://doi.org/10.1016/j.cbi.2025.111489</w:t>
      </w:r>
    </w:p>
    <w:p w14:paraId="47806F2B" w14:textId="77777777" w:rsidR="0017338D" w:rsidRDefault="00000000" w:rsidP="006B45FA">
      <w:pPr>
        <w:spacing w:after="60" w:line="360" w:lineRule="auto"/>
        <w:ind w:left="360" w:hanging="360"/>
        <w:jc w:val="both"/>
      </w:pPr>
      <w:r>
        <w:t>Kampfmann, I., Bauer, N., Johannes, S., &amp; Moritz, A. (2012). Differences in hematologic variables in rats of the same strain but different origin. Veterinary Clinical Pathology, 41(2), 228-234. https://doi.org/10.1111/j.1939-165X.2012.00427.x</w:t>
      </w:r>
    </w:p>
    <w:p w14:paraId="25358FA0" w14:textId="77777777" w:rsidR="0017338D" w:rsidRDefault="00000000" w:rsidP="006B45FA">
      <w:pPr>
        <w:spacing w:after="60" w:line="360" w:lineRule="auto"/>
        <w:ind w:left="360" w:hanging="360"/>
        <w:jc w:val="both"/>
      </w:pPr>
      <w:r>
        <w:t>Li, M., Ding, L., Cao, L., Zhang, Z., Li, X., Li, Z., Xia, Q., Yin, K., Song, S., Wang, Z., Du, H., Zhao, D., &amp; Wang, Z. (2025). Natural products targeting AMPK signaling pathway therapy, diabetes mellitus and its complications. Frontiers in Pharmacology, 16, 1534634. https://doi.org/10.3389/fphar.2025.1534634</w:t>
      </w:r>
    </w:p>
    <w:p w14:paraId="12D3C026" w14:textId="77777777" w:rsidR="0017338D" w:rsidRDefault="00000000" w:rsidP="006B45FA">
      <w:pPr>
        <w:spacing w:after="60" w:line="360" w:lineRule="auto"/>
        <w:ind w:left="360" w:hanging="360"/>
        <w:jc w:val="both"/>
      </w:pPr>
      <w:r>
        <w:t>Li, Y., Zhang, X., Liang, C., Hu, J., &amp; Yu, Z. (2018). Safety evaluation of mulberry leaf extract: Acute, subacute toxicity and genotoxicity studies. Regulatory Toxicology and Pharmacology, 95, 220-226. https://doi.org/10.1016/j.yrtph.2018.03.007</w:t>
      </w:r>
    </w:p>
    <w:p w14:paraId="607F2F2B" w14:textId="77777777" w:rsidR="0017338D" w:rsidRDefault="00000000" w:rsidP="006B45FA">
      <w:pPr>
        <w:spacing w:after="60" w:line="360" w:lineRule="auto"/>
        <w:ind w:left="360" w:hanging="360"/>
        <w:jc w:val="both"/>
      </w:pPr>
      <w:r>
        <w:lastRenderedPageBreak/>
        <w:t>Liu, C., Fan, H., Li, Y., &amp; Xiao, X. (2016). Research advances on hepatotoxicity of herbal medicines in China. BioMed Research International, 2016, 7150391. https://doi.org/10.1155/2016/7150391</w:t>
      </w:r>
    </w:p>
    <w:p w14:paraId="0A417BC3" w14:textId="77777777" w:rsidR="0017338D" w:rsidRDefault="00000000" w:rsidP="006B45FA">
      <w:pPr>
        <w:spacing w:after="60" w:line="360" w:lineRule="auto"/>
        <w:ind w:left="360" w:hanging="360"/>
        <w:jc w:val="both"/>
      </w:pPr>
      <w:proofErr w:type="spellStart"/>
      <w:r>
        <w:t>Łupina</w:t>
      </w:r>
      <w:proofErr w:type="spellEnd"/>
      <w:r>
        <w:t xml:space="preserve">, K., Nowak, A., </w:t>
      </w:r>
      <w:proofErr w:type="spellStart"/>
      <w:r>
        <w:t>Jabłońska</w:t>
      </w:r>
      <w:proofErr w:type="spellEnd"/>
      <w:r>
        <w:t xml:space="preserve">, A., Potaczek, A., </w:t>
      </w:r>
      <w:proofErr w:type="spellStart"/>
      <w:r>
        <w:t>Salacha</w:t>
      </w:r>
      <w:proofErr w:type="spellEnd"/>
      <w:r>
        <w:t xml:space="preserve">, J., </w:t>
      </w:r>
      <w:proofErr w:type="spellStart"/>
      <w:r>
        <w:t>Ilkiewicz</w:t>
      </w:r>
      <w:proofErr w:type="spellEnd"/>
      <w:r>
        <w:t xml:space="preserve">, Ł., Kalisz, A., &amp; </w:t>
      </w:r>
      <w:proofErr w:type="spellStart"/>
      <w:r>
        <w:t>Janczura</w:t>
      </w:r>
      <w:proofErr w:type="spellEnd"/>
      <w:r>
        <w:t>, J. (2025). Herb-induced liver injury. Livers, 5(4). https://doi.org/10.3390/livers5040055</w:t>
      </w:r>
    </w:p>
    <w:p w14:paraId="0D3593FA" w14:textId="77777777" w:rsidR="0017338D" w:rsidRDefault="00000000" w:rsidP="006B45FA">
      <w:pPr>
        <w:spacing w:after="60" w:line="360" w:lineRule="auto"/>
        <w:ind w:left="360" w:hanging="360"/>
        <w:jc w:val="both"/>
      </w:pPr>
      <w:r>
        <w:t xml:space="preserve">Manful, C. F., Fordjour, E., </w:t>
      </w:r>
      <w:proofErr w:type="spellStart"/>
      <w:r>
        <w:t>Ikumoinein</w:t>
      </w:r>
      <w:proofErr w:type="spellEnd"/>
      <w:r>
        <w:t xml:space="preserve">, E., Abbey, L., &amp; Thomas, R. (2025). Therapeutic strategies targeting oxidative stress and inflammation: A narrative review. </w:t>
      </w:r>
      <w:proofErr w:type="spellStart"/>
      <w:r>
        <w:t>BioChem</w:t>
      </w:r>
      <w:proofErr w:type="spellEnd"/>
      <w:r>
        <w:t>, 5(4). https://doi.org/10.3390/biochem5040035</w:t>
      </w:r>
    </w:p>
    <w:p w14:paraId="5B7A90C5" w14:textId="77777777" w:rsidR="0017338D" w:rsidRDefault="00000000" w:rsidP="006B45FA">
      <w:pPr>
        <w:spacing w:after="60" w:line="360" w:lineRule="auto"/>
        <w:ind w:left="360" w:hanging="360"/>
        <w:jc w:val="both"/>
      </w:pPr>
      <w:r>
        <w:t xml:space="preserve">Marx, T. K., </w:t>
      </w:r>
      <w:proofErr w:type="spellStart"/>
      <w:r>
        <w:t>Glávits</w:t>
      </w:r>
      <w:proofErr w:type="spellEnd"/>
      <w:r>
        <w:t xml:space="preserve">, R., Endres, J. R., Palmer, P. A., Clewell, A. E., Murbach, T. S., </w:t>
      </w:r>
      <w:proofErr w:type="spellStart"/>
      <w:r>
        <w:t>Hirka</w:t>
      </w:r>
      <w:proofErr w:type="spellEnd"/>
      <w:r>
        <w:t xml:space="preserve">, G., &amp; </w:t>
      </w:r>
      <w:proofErr w:type="spellStart"/>
      <w:r>
        <w:t>Pasics</w:t>
      </w:r>
      <w:proofErr w:type="spellEnd"/>
      <w:r>
        <w:t xml:space="preserve">, I. (2016). A 28-day repeated dose toxicological study of an aqueous extract of </w:t>
      </w:r>
      <w:r>
        <w:rPr>
          <w:i/>
        </w:rPr>
        <w:t>Morus alba</w:t>
      </w:r>
      <w:r>
        <w:t xml:space="preserve"> L. International Journal of Toxicology, 35(6), 683-691. https://doi.org/10.1177/1091581816670597</w:t>
      </w:r>
    </w:p>
    <w:p w14:paraId="0810C331" w14:textId="77777777" w:rsidR="0017338D" w:rsidRDefault="00000000" w:rsidP="006B45FA">
      <w:pPr>
        <w:spacing w:after="60" w:line="360" w:lineRule="auto"/>
        <w:ind w:left="360" w:hanging="360"/>
        <w:jc w:val="both"/>
      </w:pPr>
      <w:proofErr w:type="spellStart"/>
      <w:r>
        <w:t>Marxfeld</w:t>
      </w:r>
      <w:proofErr w:type="spellEnd"/>
      <w:r>
        <w:t xml:space="preserve">, H. A., </w:t>
      </w:r>
      <w:proofErr w:type="spellStart"/>
      <w:r>
        <w:t>Küttler</w:t>
      </w:r>
      <w:proofErr w:type="spellEnd"/>
      <w:r>
        <w:t xml:space="preserve">, K., Dammann, M., </w:t>
      </w:r>
      <w:proofErr w:type="spellStart"/>
      <w:r>
        <w:t>Gröters</w:t>
      </w:r>
      <w:proofErr w:type="spellEnd"/>
      <w:r>
        <w:t xml:space="preserve">, S., &amp; van </w:t>
      </w:r>
      <w:proofErr w:type="spellStart"/>
      <w:r>
        <w:t>Ravenzwaay</w:t>
      </w:r>
      <w:proofErr w:type="spellEnd"/>
      <w:r>
        <w:t>, B. (2019). Body and organ weight data in 28-day toxicological studies in two mouse strains. Data in Brief, 27, 104632. https://doi.org/10.1016/j.dib.2019.104632</w:t>
      </w:r>
    </w:p>
    <w:p w14:paraId="061CD851" w14:textId="77777777" w:rsidR="0017338D" w:rsidRDefault="00000000" w:rsidP="006B45FA">
      <w:pPr>
        <w:spacing w:after="60" w:line="360" w:lineRule="auto"/>
        <w:ind w:left="360" w:hanging="360"/>
        <w:jc w:val="both"/>
      </w:pPr>
      <w:proofErr w:type="spellStart"/>
      <w:r>
        <w:t>Muvhulawa</w:t>
      </w:r>
      <w:proofErr w:type="spellEnd"/>
      <w:r>
        <w:t xml:space="preserve">, N., Dludla, P. V., Ndlovu, M., Ntamo, Y., </w:t>
      </w:r>
      <w:proofErr w:type="spellStart"/>
      <w:r>
        <w:t>Mayeye</w:t>
      </w:r>
      <w:proofErr w:type="spellEnd"/>
      <w:r>
        <w:t xml:space="preserve">, A., </w:t>
      </w:r>
      <w:proofErr w:type="spellStart"/>
      <w:r>
        <w:t>Luphondo</w:t>
      </w:r>
      <w:proofErr w:type="spellEnd"/>
      <w:r>
        <w:t>, N., Hlengwa, N., Basson, A. K., Mabhida, S. E., Hanser, S., Mazibuko-Mbeje, S. E., Nkambule, B. B., &amp; Ndwandwe, D. (2024). Global trends in clinical trials and interventions for the metabolic syndrome: A comprehensive analysis of the WHO International Clinical Trials platform. Contemporary Clinical Trials Communications, 40, 101330. https://doi.org/10.1016/j.conctc.2024.101330</w:t>
      </w:r>
    </w:p>
    <w:p w14:paraId="1BA340AB" w14:textId="77777777" w:rsidR="0017338D" w:rsidRDefault="00000000" w:rsidP="006B45FA">
      <w:pPr>
        <w:spacing w:after="60" w:line="360" w:lineRule="auto"/>
        <w:ind w:left="360" w:hanging="360"/>
        <w:jc w:val="both"/>
      </w:pPr>
      <w:r>
        <w:t xml:space="preserve">Nguyen, N. K., Nguyen, H. T. T., Mai, T. P., Trinh, Q. V., Duong, N. T., Pham, P. X., &amp; Pham, V. A. T. (2025). Protective effects of </w:t>
      </w:r>
      <w:r>
        <w:rPr>
          <w:i/>
        </w:rPr>
        <w:t>Morus alba</w:t>
      </w:r>
      <w:r>
        <w:t xml:space="preserve"> Linn leaf extract on streptozotocin-induced diabetic nephropathy in mice model. Phytomedicine Plus, 5(3), 100819. https://doi.org/10.1016/j.phyplu.2025.100819</w:t>
      </w:r>
    </w:p>
    <w:p w14:paraId="60F49E29" w14:textId="77777777" w:rsidR="0017338D" w:rsidRDefault="00000000" w:rsidP="006B45FA">
      <w:pPr>
        <w:spacing w:after="60" w:line="360" w:lineRule="auto"/>
        <w:ind w:left="360" w:hanging="360"/>
        <w:jc w:val="both"/>
      </w:pPr>
      <w:proofErr w:type="spellStart"/>
      <w:r>
        <w:t>Nurita</w:t>
      </w:r>
      <w:proofErr w:type="spellEnd"/>
      <w:r>
        <w:t xml:space="preserve">, R., </w:t>
      </w:r>
      <w:proofErr w:type="spellStart"/>
      <w:r>
        <w:t>Vitriana</w:t>
      </w:r>
      <w:proofErr w:type="spellEnd"/>
      <w:r>
        <w:t xml:space="preserve">, A., </w:t>
      </w:r>
      <w:proofErr w:type="spellStart"/>
      <w:r>
        <w:t>Sukmara</w:t>
      </w:r>
      <w:proofErr w:type="spellEnd"/>
      <w:r>
        <w:t>, I. M., &amp; Utami, N. (2018). Mulberry leaves (</w:t>
      </w:r>
      <w:r>
        <w:rPr>
          <w:i/>
        </w:rPr>
        <w:t>Morus alba</w:t>
      </w:r>
      <w:r>
        <w:t>) for diabetes mellitus: Acute toxicity test in male Wistar rats. Journal of Vocational Health Studies, 1(1).</w:t>
      </w:r>
    </w:p>
    <w:p w14:paraId="23647405" w14:textId="77777777" w:rsidR="0017338D" w:rsidRDefault="00000000" w:rsidP="006B45FA">
      <w:pPr>
        <w:spacing w:after="60" w:line="360" w:lineRule="auto"/>
        <w:ind w:left="360" w:hanging="360"/>
        <w:jc w:val="both"/>
      </w:pPr>
      <w:r>
        <w:lastRenderedPageBreak/>
        <w:t xml:space="preserve">Obeidat, A. A., Ahmad, M. N., </w:t>
      </w:r>
      <w:proofErr w:type="spellStart"/>
      <w:r>
        <w:t>Ghabashi</w:t>
      </w:r>
      <w:proofErr w:type="spellEnd"/>
      <w:r>
        <w:t xml:space="preserve">, M. A., </w:t>
      </w:r>
      <w:proofErr w:type="spellStart"/>
      <w:r>
        <w:t>Alazzeh</w:t>
      </w:r>
      <w:proofErr w:type="spellEnd"/>
      <w:r>
        <w:t>, A. Y., Habib, S. M., Abu Al-</w:t>
      </w:r>
      <w:proofErr w:type="spellStart"/>
      <w:r>
        <w:t>Haijaa</w:t>
      </w:r>
      <w:proofErr w:type="spellEnd"/>
      <w:r>
        <w:t xml:space="preserve">, D., &amp; </w:t>
      </w:r>
      <w:proofErr w:type="spellStart"/>
      <w:r>
        <w:t>Azzeh</w:t>
      </w:r>
      <w:proofErr w:type="spellEnd"/>
      <w:r>
        <w:t>, F. S. (2025). Developmental trends of metabolic syndrome in the past two decades: A narrative review. Journal of Clinical Medicine, 14(7). https://doi.org/10.3390/jcm14072402</w:t>
      </w:r>
    </w:p>
    <w:p w14:paraId="5FC3B796" w14:textId="77777777" w:rsidR="0017338D" w:rsidRDefault="00000000" w:rsidP="006B45FA">
      <w:pPr>
        <w:spacing w:after="60" w:line="360" w:lineRule="auto"/>
        <w:ind w:left="360" w:hanging="360"/>
        <w:jc w:val="both"/>
      </w:pPr>
      <w:r>
        <w:t>OECD. (2025). Test Guideline No. 407: Repeated dose 28-day oral toxicity study in rodents. OECD Guidelines for the Testing of Chemicals.</w:t>
      </w:r>
    </w:p>
    <w:p w14:paraId="7266D22D" w14:textId="77777777" w:rsidR="0017338D" w:rsidRDefault="00000000" w:rsidP="006B45FA">
      <w:pPr>
        <w:spacing w:after="60" w:line="360" w:lineRule="auto"/>
        <w:ind w:left="360" w:hanging="360"/>
        <w:jc w:val="both"/>
      </w:pPr>
      <w:r>
        <w:t xml:space="preserve">Rahmawati, N., </w:t>
      </w:r>
      <w:proofErr w:type="spellStart"/>
      <w:r>
        <w:t>Syukri</w:t>
      </w:r>
      <w:proofErr w:type="spellEnd"/>
      <w:r>
        <w:t xml:space="preserve">, M., </w:t>
      </w:r>
      <w:proofErr w:type="spellStart"/>
      <w:r>
        <w:t>Darmawi</w:t>
      </w:r>
      <w:proofErr w:type="spellEnd"/>
      <w:r>
        <w:t xml:space="preserve">, </w:t>
      </w:r>
      <w:proofErr w:type="spellStart"/>
      <w:r>
        <w:t>Zachreini</w:t>
      </w:r>
      <w:proofErr w:type="spellEnd"/>
      <w:r>
        <w:t xml:space="preserve">, I., </w:t>
      </w:r>
      <w:proofErr w:type="spellStart"/>
      <w:r>
        <w:t>Zulfiani</w:t>
      </w:r>
      <w:proofErr w:type="spellEnd"/>
      <w:r>
        <w:t xml:space="preserve">, Yusuf, M., &amp; </w:t>
      </w:r>
      <w:proofErr w:type="spellStart"/>
      <w:r>
        <w:t>Idroes</w:t>
      </w:r>
      <w:proofErr w:type="spellEnd"/>
      <w:r>
        <w:t xml:space="preserve">, R. (2022). </w:t>
      </w:r>
      <w:proofErr w:type="spellStart"/>
      <w:r>
        <w:t>Haematological</w:t>
      </w:r>
      <w:proofErr w:type="spellEnd"/>
      <w:r>
        <w:t xml:space="preserve"> features of white rats (</w:t>
      </w:r>
      <w:r>
        <w:rPr>
          <w:i/>
        </w:rPr>
        <w:t>Rattus norvegicus</w:t>
      </w:r>
      <w:r>
        <w:t xml:space="preserve">) infected with </w:t>
      </w:r>
      <w:r>
        <w:rPr>
          <w:i/>
        </w:rPr>
        <w:t>S. pyogenes</w:t>
      </w:r>
      <w:r>
        <w:t xml:space="preserve"> and administered with probiotics (yogurt). The Scientific World Journal, 2022, 2899462. https://doi.org/10.1155/2022/2899462</w:t>
      </w:r>
    </w:p>
    <w:p w14:paraId="6D99FCA2" w14:textId="77777777" w:rsidR="0017338D" w:rsidRDefault="00000000" w:rsidP="006B45FA">
      <w:pPr>
        <w:spacing w:after="60" w:line="360" w:lineRule="auto"/>
        <w:ind w:left="360" w:hanging="360"/>
        <w:jc w:val="both"/>
      </w:pPr>
      <w:proofErr w:type="spellStart"/>
      <w:r>
        <w:t>Religioni</w:t>
      </w:r>
      <w:proofErr w:type="spellEnd"/>
      <w:r>
        <w:t>, U., Barrios-Rodríguez, R., Requena, P., Borowska, M., &amp; Ostrowski, J. (2025). Enhancing therapy adherence: Impact on clinical outcomes, healthcare costs, and patient quality of life. Medicina, 61(1). https://doi.org/10.3390/medicina61010153</w:t>
      </w:r>
    </w:p>
    <w:p w14:paraId="477DCF75" w14:textId="77777777" w:rsidR="0017338D" w:rsidRDefault="00000000" w:rsidP="006B45FA">
      <w:pPr>
        <w:spacing w:after="60" w:line="360" w:lineRule="auto"/>
        <w:ind w:left="360" w:hanging="360"/>
        <w:jc w:val="both"/>
      </w:pPr>
      <w:r>
        <w:t>Author. (2025a). Details omitted for blinded peer review.</w:t>
      </w:r>
    </w:p>
    <w:p w14:paraId="408C980A" w14:textId="77777777" w:rsidR="0017338D" w:rsidRDefault="00000000" w:rsidP="006B45FA">
      <w:pPr>
        <w:spacing w:after="60" w:line="360" w:lineRule="auto"/>
        <w:ind w:left="360" w:hanging="360"/>
        <w:jc w:val="both"/>
      </w:pPr>
      <w:r>
        <w:t>Author. (2026). Details omitted for blinded peer review.</w:t>
      </w:r>
    </w:p>
    <w:p w14:paraId="6CB19DFC" w14:textId="77777777" w:rsidR="0017338D" w:rsidRDefault="00000000" w:rsidP="006B45FA">
      <w:pPr>
        <w:spacing w:after="60" w:line="360" w:lineRule="auto"/>
        <w:ind w:left="360" w:hanging="360"/>
        <w:jc w:val="both"/>
      </w:pPr>
      <w:r>
        <w:t xml:space="preserve">Sood, P., Shri, R., Singh, V., Ahmad, S. F., &amp; Attia, S. M. (2024). Acute oral toxicity and safety assessment of </w:t>
      </w:r>
      <w:r>
        <w:rPr>
          <w:i/>
        </w:rPr>
        <w:t>Morus alba</w:t>
      </w:r>
      <w:r>
        <w:t xml:space="preserve"> L. methanol fruit extract in mice. International Journal of Food Science, 36(3), 11-19. https://doi.org/10.15586/ijfs.v36i3.2578</w:t>
      </w:r>
    </w:p>
    <w:p w14:paraId="7506AB07" w14:textId="77777777" w:rsidR="0017338D" w:rsidRDefault="00000000" w:rsidP="006B45FA">
      <w:pPr>
        <w:spacing w:after="60" w:line="360" w:lineRule="auto"/>
        <w:ind w:left="360" w:hanging="360"/>
        <w:jc w:val="both"/>
      </w:pPr>
      <w:r>
        <w:t>Sun, S., Yu, Y., Jo, Y., Han, J. H., Xue, Y., Cho, M., Bae, S.-J., Ryu, D., Park, W., Ha, K.-T., &amp; Zhuang, S. (2025). Impact of extraction techniques on phytochemical composition and bioactivity of natural product mixtures. Frontiers in Pharmacology, 16, 1615338. https://doi.org/10.3389/fphar.2025.1615338</w:t>
      </w:r>
    </w:p>
    <w:p w14:paraId="1BDC2DB2" w14:textId="77777777" w:rsidR="0017338D" w:rsidRDefault="00000000" w:rsidP="006B45FA">
      <w:pPr>
        <w:spacing w:after="60" w:line="360" w:lineRule="auto"/>
        <w:ind w:left="360" w:hanging="360"/>
        <w:jc w:val="both"/>
      </w:pPr>
      <w:proofErr w:type="spellStart"/>
      <w:r>
        <w:t>Suthamwong</w:t>
      </w:r>
      <w:proofErr w:type="spellEnd"/>
      <w:r>
        <w:t xml:space="preserve">, P., Minami, M., Okada, T., </w:t>
      </w:r>
      <w:proofErr w:type="spellStart"/>
      <w:r>
        <w:t>Shiwaku</w:t>
      </w:r>
      <w:proofErr w:type="spellEnd"/>
      <w:r>
        <w:t xml:space="preserve">, N., Uesugi, M., </w:t>
      </w:r>
      <w:proofErr w:type="spellStart"/>
      <w:r>
        <w:t>Yokode</w:t>
      </w:r>
      <w:proofErr w:type="spellEnd"/>
      <w:r>
        <w:t>, M., &amp; Kamei, K. (2020). Administration of mulberry leaves maintains pancreatic beta-cell mass in obese/type 2 diabetes mellitus mouse model. BMC Complementary Medicine and Therapies, 20(1), 136. https://doi.org/10.1186/s12906-020-02933-4</w:t>
      </w:r>
    </w:p>
    <w:p w14:paraId="68D1CCC5" w14:textId="77777777" w:rsidR="0017338D" w:rsidRDefault="00000000" w:rsidP="006B45FA">
      <w:pPr>
        <w:spacing w:after="60" w:line="360" w:lineRule="auto"/>
        <w:ind w:left="360" w:hanging="360"/>
        <w:jc w:val="both"/>
      </w:pPr>
      <w:r>
        <w:t>Taylor-Lapole, A. M., Cunny, H. C., &amp; Shockley, K. R. (2022). Statistical analysis of rodent body weight data is robust to departures from normality in historical National Toxicology Program studies dated 1980-2013. Journal of Young Investigators, 25(7), 1-12. https://doi.org/10.22186/jyi.25.5.1.1</w:t>
      </w:r>
    </w:p>
    <w:p w14:paraId="53A989DE" w14:textId="77777777" w:rsidR="0017338D" w:rsidRDefault="00000000" w:rsidP="006B45FA">
      <w:pPr>
        <w:spacing w:after="60" w:line="360" w:lineRule="auto"/>
        <w:ind w:left="360" w:hanging="360"/>
        <w:jc w:val="both"/>
      </w:pPr>
      <w:r>
        <w:lastRenderedPageBreak/>
        <w:t xml:space="preserve">Trimarco, V., Gallo, P., </w:t>
      </w:r>
      <w:proofErr w:type="spellStart"/>
      <w:r>
        <w:t>Ghazihosseini</w:t>
      </w:r>
      <w:proofErr w:type="spellEnd"/>
      <w:r>
        <w:t>, S., Izzo, A., Rozza, P. I., Spinelli, A., Cristiano, S., De Rosa, C., Rozza, F., &amp; Morisco, C. (2025). White mulberry plant extracts in cardiovascular prevention: An update. Nutrients, 17(14). https://doi.org/10.3390/nu17142262</w:t>
      </w:r>
    </w:p>
    <w:p w14:paraId="2A1ADD7F" w14:textId="77777777" w:rsidR="0017338D" w:rsidRDefault="00000000" w:rsidP="006B45FA">
      <w:pPr>
        <w:spacing w:after="60" w:line="360" w:lineRule="auto"/>
        <w:ind w:left="360" w:hanging="360"/>
        <w:jc w:val="both"/>
      </w:pPr>
      <w:r>
        <w:t>Zhang, Q.-W., Lin, L.-G., &amp; Ye, W.-C. (2018). Techniques for extraction and isolation of natural products: A comprehensive review. Chinese Medicine, 13, 20. https://doi.org/10.1186/s13020-018-0177-x</w:t>
      </w:r>
    </w:p>
    <w:p w14:paraId="63B00E6D" w14:textId="77777777" w:rsidR="0017338D" w:rsidRDefault="00000000" w:rsidP="006B45FA">
      <w:pPr>
        <w:spacing w:after="60" w:line="360" w:lineRule="auto"/>
        <w:ind w:left="360" w:hanging="360"/>
        <w:jc w:val="both"/>
      </w:pPr>
      <w:r>
        <w:t>Zhang, Y., Qi, Y., Huang, S., Jiang, X., Xiao, W., Wang, L., Liu, Z., &amp; Liu, S. (2022). Role of ER stress in xenobiotic-induced liver diseases and hepatotoxicity. Oxidative Medicine and Cellular Longevity, 2022, 4640161. https://doi.org/10.1155/2022/4640161</w:t>
      </w:r>
    </w:p>
    <w:p w14:paraId="0EB2FB42" w14:textId="77777777" w:rsidR="006B45FA" w:rsidRDefault="006B45FA">
      <w:pPr>
        <w:spacing w:after="120" w:line="360" w:lineRule="auto"/>
        <w:rPr>
          <w:b/>
        </w:rPr>
      </w:pPr>
    </w:p>
    <w:p w14:paraId="74265BC3" w14:textId="0319C54E" w:rsidR="0017338D" w:rsidRDefault="00000000" w:rsidP="006B45FA">
      <w:pPr>
        <w:spacing w:after="0" w:line="360" w:lineRule="auto"/>
      </w:pPr>
      <w:r>
        <w:rPr>
          <w:b/>
        </w:rPr>
        <w:t>TABLES</w:t>
      </w:r>
    </w:p>
    <w:p w14:paraId="7E9B44D1" w14:textId="77777777" w:rsidR="0017338D" w:rsidRDefault="00000000">
      <w:pPr>
        <w:spacing w:after="60" w:line="360" w:lineRule="auto"/>
      </w:pPr>
      <w:r>
        <w:t>Table 1. Hematological parameters in female and male rats after 28 days of treatment.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17338D" w14:paraId="3F6471EB" w14:textId="77777777" w:rsidTr="006B45FA">
        <w:trPr>
          <w:jc w:val="center"/>
        </w:trPr>
        <w:tc>
          <w:tcPr>
            <w:tcW w:w="1872" w:type="dxa"/>
            <w:vAlign w:val="center"/>
          </w:tcPr>
          <w:p w14:paraId="25AC053B" w14:textId="77777777" w:rsidR="0017338D" w:rsidRPr="006B45FA" w:rsidRDefault="00000000" w:rsidP="006B45FA">
            <w:pPr>
              <w:spacing w:after="0" w:line="240" w:lineRule="auto"/>
              <w:jc w:val="center"/>
              <w:rPr>
                <w:b/>
                <w:bCs/>
              </w:rPr>
            </w:pPr>
            <w:r w:rsidRPr="006B45FA">
              <w:rPr>
                <w:b/>
                <w:bCs/>
                <w:sz w:val="16"/>
              </w:rPr>
              <w:t>Sex</w:t>
            </w:r>
          </w:p>
        </w:tc>
        <w:tc>
          <w:tcPr>
            <w:tcW w:w="1872" w:type="dxa"/>
            <w:vAlign w:val="center"/>
          </w:tcPr>
          <w:p w14:paraId="53517349" w14:textId="77777777" w:rsidR="0017338D" w:rsidRPr="006B45FA" w:rsidRDefault="00000000" w:rsidP="006B45FA">
            <w:pPr>
              <w:spacing w:after="0" w:line="240" w:lineRule="auto"/>
              <w:jc w:val="center"/>
              <w:rPr>
                <w:b/>
                <w:bCs/>
              </w:rPr>
            </w:pPr>
            <w:r w:rsidRPr="006B45FA">
              <w:rPr>
                <w:b/>
                <w:bCs/>
                <w:sz w:val="16"/>
              </w:rPr>
              <w:t>Parameter</w:t>
            </w:r>
          </w:p>
        </w:tc>
        <w:tc>
          <w:tcPr>
            <w:tcW w:w="1872" w:type="dxa"/>
            <w:vAlign w:val="center"/>
          </w:tcPr>
          <w:p w14:paraId="76C0A2F7" w14:textId="77777777" w:rsidR="0017338D" w:rsidRPr="006B45FA" w:rsidRDefault="00000000" w:rsidP="006B45FA">
            <w:pPr>
              <w:spacing w:after="0" w:line="240" w:lineRule="auto"/>
              <w:jc w:val="center"/>
              <w:rPr>
                <w:b/>
                <w:bCs/>
              </w:rPr>
            </w:pPr>
            <w:r w:rsidRPr="006B45FA">
              <w:rPr>
                <w:b/>
                <w:bCs/>
                <w:sz w:val="16"/>
              </w:rPr>
              <w:t>Normal control</w:t>
            </w:r>
          </w:p>
        </w:tc>
        <w:tc>
          <w:tcPr>
            <w:tcW w:w="1872" w:type="dxa"/>
            <w:vAlign w:val="center"/>
          </w:tcPr>
          <w:p w14:paraId="5738C9B3" w14:textId="77777777" w:rsidR="0017338D" w:rsidRPr="006B45FA" w:rsidRDefault="00000000" w:rsidP="006B45FA">
            <w:pPr>
              <w:spacing w:after="0" w:line="240" w:lineRule="auto"/>
              <w:jc w:val="center"/>
              <w:rPr>
                <w:b/>
                <w:bCs/>
              </w:rPr>
            </w:pPr>
            <w:r w:rsidRPr="006B45FA">
              <w:rPr>
                <w:b/>
                <w:bCs/>
                <w:sz w:val="16"/>
              </w:rPr>
              <w:t>EEM 200 mg/kg BW</w:t>
            </w:r>
          </w:p>
        </w:tc>
        <w:tc>
          <w:tcPr>
            <w:tcW w:w="1872" w:type="dxa"/>
            <w:vAlign w:val="center"/>
          </w:tcPr>
          <w:p w14:paraId="389ECE7D" w14:textId="77777777" w:rsidR="0017338D" w:rsidRPr="006B45FA" w:rsidRDefault="00000000" w:rsidP="006B45FA">
            <w:pPr>
              <w:spacing w:after="0" w:line="240" w:lineRule="auto"/>
              <w:jc w:val="center"/>
              <w:rPr>
                <w:b/>
                <w:bCs/>
              </w:rPr>
            </w:pPr>
            <w:r w:rsidRPr="006B45FA">
              <w:rPr>
                <w:b/>
                <w:bCs/>
                <w:sz w:val="16"/>
              </w:rPr>
              <w:t>EEM 400 mg/kg BW</w:t>
            </w:r>
          </w:p>
        </w:tc>
      </w:tr>
      <w:tr w:rsidR="0017338D" w14:paraId="763C4F3D" w14:textId="77777777" w:rsidTr="006B45FA">
        <w:trPr>
          <w:jc w:val="center"/>
        </w:trPr>
        <w:tc>
          <w:tcPr>
            <w:tcW w:w="1872" w:type="dxa"/>
            <w:vAlign w:val="center"/>
          </w:tcPr>
          <w:p w14:paraId="0B731C6A" w14:textId="77777777" w:rsidR="0017338D" w:rsidRDefault="00000000">
            <w:pPr>
              <w:spacing w:after="0" w:line="240" w:lineRule="auto"/>
            </w:pPr>
            <w:r>
              <w:rPr>
                <w:sz w:val="16"/>
              </w:rPr>
              <w:t>Female</w:t>
            </w:r>
          </w:p>
        </w:tc>
        <w:tc>
          <w:tcPr>
            <w:tcW w:w="1872" w:type="dxa"/>
            <w:vAlign w:val="center"/>
          </w:tcPr>
          <w:p w14:paraId="5A15D264" w14:textId="77777777" w:rsidR="0017338D" w:rsidRDefault="00000000">
            <w:pPr>
              <w:spacing w:after="0" w:line="240" w:lineRule="auto"/>
            </w:pPr>
            <w:r>
              <w:rPr>
                <w:sz w:val="16"/>
              </w:rPr>
              <w:t>Erythrocytes (10^6/µL)</w:t>
            </w:r>
          </w:p>
        </w:tc>
        <w:tc>
          <w:tcPr>
            <w:tcW w:w="1872" w:type="dxa"/>
            <w:vAlign w:val="center"/>
          </w:tcPr>
          <w:p w14:paraId="123535E6" w14:textId="77777777" w:rsidR="0017338D" w:rsidRDefault="00000000">
            <w:pPr>
              <w:spacing w:after="0" w:line="240" w:lineRule="auto"/>
            </w:pPr>
            <w:r>
              <w:rPr>
                <w:sz w:val="16"/>
              </w:rPr>
              <w:t>6.75 ± 0.31</w:t>
            </w:r>
          </w:p>
        </w:tc>
        <w:tc>
          <w:tcPr>
            <w:tcW w:w="1872" w:type="dxa"/>
            <w:vAlign w:val="center"/>
          </w:tcPr>
          <w:p w14:paraId="1E617DCA" w14:textId="77777777" w:rsidR="0017338D" w:rsidRDefault="00000000">
            <w:pPr>
              <w:spacing w:after="0" w:line="240" w:lineRule="auto"/>
            </w:pPr>
            <w:r>
              <w:rPr>
                <w:sz w:val="16"/>
              </w:rPr>
              <w:t>7.32 ± 0.40</w:t>
            </w:r>
          </w:p>
        </w:tc>
        <w:tc>
          <w:tcPr>
            <w:tcW w:w="1872" w:type="dxa"/>
            <w:vAlign w:val="center"/>
          </w:tcPr>
          <w:p w14:paraId="1D2381EE" w14:textId="77777777" w:rsidR="0017338D" w:rsidRDefault="00000000">
            <w:pPr>
              <w:spacing w:after="0" w:line="240" w:lineRule="auto"/>
            </w:pPr>
            <w:r>
              <w:rPr>
                <w:sz w:val="16"/>
              </w:rPr>
              <w:t>7.37 ± 0.54</w:t>
            </w:r>
          </w:p>
        </w:tc>
      </w:tr>
      <w:tr w:rsidR="0017338D" w14:paraId="08883A1F" w14:textId="77777777" w:rsidTr="006B45FA">
        <w:trPr>
          <w:jc w:val="center"/>
        </w:trPr>
        <w:tc>
          <w:tcPr>
            <w:tcW w:w="1872" w:type="dxa"/>
            <w:vAlign w:val="center"/>
          </w:tcPr>
          <w:p w14:paraId="02B8D7D1" w14:textId="77777777" w:rsidR="0017338D" w:rsidRDefault="00000000">
            <w:pPr>
              <w:spacing w:after="0" w:line="240" w:lineRule="auto"/>
            </w:pPr>
            <w:r>
              <w:rPr>
                <w:sz w:val="16"/>
              </w:rPr>
              <w:t>Female</w:t>
            </w:r>
          </w:p>
        </w:tc>
        <w:tc>
          <w:tcPr>
            <w:tcW w:w="1872" w:type="dxa"/>
            <w:vAlign w:val="center"/>
          </w:tcPr>
          <w:p w14:paraId="083C1BC2" w14:textId="77777777" w:rsidR="0017338D" w:rsidRDefault="00000000">
            <w:pPr>
              <w:spacing w:after="0" w:line="240" w:lineRule="auto"/>
            </w:pPr>
            <w:r>
              <w:rPr>
                <w:sz w:val="16"/>
              </w:rPr>
              <w:t>Hemoglobin (g/dL)</w:t>
            </w:r>
          </w:p>
        </w:tc>
        <w:tc>
          <w:tcPr>
            <w:tcW w:w="1872" w:type="dxa"/>
            <w:vAlign w:val="center"/>
          </w:tcPr>
          <w:p w14:paraId="0501A91D" w14:textId="77777777" w:rsidR="0017338D" w:rsidRDefault="00000000">
            <w:pPr>
              <w:spacing w:after="0" w:line="240" w:lineRule="auto"/>
            </w:pPr>
            <w:r>
              <w:rPr>
                <w:sz w:val="16"/>
              </w:rPr>
              <w:t>16.32 ± 0.90 (a)</w:t>
            </w:r>
          </w:p>
        </w:tc>
        <w:tc>
          <w:tcPr>
            <w:tcW w:w="1872" w:type="dxa"/>
            <w:vAlign w:val="center"/>
          </w:tcPr>
          <w:p w14:paraId="2BC17A85" w14:textId="77777777" w:rsidR="0017338D" w:rsidRDefault="00000000">
            <w:pPr>
              <w:spacing w:after="0" w:line="240" w:lineRule="auto"/>
            </w:pPr>
            <w:r>
              <w:rPr>
                <w:sz w:val="16"/>
              </w:rPr>
              <w:t>17.80 ± 0.82 (b)</w:t>
            </w:r>
          </w:p>
        </w:tc>
        <w:tc>
          <w:tcPr>
            <w:tcW w:w="1872" w:type="dxa"/>
            <w:vAlign w:val="center"/>
          </w:tcPr>
          <w:p w14:paraId="3886055B" w14:textId="77777777" w:rsidR="0017338D" w:rsidRDefault="00000000">
            <w:pPr>
              <w:spacing w:after="0" w:line="240" w:lineRule="auto"/>
            </w:pPr>
            <w:r>
              <w:rPr>
                <w:sz w:val="16"/>
              </w:rPr>
              <w:t>17.06 ± 0.61 (</w:t>
            </w:r>
            <w:proofErr w:type="spellStart"/>
            <w:proofErr w:type="gramStart"/>
            <w:r>
              <w:rPr>
                <w:sz w:val="16"/>
              </w:rPr>
              <w:t>a,b</w:t>
            </w:r>
            <w:proofErr w:type="spellEnd"/>
            <w:proofErr w:type="gramEnd"/>
            <w:r>
              <w:rPr>
                <w:sz w:val="16"/>
              </w:rPr>
              <w:t>)</w:t>
            </w:r>
          </w:p>
        </w:tc>
      </w:tr>
      <w:tr w:rsidR="0017338D" w14:paraId="16D1AB23" w14:textId="77777777" w:rsidTr="006B45FA">
        <w:trPr>
          <w:jc w:val="center"/>
        </w:trPr>
        <w:tc>
          <w:tcPr>
            <w:tcW w:w="1872" w:type="dxa"/>
            <w:vAlign w:val="center"/>
          </w:tcPr>
          <w:p w14:paraId="6D2A645E" w14:textId="77777777" w:rsidR="0017338D" w:rsidRDefault="00000000">
            <w:pPr>
              <w:spacing w:after="0" w:line="240" w:lineRule="auto"/>
            </w:pPr>
            <w:r>
              <w:rPr>
                <w:sz w:val="16"/>
              </w:rPr>
              <w:t>Female</w:t>
            </w:r>
          </w:p>
        </w:tc>
        <w:tc>
          <w:tcPr>
            <w:tcW w:w="1872" w:type="dxa"/>
            <w:vAlign w:val="center"/>
          </w:tcPr>
          <w:p w14:paraId="0E595154" w14:textId="77777777" w:rsidR="0017338D" w:rsidRDefault="00000000">
            <w:pPr>
              <w:spacing w:after="0" w:line="240" w:lineRule="auto"/>
            </w:pPr>
            <w:r>
              <w:rPr>
                <w:sz w:val="16"/>
              </w:rPr>
              <w:t>Hematocrit (%)</w:t>
            </w:r>
          </w:p>
        </w:tc>
        <w:tc>
          <w:tcPr>
            <w:tcW w:w="1872" w:type="dxa"/>
            <w:vAlign w:val="center"/>
          </w:tcPr>
          <w:p w14:paraId="1391BBA4" w14:textId="77777777" w:rsidR="0017338D" w:rsidRDefault="00000000">
            <w:pPr>
              <w:spacing w:after="0" w:line="240" w:lineRule="auto"/>
            </w:pPr>
            <w:r>
              <w:rPr>
                <w:sz w:val="16"/>
              </w:rPr>
              <w:t>41.08 ± 1.14 (a)</w:t>
            </w:r>
          </w:p>
        </w:tc>
        <w:tc>
          <w:tcPr>
            <w:tcW w:w="1872" w:type="dxa"/>
            <w:vAlign w:val="center"/>
          </w:tcPr>
          <w:p w14:paraId="58D837ED" w14:textId="77777777" w:rsidR="0017338D" w:rsidRDefault="00000000">
            <w:pPr>
              <w:spacing w:after="0" w:line="240" w:lineRule="auto"/>
            </w:pPr>
            <w:r>
              <w:rPr>
                <w:sz w:val="16"/>
              </w:rPr>
              <w:t>44.58 ± 1.93 (b)</w:t>
            </w:r>
          </w:p>
        </w:tc>
        <w:tc>
          <w:tcPr>
            <w:tcW w:w="1872" w:type="dxa"/>
            <w:vAlign w:val="center"/>
          </w:tcPr>
          <w:p w14:paraId="79E66585" w14:textId="77777777" w:rsidR="0017338D" w:rsidRDefault="00000000">
            <w:pPr>
              <w:spacing w:after="0" w:line="240" w:lineRule="auto"/>
            </w:pPr>
            <w:r>
              <w:rPr>
                <w:sz w:val="16"/>
              </w:rPr>
              <w:t>44.34 ± 2.49 (b)</w:t>
            </w:r>
          </w:p>
        </w:tc>
      </w:tr>
      <w:tr w:rsidR="0017338D" w14:paraId="2A5D89FD" w14:textId="77777777" w:rsidTr="006B45FA">
        <w:trPr>
          <w:jc w:val="center"/>
        </w:trPr>
        <w:tc>
          <w:tcPr>
            <w:tcW w:w="1872" w:type="dxa"/>
            <w:vAlign w:val="center"/>
          </w:tcPr>
          <w:p w14:paraId="049F0F19" w14:textId="77777777" w:rsidR="0017338D" w:rsidRDefault="00000000">
            <w:pPr>
              <w:spacing w:after="0" w:line="240" w:lineRule="auto"/>
            </w:pPr>
            <w:r>
              <w:rPr>
                <w:sz w:val="16"/>
              </w:rPr>
              <w:t>Female</w:t>
            </w:r>
          </w:p>
        </w:tc>
        <w:tc>
          <w:tcPr>
            <w:tcW w:w="1872" w:type="dxa"/>
            <w:vAlign w:val="center"/>
          </w:tcPr>
          <w:p w14:paraId="6512DA18" w14:textId="77777777" w:rsidR="0017338D" w:rsidRDefault="00000000">
            <w:pPr>
              <w:spacing w:after="0" w:line="240" w:lineRule="auto"/>
            </w:pPr>
            <w:r>
              <w:rPr>
                <w:sz w:val="16"/>
              </w:rPr>
              <w:t>MCV (</w:t>
            </w:r>
            <w:proofErr w:type="spellStart"/>
            <w:r>
              <w:rPr>
                <w:sz w:val="16"/>
              </w:rPr>
              <w:t>fL</w:t>
            </w:r>
            <w:proofErr w:type="spellEnd"/>
            <w:r>
              <w:rPr>
                <w:sz w:val="16"/>
              </w:rPr>
              <w:t>)</w:t>
            </w:r>
          </w:p>
        </w:tc>
        <w:tc>
          <w:tcPr>
            <w:tcW w:w="1872" w:type="dxa"/>
            <w:vAlign w:val="center"/>
          </w:tcPr>
          <w:p w14:paraId="1F45A469" w14:textId="77777777" w:rsidR="0017338D" w:rsidRDefault="00000000">
            <w:pPr>
              <w:spacing w:after="0" w:line="240" w:lineRule="auto"/>
            </w:pPr>
            <w:r>
              <w:rPr>
                <w:sz w:val="16"/>
              </w:rPr>
              <w:t>60.88 ± 1.54</w:t>
            </w:r>
          </w:p>
        </w:tc>
        <w:tc>
          <w:tcPr>
            <w:tcW w:w="1872" w:type="dxa"/>
            <w:vAlign w:val="center"/>
          </w:tcPr>
          <w:p w14:paraId="4DC113E1" w14:textId="77777777" w:rsidR="0017338D" w:rsidRDefault="00000000">
            <w:pPr>
              <w:spacing w:after="0" w:line="240" w:lineRule="auto"/>
            </w:pPr>
            <w:r>
              <w:rPr>
                <w:sz w:val="16"/>
              </w:rPr>
              <w:t>60.92 ± 1.42</w:t>
            </w:r>
          </w:p>
        </w:tc>
        <w:tc>
          <w:tcPr>
            <w:tcW w:w="1872" w:type="dxa"/>
            <w:vAlign w:val="center"/>
          </w:tcPr>
          <w:p w14:paraId="03248060" w14:textId="77777777" w:rsidR="0017338D" w:rsidRDefault="00000000">
            <w:pPr>
              <w:spacing w:after="0" w:line="240" w:lineRule="auto"/>
            </w:pPr>
            <w:r>
              <w:rPr>
                <w:sz w:val="16"/>
              </w:rPr>
              <w:t>60.20 ± 2.17</w:t>
            </w:r>
          </w:p>
        </w:tc>
      </w:tr>
      <w:tr w:rsidR="0017338D" w14:paraId="4C6443D5" w14:textId="77777777" w:rsidTr="006B45FA">
        <w:trPr>
          <w:jc w:val="center"/>
        </w:trPr>
        <w:tc>
          <w:tcPr>
            <w:tcW w:w="1872" w:type="dxa"/>
            <w:vAlign w:val="center"/>
          </w:tcPr>
          <w:p w14:paraId="618381B5" w14:textId="77777777" w:rsidR="0017338D" w:rsidRDefault="00000000">
            <w:pPr>
              <w:spacing w:after="0" w:line="240" w:lineRule="auto"/>
            </w:pPr>
            <w:r>
              <w:rPr>
                <w:sz w:val="16"/>
              </w:rPr>
              <w:t>Female</w:t>
            </w:r>
          </w:p>
        </w:tc>
        <w:tc>
          <w:tcPr>
            <w:tcW w:w="1872" w:type="dxa"/>
            <w:vAlign w:val="center"/>
          </w:tcPr>
          <w:p w14:paraId="0D13E296" w14:textId="77777777" w:rsidR="0017338D" w:rsidRDefault="00000000">
            <w:pPr>
              <w:spacing w:after="0" w:line="240" w:lineRule="auto"/>
            </w:pPr>
            <w:r>
              <w:rPr>
                <w:sz w:val="16"/>
              </w:rPr>
              <w:t>MCH (</w:t>
            </w:r>
            <w:proofErr w:type="spellStart"/>
            <w:r>
              <w:rPr>
                <w:sz w:val="16"/>
              </w:rPr>
              <w:t>pg</w:t>
            </w:r>
            <w:proofErr w:type="spellEnd"/>
            <w:r>
              <w:rPr>
                <w:sz w:val="16"/>
              </w:rPr>
              <w:t>)</w:t>
            </w:r>
          </w:p>
        </w:tc>
        <w:tc>
          <w:tcPr>
            <w:tcW w:w="1872" w:type="dxa"/>
            <w:vAlign w:val="center"/>
          </w:tcPr>
          <w:p w14:paraId="4EE84233" w14:textId="77777777" w:rsidR="0017338D" w:rsidRDefault="00000000">
            <w:pPr>
              <w:spacing w:after="0" w:line="240" w:lineRule="auto"/>
            </w:pPr>
            <w:r>
              <w:rPr>
                <w:sz w:val="16"/>
              </w:rPr>
              <w:t>24.18 ± 0.49</w:t>
            </w:r>
          </w:p>
        </w:tc>
        <w:tc>
          <w:tcPr>
            <w:tcW w:w="1872" w:type="dxa"/>
            <w:vAlign w:val="center"/>
          </w:tcPr>
          <w:p w14:paraId="3F4070B9" w14:textId="77777777" w:rsidR="0017338D" w:rsidRDefault="00000000">
            <w:pPr>
              <w:spacing w:after="0" w:line="240" w:lineRule="auto"/>
            </w:pPr>
            <w:r>
              <w:rPr>
                <w:sz w:val="16"/>
              </w:rPr>
              <w:t>24.32 ± 1.45</w:t>
            </w:r>
          </w:p>
        </w:tc>
        <w:tc>
          <w:tcPr>
            <w:tcW w:w="1872" w:type="dxa"/>
            <w:vAlign w:val="center"/>
          </w:tcPr>
          <w:p w14:paraId="26314D03" w14:textId="77777777" w:rsidR="0017338D" w:rsidRDefault="00000000">
            <w:pPr>
              <w:spacing w:after="0" w:line="240" w:lineRule="auto"/>
            </w:pPr>
            <w:r>
              <w:rPr>
                <w:sz w:val="16"/>
              </w:rPr>
              <w:t>23.24 ± 1.28</w:t>
            </w:r>
          </w:p>
        </w:tc>
      </w:tr>
      <w:tr w:rsidR="0017338D" w14:paraId="20D0382A" w14:textId="77777777" w:rsidTr="006B45FA">
        <w:trPr>
          <w:jc w:val="center"/>
        </w:trPr>
        <w:tc>
          <w:tcPr>
            <w:tcW w:w="1872" w:type="dxa"/>
            <w:vAlign w:val="center"/>
          </w:tcPr>
          <w:p w14:paraId="3D8B10C1" w14:textId="77777777" w:rsidR="0017338D" w:rsidRDefault="00000000">
            <w:pPr>
              <w:spacing w:after="0" w:line="240" w:lineRule="auto"/>
            </w:pPr>
            <w:r>
              <w:rPr>
                <w:sz w:val="16"/>
              </w:rPr>
              <w:t>Female</w:t>
            </w:r>
          </w:p>
        </w:tc>
        <w:tc>
          <w:tcPr>
            <w:tcW w:w="1872" w:type="dxa"/>
            <w:vAlign w:val="center"/>
          </w:tcPr>
          <w:p w14:paraId="1B0E95CE" w14:textId="77777777" w:rsidR="0017338D" w:rsidRDefault="00000000">
            <w:pPr>
              <w:spacing w:after="0" w:line="240" w:lineRule="auto"/>
            </w:pPr>
            <w:r>
              <w:rPr>
                <w:sz w:val="16"/>
              </w:rPr>
              <w:t>MCHC (g/dL)</w:t>
            </w:r>
          </w:p>
        </w:tc>
        <w:tc>
          <w:tcPr>
            <w:tcW w:w="1872" w:type="dxa"/>
            <w:vAlign w:val="center"/>
          </w:tcPr>
          <w:p w14:paraId="1995C393" w14:textId="77777777" w:rsidR="0017338D" w:rsidRDefault="00000000">
            <w:pPr>
              <w:spacing w:after="0" w:line="240" w:lineRule="auto"/>
            </w:pPr>
            <w:r>
              <w:rPr>
                <w:sz w:val="16"/>
              </w:rPr>
              <w:t>39.72 ± 1.39</w:t>
            </w:r>
          </w:p>
        </w:tc>
        <w:tc>
          <w:tcPr>
            <w:tcW w:w="1872" w:type="dxa"/>
            <w:vAlign w:val="center"/>
          </w:tcPr>
          <w:p w14:paraId="217C99AC" w14:textId="77777777" w:rsidR="0017338D" w:rsidRDefault="00000000">
            <w:pPr>
              <w:spacing w:after="0" w:line="240" w:lineRule="auto"/>
            </w:pPr>
            <w:r>
              <w:rPr>
                <w:sz w:val="16"/>
              </w:rPr>
              <w:t>39.94 ± 1.87</w:t>
            </w:r>
          </w:p>
        </w:tc>
        <w:tc>
          <w:tcPr>
            <w:tcW w:w="1872" w:type="dxa"/>
            <w:vAlign w:val="center"/>
          </w:tcPr>
          <w:p w14:paraId="442028F6" w14:textId="77777777" w:rsidR="0017338D" w:rsidRDefault="00000000">
            <w:pPr>
              <w:spacing w:after="0" w:line="240" w:lineRule="auto"/>
            </w:pPr>
            <w:r>
              <w:rPr>
                <w:sz w:val="16"/>
              </w:rPr>
              <w:t>38.52 ± 1.03</w:t>
            </w:r>
          </w:p>
        </w:tc>
      </w:tr>
      <w:tr w:rsidR="0017338D" w14:paraId="77BB061A" w14:textId="77777777" w:rsidTr="006B45FA">
        <w:trPr>
          <w:jc w:val="center"/>
        </w:trPr>
        <w:tc>
          <w:tcPr>
            <w:tcW w:w="1872" w:type="dxa"/>
            <w:vAlign w:val="center"/>
          </w:tcPr>
          <w:p w14:paraId="6F077214" w14:textId="77777777" w:rsidR="0017338D" w:rsidRDefault="00000000">
            <w:pPr>
              <w:spacing w:after="0" w:line="240" w:lineRule="auto"/>
            </w:pPr>
            <w:r>
              <w:rPr>
                <w:sz w:val="16"/>
              </w:rPr>
              <w:t>Female</w:t>
            </w:r>
          </w:p>
        </w:tc>
        <w:tc>
          <w:tcPr>
            <w:tcW w:w="1872" w:type="dxa"/>
            <w:vAlign w:val="center"/>
          </w:tcPr>
          <w:p w14:paraId="0BB06CC5" w14:textId="77777777" w:rsidR="0017338D" w:rsidRDefault="00000000">
            <w:pPr>
              <w:spacing w:after="0" w:line="240" w:lineRule="auto"/>
            </w:pPr>
            <w:r>
              <w:rPr>
                <w:sz w:val="16"/>
              </w:rPr>
              <w:t>RDW-CV (%)</w:t>
            </w:r>
          </w:p>
        </w:tc>
        <w:tc>
          <w:tcPr>
            <w:tcW w:w="1872" w:type="dxa"/>
            <w:vAlign w:val="center"/>
          </w:tcPr>
          <w:p w14:paraId="0A496CA7" w14:textId="77777777" w:rsidR="0017338D" w:rsidRDefault="00000000">
            <w:pPr>
              <w:spacing w:after="0" w:line="240" w:lineRule="auto"/>
            </w:pPr>
            <w:r>
              <w:rPr>
                <w:sz w:val="16"/>
              </w:rPr>
              <w:t>17.08 ± 1.31</w:t>
            </w:r>
          </w:p>
        </w:tc>
        <w:tc>
          <w:tcPr>
            <w:tcW w:w="1872" w:type="dxa"/>
            <w:vAlign w:val="center"/>
          </w:tcPr>
          <w:p w14:paraId="3DDA0727" w14:textId="77777777" w:rsidR="0017338D" w:rsidRDefault="00000000">
            <w:pPr>
              <w:spacing w:after="0" w:line="240" w:lineRule="auto"/>
            </w:pPr>
            <w:r>
              <w:rPr>
                <w:sz w:val="16"/>
              </w:rPr>
              <w:t>15.00 ± 1.27</w:t>
            </w:r>
          </w:p>
        </w:tc>
        <w:tc>
          <w:tcPr>
            <w:tcW w:w="1872" w:type="dxa"/>
            <w:vAlign w:val="center"/>
          </w:tcPr>
          <w:p w14:paraId="70513DC1" w14:textId="77777777" w:rsidR="0017338D" w:rsidRDefault="00000000">
            <w:pPr>
              <w:spacing w:after="0" w:line="240" w:lineRule="auto"/>
            </w:pPr>
            <w:r>
              <w:rPr>
                <w:sz w:val="16"/>
              </w:rPr>
              <w:t>15.82 ± 1.04</w:t>
            </w:r>
          </w:p>
        </w:tc>
      </w:tr>
      <w:tr w:rsidR="0017338D" w14:paraId="6C64A147" w14:textId="77777777" w:rsidTr="006B45FA">
        <w:trPr>
          <w:jc w:val="center"/>
        </w:trPr>
        <w:tc>
          <w:tcPr>
            <w:tcW w:w="1872" w:type="dxa"/>
            <w:vAlign w:val="center"/>
          </w:tcPr>
          <w:p w14:paraId="5CE61059" w14:textId="77777777" w:rsidR="0017338D" w:rsidRDefault="00000000">
            <w:pPr>
              <w:spacing w:after="0" w:line="240" w:lineRule="auto"/>
            </w:pPr>
            <w:r>
              <w:rPr>
                <w:sz w:val="16"/>
              </w:rPr>
              <w:t>Female</w:t>
            </w:r>
          </w:p>
        </w:tc>
        <w:tc>
          <w:tcPr>
            <w:tcW w:w="1872" w:type="dxa"/>
            <w:vAlign w:val="center"/>
          </w:tcPr>
          <w:p w14:paraId="010E1EBF" w14:textId="77777777" w:rsidR="0017338D" w:rsidRDefault="00000000">
            <w:pPr>
              <w:spacing w:after="0" w:line="240" w:lineRule="auto"/>
            </w:pPr>
            <w:r>
              <w:rPr>
                <w:sz w:val="16"/>
              </w:rPr>
              <w:t>RDW-SD (</w:t>
            </w:r>
            <w:proofErr w:type="spellStart"/>
            <w:r>
              <w:rPr>
                <w:sz w:val="16"/>
              </w:rPr>
              <w:t>fL</w:t>
            </w:r>
            <w:proofErr w:type="spellEnd"/>
            <w:r>
              <w:rPr>
                <w:sz w:val="16"/>
              </w:rPr>
              <w:t>)</w:t>
            </w:r>
          </w:p>
        </w:tc>
        <w:tc>
          <w:tcPr>
            <w:tcW w:w="1872" w:type="dxa"/>
            <w:vAlign w:val="center"/>
          </w:tcPr>
          <w:p w14:paraId="15BE34E5" w14:textId="77777777" w:rsidR="0017338D" w:rsidRDefault="00000000">
            <w:pPr>
              <w:spacing w:after="0" w:line="240" w:lineRule="auto"/>
            </w:pPr>
            <w:r>
              <w:rPr>
                <w:sz w:val="16"/>
              </w:rPr>
              <w:t>35.06 ± 2.60 (a)</w:t>
            </w:r>
          </w:p>
        </w:tc>
        <w:tc>
          <w:tcPr>
            <w:tcW w:w="1872" w:type="dxa"/>
            <w:vAlign w:val="center"/>
          </w:tcPr>
          <w:p w14:paraId="3CFFEED0" w14:textId="77777777" w:rsidR="0017338D" w:rsidRDefault="00000000">
            <w:pPr>
              <w:spacing w:after="0" w:line="240" w:lineRule="auto"/>
            </w:pPr>
            <w:r>
              <w:rPr>
                <w:sz w:val="16"/>
              </w:rPr>
              <w:t>30.80 ± 2.14 (b)</w:t>
            </w:r>
          </w:p>
        </w:tc>
        <w:tc>
          <w:tcPr>
            <w:tcW w:w="1872" w:type="dxa"/>
            <w:vAlign w:val="center"/>
          </w:tcPr>
          <w:p w14:paraId="41797AB1" w14:textId="77777777" w:rsidR="0017338D" w:rsidRDefault="00000000">
            <w:pPr>
              <w:spacing w:after="0" w:line="240" w:lineRule="auto"/>
            </w:pPr>
            <w:r>
              <w:rPr>
                <w:sz w:val="16"/>
              </w:rPr>
              <w:t>31.94 ± 2.35 (</w:t>
            </w:r>
            <w:proofErr w:type="spellStart"/>
            <w:proofErr w:type="gramStart"/>
            <w:r>
              <w:rPr>
                <w:sz w:val="16"/>
              </w:rPr>
              <w:t>a,b</w:t>
            </w:r>
            <w:proofErr w:type="spellEnd"/>
            <w:proofErr w:type="gramEnd"/>
            <w:r>
              <w:rPr>
                <w:sz w:val="16"/>
              </w:rPr>
              <w:t>)</w:t>
            </w:r>
          </w:p>
        </w:tc>
      </w:tr>
      <w:tr w:rsidR="0017338D" w14:paraId="1A105C79" w14:textId="77777777" w:rsidTr="006B45FA">
        <w:trPr>
          <w:jc w:val="center"/>
        </w:trPr>
        <w:tc>
          <w:tcPr>
            <w:tcW w:w="1872" w:type="dxa"/>
            <w:vAlign w:val="center"/>
          </w:tcPr>
          <w:p w14:paraId="6B8C1DD9" w14:textId="77777777" w:rsidR="0017338D" w:rsidRDefault="00000000">
            <w:pPr>
              <w:spacing w:after="0" w:line="240" w:lineRule="auto"/>
            </w:pPr>
            <w:r>
              <w:rPr>
                <w:sz w:val="16"/>
              </w:rPr>
              <w:t>Female</w:t>
            </w:r>
          </w:p>
        </w:tc>
        <w:tc>
          <w:tcPr>
            <w:tcW w:w="1872" w:type="dxa"/>
            <w:vAlign w:val="center"/>
          </w:tcPr>
          <w:p w14:paraId="7961EDD0" w14:textId="77777777" w:rsidR="0017338D" w:rsidRDefault="00000000">
            <w:pPr>
              <w:spacing w:after="0" w:line="240" w:lineRule="auto"/>
            </w:pPr>
            <w:r>
              <w:rPr>
                <w:sz w:val="16"/>
              </w:rPr>
              <w:t>Mentzer index</w:t>
            </w:r>
          </w:p>
        </w:tc>
        <w:tc>
          <w:tcPr>
            <w:tcW w:w="1872" w:type="dxa"/>
            <w:vAlign w:val="center"/>
          </w:tcPr>
          <w:p w14:paraId="3CED38A0" w14:textId="77777777" w:rsidR="0017338D" w:rsidRDefault="00000000">
            <w:pPr>
              <w:spacing w:after="0" w:line="240" w:lineRule="auto"/>
            </w:pPr>
            <w:r>
              <w:rPr>
                <w:sz w:val="16"/>
              </w:rPr>
              <w:t>9.04 ± 0.62</w:t>
            </w:r>
          </w:p>
        </w:tc>
        <w:tc>
          <w:tcPr>
            <w:tcW w:w="1872" w:type="dxa"/>
            <w:vAlign w:val="center"/>
          </w:tcPr>
          <w:p w14:paraId="73A239E6" w14:textId="77777777" w:rsidR="0017338D" w:rsidRDefault="00000000">
            <w:pPr>
              <w:spacing w:after="0" w:line="240" w:lineRule="auto"/>
            </w:pPr>
            <w:r>
              <w:rPr>
                <w:sz w:val="16"/>
              </w:rPr>
              <w:t>8.35 ± 0.62</w:t>
            </w:r>
          </w:p>
        </w:tc>
        <w:tc>
          <w:tcPr>
            <w:tcW w:w="1872" w:type="dxa"/>
            <w:vAlign w:val="center"/>
          </w:tcPr>
          <w:p w14:paraId="31941C59" w14:textId="77777777" w:rsidR="0017338D" w:rsidRDefault="00000000">
            <w:pPr>
              <w:spacing w:after="0" w:line="240" w:lineRule="auto"/>
            </w:pPr>
            <w:r>
              <w:rPr>
                <w:sz w:val="16"/>
              </w:rPr>
              <w:t>8.21 ± 0.83</w:t>
            </w:r>
          </w:p>
        </w:tc>
      </w:tr>
      <w:tr w:rsidR="0017338D" w14:paraId="4994126E" w14:textId="77777777" w:rsidTr="006B45FA">
        <w:trPr>
          <w:jc w:val="center"/>
        </w:trPr>
        <w:tc>
          <w:tcPr>
            <w:tcW w:w="1872" w:type="dxa"/>
            <w:vAlign w:val="center"/>
          </w:tcPr>
          <w:p w14:paraId="00B85525" w14:textId="77777777" w:rsidR="0017338D" w:rsidRDefault="00000000">
            <w:pPr>
              <w:spacing w:after="0" w:line="240" w:lineRule="auto"/>
            </w:pPr>
            <w:r>
              <w:rPr>
                <w:sz w:val="16"/>
              </w:rPr>
              <w:t>Female</w:t>
            </w:r>
          </w:p>
        </w:tc>
        <w:tc>
          <w:tcPr>
            <w:tcW w:w="1872" w:type="dxa"/>
            <w:vAlign w:val="center"/>
          </w:tcPr>
          <w:p w14:paraId="3AA70EFC" w14:textId="77777777" w:rsidR="0017338D" w:rsidRDefault="00000000">
            <w:pPr>
              <w:spacing w:after="0" w:line="240" w:lineRule="auto"/>
            </w:pPr>
            <w:r>
              <w:rPr>
                <w:sz w:val="16"/>
              </w:rPr>
              <w:t>RDWI</w:t>
            </w:r>
          </w:p>
        </w:tc>
        <w:tc>
          <w:tcPr>
            <w:tcW w:w="1872" w:type="dxa"/>
            <w:vAlign w:val="center"/>
          </w:tcPr>
          <w:p w14:paraId="35F6A946" w14:textId="77777777" w:rsidR="0017338D" w:rsidRDefault="00000000">
            <w:pPr>
              <w:spacing w:after="0" w:line="240" w:lineRule="auto"/>
            </w:pPr>
            <w:r>
              <w:rPr>
                <w:sz w:val="16"/>
              </w:rPr>
              <w:t>154.51 ± 14.58 (a)</w:t>
            </w:r>
          </w:p>
        </w:tc>
        <w:tc>
          <w:tcPr>
            <w:tcW w:w="1872" w:type="dxa"/>
            <w:vAlign w:val="center"/>
          </w:tcPr>
          <w:p w14:paraId="52C8AB8F" w14:textId="77777777" w:rsidR="0017338D" w:rsidRDefault="00000000">
            <w:pPr>
              <w:spacing w:after="0" w:line="240" w:lineRule="auto"/>
            </w:pPr>
            <w:r>
              <w:rPr>
                <w:sz w:val="16"/>
              </w:rPr>
              <w:t>125.17 ± 11.76 (b)</w:t>
            </w:r>
          </w:p>
        </w:tc>
        <w:tc>
          <w:tcPr>
            <w:tcW w:w="1872" w:type="dxa"/>
            <w:vAlign w:val="center"/>
          </w:tcPr>
          <w:p w14:paraId="776A7193" w14:textId="77777777" w:rsidR="0017338D" w:rsidRDefault="00000000">
            <w:pPr>
              <w:spacing w:after="0" w:line="240" w:lineRule="auto"/>
            </w:pPr>
            <w:r>
              <w:rPr>
                <w:sz w:val="16"/>
              </w:rPr>
              <w:t>130.21 ± 16.51 (b)</w:t>
            </w:r>
          </w:p>
        </w:tc>
      </w:tr>
      <w:tr w:rsidR="0017338D" w14:paraId="0400BCCB" w14:textId="77777777" w:rsidTr="006B45FA">
        <w:trPr>
          <w:jc w:val="center"/>
        </w:trPr>
        <w:tc>
          <w:tcPr>
            <w:tcW w:w="1872" w:type="dxa"/>
            <w:vAlign w:val="center"/>
          </w:tcPr>
          <w:p w14:paraId="5093F3E1" w14:textId="77777777" w:rsidR="0017338D" w:rsidRDefault="00000000">
            <w:pPr>
              <w:spacing w:after="0" w:line="240" w:lineRule="auto"/>
            </w:pPr>
            <w:r>
              <w:rPr>
                <w:sz w:val="16"/>
              </w:rPr>
              <w:t>Female</w:t>
            </w:r>
          </w:p>
        </w:tc>
        <w:tc>
          <w:tcPr>
            <w:tcW w:w="1872" w:type="dxa"/>
            <w:vAlign w:val="center"/>
          </w:tcPr>
          <w:p w14:paraId="56FFEA7C" w14:textId="77777777" w:rsidR="0017338D" w:rsidRDefault="00000000">
            <w:pPr>
              <w:spacing w:after="0" w:line="240" w:lineRule="auto"/>
            </w:pPr>
            <w:r>
              <w:rPr>
                <w:sz w:val="16"/>
              </w:rPr>
              <w:t>WBC (10^3/µL)</w:t>
            </w:r>
          </w:p>
        </w:tc>
        <w:tc>
          <w:tcPr>
            <w:tcW w:w="1872" w:type="dxa"/>
            <w:vAlign w:val="center"/>
          </w:tcPr>
          <w:p w14:paraId="32D37888" w14:textId="77777777" w:rsidR="0017338D" w:rsidRDefault="00000000">
            <w:pPr>
              <w:spacing w:after="0" w:line="240" w:lineRule="auto"/>
            </w:pPr>
            <w:r>
              <w:rPr>
                <w:sz w:val="16"/>
              </w:rPr>
              <w:t>21.52 ± 3.17 (a)</w:t>
            </w:r>
          </w:p>
        </w:tc>
        <w:tc>
          <w:tcPr>
            <w:tcW w:w="1872" w:type="dxa"/>
            <w:vAlign w:val="center"/>
          </w:tcPr>
          <w:p w14:paraId="75C3B8F1" w14:textId="77777777" w:rsidR="0017338D" w:rsidRDefault="00000000">
            <w:pPr>
              <w:spacing w:after="0" w:line="240" w:lineRule="auto"/>
            </w:pPr>
            <w:r>
              <w:rPr>
                <w:sz w:val="16"/>
              </w:rPr>
              <w:t>14.54 ± 2.15 (b)</w:t>
            </w:r>
          </w:p>
        </w:tc>
        <w:tc>
          <w:tcPr>
            <w:tcW w:w="1872" w:type="dxa"/>
            <w:vAlign w:val="center"/>
          </w:tcPr>
          <w:p w14:paraId="709AF6F3" w14:textId="77777777" w:rsidR="0017338D" w:rsidRDefault="00000000">
            <w:pPr>
              <w:spacing w:after="0" w:line="240" w:lineRule="auto"/>
            </w:pPr>
            <w:r>
              <w:rPr>
                <w:sz w:val="16"/>
              </w:rPr>
              <w:t>15.13 ± 5.90 (b)</w:t>
            </w:r>
          </w:p>
        </w:tc>
      </w:tr>
      <w:tr w:rsidR="0017338D" w14:paraId="2672B712" w14:textId="77777777" w:rsidTr="006B45FA">
        <w:trPr>
          <w:jc w:val="center"/>
        </w:trPr>
        <w:tc>
          <w:tcPr>
            <w:tcW w:w="1872" w:type="dxa"/>
            <w:vAlign w:val="center"/>
          </w:tcPr>
          <w:p w14:paraId="2B577C9B" w14:textId="77777777" w:rsidR="0017338D" w:rsidRDefault="00000000">
            <w:pPr>
              <w:spacing w:after="0" w:line="240" w:lineRule="auto"/>
            </w:pPr>
            <w:r>
              <w:rPr>
                <w:sz w:val="16"/>
              </w:rPr>
              <w:t>Female</w:t>
            </w:r>
          </w:p>
        </w:tc>
        <w:tc>
          <w:tcPr>
            <w:tcW w:w="1872" w:type="dxa"/>
            <w:vAlign w:val="center"/>
          </w:tcPr>
          <w:p w14:paraId="56541D60" w14:textId="77777777" w:rsidR="0017338D" w:rsidRDefault="00000000">
            <w:pPr>
              <w:spacing w:after="0" w:line="240" w:lineRule="auto"/>
            </w:pPr>
            <w:r>
              <w:rPr>
                <w:sz w:val="16"/>
              </w:rPr>
              <w:t>Lym (%)</w:t>
            </w:r>
          </w:p>
        </w:tc>
        <w:tc>
          <w:tcPr>
            <w:tcW w:w="1872" w:type="dxa"/>
            <w:vAlign w:val="center"/>
          </w:tcPr>
          <w:p w14:paraId="73F7C842" w14:textId="77777777" w:rsidR="0017338D" w:rsidRDefault="00000000">
            <w:pPr>
              <w:spacing w:after="0" w:line="240" w:lineRule="auto"/>
            </w:pPr>
            <w:r>
              <w:rPr>
                <w:sz w:val="16"/>
              </w:rPr>
              <w:t>94.76 ± 1.67</w:t>
            </w:r>
          </w:p>
        </w:tc>
        <w:tc>
          <w:tcPr>
            <w:tcW w:w="1872" w:type="dxa"/>
            <w:vAlign w:val="center"/>
          </w:tcPr>
          <w:p w14:paraId="03CA8AC2" w14:textId="77777777" w:rsidR="0017338D" w:rsidRDefault="00000000">
            <w:pPr>
              <w:spacing w:after="0" w:line="240" w:lineRule="auto"/>
            </w:pPr>
            <w:r>
              <w:rPr>
                <w:sz w:val="16"/>
              </w:rPr>
              <w:t>93.96 ± 4.25</w:t>
            </w:r>
          </w:p>
        </w:tc>
        <w:tc>
          <w:tcPr>
            <w:tcW w:w="1872" w:type="dxa"/>
            <w:vAlign w:val="center"/>
          </w:tcPr>
          <w:p w14:paraId="0C39F4D8" w14:textId="77777777" w:rsidR="0017338D" w:rsidRDefault="00000000">
            <w:pPr>
              <w:spacing w:after="0" w:line="240" w:lineRule="auto"/>
            </w:pPr>
            <w:r>
              <w:rPr>
                <w:sz w:val="16"/>
              </w:rPr>
              <w:t>92.88 ± 2.54</w:t>
            </w:r>
          </w:p>
        </w:tc>
      </w:tr>
      <w:tr w:rsidR="0017338D" w14:paraId="35CCAF45" w14:textId="77777777" w:rsidTr="006B45FA">
        <w:trPr>
          <w:jc w:val="center"/>
        </w:trPr>
        <w:tc>
          <w:tcPr>
            <w:tcW w:w="1872" w:type="dxa"/>
            <w:vAlign w:val="center"/>
          </w:tcPr>
          <w:p w14:paraId="19E5F4A6" w14:textId="77777777" w:rsidR="0017338D" w:rsidRDefault="00000000">
            <w:pPr>
              <w:spacing w:after="0" w:line="240" w:lineRule="auto"/>
            </w:pPr>
            <w:r>
              <w:rPr>
                <w:sz w:val="16"/>
              </w:rPr>
              <w:t>Female</w:t>
            </w:r>
          </w:p>
        </w:tc>
        <w:tc>
          <w:tcPr>
            <w:tcW w:w="1872" w:type="dxa"/>
            <w:vAlign w:val="center"/>
          </w:tcPr>
          <w:p w14:paraId="25E7463E" w14:textId="77777777" w:rsidR="0017338D" w:rsidRDefault="00000000">
            <w:pPr>
              <w:spacing w:after="0" w:line="240" w:lineRule="auto"/>
            </w:pPr>
            <w:r>
              <w:rPr>
                <w:sz w:val="16"/>
              </w:rPr>
              <w:t>Gran (%)</w:t>
            </w:r>
          </w:p>
        </w:tc>
        <w:tc>
          <w:tcPr>
            <w:tcW w:w="1872" w:type="dxa"/>
            <w:vAlign w:val="center"/>
          </w:tcPr>
          <w:p w14:paraId="347E8C5F" w14:textId="77777777" w:rsidR="0017338D" w:rsidRDefault="00000000">
            <w:pPr>
              <w:spacing w:after="0" w:line="240" w:lineRule="auto"/>
            </w:pPr>
            <w:r>
              <w:rPr>
                <w:sz w:val="16"/>
              </w:rPr>
              <w:t>1.14 ± 0.42</w:t>
            </w:r>
          </w:p>
        </w:tc>
        <w:tc>
          <w:tcPr>
            <w:tcW w:w="1872" w:type="dxa"/>
            <w:vAlign w:val="center"/>
          </w:tcPr>
          <w:p w14:paraId="75DBD5CD" w14:textId="77777777" w:rsidR="0017338D" w:rsidRDefault="00000000">
            <w:pPr>
              <w:spacing w:after="0" w:line="240" w:lineRule="auto"/>
            </w:pPr>
            <w:r>
              <w:rPr>
                <w:sz w:val="16"/>
              </w:rPr>
              <w:t>1.56 ± 1.28</w:t>
            </w:r>
          </w:p>
        </w:tc>
        <w:tc>
          <w:tcPr>
            <w:tcW w:w="1872" w:type="dxa"/>
            <w:vAlign w:val="center"/>
          </w:tcPr>
          <w:p w14:paraId="0DA609A5" w14:textId="77777777" w:rsidR="0017338D" w:rsidRDefault="00000000">
            <w:pPr>
              <w:spacing w:after="0" w:line="240" w:lineRule="auto"/>
            </w:pPr>
            <w:r>
              <w:rPr>
                <w:sz w:val="16"/>
              </w:rPr>
              <w:t>1.72 ± 0.80</w:t>
            </w:r>
          </w:p>
        </w:tc>
      </w:tr>
      <w:tr w:rsidR="0017338D" w14:paraId="01F6DE36" w14:textId="77777777" w:rsidTr="006B45FA">
        <w:trPr>
          <w:jc w:val="center"/>
        </w:trPr>
        <w:tc>
          <w:tcPr>
            <w:tcW w:w="1872" w:type="dxa"/>
            <w:vAlign w:val="center"/>
          </w:tcPr>
          <w:p w14:paraId="086CC9FA" w14:textId="77777777" w:rsidR="0017338D" w:rsidRDefault="00000000">
            <w:pPr>
              <w:spacing w:after="0" w:line="240" w:lineRule="auto"/>
            </w:pPr>
            <w:r>
              <w:rPr>
                <w:sz w:val="16"/>
              </w:rPr>
              <w:t>Female</w:t>
            </w:r>
          </w:p>
        </w:tc>
        <w:tc>
          <w:tcPr>
            <w:tcW w:w="1872" w:type="dxa"/>
            <w:vAlign w:val="center"/>
          </w:tcPr>
          <w:p w14:paraId="508D427A" w14:textId="77777777" w:rsidR="0017338D" w:rsidRDefault="00000000">
            <w:pPr>
              <w:spacing w:after="0" w:line="240" w:lineRule="auto"/>
            </w:pPr>
            <w:r>
              <w:rPr>
                <w:sz w:val="16"/>
              </w:rPr>
              <w:t>Mid (%)</w:t>
            </w:r>
          </w:p>
        </w:tc>
        <w:tc>
          <w:tcPr>
            <w:tcW w:w="1872" w:type="dxa"/>
            <w:vAlign w:val="center"/>
          </w:tcPr>
          <w:p w14:paraId="563C272C" w14:textId="77777777" w:rsidR="0017338D" w:rsidRDefault="00000000">
            <w:pPr>
              <w:spacing w:after="0" w:line="240" w:lineRule="auto"/>
            </w:pPr>
            <w:r>
              <w:rPr>
                <w:sz w:val="16"/>
              </w:rPr>
              <w:t>4.10 ± 1.40</w:t>
            </w:r>
          </w:p>
        </w:tc>
        <w:tc>
          <w:tcPr>
            <w:tcW w:w="1872" w:type="dxa"/>
            <w:vAlign w:val="center"/>
          </w:tcPr>
          <w:p w14:paraId="5CB7AF8E" w14:textId="77777777" w:rsidR="0017338D" w:rsidRDefault="00000000">
            <w:pPr>
              <w:spacing w:after="0" w:line="240" w:lineRule="auto"/>
            </w:pPr>
            <w:r>
              <w:rPr>
                <w:sz w:val="16"/>
              </w:rPr>
              <w:t>4.48 ± 2.97</w:t>
            </w:r>
          </w:p>
        </w:tc>
        <w:tc>
          <w:tcPr>
            <w:tcW w:w="1872" w:type="dxa"/>
            <w:vAlign w:val="center"/>
          </w:tcPr>
          <w:p w14:paraId="0DD6BBFF" w14:textId="77777777" w:rsidR="0017338D" w:rsidRDefault="00000000">
            <w:pPr>
              <w:spacing w:after="0" w:line="240" w:lineRule="auto"/>
            </w:pPr>
            <w:r>
              <w:rPr>
                <w:sz w:val="16"/>
              </w:rPr>
              <w:t>5.40 ± 1.75</w:t>
            </w:r>
          </w:p>
        </w:tc>
      </w:tr>
      <w:tr w:rsidR="0017338D" w14:paraId="69B46EB8" w14:textId="77777777" w:rsidTr="006B45FA">
        <w:trPr>
          <w:jc w:val="center"/>
        </w:trPr>
        <w:tc>
          <w:tcPr>
            <w:tcW w:w="1872" w:type="dxa"/>
            <w:vAlign w:val="center"/>
          </w:tcPr>
          <w:p w14:paraId="76B77669" w14:textId="77777777" w:rsidR="0017338D" w:rsidRDefault="00000000">
            <w:pPr>
              <w:spacing w:after="0" w:line="240" w:lineRule="auto"/>
            </w:pPr>
            <w:r>
              <w:rPr>
                <w:sz w:val="16"/>
              </w:rPr>
              <w:t>Female</w:t>
            </w:r>
          </w:p>
        </w:tc>
        <w:tc>
          <w:tcPr>
            <w:tcW w:w="1872" w:type="dxa"/>
            <w:vAlign w:val="center"/>
          </w:tcPr>
          <w:p w14:paraId="77468E35" w14:textId="77777777" w:rsidR="0017338D" w:rsidRDefault="00000000">
            <w:pPr>
              <w:spacing w:after="0" w:line="240" w:lineRule="auto"/>
            </w:pPr>
            <w:r>
              <w:rPr>
                <w:sz w:val="16"/>
              </w:rPr>
              <w:t>Lym (10^9/L)</w:t>
            </w:r>
          </w:p>
        </w:tc>
        <w:tc>
          <w:tcPr>
            <w:tcW w:w="1872" w:type="dxa"/>
            <w:vAlign w:val="center"/>
          </w:tcPr>
          <w:p w14:paraId="68CA85F5" w14:textId="77777777" w:rsidR="0017338D" w:rsidRDefault="00000000">
            <w:pPr>
              <w:spacing w:after="0" w:line="240" w:lineRule="auto"/>
            </w:pPr>
            <w:r>
              <w:rPr>
                <w:sz w:val="16"/>
              </w:rPr>
              <w:t>20.38 ± 2.85</w:t>
            </w:r>
          </w:p>
        </w:tc>
        <w:tc>
          <w:tcPr>
            <w:tcW w:w="1872" w:type="dxa"/>
            <w:vAlign w:val="center"/>
          </w:tcPr>
          <w:p w14:paraId="3C81E7D6" w14:textId="77777777" w:rsidR="0017338D" w:rsidRDefault="00000000">
            <w:pPr>
              <w:spacing w:after="0" w:line="240" w:lineRule="auto"/>
            </w:pPr>
            <w:r>
              <w:rPr>
                <w:sz w:val="16"/>
              </w:rPr>
              <w:t>13.63 ± 1.95</w:t>
            </w:r>
          </w:p>
        </w:tc>
        <w:tc>
          <w:tcPr>
            <w:tcW w:w="1872" w:type="dxa"/>
            <w:vAlign w:val="center"/>
          </w:tcPr>
          <w:p w14:paraId="5EA7E2CB" w14:textId="77777777" w:rsidR="0017338D" w:rsidRDefault="00000000">
            <w:pPr>
              <w:spacing w:after="0" w:line="240" w:lineRule="auto"/>
            </w:pPr>
            <w:r>
              <w:rPr>
                <w:sz w:val="16"/>
              </w:rPr>
              <w:t>14.02 ± 5.32</w:t>
            </w:r>
          </w:p>
        </w:tc>
      </w:tr>
      <w:tr w:rsidR="0017338D" w14:paraId="5B67DD18" w14:textId="77777777" w:rsidTr="006B45FA">
        <w:trPr>
          <w:jc w:val="center"/>
        </w:trPr>
        <w:tc>
          <w:tcPr>
            <w:tcW w:w="1872" w:type="dxa"/>
            <w:vAlign w:val="center"/>
          </w:tcPr>
          <w:p w14:paraId="4A08750A" w14:textId="77777777" w:rsidR="0017338D" w:rsidRDefault="00000000">
            <w:pPr>
              <w:spacing w:after="0" w:line="240" w:lineRule="auto"/>
            </w:pPr>
            <w:r>
              <w:rPr>
                <w:sz w:val="16"/>
              </w:rPr>
              <w:t>Female</w:t>
            </w:r>
          </w:p>
        </w:tc>
        <w:tc>
          <w:tcPr>
            <w:tcW w:w="1872" w:type="dxa"/>
            <w:vAlign w:val="center"/>
          </w:tcPr>
          <w:p w14:paraId="417EE590" w14:textId="77777777" w:rsidR="0017338D" w:rsidRDefault="00000000">
            <w:pPr>
              <w:spacing w:after="0" w:line="240" w:lineRule="auto"/>
            </w:pPr>
            <w:r>
              <w:rPr>
                <w:sz w:val="16"/>
              </w:rPr>
              <w:t>Gran (10^9/L)</w:t>
            </w:r>
          </w:p>
        </w:tc>
        <w:tc>
          <w:tcPr>
            <w:tcW w:w="1872" w:type="dxa"/>
            <w:vAlign w:val="center"/>
          </w:tcPr>
          <w:p w14:paraId="3C39927D" w14:textId="77777777" w:rsidR="0017338D" w:rsidRDefault="00000000">
            <w:pPr>
              <w:spacing w:after="0" w:line="240" w:lineRule="auto"/>
            </w:pPr>
            <w:r>
              <w:rPr>
                <w:sz w:val="16"/>
              </w:rPr>
              <w:t>0.25 ± 0.10</w:t>
            </w:r>
          </w:p>
        </w:tc>
        <w:tc>
          <w:tcPr>
            <w:tcW w:w="1872" w:type="dxa"/>
            <w:vAlign w:val="center"/>
          </w:tcPr>
          <w:p w14:paraId="07B5A2B3" w14:textId="77777777" w:rsidR="0017338D" w:rsidRDefault="00000000">
            <w:pPr>
              <w:spacing w:after="0" w:line="240" w:lineRule="auto"/>
            </w:pPr>
            <w:r>
              <w:rPr>
                <w:sz w:val="16"/>
              </w:rPr>
              <w:t>0.24 ± 0.21</w:t>
            </w:r>
          </w:p>
        </w:tc>
        <w:tc>
          <w:tcPr>
            <w:tcW w:w="1872" w:type="dxa"/>
            <w:vAlign w:val="center"/>
          </w:tcPr>
          <w:p w14:paraId="5E2F65F9" w14:textId="77777777" w:rsidR="0017338D" w:rsidRDefault="00000000">
            <w:pPr>
              <w:spacing w:after="0" w:line="240" w:lineRule="auto"/>
            </w:pPr>
            <w:r>
              <w:rPr>
                <w:sz w:val="16"/>
              </w:rPr>
              <w:t>0.27 ± 0.19</w:t>
            </w:r>
          </w:p>
        </w:tc>
      </w:tr>
      <w:tr w:rsidR="0017338D" w14:paraId="03933661" w14:textId="77777777" w:rsidTr="006B45FA">
        <w:trPr>
          <w:jc w:val="center"/>
        </w:trPr>
        <w:tc>
          <w:tcPr>
            <w:tcW w:w="1872" w:type="dxa"/>
            <w:vAlign w:val="center"/>
          </w:tcPr>
          <w:p w14:paraId="3A99C12E" w14:textId="77777777" w:rsidR="0017338D" w:rsidRDefault="00000000">
            <w:pPr>
              <w:spacing w:after="0" w:line="240" w:lineRule="auto"/>
            </w:pPr>
            <w:r>
              <w:rPr>
                <w:sz w:val="16"/>
              </w:rPr>
              <w:t>Female</w:t>
            </w:r>
          </w:p>
        </w:tc>
        <w:tc>
          <w:tcPr>
            <w:tcW w:w="1872" w:type="dxa"/>
            <w:vAlign w:val="center"/>
          </w:tcPr>
          <w:p w14:paraId="3794C4EC" w14:textId="77777777" w:rsidR="0017338D" w:rsidRDefault="00000000">
            <w:pPr>
              <w:spacing w:after="0" w:line="240" w:lineRule="auto"/>
            </w:pPr>
            <w:r>
              <w:rPr>
                <w:sz w:val="16"/>
              </w:rPr>
              <w:t>Mid (10^9/L)</w:t>
            </w:r>
          </w:p>
        </w:tc>
        <w:tc>
          <w:tcPr>
            <w:tcW w:w="1872" w:type="dxa"/>
            <w:vAlign w:val="center"/>
          </w:tcPr>
          <w:p w14:paraId="615368F3" w14:textId="77777777" w:rsidR="0017338D" w:rsidRDefault="00000000">
            <w:pPr>
              <w:spacing w:after="0" w:line="240" w:lineRule="auto"/>
            </w:pPr>
            <w:r>
              <w:rPr>
                <w:sz w:val="16"/>
              </w:rPr>
              <w:t>0.90 ± 0.37</w:t>
            </w:r>
          </w:p>
        </w:tc>
        <w:tc>
          <w:tcPr>
            <w:tcW w:w="1872" w:type="dxa"/>
            <w:vAlign w:val="center"/>
          </w:tcPr>
          <w:p w14:paraId="57EE1C99" w14:textId="77777777" w:rsidR="0017338D" w:rsidRDefault="00000000">
            <w:pPr>
              <w:spacing w:after="0" w:line="240" w:lineRule="auto"/>
            </w:pPr>
            <w:r>
              <w:rPr>
                <w:sz w:val="16"/>
              </w:rPr>
              <w:t>0.67 ± 0.48</w:t>
            </w:r>
          </w:p>
        </w:tc>
        <w:tc>
          <w:tcPr>
            <w:tcW w:w="1872" w:type="dxa"/>
            <w:vAlign w:val="center"/>
          </w:tcPr>
          <w:p w14:paraId="64CC101E" w14:textId="77777777" w:rsidR="0017338D" w:rsidRDefault="00000000">
            <w:pPr>
              <w:spacing w:after="0" w:line="240" w:lineRule="auto"/>
            </w:pPr>
            <w:r>
              <w:rPr>
                <w:sz w:val="16"/>
              </w:rPr>
              <w:t>0.84 ± 0.47</w:t>
            </w:r>
          </w:p>
        </w:tc>
      </w:tr>
      <w:tr w:rsidR="0017338D" w14:paraId="5D3D2ED0" w14:textId="77777777" w:rsidTr="006B45FA">
        <w:trPr>
          <w:jc w:val="center"/>
        </w:trPr>
        <w:tc>
          <w:tcPr>
            <w:tcW w:w="1872" w:type="dxa"/>
            <w:vAlign w:val="center"/>
          </w:tcPr>
          <w:p w14:paraId="4199D4CB" w14:textId="77777777" w:rsidR="0017338D" w:rsidRDefault="00000000">
            <w:pPr>
              <w:spacing w:after="0" w:line="240" w:lineRule="auto"/>
            </w:pPr>
            <w:r>
              <w:rPr>
                <w:sz w:val="16"/>
              </w:rPr>
              <w:t>Female</w:t>
            </w:r>
          </w:p>
        </w:tc>
        <w:tc>
          <w:tcPr>
            <w:tcW w:w="1872" w:type="dxa"/>
            <w:vAlign w:val="center"/>
          </w:tcPr>
          <w:p w14:paraId="45855A5E" w14:textId="77777777" w:rsidR="0017338D" w:rsidRDefault="00000000">
            <w:pPr>
              <w:spacing w:after="0" w:line="240" w:lineRule="auto"/>
            </w:pPr>
            <w:r>
              <w:rPr>
                <w:sz w:val="16"/>
              </w:rPr>
              <w:t>PLT (10^3/µL)</w:t>
            </w:r>
          </w:p>
        </w:tc>
        <w:tc>
          <w:tcPr>
            <w:tcW w:w="1872" w:type="dxa"/>
            <w:vAlign w:val="center"/>
          </w:tcPr>
          <w:p w14:paraId="27E8B432" w14:textId="77777777" w:rsidR="0017338D" w:rsidRDefault="00000000">
            <w:pPr>
              <w:spacing w:after="0" w:line="240" w:lineRule="auto"/>
            </w:pPr>
            <w:r>
              <w:rPr>
                <w:sz w:val="16"/>
              </w:rPr>
              <w:t>1260.20 ± 245.70</w:t>
            </w:r>
          </w:p>
        </w:tc>
        <w:tc>
          <w:tcPr>
            <w:tcW w:w="1872" w:type="dxa"/>
            <w:vAlign w:val="center"/>
          </w:tcPr>
          <w:p w14:paraId="2555B928" w14:textId="77777777" w:rsidR="0017338D" w:rsidRDefault="00000000">
            <w:pPr>
              <w:spacing w:after="0" w:line="240" w:lineRule="auto"/>
            </w:pPr>
            <w:r>
              <w:rPr>
                <w:sz w:val="16"/>
              </w:rPr>
              <w:t>1123.60 ± 112.93</w:t>
            </w:r>
          </w:p>
        </w:tc>
        <w:tc>
          <w:tcPr>
            <w:tcW w:w="1872" w:type="dxa"/>
            <w:vAlign w:val="center"/>
          </w:tcPr>
          <w:p w14:paraId="64AD08F3" w14:textId="77777777" w:rsidR="0017338D" w:rsidRDefault="00000000">
            <w:pPr>
              <w:spacing w:after="0" w:line="240" w:lineRule="auto"/>
            </w:pPr>
            <w:r>
              <w:rPr>
                <w:sz w:val="16"/>
              </w:rPr>
              <w:t>1065.60 ± 99.80</w:t>
            </w:r>
          </w:p>
        </w:tc>
      </w:tr>
      <w:tr w:rsidR="0017338D" w14:paraId="1D25BCBD" w14:textId="77777777" w:rsidTr="006B45FA">
        <w:trPr>
          <w:jc w:val="center"/>
        </w:trPr>
        <w:tc>
          <w:tcPr>
            <w:tcW w:w="1872" w:type="dxa"/>
            <w:vAlign w:val="center"/>
          </w:tcPr>
          <w:p w14:paraId="0F39C7EB" w14:textId="77777777" w:rsidR="0017338D" w:rsidRDefault="00000000">
            <w:pPr>
              <w:spacing w:after="0" w:line="240" w:lineRule="auto"/>
            </w:pPr>
            <w:r>
              <w:rPr>
                <w:sz w:val="16"/>
              </w:rPr>
              <w:t>Female</w:t>
            </w:r>
          </w:p>
        </w:tc>
        <w:tc>
          <w:tcPr>
            <w:tcW w:w="1872" w:type="dxa"/>
            <w:vAlign w:val="center"/>
          </w:tcPr>
          <w:p w14:paraId="36B73A7E" w14:textId="77777777" w:rsidR="0017338D" w:rsidRDefault="00000000">
            <w:pPr>
              <w:spacing w:after="0" w:line="240" w:lineRule="auto"/>
            </w:pPr>
            <w:r>
              <w:rPr>
                <w:sz w:val="16"/>
              </w:rPr>
              <w:t>MPV (</w:t>
            </w:r>
            <w:proofErr w:type="spellStart"/>
            <w:r>
              <w:rPr>
                <w:sz w:val="16"/>
              </w:rPr>
              <w:t>fL</w:t>
            </w:r>
            <w:proofErr w:type="spellEnd"/>
            <w:r>
              <w:rPr>
                <w:sz w:val="16"/>
              </w:rPr>
              <w:t>)</w:t>
            </w:r>
          </w:p>
        </w:tc>
        <w:tc>
          <w:tcPr>
            <w:tcW w:w="1872" w:type="dxa"/>
            <w:vAlign w:val="center"/>
          </w:tcPr>
          <w:p w14:paraId="2E4BCF7D" w14:textId="77777777" w:rsidR="0017338D" w:rsidRDefault="00000000">
            <w:pPr>
              <w:spacing w:after="0" w:line="240" w:lineRule="auto"/>
            </w:pPr>
            <w:r>
              <w:rPr>
                <w:sz w:val="16"/>
              </w:rPr>
              <w:t>7.32 ± 0.33</w:t>
            </w:r>
          </w:p>
        </w:tc>
        <w:tc>
          <w:tcPr>
            <w:tcW w:w="1872" w:type="dxa"/>
            <w:vAlign w:val="center"/>
          </w:tcPr>
          <w:p w14:paraId="2D63AE7A" w14:textId="77777777" w:rsidR="0017338D" w:rsidRDefault="00000000">
            <w:pPr>
              <w:spacing w:after="0" w:line="240" w:lineRule="auto"/>
            </w:pPr>
            <w:r>
              <w:rPr>
                <w:sz w:val="16"/>
              </w:rPr>
              <w:t>7.58 ± 0.52</w:t>
            </w:r>
          </w:p>
        </w:tc>
        <w:tc>
          <w:tcPr>
            <w:tcW w:w="1872" w:type="dxa"/>
            <w:vAlign w:val="center"/>
          </w:tcPr>
          <w:p w14:paraId="64293D68" w14:textId="77777777" w:rsidR="0017338D" w:rsidRDefault="00000000">
            <w:pPr>
              <w:spacing w:after="0" w:line="240" w:lineRule="auto"/>
            </w:pPr>
            <w:r>
              <w:rPr>
                <w:sz w:val="16"/>
              </w:rPr>
              <w:t>7.34 ± 0.39</w:t>
            </w:r>
          </w:p>
        </w:tc>
      </w:tr>
      <w:tr w:rsidR="0017338D" w14:paraId="4C2CEA39" w14:textId="77777777" w:rsidTr="006B45FA">
        <w:trPr>
          <w:jc w:val="center"/>
        </w:trPr>
        <w:tc>
          <w:tcPr>
            <w:tcW w:w="1872" w:type="dxa"/>
            <w:vAlign w:val="center"/>
          </w:tcPr>
          <w:p w14:paraId="4BC65F19" w14:textId="77777777" w:rsidR="0017338D" w:rsidRDefault="00000000">
            <w:pPr>
              <w:spacing w:after="0" w:line="240" w:lineRule="auto"/>
            </w:pPr>
            <w:r>
              <w:rPr>
                <w:sz w:val="16"/>
              </w:rPr>
              <w:t>Female</w:t>
            </w:r>
          </w:p>
        </w:tc>
        <w:tc>
          <w:tcPr>
            <w:tcW w:w="1872" w:type="dxa"/>
            <w:vAlign w:val="center"/>
          </w:tcPr>
          <w:p w14:paraId="143B2404" w14:textId="77777777" w:rsidR="0017338D" w:rsidRDefault="00000000">
            <w:pPr>
              <w:spacing w:after="0" w:line="240" w:lineRule="auto"/>
            </w:pPr>
            <w:r>
              <w:rPr>
                <w:sz w:val="16"/>
              </w:rPr>
              <w:t>PDW (%)</w:t>
            </w:r>
          </w:p>
        </w:tc>
        <w:tc>
          <w:tcPr>
            <w:tcW w:w="1872" w:type="dxa"/>
            <w:vAlign w:val="center"/>
          </w:tcPr>
          <w:p w14:paraId="3BE17071" w14:textId="77777777" w:rsidR="0017338D" w:rsidRDefault="00000000">
            <w:pPr>
              <w:spacing w:after="0" w:line="240" w:lineRule="auto"/>
            </w:pPr>
            <w:r>
              <w:rPr>
                <w:sz w:val="16"/>
              </w:rPr>
              <w:t>7.84 ± 0.39</w:t>
            </w:r>
          </w:p>
        </w:tc>
        <w:tc>
          <w:tcPr>
            <w:tcW w:w="1872" w:type="dxa"/>
            <w:vAlign w:val="center"/>
          </w:tcPr>
          <w:p w14:paraId="52A3615D" w14:textId="77777777" w:rsidR="0017338D" w:rsidRDefault="00000000">
            <w:pPr>
              <w:spacing w:after="0" w:line="240" w:lineRule="auto"/>
            </w:pPr>
            <w:r>
              <w:rPr>
                <w:sz w:val="16"/>
              </w:rPr>
              <w:t>7.66 ± 0.97</w:t>
            </w:r>
          </w:p>
        </w:tc>
        <w:tc>
          <w:tcPr>
            <w:tcW w:w="1872" w:type="dxa"/>
            <w:vAlign w:val="center"/>
          </w:tcPr>
          <w:p w14:paraId="60DAFD1B" w14:textId="77777777" w:rsidR="0017338D" w:rsidRDefault="00000000">
            <w:pPr>
              <w:spacing w:after="0" w:line="240" w:lineRule="auto"/>
            </w:pPr>
            <w:r>
              <w:rPr>
                <w:sz w:val="16"/>
              </w:rPr>
              <w:t>8.10 ± 0.45</w:t>
            </w:r>
          </w:p>
        </w:tc>
      </w:tr>
      <w:tr w:rsidR="0017338D" w14:paraId="19789F81" w14:textId="77777777" w:rsidTr="006B45FA">
        <w:trPr>
          <w:jc w:val="center"/>
        </w:trPr>
        <w:tc>
          <w:tcPr>
            <w:tcW w:w="1872" w:type="dxa"/>
            <w:vAlign w:val="center"/>
          </w:tcPr>
          <w:p w14:paraId="72225862" w14:textId="77777777" w:rsidR="0017338D" w:rsidRDefault="00000000">
            <w:pPr>
              <w:spacing w:after="0" w:line="240" w:lineRule="auto"/>
            </w:pPr>
            <w:r>
              <w:rPr>
                <w:sz w:val="16"/>
              </w:rPr>
              <w:t>Female</w:t>
            </w:r>
          </w:p>
        </w:tc>
        <w:tc>
          <w:tcPr>
            <w:tcW w:w="1872" w:type="dxa"/>
            <w:vAlign w:val="center"/>
          </w:tcPr>
          <w:p w14:paraId="2AA592FA" w14:textId="77777777" w:rsidR="0017338D" w:rsidRDefault="00000000">
            <w:pPr>
              <w:spacing w:after="0" w:line="240" w:lineRule="auto"/>
            </w:pPr>
            <w:r>
              <w:rPr>
                <w:sz w:val="16"/>
              </w:rPr>
              <w:t>PCT (%)</w:t>
            </w:r>
          </w:p>
        </w:tc>
        <w:tc>
          <w:tcPr>
            <w:tcW w:w="1872" w:type="dxa"/>
            <w:vAlign w:val="center"/>
          </w:tcPr>
          <w:p w14:paraId="2D043F89" w14:textId="77777777" w:rsidR="0017338D" w:rsidRDefault="00000000">
            <w:pPr>
              <w:spacing w:after="0" w:line="240" w:lineRule="auto"/>
            </w:pPr>
            <w:r>
              <w:rPr>
                <w:sz w:val="16"/>
              </w:rPr>
              <w:t>0.93 ± 0.20</w:t>
            </w:r>
          </w:p>
        </w:tc>
        <w:tc>
          <w:tcPr>
            <w:tcW w:w="1872" w:type="dxa"/>
            <w:vAlign w:val="center"/>
          </w:tcPr>
          <w:p w14:paraId="170645E3" w14:textId="77777777" w:rsidR="0017338D" w:rsidRDefault="00000000">
            <w:pPr>
              <w:spacing w:after="0" w:line="240" w:lineRule="auto"/>
            </w:pPr>
            <w:r>
              <w:rPr>
                <w:sz w:val="16"/>
              </w:rPr>
              <w:t>0.85 ± 0.12</w:t>
            </w:r>
          </w:p>
        </w:tc>
        <w:tc>
          <w:tcPr>
            <w:tcW w:w="1872" w:type="dxa"/>
            <w:vAlign w:val="center"/>
          </w:tcPr>
          <w:p w14:paraId="66B3C425" w14:textId="77777777" w:rsidR="0017338D" w:rsidRDefault="00000000">
            <w:pPr>
              <w:spacing w:after="0" w:line="240" w:lineRule="auto"/>
            </w:pPr>
            <w:r>
              <w:rPr>
                <w:sz w:val="16"/>
              </w:rPr>
              <w:t>0.78 ± 0.08</w:t>
            </w:r>
          </w:p>
        </w:tc>
      </w:tr>
      <w:tr w:rsidR="0017338D" w14:paraId="0F46CD1A" w14:textId="77777777" w:rsidTr="006B45FA">
        <w:trPr>
          <w:jc w:val="center"/>
        </w:trPr>
        <w:tc>
          <w:tcPr>
            <w:tcW w:w="1872" w:type="dxa"/>
            <w:vAlign w:val="center"/>
          </w:tcPr>
          <w:p w14:paraId="438BC618" w14:textId="77777777" w:rsidR="0017338D" w:rsidRDefault="00000000">
            <w:pPr>
              <w:spacing w:after="0" w:line="240" w:lineRule="auto"/>
            </w:pPr>
            <w:r>
              <w:rPr>
                <w:sz w:val="16"/>
              </w:rPr>
              <w:t>Female</w:t>
            </w:r>
          </w:p>
        </w:tc>
        <w:tc>
          <w:tcPr>
            <w:tcW w:w="1872" w:type="dxa"/>
            <w:vAlign w:val="center"/>
          </w:tcPr>
          <w:p w14:paraId="643B6354" w14:textId="77777777" w:rsidR="0017338D" w:rsidRDefault="00000000">
            <w:pPr>
              <w:spacing w:after="0" w:line="240" w:lineRule="auto"/>
            </w:pPr>
            <w:r>
              <w:rPr>
                <w:sz w:val="16"/>
              </w:rPr>
              <w:t>P-LCR (%)</w:t>
            </w:r>
          </w:p>
        </w:tc>
        <w:tc>
          <w:tcPr>
            <w:tcW w:w="1872" w:type="dxa"/>
            <w:vAlign w:val="center"/>
          </w:tcPr>
          <w:p w14:paraId="555E7AD6" w14:textId="77777777" w:rsidR="0017338D" w:rsidRDefault="00000000">
            <w:pPr>
              <w:spacing w:after="0" w:line="240" w:lineRule="auto"/>
            </w:pPr>
            <w:r>
              <w:rPr>
                <w:sz w:val="16"/>
              </w:rPr>
              <w:t>12.32 ± 2.58</w:t>
            </w:r>
          </w:p>
        </w:tc>
        <w:tc>
          <w:tcPr>
            <w:tcW w:w="1872" w:type="dxa"/>
            <w:vAlign w:val="center"/>
          </w:tcPr>
          <w:p w14:paraId="249B3E1C" w14:textId="77777777" w:rsidR="0017338D" w:rsidRDefault="00000000">
            <w:pPr>
              <w:spacing w:after="0" w:line="240" w:lineRule="auto"/>
            </w:pPr>
            <w:r>
              <w:rPr>
                <w:sz w:val="16"/>
              </w:rPr>
              <w:t>15.02 ± 3.78</w:t>
            </w:r>
          </w:p>
        </w:tc>
        <w:tc>
          <w:tcPr>
            <w:tcW w:w="1872" w:type="dxa"/>
            <w:vAlign w:val="center"/>
          </w:tcPr>
          <w:p w14:paraId="72AA6DE5" w14:textId="77777777" w:rsidR="0017338D" w:rsidRDefault="00000000">
            <w:pPr>
              <w:spacing w:after="0" w:line="240" w:lineRule="auto"/>
            </w:pPr>
            <w:r>
              <w:rPr>
                <w:sz w:val="16"/>
              </w:rPr>
              <w:t>11.92 ± 2.44</w:t>
            </w:r>
          </w:p>
        </w:tc>
      </w:tr>
      <w:tr w:rsidR="0017338D" w14:paraId="0DF97FCB" w14:textId="77777777" w:rsidTr="006B45FA">
        <w:trPr>
          <w:jc w:val="center"/>
        </w:trPr>
        <w:tc>
          <w:tcPr>
            <w:tcW w:w="1872" w:type="dxa"/>
            <w:vAlign w:val="center"/>
          </w:tcPr>
          <w:p w14:paraId="2A3708EE" w14:textId="77777777" w:rsidR="0017338D" w:rsidRDefault="00000000">
            <w:pPr>
              <w:spacing w:after="0" w:line="240" w:lineRule="auto"/>
            </w:pPr>
            <w:r>
              <w:rPr>
                <w:sz w:val="16"/>
              </w:rPr>
              <w:t>Female</w:t>
            </w:r>
          </w:p>
        </w:tc>
        <w:tc>
          <w:tcPr>
            <w:tcW w:w="1872" w:type="dxa"/>
            <w:vAlign w:val="center"/>
          </w:tcPr>
          <w:p w14:paraId="1C5E6BEE" w14:textId="77777777" w:rsidR="0017338D" w:rsidRDefault="00000000">
            <w:pPr>
              <w:spacing w:after="0" w:line="240" w:lineRule="auto"/>
            </w:pPr>
            <w:r>
              <w:rPr>
                <w:sz w:val="16"/>
              </w:rPr>
              <w:t>P-LCC (10^3/µL)</w:t>
            </w:r>
          </w:p>
        </w:tc>
        <w:tc>
          <w:tcPr>
            <w:tcW w:w="1872" w:type="dxa"/>
            <w:vAlign w:val="center"/>
          </w:tcPr>
          <w:p w14:paraId="6D5F384A" w14:textId="77777777" w:rsidR="0017338D" w:rsidRDefault="00000000">
            <w:pPr>
              <w:spacing w:after="0" w:line="240" w:lineRule="auto"/>
            </w:pPr>
            <w:r>
              <w:rPr>
                <w:sz w:val="16"/>
              </w:rPr>
              <w:t>158.20 ± 50.92</w:t>
            </w:r>
          </w:p>
        </w:tc>
        <w:tc>
          <w:tcPr>
            <w:tcW w:w="1872" w:type="dxa"/>
            <w:vAlign w:val="center"/>
          </w:tcPr>
          <w:p w14:paraId="78FF5CE0" w14:textId="77777777" w:rsidR="0017338D" w:rsidRDefault="00000000">
            <w:pPr>
              <w:spacing w:after="0" w:line="240" w:lineRule="auto"/>
            </w:pPr>
            <w:r>
              <w:rPr>
                <w:sz w:val="16"/>
              </w:rPr>
              <w:t>170.40 ± 51.50</w:t>
            </w:r>
          </w:p>
        </w:tc>
        <w:tc>
          <w:tcPr>
            <w:tcW w:w="1872" w:type="dxa"/>
            <w:vAlign w:val="center"/>
          </w:tcPr>
          <w:p w14:paraId="779AF016" w14:textId="77777777" w:rsidR="0017338D" w:rsidRDefault="00000000">
            <w:pPr>
              <w:spacing w:after="0" w:line="240" w:lineRule="auto"/>
            </w:pPr>
            <w:r>
              <w:rPr>
                <w:sz w:val="16"/>
              </w:rPr>
              <w:t>126.80 ± 30.43</w:t>
            </w:r>
          </w:p>
        </w:tc>
      </w:tr>
      <w:tr w:rsidR="0017338D" w14:paraId="785D1385" w14:textId="77777777" w:rsidTr="006B45FA">
        <w:trPr>
          <w:jc w:val="center"/>
        </w:trPr>
        <w:tc>
          <w:tcPr>
            <w:tcW w:w="1872" w:type="dxa"/>
            <w:vAlign w:val="center"/>
          </w:tcPr>
          <w:p w14:paraId="37A855B4" w14:textId="77777777" w:rsidR="0017338D" w:rsidRDefault="00000000">
            <w:pPr>
              <w:spacing w:after="0" w:line="240" w:lineRule="auto"/>
            </w:pPr>
            <w:r>
              <w:rPr>
                <w:sz w:val="16"/>
              </w:rPr>
              <w:t>Male</w:t>
            </w:r>
          </w:p>
        </w:tc>
        <w:tc>
          <w:tcPr>
            <w:tcW w:w="1872" w:type="dxa"/>
            <w:vAlign w:val="center"/>
          </w:tcPr>
          <w:p w14:paraId="4FECB4C1" w14:textId="77777777" w:rsidR="0017338D" w:rsidRDefault="00000000">
            <w:pPr>
              <w:spacing w:after="0" w:line="240" w:lineRule="auto"/>
            </w:pPr>
            <w:r>
              <w:rPr>
                <w:sz w:val="16"/>
              </w:rPr>
              <w:t>Erythrocytes (10^6/µL)</w:t>
            </w:r>
          </w:p>
        </w:tc>
        <w:tc>
          <w:tcPr>
            <w:tcW w:w="1872" w:type="dxa"/>
            <w:vAlign w:val="center"/>
          </w:tcPr>
          <w:p w14:paraId="46DF2C33" w14:textId="77777777" w:rsidR="0017338D" w:rsidRDefault="00000000">
            <w:pPr>
              <w:spacing w:after="0" w:line="240" w:lineRule="auto"/>
            </w:pPr>
            <w:r>
              <w:rPr>
                <w:sz w:val="16"/>
              </w:rPr>
              <w:t>7.80 ± 1.17</w:t>
            </w:r>
          </w:p>
        </w:tc>
        <w:tc>
          <w:tcPr>
            <w:tcW w:w="1872" w:type="dxa"/>
            <w:vAlign w:val="center"/>
          </w:tcPr>
          <w:p w14:paraId="7AAF836E" w14:textId="77777777" w:rsidR="0017338D" w:rsidRDefault="00000000">
            <w:pPr>
              <w:spacing w:after="0" w:line="240" w:lineRule="auto"/>
            </w:pPr>
            <w:r>
              <w:rPr>
                <w:sz w:val="16"/>
              </w:rPr>
              <w:t>7.81 ± 0.84</w:t>
            </w:r>
          </w:p>
        </w:tc>
        <w:tc>
          <w:tcPr>
            <w:tcW w:w="1872" w:type="dxa"/>
            <w:vAlign w:val="center"/>
          </w:tcPr>
          <w:p w14:paraId="3A520A2C" w14:textId="77777777" w:rsidR="0017338D" w:rsidRDefault="00000000">
            <w:pPr>
              <w:spacing w:after="0" w:line="240" w:lineRule="auto"/>
            </w:pPr>
            <w:r>
              <w:rPr>
                <w:sz w:val="16"/>
              </w:rPr>
              <w:t>8.41 ± 0.54</w:t>
            </w:r>
          </w:p>
        </w:tc>
      </w:tr>
      <w:tr w:rsidR="0017338D" w14:paraId="1E9315F9" w14:textId="77777777" w:rsidTr="006B45FA">
        <w:trPr>
          <w:jc w:val="center"/>
        </w:trPr>
        <w:tc>
          <w:tcPr>
            <w:tcW w:w="1872" w:type="dxa"/>
            <w:vAlign w:val="center"/>
          </w:tcPr>
          <w:p w14:paraId="25C2D7D8" w14:textId="77777777" w:rsidR="0017338D" w:rsidRDefault="00000000">
            <w:pPr>
              <w:spacing w:after="0" w:line="240" w:lineRule="auto"/>
            </w:pPr>
            <w:r>
              <w:rPr>
                <w:sz w:val="16"/>
              </w:rPr>
              <w:t>Male</w:t>
            </w:r>
          </w:p>
        </w:tc>
        <w:tc>
          <w:tcPr>
            <w:tcW w:w="1872" w:type="dxa"/>
            <w:vAlign w:val="center"/>
          </w:tcPr>
          <w:p w14:paraId="3EDF3D21" w14:textId="77777777" w:rsidR="0017338D" w:rsidRDefault="00000000">
            <w:pPr>
              <w:spacing w:after="0" w:line="240" w:lineRule="auto"/>
            </w:pPr>
            <w:r>
              <w:rPr>
                <w:sz w:val="16"/>
              </w:rPr>
              <w:t>Hemoglobin (g/dL)</w:t>
            </w:r>
          </w:p>
        </w:tc>
        <w:tc>
          <w:tcPr>
            <w:tcW w:w="1872" w:type="dxa"/>
            <w:vAlign w:val="center"/>
          </w:tcPr>
          <w:p w14:paraId="1538F5A8" w14:textId="77777777" w:rsidR="0017338D" w:rsidRDefault="00000000">
            <w:pPr>
              <w:spacing w:after="0" w:line="240" w:lineRule="auto"/>
            </w:pPr>
            <w:r>
              <w:rPr>
                <w:sz w:val="16"/>
              </w:rPr>
              <w:t>17.34 ± 2.42</w:t>
            </w:r>
          </w:p>
        </w:tc>
        <w:tc>
          <w:tcPr>
            <w:tcW w:w="1872" w:type="dxa"/>
            <w:vAlign w:val="center"/>
          </w:tcPr>
          <w:p w14:paraId="4534D944" w14:textId="77777777" w:rsidR="0017338D" w:rsidRDefault="00000000">
            <w:pPr>
              <w:spacing w:after="0" w:line="240" w:lineRule="auto"/>
            </w:pPr>
            <w:r>
              <w:rPr>
                <w:sz w:val="16"/>
              </w:rPr>
              <w:t>17.90 ± 1.70</w:t>
            </w:r>
          </w:p>
        </w:tc>
        <w:tc>
          <w:tcPr>
            <w:tcW w:w="1872" w:type="dxa"/>
            <w:vAlign w:val="center"/>
          </w:tcPr>
          <w:p w14:paraId="177FD821" w14:textId="77777777" w:rsidR="0017338D" w:rsidRDefault="00000000">
            <w:pPr>
              <w:spacing w:after="0" w:line="240" w:lineRule="auto"/>
            </w:pPr>
            <w:r>
              <w:rPr>
                <w:sz w:val="16"/>
              </w:rPr>
              <w:t>18.98 ± 0.61</w:t>
            </w:r>
          </w:p>
        </w:tc>
      </w:tr>
      <w:tr w:rsidR="0017338D" w14:paraId="3EDC694B" w14:textId="77777777" w:rsidTr="006B45FA">
        <w:trPr>
          <w:jc w:val="center"/>
        </w:trPr>
        <w:tc>
          <w:tcPr>
            <w:tcW w:w="1872" w:type="dxa"/>
            <w:vAlign w:val="center"/>
          </w:tcPr>
          <w:p w14:paraId="0BBEBCD7" w14:textId="77777777" w:rsidR="0017338D" w:rsidRDefault="00000000">
            <w:pPr>
              <w:spacing w:after="0" w:line="240" w:lineRule="auto"/>
            </w:pPr>
            <w:r>
              <w:rPr>
                <w:sz w:val="16"/>
              </w:rPr>
              <w:t>Male</w:t>
            </w:r>
          </w:p>
        </w:tc>
        <w:tc>
          <w:tcPr>
            <w:tcW w:w="1872" w:type="dxa"/>
            <w:vAlign w:val="center"/>
          </w:tcPr>
          <w:p w14:paraId="2F5F2D3E" w14:textId="77777777" w:rsidR="0017338D" w:rsidRDefault="00000000">
            <w:pPr>
              <w:spacing w:after="0" w:line="240" w:lineRule="auto"/>
            </w:pPr>
            <w:r>
              <w:rPr>
                <w:sz w:val="16"/>
              </w:rPr>
              <w:t>Hematocrit (%)</w:t>
            </w:r>
          </w:p>
        </w:tc>
        <w:tc>
          <w:tcPr>
            <w:tcW w:w="1872" w:type="dxa"/>
            <w:vAlign w:val="center"/>
          </w:tcPr>
          <w:p w14:paraId="715772A5" w14:textId="77777777" w:rsidR="0017338D" w:rsidRDefault="00000000">
            <w:pPr>
              <w:spacing w:after="0" w:line="240" w:lineRule="auto"/>
            </w:pPr>
            <w:r>
              <w:rPr>
                <w:sz w:val="16"/>
              </w:rPr>
              <w:t>45.62 ± 7.29</w:t>
            </w:r>
          </w:p>
        </w:tc>
        <w:tc>
          <w:tcPr>
            <w:tcW w:w="1872" w:type="dxa"/>
            <w:vAlign w:val="center"/>
          </w:tcPr>
          <w:p w14:paraId="42D61CF3" w14:textId="77777777" w:rsidR="0017338D" w:rsidRDefault="00000000">
            <w:pPr>
              <w:spacing w:after="0" w:line="240" w:lineRule="auto"/>
            </w:pPr>
            <w:r>
              <w:rPr>
                <w:sz w:val="16"/>
              </w:rPr>
              <w:t>45.80 ± 4.03</w:t>
            </w:r>
          </w:p>
        </w:tc>
        <w:tc>
          <w:tcPr>
            <w:tcW w:w="1872" w:type="dxa"/>
            <w:vAlign w:val="center"/>
          </w:tcPr>
          <w:p w14:paraId="2B217D9B" w14:textId="77777777" w:rsidR="0017338D" w:rsidRDefault="00000000">
            <w:pPr>
              <w:spacing w:after="0" w:line="240" w:lineRule="auto"/>
            </w:pPr>
            <w:r>
              <w:rPr>
                <w:sz w:val="16"/>
              </w:rPr>
              <w:t>49.94 ± 2.49</w:t>
            </w:r>
          </w:p>
        </w:tc>
      </w:tr>
      <w:tr w:rsidR="0017338D" w14:paraId="4793A1EA" w14:textId="77777777" w:rsidTr="006B45FA">
        <w:trPr>
          <w:jc w:val="center"/>
        </w:trPr>
        <w:tc>
          <w:tcPr>
            <w:tcW w:w="1872" w:type="dxa"/>
            <w:vAlign w:val="center"/>
          </w:tcPr>
          <w:p w14:paraId="28C02EC0" w14:textId="77777777" w:rsidR="0017338D" w:rsidRDefault="00000000">
            <w:pPr>
              <w:spacing w:after="0" w:line="240" w:lineRule="auto"/>
            </w:pPr>
            <w:r>
              <w:rPr>
                <w:sz w:val="16"/>
              </w:rPr>
              <w:t>Male</w:t>
            </w:r>
          </w:p>
        </w:tc>
        <w:tc>
          <w:tcPr>
            <w:tcW w:w="1872" w:type="dxa"/>
            <w:vAlign w:val="center"/>
          </w:tcPr>
          <w:p w14:paraId="6FCE40AE" w14:textId="77777777" w:rsidR="0017338D" w:rsidRDefault="00000000">
            <w:pPr>
              <w:spacing w:after="0" w:line="240" w:lineRule="auto"/>
            </w:pPr>
            <w:r>
              <w:rPr>
                <w:sz w:val="16"/>
              </w:rPr>
              <w:t>MCV (</w:t>
            </w:r>
            <w:proofErr w:type="spellStart"/>
            <w:r>
              <w:rPr>
                <w:sz w:val="16"/>
              </w:rPr>
              <w:t>fL</w:t>
            </w:r>
            <w:proofErr w:type="spellEnd"/>
            <w:r>
              <w:rPr>
                <w:sz w:val="16"/>
              </w:rPr>
              <w:t>)</w:t>
            </w:r>
          </w:p>
        </w:tc>
        <w:tc>
          <w:tcPr>
            <w:tcW w:w="1872" w:type="dxa"/>
            <w:vAlign w:val="center"/>
          </w:tcPr>
          <w:p w14:paraId="5694579C" w14:textId="77777777" w:rsidR="0017338D" w:rsidRDefault="00000000">
            <w:pPr>
              <w:spacing w:after="0" w:line="240" w:lineRule="auto"/>
            </w:pPr>
            <w:r>
              <w:rPr>
                <w:sz w:val="16"/>
              </w:rPr>
              <w:t>58.48 ± 1.15</w:t>
            </w:r>
          </w:p>
        </w:tc>
        <w:tc>
          <w:tcPr>
            <w:tcW w:w="1872" w:type="dxa"/>
            <w:vAlign w:val="center"/>
          </w:tcPr>
          <w:p w14:paraId="13F1D404" w14:textId="77777777" w:rsidR="0017338D" w:rsidRDefault="00000000">
            <w:pPr>
              <w:spacing w:after="0" w:line="240" w:lineRule="auto"/>
            </w:pPr>
            <w:r>
              <w:rPr>
                <w:sz w:val="16"/>
              </w:rPr>
              <w:t>58.78 ± 2.03</w:t>
            </w:r>
          </w:p>
        </w:tc>
        <w:tc>
          <w:tcPr>
            <w:tcW w:w="1872" w:type="dxa"/>
            <w:vAlign w:val="center"/>
          </w:tcPr>
          <w:p w14:paraId="3F5F56D9" w14:textId="77777777" w:rsidR="0017338D" w:rsidRDefault="00000000">
            <w:pPr>
              <w:spacing w:after="0" w:line="240" w:lineRule="auto"/>
            </w:pPr>
            <w:r>
              <w:rPr>
                <w:sz w:val="16"/>
              </w:rPr>
              <w:t>59.40 ± 2.17</w:t>
            </w:r>
          </w:p>
        </w:tc>
      </w:tr>
      <w:tr w:rsidR="0017338D" w14:paraId="121E73A4" w14:textId="77777777" w:rsidTr="006B45FA">
        <w:trPr>
          <w:jc w:val="center"/>
        </w:trPr>
        <w:tc>
          <w:tcPr>
            <w:tcW w:w="1872" w:type="dxa"/>
            <w:vAlign w:val="center"/>
          </w:tcPr>
          <w:p w14:paraId="05B77B1B" w14:textId="77777777" w:rsidR="0017338D" w:rsidRDefault="00000000">
            <w:pPr>
              <w:spacing w:after="0" w:line="240" w:lineRule="auto"/>
            </w:pPr>
            <w:r>
              <w:rPr>
                <w:sz w:val="16"/>
              </w:rPr>
              <w:t>Male</w:t>
            </w:r>
          </w:p>
        </w:tc>
        <w:tc>
          <w:tcPr>
            <w:tcW w:w="1872" w:type="dxa"/>
            <w:vAlign w:val="center"/>
          </w:tcPr>
          <w:p w14:paraId="6AFA8044" w14:textId="77777777" w:rsidR="0017338D" w:rsidRDefault="00000000">
            <w:pPr>
              <w:spacing w:after="0" w:line="240" w:lineRule="auto"/>
            </w:pPr>
            <w:r>
              <w:rPr>
                <w:sz w:val="16"/>
              </w:rPr>
              <w:t>MCH (</w:t>
            </w:r>
            <w:proofErr w:type="spellStart"/>
            <w:r>
              <w:rPr>
                <w:sz w:val="16"/>
              </w:rPr>
              <w:t>pg</w:t>
            </w:r>
            <w:proofErr w:type="spellEnd"/>
            <w:r>
              <w:rPr>
                <w:sz w:val="16"/>
              </w:rPr>
              <w:t>)</w:t>
            </w:r>
          </w:p>
        </w:tc>
        <w:tc>
          <w:tcPr>
            <w:tcW w:w="1872" w:type="dxa"/>
            <w:vAlign w:val="center"/>
          </w:tcPr>
          <w:p w14:paraId="27179928" w14:textId="77777777" w:rsidR="0017338D" w:rsidRDefault="00000000">
            <w:pPr>
              <w:spacing w:after="0" w:line="240" w:lineRule="auto"/>
            </w:pPr>
            <w:r>
              <w:rPr>
                <w:sz w:val="16"/>
              </w:rPr>
              <w:t>22.30 ± 0.39</w:t>
            </w:r>
          </w:p>
        </w:tc>
        <w:tc>
          <w:tcPr>
            <w:tcW w:w="1872" w:type="dxa"/>
            <w:vAlign w:val="center"/>
          </w:tcPr>
          <w:p w14:paraId="4F5B4F19" w14:textId="77777777" w:rsidR="0017338D" w:rsidRDefault="00000000">
            <w:pPr>
              <w:spacing w:after="0" w:line="240" w:lineRule="auto"/>
            </w:pPr>
            <w:r>
              <w:rPr>
                <w:sz w:val="16"/>
              </w:rPr>
              <w:t>23.00 ± 0.98</w:t>
            </w:r>
          </w:p>
        </w:tc>
        <w:tc>
          <w:tcPr>
            <w:tcW w:w="1872" w:type="dxa"/>
            <w:vAlign w:val="center"/>
          </w:tcPr>
          <w:p w14:paraId="7CF65B6E" w14:textId="77777777" w:rsidR="0017338D" w:rsidRDefault="00000000">
            <w:pPr>
              <w:spacing w:after="0" w:line="240" w:lineRule="auto"/>
            </w:pPr>
            <w:r>
              <w:rPr>
                <w:sz w:val="16"/>
              </w:rPr>
              <w:t>22.62 ± 1.28</w:t>
            </w:r>
          </w:p>
        </w:tc>
      </w:tr>
      <w:tr w:rsidR="0017338D" w14:paraId="595E8DE7" w14:textId="77777777" w:rsidTr="006B45FA">
        <w:trPr>
          <w:jc w:val="center"/>
        </w:trPr>
        <w:tc>
          <w:tcPr>
            <w:tcW w:w="1872" w:type="dxa"/>
            <w:vAlign w:val="center"/>
          </w:tcPr>
          <w:p w14:paraId="3547049D" w14:textId="77777777" w:rsidR="0017338D" w:rsidRDefault="00000000">
            <w:pPr>
              <w:spacing w:after="0" w:line="240" w:lineRule="auto"/>
            </w:pPr>
            <w:r>
              <w:rPr>
                <w:sz w:val="16"/>
              </w:rPr>
              <w:t>Male</w:t>
            </w:r>
          </w:p>
        </w:tc>
        <w:tc>
          <w:tcPr>
            <w:tcW w:w="1872" w:type="dxa"/>
            <w:vAlign w:val="center"/>
          </w:tcPr>
          <w:p w14:paraId="0088D10F" w14:textId="77777777" w:rsidR="0017338D" w:rsidRDefault="00000000">
            <w:pPr>
              <w:spacing w:after="0" w:line="240" w:lineRule="auto"/>
            </w:pPr>
            <w:r>
              <w:rPr>
                <w:sz w:val="16"/>
              </w:rPr>
              <w:t>MCHC (g/dL)</w:t>
            </w:r>
          </w:p>
        </w:tc>
        <w:tc>
          <w:tcPr>
            <w:tcW w:w="1872" w:type="dxa"/>
            <w:vAlign w:val="center"/>
          </w:tcPr>
          <w:p w14:paraId="1BC8CDA5" w14:textId="77777777" w:rsidR="0017338D" w:rsidRDefault="00000000">
            <w:pPr>
              <w:spacing w:after="0" w:line="240" w:lineRule="auto"/>
            </w:pPr>
            <w:r>
              <w:rPr>
                <w:sz w:val="16"/>
              </w:rPr>
              <w:t>38.14 ± 1.22</w:t>
            </w:r>
          </w:p>
        </w:tc>
        <w:tc>
          <w:tcPr>
            <w:tcW w:w="1872" w:type="dxa"/>
            <w:vAlign w:val="center"/>
          </w:tcPr>
          <w:p w14:paraId="0185F855" w14:textId="77777777" w:rsidR="0017338D" w:rsidRDefault="00000000">
            <w:pPr>
              <w:spacing w:after="0" w:line="240" w:lineRule="auto"/>
            </w:pPr>
            <w:r>
              <w:rPr>
                <w:sz w:val="16"/>
              </w:rPr>
              <w:t>39.12 ± 0.65</w:t>
            </w:r>
          </w:p>
        </w:tc>
        <w:tc>
          <w:tcPr>
            <w:tcW w:w="1872" w:type="dxa"/>
            <w:vAlign w:val="center"/>
          </w:tcPr>
          <w:p w14:paraId="0B947524" w14:textId="77777777" w:rsidR="0017338D" w:rsidRDefault="00000000">
            <w:pPr>
              <w:spacing w:after="0" w:line="240" w:lineRule="auto"/>
            </w:pPr>
            <w:r>
              <w:rPr>
                <w:sz w:val="16"/>
              </w:rPr>
              <w:t>38.10 ± 1.03</w:t>
            </w:r>
          </w:p>
        </w:tc>
      </w:tr>
      <w:tr w:rsidR="0017338D" w14:paraId="57CFCD3B" w14:textId="77777777" w:rsidTr="006B45FA">
        <w:trPr>
          <w:jc w:val="center"/>
        </w:trPr>
        <w:tc>
          <w:tcPr>
            <w:tcW w:w="1872" w:type="dxa"/>
            <w:vAlign w:val="center"/>
          </w:tcPr>
          <w:p w14:paraId="1B76BDDF" w14:textId="77777777" w:rsidR="0017338D" w:rsidRDefault="00000000">
            <w:pPr>
              <w:spacing w:after="0" w:line="240" w:lineRule="auto"/>
            </w:pPr>
            <w:r>
              <w:rPr>
                <w:sz w:val="16"/>
              </w:rPr>
              <w:t>Male</w:t>
            </w:r>
          </w:p>
        </w:tc>
        <w:tc>
          <w:tcPr>
            <w:tcW w:w="1872" w:type="dxa"/>
            <w:vAlign w:val="center"/>
          </w:tcPr>
          <w:p w14:paraId="355EDD84" w14:textId="77777777" w:rsidR="0017338D" w:rsidRDefault="00000000">
            <w:pPr>
              <w:spacing w:after="0" w:line="240" w:lineRule="auto"/>
            </w:pPr>
            <w:r>
              <w:rPr>
                <w:sz w:val="16"/>
              </w:rPr>
              <w:t>RDW-CV (%)</w:t>
            </w:r>
          </w:p>
        </w:tc>
        <w:tc>
          <w:tcPr>
            <w:tcW w:w="1872" w:type="dxa"/>
            <w:vAlign w:val="center"/>
          </w:tcPr>
          <w:p w14:paraId="1364F210" w14:textId="77777777" w:rsidR="0017338D" w:rsidRDefault="00000000">
            <w:pPr>
              <w:spacing w:after="0" w:line="240" w:lineRule="auto"/>
            </w:pPr>
            <w:r>
              <w:rPr>
                <w:sz w:val="16"/>
              </w:rPr>
              <w:t>17.68 ± 1.37</w:t>
            </w:r>
          </w:p>
        </w:tc>
        <w:tc>
          <w:tcPr>
            <w:tcW w:w="1872" w:type="dxa"/>
            <w:vAlign w:val="center"/>
          </w:tcPr>
          <w:p w14:paraId="22A712E0" w14:textId="77777777" w:rsidR="0017338D" w:rsidRDefault="00000000">
            <w:pPr>
              <w:spacing w:after="0" w:line="240" w:lineRule="auto"/>
            </w:pPr>
            <w:r>
              <w:rPr>
                <w:sz w:val="16"/>
              </w:rPr>
              <w:t>18.42 ± 1.31</w:t>
            </w:r>
          </w:p>
        </w:tc>
        <w:tc>
          <w:tcPr>
            <w:tcW w:w="1872" w:type="dxa"/>
            <w:vAlign w:val="center"/>
          </w:tcPr>
          <w:p w14:paraId="7E8BE4A7" w14:textId="77777777" w:rsidR="0017338D" w:rsidRDefault="00000000">
            <w:pPr>
              <w:spacing w:after="0" w:line="240" w:lineRule="auto"/>
            </w:pPr>
            <w:r>
              <w:rPr>
                <w:sz w:val="16"/>
              </w:rPr>
              <w:t>17.14 ± 1.04</w:t>
            </w:r>
          </w:p>
        </w:tc>
      </w:tr>
      <w:tr w:rsidR="0017338D" w14:paraId="40BBA8DC" w14:textId="77777777" w:rsidTr="006B45FA">
        <w:trPr>
          <w:jc w:val="center"/>
        </w:trPr>
        <w:tc>
          <w:tcPr>
            <w:tcW w:w="1872" w:type="dxa"/>
            <w:vAlign w:val="center"/>
          </w:tcPr>
          <w:p w14:paraId="5A01464B" w14:textId="77777777" w:rsidR="0017338D" w:rsidRDefault="00000000">
            <w:pPr>
              <w:spacing w:after="0" w:line="240" w:lineRule="auto"/>
            </w:pPr>
            <w:r>
              <w:rPr>
                <w:sz w:val="16"/>
              </w:rPr>
              <w:t>Male</w:t>
            </w:r>
          </w:p>
        </w:tc>
        <w:tc>
          <w:tcPr>
            <w:tcW w:w="1872" w:type="dxa"/>
            <w:vAlign w:val="center"/>
          </w:tcPr>
          <w:p w14:paraId="7DF2A0BB" w14:textId="77777777" w:rsidR="0017338D" w:rsidRDefault="00000000">
            <w:pPr>
              <w:spacing w:after="0" w:line="240" w:lineRule="auto"/>
            </w:pPr>
            <w:r>
              <w:rPr>
                <w:sz w:val="16"/>
              </w:rPr>
              <w:t>RDW-SD (</w:t>
            </w:r>
            <w:proofErr w:type="spellStart"/>
            <w:r>
              <w:rPr>
                <w:sz w:val="16"/>
              </w:rPr>
              <w:t>fL</w:t>
            </w:r>
            <w:proofErr w:type="spellEnd"/>
            <w:r>
              <w:rPr>
                <w:sz w:val="16"/>
              </w:rPr>
              <w:t>)</w:t>
            </w:r>
          </w:p>
        </w:tc>
        <w:tc>
          <w:tcPr>
            <w:tcW w:w="1872" w:type="dxa"/>
            <w:vAlign w:val="center"/>
          </w:tcPr>
          <w:p w14:paraId="600D1EF1" w14:textId="77777777" w:rsidR="0017338D" w:rsidRDefault="00000000">
            <w:pPr>
              <w:spacing w:after="0" w:line="240" w:lineRule="auto"/>
            </w:pPr>
            <w:r>
              <w:rPr>
                <w:sz w:val="16"/>
              </w:rPr>
              <w:t>34.58 ± 2.30</w:t>
            </w:r>
          </w:p>
        </w:tc>
        <w:tc>
          <w:tcPr>
            <w:tcW w:w="1872" w:type="dxa"/>
            <w:vAlign w:val="center"/>
          </w:tcPr>
          <w:p w14:paraId="7268EAE0" w14:textId="77777777" w:rsidR="0017338D" w:rsidRDefault="00000000">
            <w:pPr>
              <w:spacing w:after="0" w:line="240" w:lineRule="auto"/>
            </w:pPr>
            <w:r>
              <w:rPr>
                <w:sz w:val="16"/>
              </w:rPr>
              <w:t>36.22 ± 2.34</w:t>
            </w:r>
          </w:p>
        </w:tc>
        <w:tc>
          <w:tcPr>
            <w:tcW w:w="1872" w:type="dxa"/>
            <w:vAlign w:val="center"/>
          </w:tcPr>
          <w:p w14:paraId="3E077FB9" w14:textId="77777777" w:rsidR="0017338D" w:rsidRDefault="00000000">
            <w:pPr>
              <w:spacing w:after="0" w:line="240" w:lineRule="auto"/>
            </w:pPr>
            <w:r>
              <w:rPr>
                <w:sz w:val="16"/>
              </w:rPr>
              <w:t>33.96 ± 2.35</w:t>
            </w:r>
          </w:p>
        </w:tc>
      </w:tr>
      <w:tr w:rsidR="0017338D" w14:paraId="799C2E53" w14:textId="77777777" w:rsidTr="006B45FA">
        <w:trPr>
          <w:jc w:val="center"/>
        </w:trPr>
        <w:tc>
          <w:tcPr>
            <w:tcW w:w="1872" w:type="dxa"/>
            <w:vAlign w:val="center"/>
          </w:tcPr>
          <w:p w14:paraId="7A49D2CA" w14:textId="77777777" w:rsidR="0017338D" w:rsidRDefault="00000000">
            <w:pPr>
              <w:spacing w:after="0" w:line="240" w:lineRule="auto"/>
            </w:pPr>
            <w:r>
              <w:rPr>
                <w:sz w:val="16"/>
              </w:rPr>
              <w:t>Male</w:t>
            </w:r>
          </w:p>
        </w:tc>
        <w:tc>
          <w:tcPr>
            <w:tcW w:w="1872" w:type="dxa"/>
            <w:vAlign w:val="center"/>
          </w:tcPr>
          <w:p w14:paraId="7D288B89" w14:textId="77777777" w:rsidR="0017338D" w:rsidRDefault="00000000">
            <w:pPr>
              <w:spacing w:after="0" w:line="240" w:lineRule="auto"/>
            </w:pPr>
            <w:r>
              <w:rPr>
                <w:sz w:val="16"/>
              </w:rPr>
              <w:t>Mentzer index</w:t>
            </w:r>
          </w:p>
        </w:tc>
        <w:tc>
          <w:tcPr>
            <w:tcW w:w="1872" w:type="dxa"/>
            <w:vAlign w:val="center"/>
          </w:tcPr>
          <w:p w14:paraId="177E063A" w14:textId="77777777" w:rsidR="0017338D" w:rsidRDefault="00000000">
            <w:pPr>
              <w:spacing w:after="0" w:line="240" w:lineRule="auto"/>
            </w:pPr>
            <w:r>
              <w:rPr>
                <w:sz w:val="16"/>
              </w:rPr>
              <w:t>7.65 ± 1.25</w:t>
            </w:r>
          </w:p>
        </w:tc>
        <w:tc>
          <w:tcPr>
            <w:tcW w:w="1872" w:type="dxa"/>
            <w:vAlign w:val="center"/>
          </w:tcPr>
          <w:p w14:paraId="58C1917F" w14:textId="77777777" w:rsidR="0017338D" w:rsidRDefault="00000000">
            <w:pPr>
              <w:spacing w:after="0" w:line="240" w:lineRule="auto"/>
            </w:pPr>
            <w:r>
              <w:rPr>
                <w:sz w:val="16"/>
              </w:rPr>
              <w:t>7.62 ± 1.16</w:t>
            </w:r>
          </w:p>
        </w:tc>
        <w:tc>
          <w:tcPr>
            <w:tcW w:w="1872" w:type="dxa"/>
            <w:vAlign w:val="center"/>
          </w:tcPr>
          <w:p w14:paraId="14F79858" w14:textId="77777777" w:rsidR="0017338D" w:rsidRDefault="00000000">
            <w:pPr>
              <w:spacing w:after="0" w:line="240" w:lineRule="auto"/>
            </w:pPr>
            <w:r>
              <w:rPr>
                <w:sz w:val="16"/>
              </w:rPr>
              <w:t>7.12 ± 0.83</w:t>
            </w:r>
          </w:p>
        </w:tc>
      </w:tr>
      <w:tr w:rsidR="0017338D" w14:paraId="35937C51" w14:textId="77777777" w:rsidTr="006B45FA">
        <w:trPr>
          <w:jc w:val="center"/>
        </w:trPr>
        <w:tc>
          <w:tcPr>
            <w:tcW w:w="1872" w:type="dxa"/>
            <w:vAlign w:val="center"/>
          </w:tcPr>
          <w:p w14:paraId="77AA157E" w14:textId="77777777" w:rsidR="0017338D" w:rsidRDefault="00000000">
            <w:pPr>
              <w:spacing w:after="0" w:line="240" w:lineRule="auto"/>
            </w:pPr>
            <w:r>
              <w:rPr>
                <w:sz w:val="16"/>
              </w:rPr>
              <w:t>Male</w:t>
            </w:r>
          </w:p>
        </w:tc>
        <w:tc>
          <w:tcPr>
            <w:tcW w:w="1872" w:type="dxa"/>
            <w:vAlign w:val="center"/>
          </w:tcPr>
          <w:p w14:paraId="53077FFA" w14:textId="77777777" w:rsidR="0017338D" w:rsidRDefault="00000000">
            <w:pPr>
              <w:spacing w:after="0" w:line="240" w:lineRule="auto"/>
            </w:pPr>
            <w:r>
              <w:rPr>
                <w:sz w:val="16"/>
              </w:rPr>
              <w:t>RDWI</w:t>
            </w:r>
          </w:p>
        </w:tc>
        <w:tc>
          <w:tcPr>
            <w:tcW w:w="1872" w:type="dxa"/>
            <w:vAlign w:val="center"/>
          </w:tcPr>
          <w:p w14:paraId="61C587BD" w14:textId="77777777" w:rsidR="0017338D" w:rsidRDefault="00000000">
            <w:pPr>
              <w:spacing w:after="0" w:line="240" w:lineRule="auto"/>
            </w:pPr>
            <w:r>
              <w:rPr>
                <w:sz w:val="16"/>
              </w:rPr>
              <w:t>134.69 ± 18.81</w:t>
            </w:r>
          </w:p>
        </w:tc>
        <w:tc>
          <w:tcPr>
            <w:tcW w:w="1872" w:type="dxa"/>
            <w:vAlign w:val="center"/>
          </w:tcPr>
          <w:p w14:paraId="71F54968" w14:textId="77777777" w:rsidR="0017338D" w:rsidRDefault="00000000">
            <w:pPr>
              <w:spacing w:after="0" w:line="240" w:lineRule="auto"/>
            </w:pPr>
            <w:r>
              <w:rPr>
                <w:sz w:val="16"/>
              </w:rPr>
              <w:t>139.49 ± 16.09</w:t>
            </w:r>
          </w:p>
        </w:tc>
        <w:tc>
          <w:tcPr>
            <w:tcW w:w="1872" w:type="dxa"/>
            <w:vAlign w:val="center"/>
          </w:tcPr>
          <w:p w14:paraId="6A0DFC43" w14:textId="77777777" w:rsidR="0017338D" w:rsidRDefault="00000000">
            <w:pPr>
              <w:spacing w:after="0" w:line="240" w:lineRule="auto"/>
            </w:pPr>
            <w:r>
              <w:rPr>
                <w:sz w:val="16"/>
              </w:rPr>
              <w:t>121.88 ± 16.51</w:t>
            </w:r>
          </w:p>
        </w:tc>
      </w:tr>
      <w:tr w:rsidR="0017338D" w14:paraId="08B245F7" w14:textId="77777777" w:rsidTr="006B45FA">
        <w:trPr>
          <w:jc w:val="center"/>
        </w:trPr>
        <w:tc>
          <w:tcPr>
            <w:tcW w:w="1872" w:type="dxa"/>
            <w:vAlign w:val="center"/>
          </w:tcPr>
          <w:p w14:paraId="7615116E" w14:textId="77777777" w:rsidR="0017338D" w:rsidRDefault="00000000">
            <w:pPr>
              <w:spacing w:after="0" w:line="240" w:lineRule="auto"/>
            </w:pPr>
            <w:r>
              <w:rPr>
                <w:sz w:val="16"/>
              </w:rPr>
              <w:t>Male</w:t>
            </w:r>
          </w:p>
        </w:tc>
        <w:tc>
          <w:tcPr>
            <w:tcW w:w="1872" w:type="dxa"/>
            <w:vAlign w:val="center"/>
          </w:tcPr>
          <w:p w14:paraId="214A9948" w14:textId="77777777" w:rsidR="0017338D" w:rsidRDefault="00000000">
            <w:pPr>
              <w:spacing w:after="0" w:line="240" w:lineRule="auto"/>
            </w:pPr>
            <w:r>
              <w:rPr>
                <w:sz w:val="16"/>
              </w:rPr>
              <w:t>WBC (10^3/µL)</w:t>
            </w:r>
          </w:p>
        </w:tc>
        <w:tc>
          <w:tcPr>
            <w:tcW w:w="1872" w:type="dxa"/>
            <w:vAlign w:val="center"/>
          </w:tcPr>
          <w:p w14:paraId="45E71D6C" w14:textId="77777777" w:rsidR="0017338D" w:rsidRDefault="00000000">
            <w:pPr>
              <w:spacing w:after="0" w:line="240" w:lineRule="auto"/>
            </w:pPr>
            <w:r>
              <w:rPr>
                <w:sz w:val="16"/>
              </w:rPr>
              <w:t>15.53 ± 4.35</w:t>
            </w:r>
          </w:p>
        </w:tc>
        <w:tc>
          <w:tcPr>
            <w:tcW w:w="1872" w:type="dxa"/>
            <w:vAlign w:val="center"/>
          </w:tcPr>
          <w:p w14:paraId="4E608FE6" w14:textId="77777777" w:rsidR="0017338D" w:rsidRDefault="00000000">
            <w:pPr>
              <w:spacing w:after="0" w:line="240" w:lineRule="auto"/>
            </w:pPr>
            <w:r>
              <w:rPr>
                <w:sz w:val="16"/>
              </w:rPr>
              <w:t>18.64 ± 5.12</w:t>
            </w:r>
          </w:p>
        </w:tc>
        <w:tc>
          <w:tcPr>
            <w:tcW w:w="1872" w:type="dxa"/>
            <w:vAlign w:val="center"/>
          </w:tcPr>
          <w:p w14:paraId="697D5853" w14:textId="77777777" w:rsidR="0017338D" w:rsidRDefault="00000000">
            <w:pPr>
              <w:spacing w:after="0" w:line="240" w:lineRule="auto"/>
            </w:pPr>
            <w:r>
              <w:rPr>
                <w:sz w:val="16"/>
              </w:rPr>
              <w:t>14.94 ± 5.90</w:t>
            </w:r>
          </w:p>
        </w:tc>
      </w:tr>
      <w:tr w:rsidR="0017338D" w14:paraId="071BA23E" w14:textId="77777777" w:rsidTr="006B45FA">
        <w:trPr>
          <w:jc w:val="center"/>
        </w:trPr>
        <w:tc>
          <w:tcPr>
            <w:tcW w:w="1872" w:type="dxa"/>
            <w:vAlign w:val="center"/>
          </w:tcPr>
          <w:p w14:paraId="3A32D817" w14:textId="77777777" w:rsidR="0017338D" w:rsidRDefault="00000000">
            <w:pPr>
              <w:spacing w:after="0" w:line="240" w:lineRule="auto"/>
            </w:pPr>
            <w:r>
              <w:rPr>
                <w:sz w:val="16"/>
              </w:rPr>
              <w:t>Male</w:t>
            </w:r>
          </w:p>
        </w:tc>
        <w:tc>
          <w:tcPr>
            <w:tcW w:w="1872" w:type="dxa"/>
            <w:vAlign w:val="center"/>
          </w:tcPr>
          <w:p w14:paraId="4B98CF82" w14:textId="77777777" w:rsidR="0017338D" w:rsidRDefault="00000000">
            <w:pPr>
              <w:spacing w:after="0" w:line="240" w:lineRule="auto"/>
            </w:pPr>
            <w:r>
              <w:rPr>
                <w:sz w:val="16"/>
              </w:rPr>
              <w:t>Lym (%)</w:t>
            </w:r>
          </w:p>
        </w:tc>
        <w:tc>
          <w:tcPr>
            <w:tcW w:w="1872" w:type="dxa"/>
            <w:vAlign w:val="center"/>
          </w:tcPr>
          <w:p w14:paraId="405D904F" w14:textId="77777777" w:rsidR="0017338D" w:rsidRDefault="00000000">
            <w:pPr>
              <w:spacing w:after="0" w:line="240" w:lineRule="auto"/>
            </w:pPr>
            <w:r>
              <w:rPr>
                <w:sz w:val="16"/>
              </w:rPr>
              <w:t>93.96 ± 3.11</w:t>
            </w:r>
          </w:p>
        </w:tc>
        <w:tc>
          <w:tcPr>
            <w:tcW w:w="1872" w:type="dxa"/>
            <w:vAlign w:val="center"/>
          </w:tcPr>
          <w:p w14:paraId="6075F79F" w14:textId="77777777" w:rsidR="0017338D" w:rsidRDefault="00000000">
            <w:pPr>
              <w:spacing w:after="0" w:line="240" w:lineRule="auto"/>
            </w:pPr>
            <w:r>
              <w:rPr>
                <w:sz w:val="16"/>
              </w:rPr>
              <w:t>89.82 ± 11.47</w:t>
            </w:r>
          </w:p>
        </w:tc>
        <w:tc>
          <w:tcPr>
            <w:tcW w:w="1872" w:type="dxa"/>
            <w:vAlign w:val="center"/>
          </w:tcPr>
          <w:p w14:paraId="28A96F32" w14:textId="77777777" w:rsidR="0017338D" w:rsidRDefault="00000000">
            <w:pPr>
              <w:spacing w:after="0" w:line="240" w:lineRule="auto"/>
            </w:pPr>
            <w:r>
              <w:rPr>
                <w:sz w:val="16"/>
              </w:rPr>
              <w:t>94.34 ± 2.54</w:t>
            </w:r>
          </w:p>
        </w:tc>
      </w:tr>
      <w:tr w:rsidR="0017338D" w14:paraId="3B80B946" w14:textId="77777777" w:rsidTr="006B45FA">
        <w:trPr>
          <w:jc w:val="center"/>
        </w:trPr>
        <w:tc>
          <w:tcPr>
            <w:tcW w:w="1872" w:type="dxa"/>
            <w:vAlign w:val="center"/>
          </w:tcPr>
          <w:p w14:paraId="4A2BC62A" w14:textId="77777777" w:rsidR="0017338D" w:rsidRDefault="00000000">
            <w:pPr>
              <w:spacing w:after="0" w:line="240" w:lineRule="auto"/>
            </w:pPr>
            <w:r>
              <w:rPr>
                <w:sz w:val="16"/>
              </w:rPr>
              <w:t>Male</w:t>
            </w:r>
          </w:p>
        </w:tc>
        <w:tc>
          <w:tcPr>
            <w:tcW w:w="1872" w:type="dxa"/>
            <w:vAlign w:val="center"/>
          </w:tcPr>
          <w:p w14:paraId="0C5E2874" w14:textId="77777777" w:rsidR="0017338D" w:rsidRDefault="00000000">
            <w:pPr>
              <w:spacing w:after="0" w:line="240" w:lineRule="auto"/>
            </w:pPr>
            <w:r>
              <w:rPr>
                <w:sz w:val="16"/>
              </w:rPr>
              <w:t>Gran (%)</w:t>
            </w:r>
          </w:p>
        </w:tc>
        <w:tc>
          <w:tcPr>
            <w:tcW w:w="1872" w:type="dxa"/>
            <w:vAlign w:val="center"/>
          </w:tcPr>
          <w:p w14:paraId="1342B2E6" w14:textId="77777777" w:rsidR="0017338D" w:rsidRDefault="00000000">
            <w:pPr>
              <w:spacing w:after="0" w:line="240" w:lineRule="auto"/>
            </w:pPr>
            <w:r>
              <w:rPr>
                <w:sz w:val="16"/>
              </w:rPr>
              <w:t>1.44 ± 0.94</w:t>
            </w:r>
          </w:p>
        </w:tc>
        <w:tc>
          <w:tcPr>
            <w:tcW w:w="1872" w:type="dxa"/>
            <w:vAlign w:val="center"/>
          </w:tcPr>
          <w:p w14:paraId="00D5E359" w14:textId="77777777" w:rsidR="0017338D" w:rsidRDefault="00000000">
            <w:pPr>
              <w:spacing w:after="0" w:line="240" w:lineRule="auto"/>
            </w:pPr>
            <w:r>
              <w:rPr>
                <w:sz w:val="16"/>
              </w:rPr>
              <w:t>3.34 ± 4.65</w:t>
            </w:r>
          </w:p>
        </w:tc>
        <w:tc>
          <w:tcPr>
            <w:tcW w:w="1872" w:type="dxa"/>
            <w:vAlign w:val="center"/>
          </w:tcPr>
          <w:p w14:paraId="287F6CE1" w14:textId="77777777" w:rsidR="0017338D" w:rsidRDefault="00000000">
            <w:pPr>
              <w:spacing w:after="0" w:line="240" w:lineRule="auto"/>
            </w:pPr>
            <w:r>
              <w:rPr>
                <w:sz w:val="16"/>
              </w:rPr>
              <w:t>1.58 ± 0.80</w:t>
            </w:r>
          </w:p>
        </w:tc>
      </w:tr>
      <w:tr w:rsidR="0017338D" w14:paraId="01FD7BAB" w14:textId="77777777" w:rsidTr="006B45FA">
        <w:trPr>
          <w:jc w:val="center"/>
        </w:trPr>
        <w:tc>
          <w:tcPr>
            <w:tcW w:w="1872" w:type="dxa"/>
            <w:vAlign w:val="center"/>
          </w:tcPr>
          <w:p w14:paraId="545086FC" w14:textId="77777777" w:rsidR="0017338D" w:rsidRDefault="00000000">
            <w:pPr>
              <w:spacing w:after="0" w:line="240" w:lineRule="auto"/>
            </w:pPr>
            <w:r>
              <w:rPr>
                <w:sz w:val="16"/>
              </w:rPr>
              <w:t>Male</w:t>
            </w:r>
          </w:p>
        </w:tc>
        <w:tc>
          <w:tcPr>
            <w:tcW w:w="1872" w:type="dxa"/>
            <w:vAlign w:val="center"/>
          </w:tcPr>
          <w:p w14:paraId="30575DE5" w14:textId="77777777" w:rsidR="0017338D" w:rsidRDefault="00000000">
            <w:pPr>
              <w:spacing w:after="0" w:line="240" w:lineRule="auto"/>
            </w:pPr>
            <w:r>
              <w:rPr>
                <w:sz w:val="16"/>
              </w:rPr>
              <w:t>Mid (%)</w:t>
            </w:r>
          </w:p>
        </w:tc>
        <w:tc>
          <w:tcPr>
            <w:tcW w:w="1872" w:type="dxa"/>
            <w:vAlign w:val="center"/>
          </w:tcPr>
          <w:p w14:paraId="22B9E6B2" w14:textId="77777777" w:rsidR="0017338D" w:rsidRDefault="00000000">
            <w:pPr>
              <w:spacing w:after="0" w:line="240" w:lineRule="auto"/>
            </w:pPr>
            <w:r>
              <w:rPr>
                <w:sz w:val="16"/>
              </w:rPr>
              <w:t>4.60 ± 2.19</w:t>
            </w:r>
          </w:p>
        </w:tc>
        <w:tc>
          <w:tcPr>
            <w:tcW w:w="1872" w:type="dxa"/>
            <w:vAlign w:val="center"/>
          </w:tcPr>
          <w:p w14:paraId="50D3FF99" w14:textId="77777777" w:rsidR="0017338D" w:rsidRDefault="00000000">
            <w:pPr>
              <w:spacing w:after="0" w:line="240" w:lineRule="auto"/>
            </w:pPr>
            <w:r>
              <w:rPr>
                <w:sz w:val="16"/>
              </w:rPr>
              <w:t>6.84 ± 6.86</w:t>
            </w:r>
          </w:p>
        </w:tc>
        <w:tc>
          <w:tcPr>
            <w:tcW w:w="1872" w:type="dxa"/>
            <w:vAlign w:val="center"/>
          </w:tcPr>
          <w:p w14:paraId="70016E9D" w14:textId="77777777" w:rsidR="0017338D" w:rsidRDefault="00000000">
            <w:pPr>
              <w:spacing w:after="0" w:line="240" w:lineRule="auto"/>
            </w:pPr>
            <w:r>
              <w:rPr>
                <w:sz w:val="16"/>
              </w:rPr>
              <w:t>4.08 ± 1.75</w:t>
            </w:r>
          </w:p>
        </w:tc>
      </w:tr>
      <w:tr w:rsidR="0017338D" w14:paraId="6FF01439" w14:textId="77777777" w:rsidTr="006B45FA">
        <w:trPr>
          <w:jc w:val="center"/>
        </w:trPr>
        <w:tc>
          <w:tcPr>
            <w:tcW w:w="1872" w:type="dxa"/>
            <w:vAlign w:val="center"/>
          </w:tcPr>
          <w:p w14:paraId="747E01B2" w14:textId="77777777" w:rsidR="0017338D" w:rsidRDefault="00000000">
            <w:pPr>
              <w:spacing w:after="0" w:line="240" w:lineRule="auto"/>
            </w:pPr>
            <w:r>
              <w:rPr>
                <w:sz w:val="16"/>
              </w:rPr>
              <w:t>Male</w:t>
            </w:r>
          </w:p>
        </w:tc>
        <w:tc>
          <w:tcPr>
            <w:tcW w:w="1872" w:type="dxa"/>
            <w:vAlign w:val="center"/>
          </w:tcPr>
          <w:p w14:paraId="2113FACF" w14:textId="77777777" w:rsidR="0017338D" w:rsidRDefault="00000000">
            <w:pPr>
              <w:spacing w:after="0" w:line="240" w:lineRule="auto"/>
            </w:pPr>
            <w:r>
              <w:rPr>
                <w:sz w:val="16"/>
              </w:rPr>
              <w:t>Lym (10^9/L)</w:t>
            </w:r>
          </w:p>
        </w:tc>
        <w:tc>
          <w:tcPr>
            <w:tcW w:w="1872" w:type="dxa"/>
            <w:vAlign w:val="center"/>
          </w:tcPr>
          <w:p w14:paraId="1689AC65" w14:textId="77777777" w:rsidR="0017338D" w:rsidRDefault="00000000">
            <w:pPr>
              <w:spacing w:after="0" w:line="240" w:lineRule="auto"/>
            </w:pPr>
            <w:r>
              <w:rPr>
                <w:sz w:val="16"/>
              </w:rPr>
              <w:t>14.53 ± 3.91</w:t>
            </w:r>
          </w:p>
        </w:tc>
        <w:tc>
          <w:tcPr>
            <w:tcW w:w="1872" w:type="dxa"/>
            <w:vAlign w:val="center"/>
          </w:tcPr>
          <w:p w14:paraId="3AA76653" w14:textId="77777777" w:rsidR="0017338D" w:rsidRDefault="00000000">
            <w:pPr>
              <w:spacing w:after="0" w:line="240" w:lineRule="auto"/>
            </w:pPr>
            <w:r>
              <w:rPr>
                <w:sz w:val="16"/>
              </w:rPr>
              <w:t>16.33 ± 2.78</w:t>
            </w:r>
          </w:p>
        </w:tc>
        <w:tc>
          <w:tcPr>
            <w:tcW w:w="1872" w:type="dxa"/>
            <w:vAlign w:val="center"/>
          </w:tcPr>
          <w:p w14:paraId="430D4A81" w14:textId="77777777" w:rsidR="0017338D" w:rsidRDefault="00000000">
            <w:pPr>
              <w:spacing w:after="0" w:line="240" w:lineRule="auto"/>
            </w:pPr>
            <w:r>
              <w:rPr>
                <w:sz w:val="16"/>
              </w:rPr>
              <w:t>14.12 ± 5.32</w:t>
            </w:r>
          </w:p>
        </w:tc>
      </w:tr>
      <w:tr w:rsidR="0017338D" w14:paraId="64CB0873" w14:textId="77777777" w:rsidTr="006B45FA">
        <w:trPr>
          <w:jc w:val="center"/>
        </w:trPr>
        <w:tc>
          <w:tcPr>
            <w:tcW w:w="1872" w:type="dxa"/>
            <w:vAlign w:val="center"/>
          </w:tcPr>
          <w:p w14:paraId="6844B4FB" w14:textId="77777777" w:rsidR="0017338D" w:rsidRDefault="00000000">
            <w:pPr>
              <w:spacing w:after="0" w:line="240" w:lineRule="auto"/>
            </w:pPr>
            <w:r>
              <w:rPr>
                <w:sz w:val="16"/>
              </w:rPr>
              <w:lastRenderedPageBreak/>
              <w:t>Male</w:t>
            </w:r>
          </w:p>
        </w:tc>
        <w:tc>
          <w:tcPr>
            <w:tcW w:w="1872" w:type="dxa"/>
            <w:vAlign w:val="center"/>
          </w:tcPr>
          <w:p w14:paraId="2EDFFF24" w14:textId="77777777" w:rsidR="0017338D" w:rsidRDefault="00000000">
            <w:pPr>
              <w:spacing w:after="0" w:line="240" w:lineRule="auto"/>
            </w:pPr>
            <w:r>
              <w:rPr>
                <w:sz w:val="16"/>
              </w:rPr>
              <w:t>Gran (10^9/L)</w:t>
            </w:r>
          </w:p>
        </w:tc>
        <w:tc>
          <w:tcPr>
            <w:tcW w:w="1872" w:type="dxa"/>
            <w:vAlign w:val="center"/>
          </w:tcPr>
          <w:p w14:paraId="624BC884" w14:textId="77777777" w:rsidR="0017338D" w:rsidRDefault="00000000">
            <w:pPr>
              <w:spacing w:after="0" w:line="240" w:lineRule="auto"/>
            </w:pPr>
            <w:r>
              <w:rPr>
                <w:sz w:val="16"/>
              </w:rPr>
              <w:t>0.24 ± 0.18</w:t>
            </w:r>
          </w:p>
        </w:tc>
        <w:tc>
          <w:tcPr>
            <w:tcW w:w="1872" w:type="dxa"/>
            <w:vAlign w:val="center"/>
          </w:tcPr>
          <w:p w14:paraId="105851E3" w14:textId="77777777" w:rsidR="0017338D" w:rsidRDefault="00000000">
            <w:pPr>
              <w:spacing w:after="0" w:line="240" w:lineRule="auto"/>
            </w:pPr>
            <w:r>
              <w:rPr>
                <w:sz w:val="16"/>
              </w:rPr>
              <w:t>0.78 ± 1.25</w:t>
            </w:r>
          </w:p>
        </w:tc>
        <w:tc>
          <w:tcPr>
            <w:tcW w:w="1872" w:type="dxa"/>
            <w:vAlign w:val="center"/>
          </w:tcPr>
          <w:p w14:paraId="274A3474" w14:textId="77777777" w:rsidR="0017338D" w:rsidRDefault="00000000">
            <w:pPr>
              <w:spacing w:after="0" w:line="240" w:lineRule="auto"/>
            </w:pPr>
            <w:r>
              <w:rPr>
                <w:sz w:val="16"/>
              </w:rPr>
              <w:t>0.23 ± 0.19</w:t>
            </w:r>
          </w:p>
        </w:tc>
      </w:tr>
      <w:tr w:rsidR="0017338D" w14:paraId="14253B0B" w14:textId="77777777" w:rsidTr="006B45FA">
        <w:trPr>
          <w:jc w:val="center"/>
        </w:trPr>
        <w:tc>
          <w:tcPr>
            <w:tcW w:w="1872" w:type="dxa"/>
            <w:vAlign w:val="center"/>
          </w:tcPr>
          <w:p w14:paraId="5C101A76" w14:textId="77777777" w:rsidR="0017338D" w:rsidRDefault="00000000">
            <w:pPr>
              <w:spacing w:after="0" w:line="240" w:lineRule="auto"/>
            </w:pPr>
            <w:r>
              <w:rPr>
                <w:sz w:val="16"/>
              </w:rPr>
              <w:t>Male</w:t>
            </w:r>
          </w:p>
        </w:tc>
        <w:tc>
          <w:tcPr>
            <w:tcW w:w="1872" w:type="dxa"/>
            <w:vAlign w:val="center"/>
          </w:tcPr>
          <w:p w14:paraId="70D41647" w14:textId="77777777" w:rsidR="0017338D" w:rsidRDefault="00000000">
            <w:pPr>
              <w:spacing w:after="0" w:line="240" w:lineRule="auto"/>
            </w:pPr>
            <w:r>
              <w:rPr>
                <w:sz w:val="16"/>
              </w:rPr>
              <w:t>Mid (10^9/L)</w:t>
            </w:r>
          </w:p>
        </w:tc>
        <w:tc>
          <w:tcPr>
            <w:tcW w:w="1872" w:type="dxa"/>
            <w:vAlign w:val="center"/>
          </w:tcPr>
          <w:p w14:paraId="136793D6" w14:textId="77777777" w:rsidR="0017338D" w:rsidRDefault="00000000">
            <w:pPr>
              <w:spacing w:after="0" w:line="240" w:lineRule="auto"/>
            </w:pPr>
            <w:r>
              <w:rPr>
                <w:sz w:val="16"/>
              </w:rPr>
              <w:t>0.75 ± 0.46</w:t>
            </w:r>
          </w:p>
        </w:tc>
        <w:tc>
          <w:tcPr>
            <w:tcW w:w="1872" w:type="dxa"/>
            <w:vAlign w:val="center"/>
          </w:tcPr>
          <w:p w14:paraId="079F3DE8" w14:textId="77777777" w:rsidR="0017338D" w:rsidRDefault="00000000">
            <w:pPr>
              <w:spacing w:after="0" w:line="240" w:lineRule="auto"/>
            </w:pPr>
            <w:r>
              <w:rPr>
                <w:sz w:val="16"/>
              </w:rPr>
              <w:t>1.52 ± 1.88</w:t>
            </w:r>
          </w:p>
        </w:tc>
        <w:tc>
          <w:tcPr>
            <w:tcW w:w="1872" w:type="dxa"/>
            <w:vAlign w:val="center"/>
          </w:tcPr>
          <w:p w14:paraId="03169380" w14:textId="77777777" w:rsidR="0017338D" w:rsidRDefault="00000000">
            <w:pPr>
              <w:spacing w:after="0" w:line="240" w:lineRule="auto"/>
            </w:pPr>
            <w:r>
              <w:rPr>
                <w:sz w:val="16"/>
              </w:rPr>
              <w:t>0.59 ± 0.47</w:t>
            </w:r>
          </w:p>
        </w:tc>
      </w:tr>
      <w:tr w:rsidR="0017338D" w14:paraId="1D0B929F" w14:textId="77777777" w:rsidTr="006B45FA">
        <w:trPr>
          <w:jc w:val="center"/>
        </w:trPr>
        <w:tc>
          <w:tcPr>
            <w:tcW w:w="1872" w:type="dxa"/>
            <w:vAlign w:val="center"/>
          </w:tcPr>
          <w:p w14:paraId="7356C88C" w14:textId="77777777" w:rsidR="0017338D" w:rsidRDefault="00000000">
            <w:pPr>
              <w:spacing w:after="0" w:line="240" w:lineRule="auto"/>
            </w:pPr>
            <w:r>
              <w:rPr>
                <w:sz w:val="16"/>
              </w:rPr>
              <w:t>Male</w:t>
            </w:r>
          </w:p>
        </w:tc>
        <w:tc>
          <w:tcPr>
            <w:tcW w:w="1872" w:type="dxa"/>
            <w:vAlign w:val="center"/>
          </w:tcPr>
          <w:p w14:paraId="63589280" w14:textId="77777777" w:rsidR="0017338D" w:rsidRDefault="00000000">
            <w:pPr>
              <w:spacing w:after="0" w:line="240" w:lineRule="auto"/>
            </w:pPr>
            <w:r>
              <w:rPr>
                <w:sz w:val="16"/>
              </w:rPr>
              <w:t>PLT (10^3/µL)</w:t>
            </w:r>
          </w:p>
        </w:tc>
        <w:tc>
          <w:tcPr>
            <w:tcW w:w="1872" w:type="dxa"/>
            <w:vAlign w:val="center"/>
          </w:tcPr>
          <w:p w14:paraId="57F92B37" w14:textId="77777777" w:rsidR="0017338D" w:rsidRDefault="00000000">
            <w:pPr>
              <w:spacing w:after="0" w:line="240" w:lineRule="auto"/>
            </w:pPr>
            <w:r>
              <w:rPr>
                <w:sz w:val="16"/>
              </w:rPr>
              <w:t>847.20 ± 257.22</w:t>
            </w:r>
          </w:p>
        </w:tc>
        <w:tc>
          <w:tcPr>
            <w:tcW w:w="1872" w:type="dxa"/>
            <w:vAlign w:val="center"/>
          </w:tcPr>
          <w:p w14:paraId="0CFBBA58" w14:textId="77777777" w:rsidR="0017338D" w:rsidRDefault="00000000">
            <w:pPr>
              <w:spacing w:after="0" w:line="240" w:lineRule="auto"/>
            </w:pPr>
            <w:r>
              <w:rPr>
                <w:sz w:val="16"/>
              </w:rPr>
              <w:t>1030.00 ± 102.41</w:t>
            </w:r>
          </w:p>
        </w:tc>
        <w:tc>
          <w:tcPr>
            <w:tcW w:w="1872" w:type="dxa"/>
            <w:vAlign w:val="center"/>
          </w:tcPr>
          <w:p w14:paraId="302881E2" w14:textId="77777777" w:rsidR="0017338D" w:rsidRDefault="00000000">
            <w:pPr>
              <w:spacing w:after="0" w:line="240" w:lineRule="auto"/>
            </w:pPr>
            <w:r>
              <w:rPr>
                <w:sz w:val="16"/>
              </w:rPr>
              <w:t>968.00 ± 99.80</w:t>
            </w:r>
          </w:p>
        </w:tc>
      </w:tr>
      <w:tr w:rsidR="0017338D" w14:paraId="70AA1EFD" w14:textId="77777777" w:rsidTr="006B45FA">
        <w:trPr>
          <w:jc w:val="center"/>
        </w:trPr>
        <w:tc>
          <w:tcPr>
            <w:tcW w:w="1872" w:type="dxa"/>
            <w:vAlign w:val="center"/>
          </w:tcPr>
          <w:p w14:paraId="6004973B" w14:textId="77777777" w:rsidR="0017338D" w:rsidRDefault="00000000">
            <w:pPr>
              <w:spacing w:after="0" w:line="240" w:lineRule="auto"/>
            </w:pPr>
            <w:r>
              <w:rPr>
                <w:sz w:val="16"/>
              </w:rPr>
              <w:t>Male</w:t>
            </w:r>
          </w:p>
        </w:tc>
        <w:tc>
          <w:tcPr>
            <w:tcW w:w="1872" w:type="dxa"/>
            <w:vAlign w:val="center"/>
          </w:tcPr>
          <w:p w14:paraId="2B2A987D" w14:textId="77777777" w:rsidR="0017338D" w:rsidRDefault="00000000">
            <w:pPr>
              <w:spacing w:after="0" w:line="240" w:lineRule="auto"/>
            </w:pPr>
            <w:r>
              <w:rPr>
                <w:sz w:val="16"/>
              </w:rPr>
              <w:t>MPV (</w:t>
            </w:r>
            <w:proofErr w:type="spellStart"/>
            <w:r>
              <w:rPr>
                <w:sz w:val="16"/>
              </w:rPr>
              <w:t>fL</w:t>
            </w:r>
            <w:proofErr w:type="spellEnd"/>
            <w:r>
              <w:rPr>
                <w:sz w:val="16"/>
              </w:rPr>
              <w:t>)</w:t>
            </w:r>
          </w:p>
        </w:tc>
        <w:tc>
          <w:tcPr>
            <w:tcW w:w="1872" w:type="dxa"/>
            <w:vAlign w:val="center"/>
          </w:tcPr>
          <w:p w14:paraId="1C28B606" w14:textId="77777777" w:rsidR="0017338D" w:rsidRDefault="00000000">
            <w:pPr>
              <w:spacing w:after="0" w:line="240" w:lineRule="auto"/>
            </w:pPr>
            <w:r>
              <w:rPr>
                <w:sz w:val="16"/>
              </w:rPr>
              <w:t>7.00 ± 0.23</w:t>
            </w:r>
          </w:p>
        </w:tc>
        <w:tc>
          <w:tcPr>
            <w:tcW w:w="1872" w:type="dxa"/>
            <w:vAlign w:val="center"/>
          </w:tcPr>
          <w:p w14:paraId="60DBCA03" w14:textId="77777777" w:rsidR="0017338D" w:rsidRDefault="00000000">
            <w:pPr>
              <w:spacing w:after="0" w:line="240" w:lineRule="auto"/>
            </w:pPr>
            <w:r>
              <w:rPr>
                <w:sz w:val="16"/>
              </w:rPr>
              <w:t>6.98 ± 0.31</w:t>
            </w:r>
          </w:p>
        </w:tc>
        <w:tc>
          <w:tcPr>
            <w:tcW w:w="1872" w:type="dxa"/>
            <w:vAlign w:val="center"/>
          </w:tcPr>
          <w:p w14:paraId="6AE1BA04" w14:textId="77777777" w:rsidR="0017338D" w:rsidRDefault="00000000">
            <w:pPr>
              <w:spacing w:after="0" w:line="240" w:lineRule="auto"/>
            </w:pPr>
            <w:r>
              <w:rPr>
                <w:sz w:val="16"/>
              </w:rPr>
              <w:t>7.10 ± 0.39</w:t>
            </w:r>
          </w:p>
        </w:tc>
      </w:tr>
      <w:tr w:rsidR="0017338D" w14:paraId="31792283" w14:textId="77777777" w:rsidTr="006B45FA">
        <w:trPr>
          <w:jc w:val="center"/>
        </w:trPr>
        <w:tc>
          <w:tcPr>
            <w:tcW w:w="1872" w:type="dxa"/>
            <w:vAlign w:val="center"/>
          </w:tcPr>
          <w:p w14:paraId="4973D3B5" w14:textId="77777777" w:rsidR="0017338D" w:rsidRDefault="00000000">
            <w:pPr>
              <w:spacing w:after="0" w:line="240" w:lineRule="auto"/>
            </w:pPr>
            <w:r>
              <w:rPr>
                <w:sz w:val="16"/>
              </w:rPr>
              <w:t>Male</w:t>
            </w:r>
          </w:p>
        </w:tc>
        <w:tc>
          <w:tcPr>
            <w:tcW w:w="1872" w:type="dxa"/>
            <w:vAlign w:val="center"/>
          </w:tcPr>
          <w:p w14:paraId="7B8DB412" w14:textId="77777777" w:rsidR="0017338D" w:rsidRDefault="00000000">
            <w:pPr>
              <w:spacing w:after="0" w:line="240" w:lineRule="auto"/>
            </w:pPr>
            <w:r>
              <w:rPr>
                <w:sz w:val="16"/>
              </w:rPr>
              <w:t>PDW (%)</w:t>
            </w:r>
          </w:p>
        </w:tc>
        <w:tc>
          <w:tcPr>
            <w:tcW w:w="1872" w:type="dxa"/>
            <w:vAlign w:val="center"/>
          </w:tcPr>
          <w:p w14:paraId="06421745" w14:textId="77777777" w:rsidR="0017338D" w:rsidRDefault="00000000">
            <w:pPr>
              <w:spacing w:after="0" w:line="240" w:lineRule="auto"/>
            </w:pPr>
            <w:r>
              <w:rPr>
                <w:sz w:val="16"/>
              </w:rPr>
              <w:t>7.94 ± 0.44</w:t>
            </w:r>
          </w:p>
        </w:tc>
        <w:tc>
          <w:tcPr>
            <w:tcW w:w="1872" w:type="dxa"/>
            <w:vAlign w:val="center"/>
          </w:tcPr>
          <w:p w14:paraId="308367F1" w14:textId="77777777" w:rsidR="0017338D" w:rsidRDefault="00000000">
            <w:pPr>
              <w:spacing w:after="0" w:line="240" w:lineRule="auto"/>
            </w:pPr>
            <w:r>
              <w:rPr>
                <w:sz w:val="16"/>
              </w:rPr>
              <w:t>7.44 ± 0.92</w:t>
            </w:r>
          </w:p>
        </w:tc>
        <w:tc>
          <w:tcPr>
            <w:tcW w:w="1872" w:type="dxa"/>
            <w:vAlign w:val="center"/>
          </w:tcPr>
          <w:p w14:paraId="3C375308" w14:textId="77777777" w:rsidR="0017338D" w:rsidRDefault="00000000">
            <w:pPr>
              <w:spacing w:after="0" w:line="240" w:lineRule="auto"/>
            </w:pPr>
            <w:r>
              <w:rPr>
                <w:sz w:val="16"/>
              </w:rPr>
              <w:t>7.92 ± 0.45</w:t>
            </w:r>
          </w:p>
        </w:tc>
      </w:tr>
      <w:tr w:rsidR="0017338D" w14:paraId="58D77627" w14:textId="77777777" w:rsidTr="006B45FA">
        <w:trPr>
          <w:jc w:val="center"/>
        </w:trPr>
        <w:tc>
          <w:tcPr>
            <w:tcW w:w="1872" w:type="dxa"/>
            <w:vAlign w:val="center"/>
          </w:tcPr>
          <w:p w14:paraId="0F2DD5CF" w14:textId="77777777" w:rsidR="0017338D" w:rsidRDefault="00000000">
            <w:pPr>
              <w:spacing w:after="0" w:line="240" w:lineRule="auto"/>
            </w:pPr>
            <w:r>
              <w:rPr>
                <w:sz w:val="16"/>
              </w:rPr>
              <w:t>Male</w:t>
            </w:r>
          </w:p>
        </w:tc>
        <w:tc>
          <w:tcPr>
            <w:tcW w:w="1872" w:type="dxa"/>
            <w:vAlign w:val="center"/>
          </w:tcPr>
          <w:p w14:paraId="6C700DFC" w14:textId="77777777" w:rsidR="0017338D" w:rsidRDefault="00000000">
            <w:pPr>
              <w:spacing w:after="0" w:line="240" w:lineRule="auto"/>
            </w:pPr>
            <w:r>
              <w:rPr>
                <w:sz w:val="16"/>
              </w:rPr>
              <w:t>PCT (%)</w:t>
            </w:r>
          </w:p>
        </w:tc>
        <w:tc>
          <w:tcPr>
            <w:tcW w:w="1872" w:type="dxa"/>
            <w:vAlign w:val="center"/>
          </w:tcPr>
          <w:p w14:paraId="21D567B2" w14:textId="77777777" w:rsidR="0017338D" w:rsidRDefault="00000000">
            <w:pPr>
              <w:spacing w:after="0" w:line="240" w:lineRule="auto"/>
            </w:pPr>
            <w:r>
              <w:rPr>
                <w:sz w:val="16"/>
              </w:rPr>
              <w:t>0.59 ± 0.18</w:t>
            </w:r>
          </w:p>
        </w:tc>
        <w:tc>
          <w:tcPr>
            <w:tcW w:w="1872" w:type="dxa"/>
            <w:vAlign w:val="center"/>
          </w:tcPr>
          <w:p w14:paraId="12F7E7EA" w14:textId="77777777" w:rsidR="0017338D" w:rsidRDefault="00000000">
            <w:pPr>
              <w:spacing w:after="0" w:line="240" w:lineRule="auto"/>
            </w:pPr>
            <w:r>
              <w:rPr>
                <w:sz w:val="16"/>
              </w:rPr>
              <w:t>0.72 ± 0.10</w:t>
            </w:r>
          </w:p>
        </w:tc>
        <w:tc>
          <w:tcPr>
            <w:tcW w:w="1872" w:type="dxa"/>
            <w:vAlign w:val="center"/>
          </w:tcPr>
          <w:p w14:paraId="4B88C417" w14:textId="77777777" w:rsidR="0017338D" w:rsidRDefault="00000000">
            <w:pPr>
              <w:spacing w:after="0" w:line="240" w:lineRule="auto"/>
            </w:pPr>
            <w:r>
              <w:rPr>
                <w:sz w:val="16"/>
              </w:rPr>
              <w:t>0.69 ± 0.08</w:t>
            </w:r>
          </w:p>
        </w:tc>
      </w:tr>
      <w:tr w:rsidR="0017338D" w14:paraId="7624986E" w14:textId="77777777" w:rsidTr="006B45FA">
        <w:trPr>
          <w:jc w:val="center"/>
        </w:trPr>
        <w:tc>
          <w:tcPr>
            <w:tcW w:w="1872" w:type="dxa"/>
            <w:vAlign w:val="center"/>
          </w:tcPr>
          <w:p w14:paraId="5CDCA12A" w14:textId="77777777" w:rsidR="0017338D" w:rsidRDefault="00000000">
            <w:pPr>
              <w:spacing w:after="0" w:line="240" w:lineRule="auto"/>
            </w:pPr>
            <w:r>
              <w:rPr>
                <w:sz w:val="16"/>
              </w:rPr>
              <w:t>Male</w:t>
            </w:r>
          </w:p>
        </w:tc>
        <w:tc>
          <w:tcPr>
            <w:tcW w:w="1872" w:type="dxa"/>
            <w:vAlign w:val="center"/>
          </w:tcPr>
          <w:p w14:paraId="171FB0C9" w14:textId="77777777" w:rsidR="0017338D" w:rsidRDefault="00000000">
            <w:pPr>
              <w:spacing w:after="0" w:line="240" w:lineRule="auto"/>
            </w:pPr>
            <w:r>
              <w:rPr>
                <w:sz w:val="16"/>
              </w:rPr>
              <w:t>P-LCR (%)</w:t>
            </w:r>
          </w:p>
        </w:tc>
        <w:tc>
          <w:tcPr>
            <w:tcW w:w="1872" w:type="dxa"/>
            <w:vAlign w:val="center"/>
          </w:tcPr>
          <w:p w14:paraId="35CDD168" w14:textId="77777777" w:rsidR="0017338D" w:rsidRDefault="00000000">
            <w:pPr>
              <w:spacing w:after="0" w:line="240" w:lineRule="auto"/>
            </w:pPr>
            <w:r>
              <w:rPr>
                <w:sz w:val="16"/>
              </w:rPr>
              <w:t>9.44 ± 1.44</w:t>
            </w:r>
          </w:p>
        </w:tc>
        <w:tc>
          <w:tcPr>
            <w:tcW w:w="1872" w:type="dxa"/>
            <w:vAlign w:val="center"/>
          </w:tcPr>
          <w:p w14:paraId="33E75A13" w14:textId="77777777" w:rsidR="0017338D" w:rsidRDefault="00000000">
            <w:pPr>
              <w:spacing w:after="0" w:line="240" w:lineRule="auto"/>
            </w:pPr>
            <w:r>
              <w:rPr>
                <w:sz w:val="16"/>
              </w:rPr>
              <w:t>10.90 ± 1.81</w:t>
            </w:r>
          </w:p>
        </w:tc>
        <w:tc>
          <w:tcPr>
            <w:tcW w:w="1872" w:type="dxa"/>
            <w:vAlign w:val="center"/>
          </w:tcPr>
          <w:p w14:paraId="4D7755D5" w14:textId="77777777" w:rsidR="0017338D" w:rsidRDefault="00000000">
            <w:pPr>
              <w:spacing w:after="0" w:line="240" w:lineRule="auto"/>
            </w:pPr>
            <w:r>
              <w:rPr>
                <w:sz w:val="16"/>
              </w:rPr>
              <w:t>10.70 ± 2.44</w:t>
            </w:r>
          </w:p>
        </w:tc>
      </w:tr>
      <w:tr w:rsidR="0017338D" w14:paraId="12E9E263" w14:textId="77777777" w:rsidTr="006B45FA">
        <w:trPr>
          <w:jc w:val="center"/>
        </w:trPr>
        <w:tc>
          <w:tcPr>
            <w:tcW w:w="1872" w:type="dxa"/>
            <w:vAlign w:val="center"/>
          </w:tcPr>
          <w:p w14:paraId="74F89BCF" w14:textId="77777777" w:rsidR="0017338D" w:rsidRDefault="00000000">
            <w:pPr>
              <w:spacing w:after="0" w:line="240" w:lineRule="auto"/>
            </w:pPr>
            <w:r>
              <w:rPr>
                <w:sz w:val="16"/>
              </w:rPr>
              <w:t>Male</w:t>
            </w:r>
          </w:p>
        </w:tc>
        <w:tc>
          <w:tcPr>
            <w:tcW w:w="1872" w:type="dxa"/>
            <w:vAlign w:val="center"/>
          </w:tcPr>
          <w:p w14:paraId="007E4B1D" w14:textId="77777777" w:rsidR="0017338D" w:rsidRDefault="00000000">
            <w:pPr>
              <w:spacing w:after="0" w:line="240" w:lineRule="auto"/>
            </w:pPr>
            <w:r>
              <w:rPr>
                <w:sz w:val="16"/>
              </w:rPr>
              <w:t>P-LCC (10^3/µL)</w:t>
            </w:r>
          </w:p>
        </w:tc>
        <w:tc>
          <w:tcPr>
            <w:tcW w:w="1872" w:type="dxa"/>
            <w:vAlign w:val="center"/>
          </w:tcPr>
          <w:p w14:paraId="08145534" w14:textId="77777777" w:rsidR="0017338D" w:rsidRDefault="00000000">
            <w:pPr>
              <w:spacing w:after="0" w:line="240" w:lineRule="auto"/>
            </w:pPr>
            <w:r>
              <w:rPr>
                <w:sz w:val="16"/>
              </w:rPr>
              <w:t>79.40 ± 28.07</w:t>
            </w:r>
          </w:p>
        </w:tc>
        <w:tc>
          <w:tcPr>
            <w:tcW w:w="1872" w:type="dxa"/>
            <w:vAlign w:val="center"/>
          </w:tcPr>
          <w:p w14:paraId="0F15722E" w14:textId="77777777" w:rsidR="0017338D" w:rsidRDefault="00000000">
            <w:pPr>
              <w:spacing w:after="0" w:line="240" w:lineRule="auto"/>
            </w:pPr>
            <w:r>
              <w:rPr>
                <w:sz w:val="16"/>
              </w:rPr>
              <w:t>113.20 ± 28.27</w:t>
            </w:r>
          </w:p>
        </w:tc>
        <w:tc>
          <w:tcPr>
            <w:tcW w:w="1872" w:type="dxa"/>
            <w:vAlign w:val="center"/>
          </w:tcPr>
          <w:p w14:paraId="44C9F5DC" w14:textId="77777777" w:rsidR="0017338D" w:rsidRDefault="00000000">
            <w:pPr>
              <w:spacing w:after="0" w:line="240" w:lineRule="auto"/>
            </w:pPr>
            <w:r>
              <w:rPr>
                <w:sz w:val="16"/>
              </w:rPr>
              <w:t>103.20 ± 30.43</w:t>
            </w:r>
          </w:p>
        </w:tc>
      </w:tr>
    </w:tbl>
    <w:p w14:paraId="319EA983" w14:textId="77777777" w:rsidR="0017338D" w:rsidRDefault="00000000">
      <w:pPr>
        <w:spacing w:after="240" w:line="360" w:lineRule="auto"/>
      </w:pPr>
      <w:r>
        <w:t xml:space="preserve">Data are expressed as mean ± SD (n = 5 per group). Different superscript letters indicate significant differences between groups (p &lt; 0.05); identical letters indicate no significant difference. EEM, ethanolic extract of </w:t>
      </w:r>
      <w:r>
        <w:rPr>
          <w:i/>
        </w:rPr>
        <w:t>Morus alba</w:t>
      </w:r>
      <w:r>
        <w:t xml:space="preserve"> leaves.</w:t>
      </w:r>
    </w:p>
    <w:p w14:paraId="2ED9CD40" w14:textId="77777777" w:rsidR="0017338D" w:rsidRDefault="00000000">
      <w:pPr>
        <w:spacing w:after="60" w:line="360" w:lineRule="auto"/>
      </w:pPr>
      <w:r>
        <w:t>Table 2. Serum biochemical parameters in female and male rats after 28 days of treatment.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17338D" w14:paraId="75257BB9" w14:textId="77777777" w:rsidTr="006B45FA">
        <w:trPr>
          <w:jc w:val="center"/>
        </w:trPr>
        <w:tc>
          <w:tcPr>
            <w:tcW w:w="1872" w:type="dxa"/>
            <w:vAlign w:val="center"/>
          </w:tcPr>
          <w:p w14:paraId="74A3CEBD" w14:textId="77777777" w:rsidR="0017338D" w:rsidRPr="006B45FA" w:rsidRDefault="00000000" w:rsidP="006B45FA">
            <w:pPr>
              <w:spacing w:after="0" w:line="240" w:lineRule="auto"/>
              <w:jc w:val="center"/>
              <w:rPr>
                <w:b/>
                <w:bCs/>
              </w:rPr>
            </w:pPr>
            <w:r w:rsidRPr="006B45FA">
              <w:rPr>
                <w:b/>
                <w:bCs/>
                <w:sz w:val="16"/>
              </w:rPr>
              <w:t>Sex</w:t>
            </w:r>
          </w:p>
        </w:tc>
        <w:tc>
          <w:tcPr>
            <w:tcW w:w="1872" w:type="dxa"/>
            <w:vAlign w:val="center"/>
          </w:tcPr>
          <w:p w14:paraId="4B3F153B" w14:textId="77777777" w:rsidR="0017338D" w:rsidRPr="006B45FA" w:rsidRDefault="00000000" w:rsidP="006B45FA">
            <w:pPr>
              <w:spacing w:after="0" w:line="240" w:lineRule="auto"/>
              <w:jc w:val="center"/>
              <w:rPr>
                <w:b/>
                <w:bCs/>
              </w:rPr>
            </w:pPr>
            <w:r w:rsidRPr="006B45FA">
              <w:rPr>
                <w:b/>
                <w:bCs/>
                <w:sz w:val="16"/>
              </w:rPr>
              <w:t>Parameter</w:t>
            </w:r>
          </w:p>
        </w:tc>
        <w:tc>
          <w:tcPr>
            <w:tcW w:w="1872" w:type="dxa"/>
            <w:vAlign w:val="center"/>
          </w:tcPr>
          <w:p w14:paraId="4E1E59EA" w14:textId="77777777" w:rsidR="0017338D" w:rsidRPr="006B45FA" w:rsidRDefault="00000000" w:rsidP="006B45FA">
            <w:pPr>
              <w:spacing w:after="0" w:line="240" w:lineRule="auto"/>
              <w:jc w:val="center"/>
              <w:rPr>
                <w:b/>
                <w:bCs/>
              </w:rPr>
            </w:pPr>
            <w:r w:rsidRPr="006B45FA">
              <w:rPr>
                <w:b/>
                <w:bCs/>
                <w:sz w:val="16"/>
              </w:rPr>
              <w:t>Normal control</w:t>
            </w:r>
          </w:p>
        </w:tc>
        <w:tc>
          <w:tcPr>
            <w:tcW w:w="1872" w:type="dxa"/>
            <w:vAlign w:val="center"/>
          </w:tcPr>
          <w:p w14:paraId="7D6C4BE8" w14:textId="77777777" w:rsidR="0017338D" w:rsidRPr="006B45FA" w:rsidRDefault="00000000" w:rsidP="006B45FA">
            <w:pPr>
              <w:spacing w:after="0" w:line="240" w:lineRule="auto"/>
              <w:jc w:val="center"/>
              <w:rPr>
                <w:b/>
                <w:bCs/>
              </w:rPr>
            </w:pPr>
            <w:r w:rsidRPr="006B45FA">
              <w:rPr>
                <w:b/>
                <w:bCs/>
                <w:sz w:val="16"/>
              </w:rPr>
              <w:t>EEM 200 mg/kg BW</w:t>
            </w:r>
          </w:p>
        </w:tc>
        <w:tc>
          <w:tcPr>
            <w:tcW w:w="1872" w:type="dxa"/>
            <w:vAlign w:val="center"/>
          </w:tcPr>
          <w:p w14:paraId="3EA904AF" w14:textId="77777777" w:rsidR="0017338D" w:rsidRPr="006B45FA" w:rsidRDefault="00000000" w:rsidP="006B45FA">
            <w:pPr>
              <w:spacing w:after="0" w:line="240" w:lineRule="auto"/>
              <w:jc w:val="center"/>
              <w:rPr>
                <w:b/>
                <w:bCs/>
              </w:rPr>
            </w:pPr>
            <w:r w:rsidRPr="006B45FA">
              <w:rPr>
                <w:b/>
                <w:bCs/>
                <w:sz w:val="16"/>
              </w:rPr>
              <w:t>EEM 400 mg/kg BW</w:t>
            </w:r>
          </w:p>
        </w:tc>
      </w:tr>
      <w:tr w:rsidR="0017338D" w14:paraId="55BECC05" w14:textId="77777777" w:rsidTr="006B45FA">
        <w:trPr>
          <w:jc w:val="center"/>
        </w:trPr>
        <w:tc>
          <w:tcPr>
            <w:tcW w:w="1872" w:type="dxa"/>
            <w:vAlign w:val="center"/>
          </w:tcPr>
          <w:p w14:paraId="3A08535B" w14:textId="77777777" w:rsidR="0017338D" w:rsidRDefault="00000000">
            <w:pPr>
              <w:spacing w:after="0" w:line="240" w:lineRule="auto"/>
            </w:pPr>
            <w:r>
              <w:rPr>
                <w:sz w:val="16"/>
              </w:rPr>
              <w:t>Female</w:t>
            </w:r>
          </w:p>
        </w:tc>
        <w:tc>
          <w:tcPr>
            <w:tcW w:w="1872" w:type="dxa"/>
            <w:vAlign w:val="center"/>
          </w:tcPr>
          <w:p w14:paraId="6C729A4E" w14:textId="77777777" w:rsidR="0017338D" w:rsidRDefault="00000000">
            <w:pPr>
              <w:spacing w:after="0" w:line="240" w:lineRule="auto"/>
            </w:pPr>
            <w:r>
              <w:rPr>
                <w:sz w:val="16"/>
              </w:rPr>
              <w:t>Creatinine (mg/dL)</w:t>
            </w:r>
          </w:p>
        </w:tc>
        <w:tc>
          <w:tcPr>
            <w:tcW w:w="1872" w:type="dxa"/>
            <w:vAlign w:val="center"/>
          </w:tcPr>
          <w:p w14:paraId="039690C9" w14:textId="77777777" w:rsidR="0017338D" w:rsidRDefault="00000000">
            <w:pPr>
              <w:spacing w:after="0" w:line="240" w:lineRule="auto"/>
            </w:pPr>
            <w:r>
              <w:rPr>
                <w:sz w:val="16"/>
              </w:rPr>
              <w:t>1.70 ± 0.26 (a)</w:t>
            </w:r>
          </w:p>
        </w:tc>
        <w:tc>
          <w:tcPr>
            <w:tcW w:w="1872" w:type="dxa"/>
            <w:vAlign w:val="center"/>
          </w:tcPr>
          <w:p w14:paraId="423D189B" w14:textId="77777777" w:rsidR="0017338D" w:rsidRDefault="00000000">
            <w:pPr>
              <w:spacing w:after="0" w:line="240" w:lineRule="auto"/>
            </w:pPr>
            <w:r>
              <w:rPr>
                <w:sz w:val="16"/>
              </w:rPr>
              <w:t>1.15 ± 0.18 (b)</w:t>
            </w:r>
          </w:p>
        </w:tc>
        <w:tc>
          <w:tcPr>
            <w:tcW w:w="1872" w:type="dxa"/>
            <w:vAlign w:val="center"/>
          </w:tcPr>
          <w:p w14:paraId="3CE5C4E1" w14:textId="77777777" w:rsidR="0017338D" w:rsidRDefault="00000000">
            <w:pPr>
              <w:spacing w:after="0" w:line="240" w:lineRule="auto"/>
            </w:pPr>
            <w:r>
              <w:rPr>
                <w:sz w:val="16"/>
              </w:rPr>
              <w:t>1.58 ± 0.11 (a)</w:t>
            </w:r>
          </w:p>
        </w:tc>
      </w:tr>
      <w:tr w:rsidR="0017338D" w14:paraId="7ADC00ED" w14:textId="77777777" w:rsidTr="006B45FA">
        <w:trPr>
          <w:jc w:val="center"/>
        </w:trPr>
        <w:tc>
          <w:tcPr>
            <w:tcW w:w="1872" w:type="dxa"/>
            <w:vAlign w:val="center"/>
          </w:tcPr>
          <w:p w14:paraId="13A5C552" w14:textId="77777777" w:rsidR="0017338D" w:rsidRDefault="00000000">
            <w:pPr>
              <w:spacing w:after="0" w:line="240" w:lineRule="auto"/>
            </w:pPr>
            <w:r>
              <w:rPr>
                <w:sz w:val="16"/>
              </w:rPr>
              <w:t>Female</w:t>
            </w:r>
          </w:p>
        </w:tc>
        <w:tc>
          <w:tcPr>
            <w:tcW w:w="1872" w:type="dxa"/>
            <w:vAlign w:val="center"/>
          </w:tcPr>
          <w:p w14:paraId="598F84AC" w14:textId="77777777" w:rsidR="0017338D" w:rsidRDefault="00000000">
            <w:pPr>
              <w:spacing w:after="0" w:line="240" w:lineRule="auto"/>
            </w:pPr>
            <w:r>
              <w:rPr>
                <w:sz w:val="16"/>
              </w:rPr>
              <w:t>Urea (mg/dL)</w:t>
            </w:r>
          </w:p>
        </w:tc>
        <w:tc>
          <w:tcPr>
            <w:tcW w:w="1872" w:type="dxa"/>
            <w:vAlign w:val="center"/>
          </w:tcPr>
          <w:p w14:paraId="71E1A8ED" w14:textId="77777777" w:rsidR="0017338D" w:rsidRDefault="00000000">
            <w:pPr>
              <w:spacing w:after="0" w:line="240" w:lineRule="auto"/>
            </w:pPr>
            <w:r>
              <w:rPr>
                <w:sz w:val="16"/>
              </w:rPr>
              <w:t>33.58 ± 3.18</w:t>
            </w:r>
          </w:p>
        </w:tc>
        <w:tc>
          <w:tcPr>
            <w:tcW w:w="1872" w:type="dxa"/>
            <w:vAlign w:val="center"/>
          </w:tcPr>
          <w:p w14:paraId="791A8242" w14:textId="77777777" w:rsidR="0017338D" w:rsidRDefault="00000000">
            <w:pPr>
              <w:spacing w:after="0" w:line="240" w:lineRule="auto"/>
            </w:pPr>
            <w:r>
              <w:rPr>
                <w:sz w:val="16"/>
              </w:rPr>
              <w:t>47.63 ± 8.70</w:t>
            </w:r>
          </w:p>
        </w:tc>
        <w:tc>
          <w:tcPr>
            <w:tcW w:w="1872" w:type="dxa"/>
            <w:vAlign w:val="center"/>
          </w:tcPr>
          <w:p w14:paraId="0904090E" w14:textId="77777777" w:rsidR="0017338D" w:rsidRDefault="00000000">
            <w:pPr>
              <w:spacing w:after="0" w:line="240" w:lineRule="auto"/>
            </w:pPr>
            <w:r>
              <w:rPr>
                <w:sz w:val="16"/>
              </w:rPr>
              <w:t>39.24 ± 12.71</w:t>
            </w:r>
          </w:p>
        </w:tc>
      </w:tr>
      <w:tr w:rsidR="0017338D" w14:paraId="1D671D05" w14:textId="77777777" w:rsidTr="006B45FA">
        <w:trPr>
          <w:jc w:val="center"/>
        </w:trPr>
        <w:tc>
          <w:tcPr>
            <w:tcW w:w="1872" w:type="dxa"/>
            <w:vAlign w:val="center"/>
          </w:tcPr>
          <w:p w14:paraId="651C6FB1" w14:textId="77777777" w:rsidR="0017338D" w:rsidRDefault="00000000">
            <w:pPr>
              <w:spacing w:after="0" w:line="240" w:lineRule="auto"/>
            </w:pPr>
            <w:r>
              <w:rPr>
                <w:sz w:val="16"/>
              </w:rPr>
              <w:t>Female</w:t>
            </w:r>
          </w:p>
        </w:tc>
        <w:tc>
          <w:tcPr>
            <w:tcW w:w="1872" w:type="dxa"/>
            <w:vAlign w:val="center"/>
          </w:tcPr>
          <w:p w14:paraId="0EF5D336" w14:textId="77777777" w:rsidR="0017338D" w:rsidRDefault="00000000">
            <w:pPr>
              <w:spacing w:after="0" w:line="240" w:lineRule="auto"/>
            </w:pPr>
            <w:r>
              <w:rPr>
                <w:sz w:val="16"/>
              </w:rPr>
              <w:t>AST (U/L)</w:t>
            </w:r>
          </w:p>
        </w:tc>
        <w:tc>
          <w:tcPr>
            <w:tcW w:w="1872" w:type="dxa"/>
            <w:vAlign w:val="center"/>
          </w:tcPr>
          <w:p w14:paraId="07B48667" w14:textId="77777777" w:rsidR="0017338D" w:rsidRDefault="00000000">
            <w:pPr>
              <w:spacing w:after="0" w:line="240" w:lineRule="auto"/>
            </w:pPr>
            <w:r>
              <w:rPr>
                <w:sz w:val="16"/>
              </w:rPr>
              <w:t>225.80 ± 76.42</w:t>
            </w:r>
          </w:p>
        </w:tc>
        <w:tc>
          <w:tcPr>
            <w:tcW w:w="1872" w:type="dxa"/>
            <w:vAlign w:val="center"/>
          </w:tcPr>
          <w:p w14:paraId="3394D158" w14:textId="77777777" w:rsidR="0017338D" w:rsidRDefault="00000000">
            <w:pPr>
              <w:spacing w:after="0" w:line="240" w:lineRule="auto"/>
            </w:pPr>
            <w:r>
              <w:rPr>
                <w:sz w:val="16"/>
              </w:rPr>
              <w:t>199.20 ± 38.17</w:t>
            </w:r>
          </w:p>
        </w:tc>
        <w:tc>
          <w:tcPr>
            <w:tcW w:w="1872" w:type="dxa"/>
            <w:vAlign w:val="center"/>
          </w:tcPr>
          <w:p w14:paraId="6F2FF216" w14:textId="77777777" w:rsidR="0017338D" w:rsidRDefault="00000000">
            <w:pPr>
              <w:spacing w:after="0" w:line="240" w:lineRule="auto"/>
            </w:pPr>
            <w:r>
              <w:rPr>
                <w:sz w:val="16"/>
              </w:rPr>
              <w:t>217.75 ± 7.72</w:t>
            </w:r>
          </w:p>
        </w:tc>
      </w:tr>
      <w:tr w:rsidR="0017338D" w14:paraId="24140224" w14:textId="77777777" w:rsidTr="006B45FA">
        <w:trPr>
          <w:jc w:val="center"/>
        </w:trPr>
        <w:tc>
          <w:tcPr>
            <w:tcW w:w="1872" w:type="dxa"/>
            <w:vAlign w:val="center"/>
          </w:tcPr>
          <w:p w14:paraId="17D1195E" w14:textId="77777777" w:rsidR="0017338D" w:rsidRDefault="00000000">
            <w:pPr>
              <w:spacing w:after="0" w:line="240" w:lineRule="auto"/>
            </w:pPr>
            <w:r>
              <w:rPr>
                <w:sz w:val="16"/>
              </w:rPr>
              <w:t>Female</w:t>
            </w:r>
          </w:p>
        </w:tc>
        <w:tc>
          <w:tcPr>
            <w:tcW w:w="1872" w:type="dxa"/>
            <w:vAlign w:val="center"/>
          </w:tcPr>
          <w:p w14:paraId="4BC6E8BD" w14:textId="77777777" w:rsidR="0017338D" w:rsidRDefault="00000000">
            <w:pPr>
              <w:spacing w:after="0" w:line="240" w:lineRule="auto"/>
            </w:pPr>
            <w:r>
              <w:rPr>
                <w:sz w:val="16"/>
              </w:rPr>
              <w:t>ALT (U/L)</w:t>
            </w:r>
          </w:p>
        </w:tc>
        <w:tc>
          <w:tcPr>
            <w:tcW w:w="1872" w:type="dxa"/>
            <w:vAlign w:val="center"/>
          </w:tcPr>
          <w:p w14:paraId="28DB8057" w14:textId="77777777" w:rsidR="0017338D" w:rsidRDefault="00000000">
            <w:pPr>
              <w:spacing w:after="0" w:line="240" w:lineRule="auto"/>
            </w:pPr>
            <w:r>
              <w:rPr>
                <w:sz w:val="16"/>
              </w:rPr>
              <w:t>61.00 ± 13.71</w:t>
            </w:r>
          </w:p>
        </w:tc>
        <w:tc>
          <w:tcPr>
            <w:tcW w:w="1872" w:type="dxa"/>
            <w:vAlign w:val="center"/>
          </w:tcPr>
          <w:p w14:paraId="07D74FBE" w14:textId="77777777" w:rsidR="0017338D" w:rsidRDefault="00000000">
            <w:pPr>
              <w:spacing w:after="0" w:line="240" w:lineRule="auto"/>
            </w:pPr>
            <w:r>
              <w:rPr>
                <w:sz w:val="16"/>
              </w:rPr>
              <w:t>47.00 ± 8.34</w:t>
            </w:r>
          </w:p>
        </w:tc>
        <w:tc>
          <w:tcPr>
            <w:tcW w:w="1872" w:type="dxa"/>
            <w:vAlign w:val="center"/>
          </w:tcPr>
          <w:p w14:paraId="6A1AE019" w14:textId="77777777" w:rsidR="0017338D" w:rsidRDefault="00000000">
            <w:pPr>
              <w:spacing w:after="0" w:line="240" w:lineRule="auto"/>
            </w:pPr>
            <w:r>
              <w:rPr>
                <w:sz w:val="16"/>
              </w:rPr>
              <w:t>68.20 ± 15.94</w:t>
            </w:r>
          </w:p>
        </w:tc>
      </w:tr>
      <w:tr w:rsidR="0017338D" w14:paraId="71A02A08" w14:textId="77777777" w:rsidTr="006B45FA">
        <w:trPr>
          <w:jc w:val="center"/>
        </w:trPr>
        <w:tc>
          <w:tcPr>
            <w:tcW w:w="1872" w:type="dxa"/>
            <w:vAlign w:val="center"/>
          </w:tcPr>
          <w:p w14:paraId="2EA2D780" w14:textId="77777777" w:rsidR="0017338D" w:rsidRDefault="00000000">
            <w:pPr>
              <w:spacing w:after="0" w:line="240" w:lineRule="auto"/>
            </w:pPr>
            <w:r>
              <w:rPr>
                <w:sz w:val="16"/>
              </w:rPr>
              <w:t>Male</w:t>
            </w:r>
          </w:p>
        </w:tc>
        <w:tc>
          <w:tcPr>
            <w:tcW w:w="1872" w:type="dxa"/>
            <w:vAlign w:val="center"/>
          </w:tcPr>
          <w:p w14:paraId="38321AB9" w14:textId="77777777" w:rsidR="0017338D" w:rsidRDefault="00000000">
            <w:pPr>
              <w:spacing w:after="0" w:line="240" w:lineRule="auto"/>
            </w:pPr>
            <w:r>
              <w:rPr>
                <w:sz w:val="16"/>
              </w:rPr>
              <w:t>Creatinine (mg/dL)</w:t>
            </w:r>
          </w:p>
        </w:tc>
        <w:tc>
          <w:tcPr>
            <w:tcW w:w="1872" w:type="dxa"/>
            <w:vAlign w:val="center"/>
          </w:tcPr>
          <w:p w14:paraId="75380126" w14:textId="77777777" w:rsidR="0017338D" w:rsidRDefault="00000000">
            <w:pPr>
              <w:spacing w:after="0" w:line="240" w:lineRule="auto"/>
            </w:pPr>
            <w:r>
              <w:rPr>
                <w:sz w:val="16"/>
              </w:rPr>
              <w:t>1.39 ± 0.45</w:t>
            </w:r>
          </w:p>
        </w:tc>
        <w:tc>
          <w:tcPr>
            <w:tcW w:w="1872" w:type="dxa"/>
            <w:vAlign w:val="center"/>
          </w:tcPr>
          <w:p w14:paraId="0090F5C3" w14:textId="77777777" w:rsidR="0017338D" w:rsidRDefault="00000000">
            <w:pPr>
              <w:spacing w:after="0" w:line="240" w:lineRule="auto"/>
            </w:pPr>
            <w:r>
              <w:rPr>
                <w:sz w:val="16"/>
              </w:rPr>
              <w:t>1.40 ± 0.15</w:t>
            </w:r>
          </w:p>
        </w:tc>
        <w:tc>
          <w:tcPr>
            <w:tcW w:w="1872" w:type="dxa"/>
            <w:vAlign w:val="center"/>
          </w:tcPr>
          <w:p w14:paraId="5430DD21" w14:textId="77777777" w:rsidR="0017338D" w:rsidRDefault="00000000">
            <w:pPr>
              <w:spacing w:after="0" w:line="240" w:lineRule="auto"/>
            </w:pPr>
            <w:r>
              <w:rPr>
                <w:sz w:val="16"/>
              </w:rPr>
              <w:t>1.32 ± 0.13</w:t>
            </w:r>
          </w:p>
        </w:tc>
      </w:tr>
      <w:tr w:rsidR="0017338D" w14:paraId="79D56815" w14:textId="77777777" w:rsidTr="006B45FA">
        <w:trPr>
          <w:jc w:val="center"/>
        </w:trPr>
        <w:tc>
          <w:tcPr>
            <w:tcW w:w="1872" w:type="dxa"/>
            <w:vAlign w:val="center"/>
          </w:tcPr>
          <w:p w14:paraId="2879618E" w14:textId="77777777" w:rsidR="0017338D" w:rsidRDefault="00000000">
            <w:pPr>
              <w:spacing w:after="0" w:line="240" w:lineRule="auto"/>
            </w:pPr>
            <w:r>
              <w:rPr>
                <w:sz w:val="16"/>
              </w:rPr>
              <w:t>Male</w:t>
            </w:r>
          </w:p>
        </w:tc>
        <w:tc>
          <w:tcPr>
            <w:tcW w:w="1872" w:type="dxa"/>
            <w:vAlign w:val="center"/>
          </w:tcPr>
          <w:p w14:paraId="53A046BF" w14:textId="77777777" w:rsidR="0017338D" w:rsidRDefault="00000000">
            <w:pPr>
              <w:spacing w:after="0" w:line="240" w:lineRule="auto"/>
            </w:pPr>
            <w:r>
              <w:rPr>
                <w:sz w:val="16"/>
              </w:rPr>
              <w:t>Urea (mg/dL)</w:t>
            </w:r>
          </w:p>
        </w:tc>
        <w:tc>
          <w:tcPr>
            <w:tcW w:w="1872" w:type="dxa"/>
            <w:vAlign w:val="center"/>
          </w:tcPr>
          <w:p w14:paraId="46C6F623" w14:textId="77777777" w:rsidR="0017338D" w:rsidRDefault="00000000">
            <w:pPr>
              <w:spacing w:after="0" w:line="240" w:lineRule="auto"/>
            </w:pPr>
            <w:r>
              <w:rPr>
                <w:sz w:val="16"/>
              </w:rPr>
              <w:t>40.06 ± 4.88</w:t>
            </w:r>
          </w:p>
        </w:tc>
        <w:tc>
          <w:tcPr>
            <w:tcW w:w="1872" w:type="dxa"/>
            <w:vAlign w:val="center"/>
          </w:tcPr>
          <w:p w14:paraId="59DD7401" w14:textId="77777777" w:rsidR="0017338D" w:rsidRDefault="00000000">
            <w:pPr>
              <w:spacing w:after="0" w:line="240" w:lineRule="auto"/>
            </w:pPr>
            <w:r>
              <w:rPr>
                <w:sz w:val="16"/>
              </w:rPr>
              <w:t>40.06 ± 11.37</w:t>
            </w:r>
          </w:p>
        </w:tc>
        <w:tc>
          <w:tcPr>
            <w:tcW w:w="1872" w:type="dxa"/>
            <w:vAlign w:val="center"/>
          </w:tcPr>
          <w:p w14:paraId="1FB83BA8" w14:textId="77777777" w:rsidR="0017338D" w:rsidRDefault="00000000">
            <w:pPr>
              <w:spacing w:after="0" w:line="240" w:lineRule="auto"/>
            </w:pPr>
            <w:r>
              <w:rPr>
                <w:sz w:val="16"/>
              </w:rPr>
              <w:t>44.40 ± 11.66</w:t>
            </w:r>
          </w:p>
        </w:tc>
      </w:tr>
      <w:tr w:rsidR="0017338D" w14:paraId="08A34D58" w14:textId="77777777" w:rsidTr="006B45FA">
        <w:trPr>
          <w:jc w:val="center"/>
        </w:trPr>
        <w:tc>
          <w:tcPr>
            <w:tcW w:w="1872" w:type="dxa"/>
            <w:vAlign w:val="center"/>
          </w:tcPr>
          <w:p w14:paraId="0B06D57C" w14:textId="77777777" w:rsidR="0017338D" w:rsidRDefault="00000000">
            <w:pPr>
              <w:spacing w:after="0" w:line="240" w:lineRule="auto"/>
            </w:pPr>
            <w:r>
              <w:rPr>
                <w:sz w:val="16"/>
              </w:rPr>
              <w:t>Male</w:t>
            </w:r>
          </w:p>
        </w:tc>
        <w:tc>
          <w:tcPr>
            <w:tcW w:w="1872" w:type="dxa"/>
            <w:vAlign w:val="center"/>
          </w:tcPr>
          <w:p w14:paraId="2038A03C" w14:textId="77777777" w:rsidR="0017338D" w:rsidRDefault="00000000">
            <w:pPr>
              <w:spacing w:after="0" w:line="240" w:lineRule="auto"/>
            </w:pPr>
            <w:r>
              <w:rPr>
                <w:sz w:val="16"/>
              </w:rPr>
              <w:t>AST (U/L)</w:t>
            </w:r>
          </w:p>
        </w:tc>
        <w:tc>
          <w:tcPr>
            <w:tcW w:w="1872" w:type="dxa"/>
            <w:vAlign w:val="center"/>
          </w:tcPr>
          <w:p w14:paraId="3767DB64" w14:textId="77777777" w:rsidR="0017338D" w:rsidRDefault="00000000">
            <w:pPr>
              <w:spacing w:after="0" w:line="240" w:lineRule="auto"/>
            </w:pPr>
            <w:r>
              <w:rPr>
                <w:sz w:val="16"/>
              </w:rPr>
              <w:t>205.20 ± 9.63</w:t>
            </w:r>
          </w:p>
        </w:tc>
        <w:tc>
          <w:tcPr>
            <w:tcW w:w="1872" w:type="dxa"/>
            <w:vAlign w:val="center"/>
          </w:tcPr>
          <w:p w14:paraId="26584AA5" w14:textId="77777777" w:rsidR="0017338D" w:rsidRDefault="00000000">
            <w:pPr>
              <w:spacing w:after="0" w:line="240" w:lineRule="auto"/>
            </w:pPr>
            <w:r>
              <w:rPr>
                <w:sz w:val="16"/>
              </w:rPr>
              <w:t>264.20 ± 39.44</w:t>
            </w:r>
          </w:p>
        </w:tc>
        <w:tc>
          <w:tcPr>
            <w:tcW w:w="1872" w:type="dxa"/>
            <w:vAlign w:val="center"/>
          </w:tcPr>
          <w:p w14:paraId="24346214" w14:textId="77777777" w:rsidR="0017338D" w:rsidRDefault="00000000">
            <w:pPr>
              <w:spacing w:after="0" w:line="240" w:lineRule="auto"/>
            </w:pPr>
            <w:r>
              <w:rPr>
                <w:sz w:val="16"/>
              </w:rPr>
              <w:t>215.60 ± 7.72</w:t>
            </w:r>
          </w:p>
        </w:tc>
      </w:tr>
      <w:tr w:rsidR="0017338D" w14:paraId="54C8383D" w14:textId="77777777" w:rsidTr="006B45FA">
        <w:trPr>
          <w:jc w:val="center"/>
        </w:trPr>
        <w:tc>
          <w:tcPr>
            <w:tcW w:w="1872" w:type="dxa"/>
            <w:vAlign w:val="center"/>
          </w:tcPr>
          <w:p w14:paraId="7BDAE5A8" w14:textId="77777777" w:rsidR="0017338D" w:rsidRDefault="00000000">
            <w:pPr>
              <w:spacing w:after="0" w:line="240" w:lineRule="auto"/>
            </w:pPr>
            <w:r>
              <w:rPr>
                <w:sz w:val="16"/>
              </w:rPr>
              <w:t>Male</w:t>
            </w:r>
          </w:p>
        </w:tc>
        <w:tc>
          <w:tcPr>
            <w:tcW w:w="1872" w:type="dxa"/>
            <w:vAlign w:val="center"/>
          </w:tcPr>
          <w:p w14:paraId="17A9632E" w14:textId="77777777" w:rsidR="0017338D" w:rsidRDefault="00000000">
            <w:pPr>
              <w:spacing w:after="0" w:line="240" w:lineRule="auto"/>
            </w:pPr>
            <w:r>
              <w:rPr>
                <w:sz w:val="16"/>
              </w:rPr>
              <w:t>ALT (U/L)</w:t>
            </w:r>
          </w:p>
        </w:tc>
        <w:tc>
          <w:tcPr>
            <w:tcW w:w="1872" w:type="dxa"/>
            <w:vAlign w:val="center"/>
          </w:tcPr>
          <w:p w14:paraId="584EAD02" w14:textId="77777777" w:rsidR="0017338D" w:rsidRDefault="00000000">
            <w:pPr>
              <w:spacing w:after="0" w:line="240" w:lineRule="auto"/>
            </w:pPr>
            <w:r>
              <w:rPr>
                <w:sz w:val="16"/>
              </w:rPr>
              <w:t>65.00 ± 15.41</w:t>
            </w:r>
          </w:p>
        </w:tc>
        <w:tc>
          <w:tcPr>
            <w:tcW w:w="1872" w:type="dxa"/>
            <w:vAlign w:val="center"/>
          </w:tcPr>
          <w:p w14:paraId="5D5002A3" w14:textId="77777777" w:rsidR="0017338D" w:rsidRDefault="00000000">
            <w:pPr>
              <w:spacing w:after="0" w:line="240" w:lineRule="auto"/>
            </w:pPr>
            <w:r>
              <w:rPr>
                <w:sz w:val="16"/>
              </w:rPr>
              <w:t>67.00 ± 14.95</w:t>
            </w:r>
          </w:p>
        </w:tc>
        <w:tc>
          <w:tcPr>
            <w:tcW w:w="1872" w:type="dxa"/>
            <w:vAlign w:val="center"/>
          </w:tcPr>
          <w:p w14:paraId="61820A0B" w14:textId="77777777" w:rsidR="0017338D" w:rsidRDefault="00000000">
            <w:pPr>
              <w:spacing w:after="0" w:line="240" w:lineRule="auto"/>
            </w:pPr>
            <w:r>
              <w:rPr>
                <w:sz w:val="16"/>
              </w:rPr>
              <w:t>62.80 ± 15.94</w:t>
            </w:r>
          </w:p>
        </w:tc>
      </w:tr>
    </w:tbl>
    <w:p w14:paraId="202259BF" w14:textId="77777777" w:rsidR="0017338D" w:rsidRDefault="00000000">
      <w:pPr>
        <w:spacing w:after="240" w:line="360" w:lineRule="auto"/>
      </w:pPr>
      <w:r>
        <w:t xml:space="preserve">Data are expressed as mean ± SD (n = 5 per group). Different superscript letters indicate significant differences between groups (p &lt; 0.05); identical letters indicate no significant difference. AST, aspartate aminotransferase; ALT, alanine aminotransferase; EEM, ethanolic extract of </w:t>
      </w:r>
      <w:r>
        <w:rPr>
          <w:i/>
        </w:rPr>
        <w:t>Morus alba</w:t>
      </w:r>
      <w:r>
        <w:t xml:space="preserve"> leaves.</w:t>
      </w:r>
    </w:p>
    <w:sectPr w:rsidR="0017338D">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AB876" w14:textId="77777777" w:rsidR="006B7960" w:rsidRDefault="006B7960">
      <w:pPr>
        <w:spacing w:after="0" w:line="240" w:lineRule="auto"/>
      </w:pPr>
      <w:r>
        <w:separator/>
      </w:r>
    </w:p>
  </w:endnote>
  <w:endnote w:type="continuationSeparator" w:id="0">
    <w:p w14:paraId="556C4BEC" w14:textId="77777777" w:rsidR="006B7960" w:rsidRDefault="006B7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4108190-8C38-4182-BEEF-00E8C24ADC9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EA63BE4-98A1-4994-8D56-CE118249D54E}"/>
    <w:embedBold r:id="rId3" w:fontKey="{4A70F743-4956-438F-B937-69C12FF2DB0D}"/>
    <w:embedItalic r:id="rId4" w:fontKey="{8E4C9ECF-DF6A-4CE3-88DE-B6559FBCFE2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00C7A5D-7FEC-4E03-9F42-305D80A99B99}"/>
  </w:font>
  <w:font w:name="Calibri Light">
    <w:panose1 w:val="020F0302020204030204"/>
    <w:charset w:val="00"/>
    <w:family w:val="swiss"/>
    <w:pitch w:val="variable"/>
    <w:sig w:usb0="E4002EFF" w:usb1="C200247B" w:usb2="00000009" w:usb3="00000000" w:csb0="000001FF" w:csb1="00000000"/>
    <w:embedRegular r:id="rId6" w:fontKey="{84B43FD9-7096-4716-B84E-2BAAE89960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B5F0" w14:textId="77777777" w:rsidR="0017338D" w:rsidRDefault="00000000">
    <w:pPr>
      <w:pBdr>
        <w:top w:val="nil"/>
        <w:left w:val="nil"/>
        <w:bottom w:val="nil"/>
        <w:right w:val="nil"/>
        <w:between w:val="nil"/>
      </w:pBdr>
      <w:tabs>
        <w:tab w:val="center" w:pos="4680"/>
        <w:tab w:val="right" w:pos="9360"/>
      </w:tabs>
      <w:spacing w:after="0" w:line="240" w:lineRule="auto"/>
      <w:jc w:val="right"/>
      <w:rPr>
        <w:rFonts w:ascii="Calibri" w:eastAsia="Calibri" w:hAnsi="Calibri"/>
        <w:color w:val="000000"/>
        <w:sz w:val="22"/>
      </w:rPr>
    </w:pPr>
    <w:r>
      <w:rPr>
        <w:rFonts w:ascii="Calibri" w:eastAsia="Calibri" w:hAnsi="Calibri"/>
        <w:color w:val="000000"/>
        <w:sz w:val="22"/>
      </w:rPr>
      <w:fldChar w:fldCharType="begin"/>
    </w:r>
    <w:r>
      <w:rPr>
        <w:rFonts w:ascii="Calibri" w:eastAsia="Calibri" w:hAnsi="Calibri"/>
        <w:color w:val="000000"/>
        <w:sz w:val="22"/>
      </w:rPr>
      <w:instrText>PAGE</w:instrText>
    </w:r>
    <w:r>
      <w:rPr>
        <w:rFonts w:ascii="Calibri" w:eastAsia="Calibri" w:hAnsi="Calibri"/>
        <w:color w:val="000000"/>
        <w:sz w:val="22"/>
      </w:rPr>
      <w:fldChar w:fldCharType="separate"/>
    </w:r>
    <w:r w:rsidR="006B45FA">
      <w:rPr>
        <w:rFonts w:ascii="Calibri" w:eastAsia="Calibri" w:hAnsi="Calibri"/>
        <w:noProof/>
        <w:color w:val="000000"/>
        <w:sz w:val="22"/>
      </w:rPr>
      <w:t>1</w:t>
    </w:r>
    <w:r>
      <w:rPr>
        <w:rFonts w:ascii="Calibri" w:eastAsia="Calibri" w:hAnsi="Calibri"/>
        <w:color w:val="000000"/>
        <w:sz w:val="22"/>
      </w:rPr>
      <w:fldChar w:fldCharType="end"/>
    </w:r>
  </w:p>
  <w:p w14:paraId="5C39AA60" w14:textId="77777777" w:rsidR="0017338D" w:rsidRDefault="0017338D">
    <w:pPr>
      <w:pBdr>
        <w:top w:val="nil"/>
        <w:left w:val="nil"/>
        <w:bottom w:val="nil"/>
        <w:right w:val="nil"/>
        <w:between w:val="nil"/>
      </w:pBdr>
      <w:tabs>
        <w:tab w:val="center" w:pos="4680"/>
        <w:tab w:val="right" w:pos="9360"/>
      </w:tabs>
      <w:spacing w:after="0" w:line="240" w:lineRule="auto"/>
      <w:rPr>
        <w:rFonts w:ascii="Calibri" w:eastAsia="Calibri" w:hAnsi="Calibri"/>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7DEF" w14:textId="77777777" w:rsidR="006B7960" w:rsidRDefault="006B7960">
      <w:pPr>
        <w:spacing w:after="0" w:line="240" w:lineRule="auto"/>
      </w:pPr>
      <w:r>
        <w:separator/>
      </w:r>
    </w:p>
  </w:footnote>
  <w:footnote w:type="continuationSeparator" w:id="0">
    <w:p w14:paraId="6DA55492" w14:textId="77777777" w:rsidR="006B7960" w:rsidRDefault="006B79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D33"/>
    <w:multiLevelType w:val="multilevel"/>
    <w:tmpl w:val="753270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5895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38D"/>
    <w:rsid w:val="0017338D"/>
    <w:rsid w:val="006B45FA"/>
    <w:rsid w:val="006B7960"/>
    <w:rsid w:val="00F262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C255"/>
  <w15:docId w15:val="{632B424E-FFC4-48AE-9ABC-4E9FD5E2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uiPriority w:val="9"/>
    <w:qFormat/>
    <w:pPr>
      <w:keepNext/>
      <w:keepLines/>
      <w:spacing w:before="480" w:after="120"/>
      <w:outlineLvl w:val="0"/>
    </w:pPr>
    <w:rPr>
      <w:b/>
      <w:bCs/>
      <w:szCs w:val="48"/>
    </w:rPr>
  </w:style>
  <w:style w:type="paragraph" w:styleId="Heading2">
    <w:name w:val="heading 2"/>
    <w:basedOn w:val="Normal"/>
    <w:next w:val="Normal"/>
    <w:uiPriority w:val="9"/>
    <w:semiHidden/>
    <w:unhideWhenUsed/>
    <w:qFormat/>
    <w:pPr>
      <w:keepNext/>
      <w:keepLines/>
      <w:spacing w:before="360" w:after="80"/>
      <w:outlineLvl w:val="1"/>
    </w:pPr>
    <w:rPr>
      <w:b/>
      <w:bCs/>
      <w:szCs w:val="36"/>
    </w:rPr>
  </w:style>
  <w:style w:type="paragraph" w:styleId="Heading3">
    <w:name w:val="heading 3"/>
    <w:basedOn w:val="Normal"/>
    <w:next w:val="Normal"/>
    <w:uiPriority w:val="9"/>
    <w:semiHidden/>
    <w:unhideWhenUsed/>
    <w:qFormat/>
    <w:pPr>
      <w:keepNext/>
      <w:keepLines/>
      <w:spacing w:before="280" w:after="8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Cs w:val="72"/>
    </w:rPr>
  </w:style>
  <w:style w:type="paragraph" w:styleId="ListParagraph">
    <w:name w:val="List Paragraph"/>
    <w:basedOn w:val="Normal"/>
    <w:uiPriority w:val="34"/>
    <w:qFormat/>
    <w:rsid w:val="00FD707E"/>
    <w:pPr>
      <w:ind w:left="720"/>
      <w:contextualSpacing/>
    </w:pPr>
  </w:style>
  <w:style w:type="character" w:styleId="Hyperlink">
    <w:name w:val="Hyperlink"/>
    <w:basedOn w:val="DefaultParagraphFont"/>
    <w:uiPriority w:val="99"/>
    <w:unhideWhenUsed/>
    <w:rsid w:val="001D6144"/>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1D6144"/>
    <w:rPr>
      <w:color w:val="808080"/>
      <w:shd w:val="clear" w:color="auto" w:fill="E6E6E6"/>
    </w:rPr>
  </w:style>
  <w:style w:type="paragraph" w:styleId="Header">
    <w:name w:val="header"/>
    <w:basedOn w:val="Normal"/>
    <w:link w:val="HeaderChar"/>
    <w:uiPriority w:val="99"/>
    <w:unhideWhenUsed/>
    <w:rsid w:val="006E6E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E46"/>
  </w:style>
  <w:style w:type="paragraph" w:styleId="Footer">
    <w:name w:val="footer"/>
    <w:basedOn w:val="Normal"/>
    <w:link w:val="FooterChar"/>
    <w:uiPriority w:val="99"/>
    <w:unhideWhenUsed/>
    <w:rsid w:val="006E6E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E46"/>
  </w:style>
  <w:style w:type="character" w:styleId="UnresolvedMention">
    <w:name w:val="Unresolved Mention"/>
    <w:basedOn w:val="DefaultParagraphFont"/>
    <w:uiPriority w:val="99"/>
    <w:semiHidden/>
    <w:unhideWhenUsed/>
    <w:rsid w:val="0033754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eHNh7Jj0emWgGa38e46G532Uyw==">CgMxLjA4AHIhMXVfYzZjbUV0U29qdHhlTG1kVWZsd192R0J0SUxHWjRw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7050</Words>
  <Characters>40186</Characters>
  <Application>Microsoft Office Word</Application>
  <DocSecurity>0</DocSecurity>
  <Lines>334</Lines>
  <Paragraphs>94</Paragraphs>
  <ScaleCrop>false</ScaleCrop>
  <Company/>
  <LinksUpToDate>false</LinksUpToDate>
  <CharactersWithSpaces>47142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Subacute Toxicity of Ethanolic Morus alba Leaf Extract in Wistar Rats</dc:title>
  <dc:subject/>
  <dc:creator>PT ANOA MANDIRI SEJAHTERA</dc:creator>
  <cp:keywords/>
  <dc:description/>
  <cp:lastModifiedBy>PT ANOA MANDIRI SEJAHTERA</cp:lastModifiedBy>
  <cp:revision>2</cp:revision>
  <dcterms:created xsi:type="dcterms:W3CDTF">2026-06-20T02:20:00Z</dcterms:created>
  <dcterms:modified xsi:type="dcterms:W3CDTF">2026-06-20T02:20:00Z</dcterms:modified>
  <cp:category/>
</cp:coreProperties>
</file>