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00E3" w14:textId="77777777" w:rsidR="00273BB2" w:rsidRDefault="00000000" w:rsidP="00437A30">
      <w:pPr>
        <w:spacing w:line="240" w:lineRule="auto"/>
        <w:jc w:val="center"/>
        <w:rPr>
          <w:b/>
        </w:rPr>
      </w:pPr>
      <w:r>
        <w:rPr>
          <w:b/>
        </w:rPr>
        <w:t>Maternal Nutritional and Socioeconomic Determinants of Cleft Lip and Palate: A Scoping Review</w:t>
      </w:r>
    </w:p>
    <w:p w14:paraId="1C277EB1" w14:textId="77777777" w:rsidR="00437A30" w:rsidRDefault="00437A30" w:rsidP="00437A30">
      <w:pPr>
        <w:spacing w:line="240" w:lineRule="auto"/>
        <w:jc w:val="center"/>
      </w:pPr>
    </w:p>
    <w:p w14:paraId="5B86B817" w14:textId="77777777" w:rsidR="00273BB2" w:rsidRDefault="00000000">
      <w:pPr>
        <w:jc w:val="center"/>
      </w:pPr>
      <w:r>
        <w:t>Ruby Riana Asparini</w:t>
      </w:r>
      <w:r w:rsidRPr="00437A30">
        <w:rPr>
          <w:vertAlign w:val="superscript"/>
        </w:rPr>
        <w:t>1</w:t>
      </w:r>
      <w:r>
        <w:t>, Aida Musyarrofah2, Haura Tsabitah Kuswoyo3</w:t>
      </w:r>
    </w:p>
    <w:p w14:paraId="5A5129F6" w14:textId="77777777" w:rsidR="00273BB2" w:rsidRDefault="00000000">
      <w:r>
        <w:t>1 Department of Surgery, Faculty of Medicine, University of Muhammadiyah Malang, Malang, Indonesia.</w:t>
      </w:r>
    </w:p>
    <w:p w14:paraId="76C3B9E0" w14:textId="77777777" w:rsidR="00273BB2" w:rsidRDefault="00000000">
      <w:r>
        <w:t>2 Department of Obstetrics and Gynecology, Faculty of Medicine, University of Muhammadiyah Malang, Malang, Indonesia.</w:t>
      </w:r>
    </w:p>
    <w:p w14:paraId="4DBEBBB6" w14:textId="77777777" w:rsidR="00273BB2" w:rsidRDefault="00000000">
      <w:r>
        <w:t>3 Faculty of Medicine, University of Muhammadiyah Malang, Malang, Indonesia.</w:t>
      </w:r>
    </w:p>
    <w:p w14:paraId="29342057" w14:textId="77777777" w:rsidR="00273BB2" w:rsidRDefault="00273BB2"/>
    <w:p w14:paraId="4FC980AC" w14:textId="77777777" w:rsidR="00273BB2" w:rsidRDefault="00000000">
      <w:r>
        <w:rPr>
          <w:b/>
        </w:rPr>
        <w:t xml:space="preserve">Corresponding author: </w:t>
      </w:r>
      <w:r>
        <w:t>Ruby Riana Asparini, Department of Surgery, Faculty of Medicine, University of Muhammadiyah Malang, Malang, Indonesia. Email: [please confirm email before submission].</w:t>
      </w:r>
    </w:p>
    <w:p w14:paraId="005A22E0" w14:textId="77777777" w:rsidR="00273BB2" w:rsidRDefault="00000000">
      <w:r>
        <w:rPr>
          <w:b/>
        </w:rPr>
        <w:t xml:space="preserve">Running headline: </w:t>
      </w:r>
      <w:r>
        <w:t>Maternal Determinants of CLP</w:t>
      </w:r>
    </w:p>
    <w:p w14:paraId="1CF89D6E" w14:textId="77777777" w:rsidR="00273BB2" w:rsidRDefault="00000000">
      <w:r>
        <w:rPr>
          <w:b/>
        </w:rPr>
        <w:t xml:space="preserve">Article type: </w:t>
      </w:r>
      <w:r>
        <w:t>Scoping Review Article</w:t>
      </w:r>
    </w:p>
    <w:p w14:paraId="08BC4554" w14:textId="77777777" w:rsidR="00273BB2" w:rsidRDefault="00000000">
      <w:r>
        <w:rPr>
          <w:b/>
        </w:rPr>
        <w:t xml:space="preserve">Source of support/funding: </w:t>
      </w:r>
      <w:r>
        <w:t>To be confirmed by all authors before submission.</w:t>
      </w:r>
    </w:p>
    <w:p w14:paraId="39BC6A81" w14:textId="77777777" w:rsidR="00273BB2" w:rsidRDefault="00000000">
      <w:r>
        <w:rPr>
          <w:b/>
        </w:rPr>
        <w:t xml:space="preserve">Competing interests: </w:t>
      </w:r>
      <w:r>
        <w:t>To be confirmed by all authors before submission.</w:t>
      </w:r>
    </w:p>
    <w:p w14:paraId="0C4E992E" w14:textId="77777777" w:rsidR="00273BB2" w:rsidRDefault="00273BB2"/>
    <w:p w14:paraId="3E5723AC" w14:textId="77777777" w:rsidR="00273BB2" w:rsidRDefault="00000000">
      <w:r>
        <w:rPr>
          <w:i/>
        </w:rPr>
        <w:t>Author confirmation required before submission: MJIRI requires a signed cover letter and article record form from all coauthors. Please confirm author order, corresponding author details, funding, and conflict-of-interest statement before online submission.</w:t>
      </w:r>
    </w:p>
    <w:p w14:paraId="30004C89" w14:textId="77777777" w:rsidR="00273BB2" w:rsidRDefault="00000000">
      <w:r>
        <w:br/>
      </w:r>
    </w:p>
    <w:p w14:paraId="1684EF73" w14:textId="77777777" w:rsidR="00273BB2" w:rsidRDefault="00000000">
      <w:pPr>
        <w:jc w:val="center"/>
      </w:pPr>
      <w:r>
        <w:rPr>
          <w:b/>
        </w:rPr>
        <w:t>Maternal Nutritional and Socioeconomic Determinants of Cleft Lip and Palate: A Scoping Review</w:t>
      </w:r>
    </w:p>
    <w:p w14:paraId="04E2D3CA" w14:textId="77777777" w:rsidR="00273BB2" w:rsidRDefault="00000000">
      <w:pPr>
        <w:pStyle w:val="Heading1"/>
      </w:pPr>
      <w:r>
        <w:rPr>
          <w:rFonts w:ascii="Times New Roman" w:eastAsia="Times New Roman" w:hAnsi="Times New Roman"/>
        </w:rPr>
        <w:lastRenderedPageBreak/>
        <w:t>Abstract</w:t>
      </w:r>
    </w:p>
    <w:p w14:paraId="0CE3AB07" w14:textId="77777777" w:rsidR="00273BB2" w:rsidRDefault="00000000">
      <w:r>
        <w:t>Cleft lip and palate is a common congenital anomaly with multifactorial determinants. Maternal nutritional status and socioeconomic conditions may influence craniofacial development through micronutrient availability, antenatal care access, and health-related behaviors. This scoping review mapped evidence on maternal nutritional and socioeconomic determinants of cleft lip and palate. Literature was identified from PubMed, ScienceDirect, Cochrane, and Google Scholar, yielding 3,437 records and 15 eligible studies. The evidence suggested that deficiencies in folic acid, vitamin B12, and vitamin B6 were associated with increased risk, while adequate maternal micronutrient intake showed a protective role. Low socioeconomic status was linked to limited nutrition, reduced access to antenatal care, lower health literacy, and financial stress. These findings highlight the need for integrated maternal nutrition counselling and socioeconomic support in congenital anomaly prevention.</w:t>
      </w:r>
    </w:p>
    <w:p w14:paraId="1524D954" w14:textId="77777777" w:rsidR="00273BB2" w:rsidRDefault="00000000">
      <w:r>
        <w:rPr>
          <w:b/>
        </w:rPr>
        <w:t xml:space="preserve">Keywords: </w:t>
      </w:r>
      <w:r>
        <w:t>Cleft lip and palate; Orofacial cleft; Maternal nutrition; Socioeconomic status; Congenital anomalies; Scoping review</w:t>
      </w:r>
    </w:p>
    <w:p w14:paraId="41B21E51" w14:textId="77777777" w:rsidR="00273BB2" w:rsidRDefault="00000000">
      <w:pPr>
        <w:pStyle w:val="Heading1"/>
      </w:pPr>
      <w:r>
        <w:rPr>
          <w:rFonts w:ascii="Times New Roman" w:eastAsia="Times New Roman" w:hAnsi="Times New Roman"/>
        </w:rPr>
        <w:t>Knowledge Translation</w:t>
      </w:r>
    </w:p>
    <w:p w14:paraId="6941E91B" w14:textId="77777777" w:rsidR="00273BB2" w:rsidRDefault="00000000">
      <w:r>
        <w:rPr>
          <w:b/>
        </w:rPr>
        <w:t xml:space="preserve">What is already known in this topic: </w:t>
      </w:r>
      <w:r>
        <w:t>Cleft lip and palate has multifactorial determinants, including genetic, nutritional, environmental, and socioeconomic factors. Maternal folate and other B-vitamin deficiencies have been associated with abnormal craniofacial development.</w:t>
      </w:r>
    </w:p>
    <w:p w14:paraId="2098AF4A" w14:textId="77777777" w:rsidR="00273BB2" w:rsidRDefault="00000000">
      <w:r>
        <w:rPr>
          <w:b/>
        </w:rPr>
        <w:t xml:space="preserve">This article adds to: </w:t>
      </w:r>
      <w:r>
        <w:t>This scoping review synthesizes evidence linking maternal micronutrient status and socioeconomic disadvantage with cleft lip and palate, emphasizing antenatal nutrition counselling, micronutrient supplementation, and social support in congenital anomaly prevention.</w:t>
      </w:r>
    </w:p>
    <w:p w14:paraId="1C8974BD" w14:textId="77777777" w:rsidR="00273BB2" w:rsidRDefault="00000000">
      <w:pPr>
        <w:pStyle w:val="Heading1"/>
      </w:pPr>
      <w:r>
        <w:rPr>
          <w:rFonts w:ascii="Times New Roman" w:eastAsia="Times New Roman" w:hAnsi="Times New Roman"/>
        </w:rPr>
        <w:lastRenderedPageBreak/>
        <w:t>Background</w:t>
      </w:r>
    </w:p>
    <w:p w14:paraId="60503BBE" w14:textId="77777777" w:rsidR="00273BB2" w:rsidRDefault="00000000">
      <w:r>
        <w:t>Congenital anomalies are structural or functional disorders that occur during intrauterine life and may be identified before birth, at birth, or later in life [1]. Cleft lip and palate (CLP) is among the most common craniofacial congenital anomalies and may involve the lip, alveolus, and/or palate, with implications for feeding, speech, hearing, dental development, psychosocial wellbeing, and long-term health care needs [2,26]. The worldwide prevalence of cleft palate, cleft lip, and cleft lip with palate has been estimated at 9.92 per 10,000 births in a systematic review and meta-analysis involving 57 studies and 17,907,569 individuals [3]. In Indonesia, the highest reported prevalence of CLP was described in the Capital Region of Jakarta, reaching 13.9 per 1,000 births compared with the national rate of 2.4 per 1,000 births [4]. Recent global burden evidence also indicates that orofacial clefts remain a relevant public health issue with unequal distribution across regions and socioeconomic settings [30].</w:t>
      </w:r>
    </w:p>
    <w:p w14:paraId="0110D400" w14:textId="77777777" w:rsidR="00273BB2" w:rsidRDefault="00273BB2"/>
    <w:p w14:paraId="7DA1ADA8" w14:textId="77777777" w:rsidR="00273BB2" w:rsidRDefault="00000000">
      <w:r>
        <w:t>The etiology of most nonsyndromic CLP is multifactorial and remains incompletely understood [5]. The preconception period and early pregnancy are critical windows for craniofacial morphogenesis, during which maternal nutrition, micronutrient availability, and one-carbon metabolism may influence embryonic development [6]. Folic acid supplementation around conception is widely recommended for the prevention of folate-sensitive congenital anomalies, and the World Health Organization recommends 400 micrograms of folic acid daily for women from the time they begin trying to conceive until 12 weeks of gestation [27].</w:t>
      </w:r>
    </w:p>
    <w:p w14:paraId="3E9005EF" w14:textId="77777777" w:rsidR="00273BB2" w:rsidRDefault="00000000">
      <w:r>
        <w:t xml:space="preserve">Maternal socioeconomic status may also influence CLP risk through several pathways, including food security, maternal education, antenatal care access, micronutrient supplementation, household living conditions, and financial stress [6,7]. Communities with low socioeconomic </w:t>
      </w:r>
      <w:r>
        <w:lastRenderedPageBreak/>
        <w:t>status often face difficulty meeting basic needs such as nutritious food, healthy housing, sanitation, and access to adequate health services [7]. These conditions may increase vulnerability during pregnancy and disrupt fetal organogenesis, thereby contributing to congenital anomalies such as CLP [8].</w:t>
      </w:r>
    </w:p>
    <w:p w14:paraId="3640899A" w14:textId="77777777" w:rsidR="00273BB2" w:rsidRDefault="00000000">
      <w:r>
        <w:t>Although studies on maternal nutritional and socioeconomic factors related to CLP have been conducted in different countries, the findings remain heterogeneous. Therefore, this scoping review aimed to map evidence on maternal nutritional and socioeconomic determinants of CLP and to identify implications for maternal-child health, antenatal counselling, and congenital anomaly prevention.</w:t>
      </w:r>
    </w:p>
    <w:p w14:paraId="64EBA260" w14:textId="77777777" w:rsidR="00273BB2" w:rsidRDefault="00000000">
      <w:pPr>
        <w:pStyle w:val="Heading1"/>
      </w:pPr>
      <w:r>
        <w:rPr>
          <w:rFonts w:ascii="Times New Roman" w:eastAsia="Times New Roman" w:hAnsi="Times New Roman"/>
        </w:rPr>
        <w:t>Methods</w:t>
      </w:r>
    </w:p>
    <w:p w14:paraId="3EC11704" w14:textId="77777777" w:rsidR="00273BB2" w:rsidRDefault="00000000">
      <w:r>
        <w:t>This study used a scoping review design guided by the Preferred Reporting Items for Systematic Reviews and Meta-Analyses extension for Scoping Reviews (PRISMA-ScR) to improve transparency in evidence mapping and reporting [13]. The scoping review approach was selected because the available evidence included different study designs, populations, exposures, and outcomes. The conduct and reporting of scoping reviews were also informed by methodological guidance for scoping review development, evidence charting, and synthesis [28].</w:t>
      </w:r>
    </w:p>
    <w:p w14:paraId="109CBBA3" w14:textId="77777777" w:rsidR="00273BB2" w:rsidRDefault="00000000">
      <w:r>
        <w:t>The literature search was conducted in PubMed, ScienceDirect, Cochrane, and Google Scholar using combinations of terms related to maternal nutrition, nutritional status, socioeconomic status, economic status, cleft lip and palate, and orofacial cleft. Articles published from 2015 to 2025 and written in Indonesian or English were considered. The inclusion criteria were studies addressing maternal nutritional status and/or socioeconomic status in relation to CLP. The exclusion criteria were editorials, abstracts, letters to the editor, advertisements, case reports, comments, and tutorials. The eligibility criteria were organized using the PECO framework.</w:t>
      </w:r>
    </w:p>
    <w:p w14:paraId="67D7251E" w14:textId="77777777" w:rsidR="00273BB2" w:rsidRDefault="00000000">
      <w:r>
        <w:rPr>
          <w:b/>
        </w:rPr>
        <w:lastRenderedPageBreak/>
        <w:t>Table 1. Search keywords used in each database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73BB2" w14:paraId="4BC76C0C" w14:textId="77777777">
        <w:trPr>
          <w:jc w:val="center"/>
        </w:trPr>
        <w:tc>
          <w:tcPr>
            <w:tcW w:w="4680" w:type="dxa"/>
          </w:tcPr>
          <w:p w14:paraId="43B7E5FC" w14:textId="77777777" w:rsidR="00273BB2" w:rsidRDefault="00000000">
            <w:pPr>
              <w:spacing w:line="240" w:lineRule="auto"/>
            </w:pPr>
            <w:r>
              <w:rPr>
                <w:b/>
                <w:sz w:val="20"/>
              </w:rPr>
              <w:t>Database</w:t>
            </w:r>
          </w:p>
        </w:tc>
        <w:tc>
          <w:tcPr>
            <w:tcW w:w="4680" w:type="dxa"/>
          </w:tcPr>
          <w:p w14:paraId="00FED895" w14:textId="77777777" w:rsidR="00273BB2" w:rsidRDefault="00000000">
            <w:pPr>
              <w:spacing w:line="240" w:lineRule="auto"/>
            </w:pPr>
            <w:r>
              <w:rPr>
                <w:b/>
                <w:sz w:val="20"/>
              </w:rPr>
              <w:t>Keyword</w:t>
            </w:r>
          </w:p>
        </w:tc>
      </w:tr>
      <w:tr w:rsidR="00273BB2" w14:paraId="426ED8EB" w14:textId="77777777">
        <w:trPr>
          <w:jc w:val="center"/>
        </w:trPr>
        <w:tc>
          <w:tcPr>
            <w:tcW w:w="4680" w:type="dxa"/>
          </w:tcPr>
          <w:p w14:paraId="3C88F0BC" w14:textId="77777777" w:rsidR="00273BB2" w:rsidRDefault="00000000">
            <w:pPr>
              <w:spacing w:line="240" w:lineRule="auto"/>
            </w:pPr>
            <w:r>
              <w:rPr>
                <w:sz w:val="20"/>
              </w:rPr>
              <w:t>PubMed</w:t>
            </w:r>
          </w:p>
        </w:tc>
        <w:tc>
          <w:tcPr>
            <w:tcW w:w="4680" w:type="dxa"/>
          </w:tcPr>
          <w:p w14:paraId="6C884292" w14:textId="77777777" w:rsidR="00273BB2" w:rsidRDefault="00000000">
            <w:pPr>
              <w:spacing w:line="240" w:lineRule="auto"/>
            </w:pPr>
            <w:r>
              <w:rPr>
                <w:sz w:val="20"/>
              </w:rPr>
              <w:t>(((((((((((Maternal nutrition[Text Word]) OR (Maternal nutrition[MeSH Terms])) OR (Nutritional status[Text Word])) OR (Nutritional status[MeSH Terms])) AND (Economic Status[Text Word])) OR (Economic Status[MeSH Terms])) OR (Socioeconomic status[Text Word])) OR (Socioeconomic status[MeSH Terms])) AND (Cleft Lip[Text Word] AND Palate[Text Word])) OR (Cleft Lip and Palate[MeSH Terms])) OR (Orofacial cleft[Text Word])) OR (Orofacial cleft[MeSH Terms])</w:t>
            </w:r>
          </w:p>
        </w:tc>
      </w:tr>
      <w:tr w:rsidR="00273BB2" w14:paraId="737C3D86" w14:textId="77777777">
        <w:trPr>
          <w:jc w:val="center"/>
        </w:trPr>
        <w:tc>
          <w:tcPr>
            <w:tcW w:w="4680" w:type="dxa"/>
          </w:tcPr>
          <w:p w14:paraId="31848F35" w14:textId="77777777" w:rsidR="00273BB2" w:rsidRDefault="00000000">
            <w:pPr>
              <w:spacing w:line="240" w:lineRule="auto"/>
            </w:pPr>
            <w:r>
              <w:rPr>
                <w:sz w:val="20"/>
              </w:rPr>
              <w:t>Cochrane</w:t>
            </w:r>
          </w:p>
        </w:tc>
        <w:tc>
          <w:tcPr>
            <w:tcW w:w="4680" w:type="dxa"/>
          </w:tcPr>
          <w:p w14:paraId="4576A3F1" w14:textId="77777777" w:rsidR="00273BB2" w:rsidRDefault="00000000">
            <w:pPr>
              <w:spacing w:line="240" w:lineRule="auto"/>
            </w:pPr>
            <w:r>
              <w:rPr>
                <w:sz w:val="20"/>
              </w:rPr>
              <w:t>“Maternal nutrition” OR “Nutritional Status” AND “Economic Status” OR “Socioeconomic Status” AND “Cleft Lip and Palate” OR “Orofacial cleft”</w:t>
            </w:r>
          </w:p>
        </w:tc>
      </w:tr>
      <w:tr w:rsidR="00273BB2" w14:paraId="227B8C84" w14:textId="77777777">
        <w:trPr>
          <w:jc w:val="center"/>
        </w:trPr>
        <w:tc>
          <w:tcPr>
            <w:tcW w:w="4680" w:type="dxa"/>
          </w:tcPr>
          <w:p w14:paraId="005129E1" w14:textId="77777777" w:rsidR="00273BB2" w:rsidRDefault="00000000">
            <w:pPr>
              <w:spacing w:line="240" w:lineRule="auto"/>
            </w:pPr>
            <w:r>
              <w:rPr>
                <w:sz w:val="20"/>
              </w:rPr>
              <w:t>ScienceDirect</w:t>
            </w:r>
          </w:p>
        </w:tc>
        <w:tc>
          <w:tcPr>
            <w:tcW w:w="4680" w:type="dxa"/>
          </w:tcPr>
          <w:p w14:paraId="44C05B4E" w14:textId="77777777" w:rsidR="00273BB2" w:rsidRDefault="00000000">
            <w:pPr>
              <w:spacing w:line="240" w:lineRule="auto"/>
            </w:pPr>
            <w:r>
              <w:rPr>
                <w:sz w:val="20"/>
              </w:rPr>
              <w:t>“Maternal nutrition” OR “Nutritional Status” AND “Economic Status” OR “Socioeconomic Status” AND “Cleft Lip and Palate” OR “Orofacial cleft”</w:t>
            </w:r>
          </w:p>
        </w:tc>
      </w:tr>
      <w:tr w:rsidR="00273BB2" w14:paraId="75C7DA37" w14:textId="77777777">
        <w:trPr>
          <w:jc w:val="center"/>
        </w:trPr>
        <w:tc>
          <w:tcPr>
            <w:tcW w:w="4680" w:type="dxa"/>
          </w:tcPr>
          <w:p w14:paraId="78CA6942" w14:textId="77777777" w:rsidR="00273BB2" w:rsidRDefault="00000000">
            <w:pPr>
              <w:spacing w:line="240" w:lineRule="auto"/>
            </w:pPr>
            <w:r>
              <w:rPr>
                <w:sz w:val="20"/>
              </w:rPr>
              <w:t>Google Scholar</w:t>
            </w:r>
          </w:p>
        </w:tc>
        <w:tc>
          <w:tcPr>
            <w:tcW w:w="4680" w:type="dxa"/>
          </w:tcPr>
          <w:p w14:paraId="083509DB" w14:textId="77777777" w:rsidR="00273BB2" w:rsidRDefault="00000000">
            <w:pPr>
              <w:spacing w:line="240" w:lineRule="auto"/>
            </w:pPr>
            <w:r>
              <w:rPr>
                <w:sz w:val="20"/>
              </w:rPr>
              <w:t>“Maternal nutrition” OR “Nutritional Status” AND “Economic Status” OR “Socioeconomic Status” AND “Cleft Lip and Palate” OR “Orofacial cleft”</w:t>
            </w:r>
          </w:p>
        </w:tc>
      </w:tr>
    </w:tbl>
    <w:p w14:paraId="0F0B7103" w14:textId="77777777" w:rsidR="00273BB2" w:rsidRDefault="00000000">
      <w:r>
        <w:rPr>
          <w:b/>
        </w:rPr>
        <w:t>Table 2. PECO framework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73BB2" w14:paraId="3C9C6A88" w14:textId="77777777">
        <w:trPr>
          <w:jc w:val="center"/>
        </w:trPr>
        <w:tc>
          <w:tcPr>
            <w:tcW w:w="4680" w:type="dxa"/>
          </w:tcPr>
          <w:p w14:paraId="44FB2B79" w14:textId="77777777" w:rsidR="00273BB2" w:rsidRDefault="00000000">
            <w:pPr>
              <w:spacing w:line="240" w:lineRule="auto"/>
            </w:pPr>
            <w:r>
              <w:rPr>
                <w:b/>
                <w:sz w:val="20"/>
              </w:rPr>
              <w:t>PECO component</w:t>
            </w:r>
          </w:p>
        </w:tc>
        <w:tc>
          <w:tcPr>
            <w:tcW w:w="4680" w:type="dxa"/>
          </w:tcPr>
          <w:p w14:paraId="72BFA150" w14:textId="77777777" w:rsidR="00273BB2" w:rsidRDefault="00000000">
            <w:pPr>
              <w:spacing w:line="240" w:lineRule="auto"/>
            </w:pPr>
            <w:r>
              <w:rPr>
                <w:b/>
                <w:sz w:val="20"/>
              </w:rPr>
              <w:t>Description</w:t>
            </w:r>
          </w:p>
        </w:tc>
      </w:tr>
      <w:tr w:rsidR="00273BB2" w14:paraId="74795E3C" w14:textId="77777777">
        <w:trPr>
          <w:jc w:val="center"/>
        </w:trPr>
        <w:tc>
          <w:tcPr>
            <w:tcW w:w="4680" w:type="dxa"/>
          </w:tcPr>
          <w:p w14:paraId="57AFAF9B" w14:textId="77777777" w:rsidR="00273BB2" w:rsidRDefault="00000000">
            <w:pPr>
              <w:spacing w:line="240" w:lineRule="auto"/>
            </w:pPr>
            <w:r>
              <w:rPr>
                <w:sz w:val="20"/>
              </w:rPr>
              <w:t>Population</w:t>
            </w:r>
          </w:p>
        </w:tc>
        <w:tc>
          <w:tcPr>
            <w:tcW w:w="4680" w:type="dxa"/>
          </w:tcPr>
          <w:p w14:paraId="09F0C319" w14:textId="77777777" w:rsidR="00273BB2" w:rsidRDefault="00000000">
            <w:pPr>
              <w:spacing w:line="240" w:lineRule="auto"/>
            </w:pPr>
            <w:r>
              <w:rPr>
                <w:sz w:val="20"/>
              </w:rPr>
              <w:t>Mothers of children with cleft lip and/or palate</w:t>
            </w:r>
          </w:p>
        </w:tc>
      </w:tr>
      <w:tr w:rsidR="00273BB2" w14:paraId="412C9B2C" w14:textId="77777777">
        <w:trPr>
          <w:jc w:val="center"/>
        </w:trPr>
        <w:tc>
          <w:tcPr>
            <w:tcW w:w="4680" w:type="dxa"/>
          </w:tcPr>
          <w:p w14:paraId="6F2120ED" w14:textId="77777777" w:rsidR="00273BB2" w:rsidRDefault="00000000">
            <w:pPr>
              <w:spacing w:line="240" w:lineRule="auto"/>
            </w:pPr>
            <w:r>
              <w:rPr>
                <w:sz w:val="20"/>
              </w:rPr>
              <w:t>Exposure</w:t>
            </w:r>
          </w:p>
        </w:tc>
        <w:tc>
          <w:tcPr>
            <w:tcW w:w="4680" w:type="dxa"/>
          </w:tcPr>
          <w:p w14:paraId="64F90B1F" w14:textId="77777777" w:rsidR="00273BB2" w:rsidRDefault="00000000">
            <w:pPr>
              <w:spacing w:line="240" w:lineRule="auto"/>
            </w:pPr>
            <w:r>
              <w:rPr>
                <w:sz w:val="20"/>
              </w:rPr>
              <w:t>Maternal nutritional status and socioeconomic status</w:t>
            </w:r>
          </w:p>
        </w:tc>
      </w:tr>
      <w:tr w:rsidR="00273BB2" w14:paraId="05A790C9" w14:textId="77777777">
        <w:trPr>
          <w:jc w:val="center"/>
        </w:trPr>
        <w:tc>
          <w:tcPr>
            <w:tcW w:w="4680" w:type="dxa"/>
          </w:tcPr>
          <w:p w14:paraId="6749CAF0" w14:textId="77777777" w:rsidR="00273BB2" w:rsidRDefault="00000000">
            <w:pPr>
              <w:spacing w:line="240" w:lineRule="auto"/>
            </w:pPr>
            <w:r>
              <w:rPr>
                <w:sz w:val="20"/>
              </w:rPr>
              <w:t>Comparison</w:t>
            </w:r>
          </w:p>
        </w:tc>
        <w:tc>
          <w:tcPr>
            <w:tcW w:w="4680" w:type="dxa"/>
          </w:tcPr>
          <w:p w14:paraId="14FB3EDE" w14:textId="77777777" w:rsidR="00273BB2" w:rsidRDefault="00000000">
            <w:pPr>
              <w:spacing w:line="240" w:lineRule="auto"/>
            </w:pPr>
            <w:r>
              <w:rPr>
                <w:sz w:val="20"/>
              </w:rPr>
              <w:t>None or comparison groups as reported in the included studies</w:t>
            </w:r>
          </w:p>
        </w:tc>
      </w:tr>
      <w:tr w:rsidR="00273BB2" w14:paraId="7695B4B6" w14:textId="77777777">
        <w:trPr>
          <w:jc w:val="center"/>
        </w:trPr>
        <w:tc>
          <w:tcPr>
            <w:tcW w:w="4680" w:type="dxa"/>
          </w:tcPr>
          <w:p w14:paraId="086A2319" w14:textId="77777777" w:rsidR="00273BB2" w:rsidRDefault="00000000">
            <w:pPr>
              <w:spacing w:line="240" w:lineRule="auto"/>
            </w:pPr>
            <w:r>
              <w:rPr>
                <w:sz w:val="20"/>
              </w:rPr>
              <w:t>Outcome</w:t>
            </w:r>
          </w:p>
        </w:tc>
        <w:tc>
          <w:tcPr>
            <w:tcW w:w="4680" w:type="dxa"/>
          </w:tcPr>
          <w:p w14:paraId="6AD132C6" w14:textId="77777777" w:rsidR="00273BB2" w:rsidRDefault="00000000">
            <w:pPr>
              <w:spacing w:line="240" w:lineRule="auto"/>
            </w:pPr>
            <w:r>
              <w:rPr>
                <w:sz w:val="20"/>
              </w:rPr>
              <w:t>Determinants associated with cleft lip and/or palate</w:t>
            </w:r>
          </w:p>
        </w:tc>
      </w:tr>
    </w:tbl>
    <w:p w14:paraId="6842A1C7" w14:textId="77777777" w:rsidR="00273BB2" w:rsidRDefault="00000000">
      <w:r>
        <w:rPr>
          <w:b/>
        </w:rPr>
        <w:t>Figure 1. PRISMA-ScR flow summary of study selection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73BB2" w14:paraId="246B51FB" w14:textId="77777777">
        <w:trPr>
          <w:jc w:val="center"/>
        </w:trPr>
        <w:tc>
          <w:tcPr>
            <w:tcW w:w="4680" w:type="dxa"/>
          </w:tcPr>
          <w:p w14:paraId="5F452C47" w14:textId="77777777" w:rsidR="00273BB2" w:rsidRDefault="00000000">
            <w:pPr>
              <w:spacing w:line="240" w:lineRule="auto"/>
            </w:pPr>
            <w:r>
              <w:rPr>
                <w:b/>
                <w:sz w:val="20"/>
              </w:rPr>
              <w:t>Selection stage</w:t>
            </w:r>
          </w:p>
        </w:tc>
        <w:tc>
          <w:tcPr>
            <w:tcW w:w="4680" w:type="dxa"/>
          </w:tcPr>
          <w:p w14:paraId="7BC08997" w14:textId="77777777" w:rsidR="00273BB2" w:rsidRDefault="00000000">
            <w:pPr>
              <w:spacing w:line="240" w:lineRule="auto"/>
            </w:pPr>
            <w:r>
              <w:rPr>
                <w:b/>
                <w:sz w:val="20"/>
              </w:rPr>
              <w:t>Number of records/studies</w:t>
            </w:r>
          </w:p>
        </w:tc>
      </w:tr>
      <w:tr w:rsidR="00273BB2" w14:paraId="40C16571" w14:textId="77777777">
        <w:trPr>
          <w:jc w:val="center"/>
        </w:trPr>
        <w:tc>
          <w:tcPr>
            <w:tcW w:w="4680" w:type="dxa"/>
          </w:tcPr>
          <w:p w14:paraId="4434C1DB" w14:textId="77777777" w:rsidR="00273BB2" w:rsidRDefault="00000000">
            <w:pPr>
              <w:spacing w:line="240" w:lineRule="auto"/>
            </w:pPr>
            <w:r>
              <w:rPr>
                <w:sz w:val="20"/>
              </w:rPr>
              <w:t>Records identified from database searching</w:t>
            </w:r>
          </w:p>
        </w:tc>
        <w:tc>
          <w:tcPr>
            <w:tcW w:w="4680" w:type="dxa"/>
          </w:tcPr>
          <w:p w14:paraId="36FDC6D3" w14:textId="77777777" w:rsidR="00273BB2" w:rsidRDefault="00000000">
            <w:pPr>
              <w:spacing w:line="240" w:lineRule="auto"/>
            </w:pPr>
            <w:r>
              <w:rPr>
                <w:sz w:val="20"/>
              </w:rPr>
              <w:t>3,437</w:t>
            </w:r>
          </w:p>
        </w:tc>
      </w:tr>
      <w:tr w:rsidR="00273BB2" w14:paraId="65B44938" w14:textId="77777777">
        <w:trPr>
          <w:jc w:val="center"/>
        </w:trPr>
        <w:tc>
          <w:tcPr>
            <w:tcW w:w="4680" w:type="dxa"/>
          </w:tcPr>
          <w:p w14:paraId="565D8341" w14:textId="77777777" w:rsidR="00273BB2" w:rsidRDefault="00000000">
            <w:pPr>
              <w:spacing w:line="240" w:lineRule="auto"/>
            </w:pPr>
            <w:r>
              <w:rPr>
                <w:sz w:val="20"/>
              </w:rPr>
              <w:t>Records excluded during screening and eligibility assessment</w:t>
            </w:r>
          </w:p>
        </w:tc>
        <w:tc>
          <w:tcPr>
            <w:tcW w:w="4680" w:type="dxa"/>
          </w:tcPr>
          <w:p w14:paraId="5C814155" w14:textId="77777777" w:rsidR="00273BB2" w:rsidRDefault="00000000">
            <w:pPr>
              <w:spacing w:line="240" w:lineRule="auto"/>
            </w:pPr>
            <w:r>
              <w:rPr>
                <w:sz w:val="20"/>
              </w:rPr>
              <w:t>3,422</w:t>
            </w:r>
          </w:p>
        </w:tc>
      </w:tr>
      <w:tr w:rsidR="00273BB2" w14:paraId="0E4FE864" w14:textId="77777777">
        <w:trPr>
          <w:jc w:val="center"/>
        </w:trPr>
        <w:tc>
          <w:tcPr>
            <w:tcW w:w="4680" w:type="dxa"/>
          </w:tcPr>
          <w:p w14:paraId="5069E666" w14:textId="77777777" w:rsidR="00273BB2" w:rsidRDefault="00000000">
            <w:pPr>
              <w:spacing w:line="240" w:lineRule="auto"/>
            </w:pPr>
            <w:r>
              <w:rPr>
                <w:sz w:val="20"/>
              </w:rPr>
              <w:t>Studies included in the scoping review</w:t>
            </w:r>
          </w:p>
        </w:tc>
        <w:tc>
          <w:tcPr>
            <w:tcW w:w="4680" w:type="dxa"/>
          </w:tcPr>
          <w:p w14:paraId="09B8B6F7" w14:textId="77777777" w:rsidR="00273BB2" w:rsidRDefault="00000000">
            <w:pPr>
              <w:spacing w:line="240" w:lineRule="auto"/>
            </w:pPr>
            <w:r>
              <w:rPr>
                <w:sz w:val="20"/>
              </w:rPr>
              <w:t>15</w:t>
            </w:r>
          </w:p>
        </w:tc>
      </w:tr>
    </w:tbl>
    <w:p w14:paraId="2A9302D2" w14:textId="77777777" w:rsidR="00273BB2" w:rsidRDefault="00000000">
      <w:pPr>
        <w:pStyle w:val="Heading1"/>
      </w:pPr>
      <w:r>
        <w:rPr>
          <w:rFonts w:ascii="Times New Roman" w:eastAsia="Times New Roman" w:hAnsi="Times New Roman"/>
        </w:rPr>
        <w:t>Review of the Literature</w:t>
      </w:r>
    </w:p>
    <w:p w14:paraId="64DFF87F" w14:textId="77777777" w:rsidR="00273BB2" w:rsidRDefault="00000000">
      <w:pPr>
        <w:pStyle w:val="Heading2"/>
      </w:pPr>
      <w:r>
        <w:rPr>
          <w:rFonts w:ascii="Times New Roman" w:eastAsia="Times New Roman" w:hAnsi="Times New Roman"/>
        </w:rPr>
        <w:t>Study Selection and Characteristics</w:t>
      </w:r>
    </w:p>
    <w:p w14:paraId="7F4D018A" w14:textId="77777777" w:rsidR="00273BB2" w:rsidRDefault="00000000">
      <w:r>
        <w:t xml:space="preserve">A total of 3,437 articles were identified, and 15 articles met the inclusion criteria. The included studies used different designs, including retrospective case-control studies, cross-sectional studies, cohort studies, systematic reviews, meta-analyses, and review articles. The evidence was </w:t>
      </w:r>
      <w:r>
        <w:lastRenderedPageBreak/>
        <w:t>grouped into maternal nutritional determinants, socioeconomic determinants, and overlapping pathways linking nutrition, poverty, antenatal care, and maternal health behavior.</w:t>
      </w:r>
    </w:p>
    <w:p w14:paraId="4841106E" w14:textId="77777777" w:rsidR="00273BB2" w:rsidRDefault="00000000">
      <w:r>
        <w:rPr>
          <w:b/>
        </w:rPr>
        <w:t>Table 3. Characteristics and main findings of included studies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69"/>
        <w:gridCol w:w="1870"/>
        <w:gridCol w:w="1871"/>
        <w:gridCol w:w="1871"/>
      </w:tblGrid>
      <w:tr w:rsidR="00273BB2" w14:paraId="29A16C4D" w14:textId="77777777">
        <w:trPr>
          <w:jc w:val="center"/>
        </w:trPr>
        <w:tc>
          <w:tcPr>
            <w:tcW w:w="1872" w:type="dxa"/>
          </w:tcPr>
          <w:p w14:paraId="03202B33" w14:textId="77777777" w:rsidR="00273BB2" w:rsidRDefault="00000000">
            <w:pPr>
              <w:spacing w:line="240" w:lineRule="auto"/>
            </w:pPr>
            <w:r>
              <w:rPr>
                <w:b/>
                <w:sz w:val="20"/>
              </w:rPr>
              <w:t>Author/year</w:t>
            </w:r>
          </w:p>
        </w:tc>
        <w:tc>
          <w:tcPr>
            <w:tcW w:w="1872" w:type="dxa"/>
          </w:tcPr>
          <w:p w14:paraId="0425F1D6" w14:textId="77777777" w:rsidR="00273BB2" w:rsidRDefault="00000000">
            <w:pPr>
              <w:spacing w:line="240" w:lineRule="auto"/>
            </w:pPr>
            <w:r>
              <w:rPr>
                <w:b/>
                <w:sz w:val="20"/>
              </w:rPr>
              <w:t>Country</w:t>
            </w:r>
          </w:p>
        </w:tc>
        <w:tc>
          <w:tcPr>
            <w:tcW w:w="1872" w:type="dxa"/>
          </w:tcPr>
          <w:p w14:paraId="3EBB5BF6" w14:textId="77777777" w:rsidR="00273BB2" w:rsidRDefault="00000000">
            <w:pPr>
              <w:spacing w:line="240" w:lineRule="auto"/>
            </w:pPr>
            <w:r>
              <w:rPr>
                <w:b/>
                <w:sz w:val="20"/>
              </w:rPr>
              <w:t>Design</w:t>
            </w:r>
          </w:p>
        </w:tc>
        <w:tc>
          <w:tcPr>
            <w:tcW w:w="1872" w:type="dxa"/>
          </w:tcPr>
          <w:p w14:paraId="34C3C633" w14:textId="77777777" w:rsidR="00273BB2" w:rsidRDefault="00000000">
            <w:pPr>
              <w:spacing w:line="240" w:lineRule="auto"/>
            </w:pPr>
            <w:r>
              <w:rPr>
                <w:b/>
                <w:sz w:val="20"/>
              </w:rPr>
              <w:t>Main factor</w:t>
            </w:r>
          </w:p>
        </w:tc>
        <w:tc>
          <w:tcPr>
            <w:tcW w:w="1872" w:type="dxa"/>
          </w:tcPr>
          <w:p w14:paraId="559754EA" w14:textId="77777777" w:rsidR="00273BB2" w:rsidRDefault="00000000">
            <w:pPr>
              <w:spacing w:line="240" w:lineRule="auto"/>
            </w:pPr>
            <w:r>
              <w:rPr>
                <w:b/>
                <w:sz w:val="20"/>
              </w:rPr>
              <w:t>Main finding</w:t>
            </w:r>
          </w:p>
        </w:tc>
      </w:tr>
      <w:tr w:rsidR="00273BB2" w14:paraId="6D2F79F7" w14:textId="77777777">
        <w:trPr>
          <w:jc w:val="center"/>
        </w:trPr>
        <w:tc>
          <w:tcPr>
            <w:tcW w:w="1872" w:type="dxa"/>
          </w:tcPr>
          <w:p w14:paraId="30C490E7" w14:textId="77777777" w:rsidR="00273BB2" w:rsidRDefault="00000000">
            <w:pPr>
              <w:spacing w:line="240" w:lineRule="auto"/>
            </w:pPr>
            <w:r>
              <w:rPr>
                <w:sz w:val="20"/>
              </w:rPr>
              <w:t>Xu et al., 2018</w:t>
            </w:r>
          </w:p>
        </w:tc>
        <w:tc>
          <w:tcPr>
            <w:tcW w:w="1872" w:type="dxa"/>
          </w:tcPr>
          <w:p w14:paraId="7FF7B9F7" w14:textId="77777777" w:rsidR="00273BB2" w:rsidRDefault="00000000">
            <w:pPr>
              <w:spacing w:line="240" w:lineRule="auto"/>
            </w:pPr>
            <w:r>
              <w:rPr>
                <w:sz w:val="20"/>
              </w:rPr>
              <w:t>China</w:t>
            </w:r>
          </w:p>
        </w:tc>
        <w:tc>
          <w:tcPr>
            <w:tcW w:w="1872" w:type="dxa"/>
          </w:tcPr>
          <w:p w14:paraId="5DA646F1" w14:textId="77777777" w:rsidR="00273BB2" w:rsidRDefault="00000000">
            <w:pPr>
              <w:spacing w:line="240" w:lineRule="auto"/>
            </w:pPr>
            <w:r>
              <w:rPr>
                <w:sz w:val="20"/>
              </w:rPr>
              <w:t>Retrospective case-control</w:t>
            </w:r>
          </w:p>
        </w:tc>
        <w:tc>
          <w:tcPr>
            <w:tcW w:w="1872" w:type="dxa"/>
          </w:tcPr>
          <w:p w14:paraId="4EFC8276" w14:textId="77777777" w:rsidR="00273BB2" w:rsidRDefault="00000000">
            <w:pPr>
              <w:spacing w:line="240" w:lineRule="auto"/>
            </w:pPr>
            <w:r>
              <w:rPr>
                <w:sz w:val="20"/>
              </w:rPr>
              <w:t>Folic acid and environmental factors</w:t>
            </w:r>
          </w:p>
        </w:tc>
        <w:tc>
          <w:tcPr>
            <w:tcW w:w="1872" w:type="dxa"/>
          </w:tcPr>
          <w:p w14:paraId="4825CCD2" w14:textId="77777777" w:rsidR="00273BB2" w:rsidRDefault="00000000">
            <w:pPr>
              <w:spacing w:line="240" w:lineRule="auto"/>
            </w:pPr>
            <w:r>
              <w:rPr>
                <w:sz w:val="20"/>
              </w:rPr>
              <w:t>Adequate folic acid intake was more common in controls than in CL/P cases and was associated with lower risk (OR = 0.503; p = 0.005).</w:t>
            </w:r>
          </w:p>
        </w:tc>
      </w:tr>
      <w:tr w:rsidR="00273BB2" w14:paraId="357005A8" w14:textId="77777777">
        <w:trPr>
          <w:jc w:val="center"/>
        </w:trPr>
        <w:tc>
          <w:tcPr>
            <w:tcW w:w="1872" w:type="dxa"/>
          </w:tcPr>
          <w:p w14:paraId="5166E53A" w14:textId="77777777" w:rsidR="00273BB2" w:rsidRDefault="00000000">
            <w:pPr>
              <w:spacing w:line="240" w:lineRule="auto"/>
            </w:pPr>
            <w:r>
              <w:rPr>
                <w:sz w:val="20"/>
              </w:rPr>
              <w:t>Mogess and Mihretie, 2024</w:t>
            </w:r>
          </w:p>
        </w:tc>
        <w:tc>
          <w:tcPr>
            <w:tcW w:w="1872" w:type="dxa"/>
          </w:tcPr>
          <w:p w14:paraId="7374BC82" w14:textId="77777777" w:rsidR="00273BB2" w:rsidRDefault="00000000">
            <w:pPr>
              <w:spacing w:line="240" w:lineRule="auto"/>
            </w:pPr>
            <w:r>
              <w:rPr>
                <w:sz w:val="20"/>
              </w:rPr>
              <w:t>Ethiopia</w:t>
            </w:r>
          </w:p>
        </w:tc>
        <w:tc>
          <w:tcPr>
            <w:tcW w:w="1872" w:type="dxa"/>
          </w:tcPr>
          <w:p w14:paraId="6070AA48" w14:textId="77777777" w:rsidR="00273BB2" w:rsidRDefault="00000000">
            <w:pPr>
              <w:spacing w:line="240" w:lineRule="auto"/>
            </w:pPr>
            <w:r>
              <w:rPr>
                <w:sz w:val="20"/>
              </w:rPr>
              <w:t>Systematic review and meta-analysis</w:t>
            </w:r>
          </w:p>
        </w:tc>
        <w:tc>
          <w:tcPr>
            <w:tcW w:w="1872" w:type="dxa"/>
          </w:tcPr>
          <w:p w14:paraId="5D416B17" w14:textId="77777777" w:rsidR="00273BB2" w:rsidRDefault="00000000">
            <w:pPr>
              <w:spacing w:line="240" w:lineRule="auto"/>
            </w:pPr>
            <w:r>
              <w:rPr>
                <w:sz w:val="20"/>
              </w:rPr>
              <w:t>Congenital anomalies and maternal factors</w:t>
            </w:r>
          </w:p>
        </w:tc>
        <w:tc>
          <w:tcPr>
            <w:tcW w:w="1872" w:type="dxa"/>
          </w:tcPr>
          <w:p w14:paraId="31B63084" w14:textId="77777777" w:rsidR="00273BB2" w:rsidRDefault="00000000">
            <w:pPr>
              <w:spacing w:line="240" w:lineRule="auto"/>
            </w:pPr>
            <w:r>
              <w:rPr>
                <w:sz w:val="20"/>
              </w:rPr>
              <w:t>Congenital anomaly prevalence was 2%; orofacial clefts represented 19% of anomalies. Risk factors included inadequate folic acid supplementation and pregnancy-related complications.</w:t>
            </w:r>
          </w:p>
        </w:tc>
      </w:tr>
      <w:tr w:rsidR="00273BB2" w14:paraId="6E1BEFD4" w14:textId="77777777">
        <w:trPr>
          <w:jc w:val="center"/>
        </w:trPr>
        <w:tc>
          <w:tcPr>
            <w:tcW w:w="1872" w:type="dxa"/>
          </w:tcPr>
          <w:p w14:paraId="2595BF5F" w14:textId="77777777" w:rsidR="00273BB2" w:rsidRDefault="00000000">
            <w:pPr>
              <w:spacing w:line="240" w:lineRule="auto"/>
            </w:pPr>
            <w:r>
              <w:rPr>
                <w:sz w:val="20"/>
              </w:rPr>
              <w:t>Hao et al., 2015</w:t>
            </w:r>
          </w:p>
        </w:tc>
        <w:tc>
          <w:tcPr>
            <w:tcW w:w="1872" w:type="dxa"/>
          </w:tcPr>
          <w:p w14:paraId="7CDB61F8" w14:textId="77777777" w:rsidR="00273BB2" w:rsidRDefault="00000000">
            <w:pPr>
              <w:spacing w:line="240" w:lineRule="auto"/>
            </w:pPr>
            <w:r>
              <w:rPr>
                <w:sz w:val="20"/>
              </w:rPr>
              <w:t>China</w:t>
            </w:r>
          </w:p>
        </w:tc>
        <w:tc>
          <w:tcPr>
            <w:tcW w:w="1872" w:type="dxa"/>
          </w:tcPr>
          <w:p w14:paraId="074A6BB8" w14:textId="77777777" w:rsidR="00273BB2" w:rsidRDefault="00000000">
            <w:pPr>
              <w:spacing w:line="240" w:lineRule="auto"/>
            </w:pPr>
            <w:r>
              <w:rPr>
                <w:sz w:val="20"/>
              </w:rPr>
              <w:t>Retrospective case-control</w:t>
            </w:r>
          </w:p>
        </w:tc>
        <w:tc>
          <w:tcPr>
            <w:tcW w:w="1872" w:type="dxa"/>
          </w:tcPr>
          <w:p w14:paraId="4D1338CD" w14:textId="77777777" w:rsidR="00273BB2" w:rsidRDefault="00000000">
            <w:pPr>
              <w:spacing w:line="240" w:lineRule="auto"/>
            </w:pPr>
            <w:r>
              <w:rPr>
                <w:sz w:val="20"/>
              </w:rPr>
              <w:t>Folic acid, supplementation, and income</w:t>
            </w:r>
          </w:p>
        </w:tc>
        <w:tc>
          <w:tcPr>
            <w:tcW w:w="1872" w:type="dxa"/>
          </w:tcPr>
          <w:p w14:paraId="7576EAD5" w14:textId="77777777" w:rsidR="00273BB2" w:rsidRDefault="00000000">
            <w:pPr>
              <w:spacing w:line="240" w:lineRule="auto"/>
            </w:pPr>
            <w:r>
              <w:rPr>
                <w:sz w:val="20"/>
              </w:rPr>
              <w:t>Folic acid intake was protective for CL/P (OR = 0.43; p = 0.025). Low income increased risk, while higher income showed protective associations (p &lt; 0.001).</w:t>
            </w:r>
          </w:p>
        </w:tc>
      </w:tr>
      <w:tr w:rsidR="00273BB2" w14:paraId="0377CAA8" w14:textId="77777777">
        <w:trPr>
          <w:jc w:val="center"/>
        </w:trPr>
        <w:tc>
          <w:tcPr>
            <w:tcW w:w="1872" w:type="dxa"/>
          </w:tcPr>
          <w:p w14:paraId="40CC7AFF" w14:textId="77777777" w:rsidR="00273BB2" w:rsidRDefault="00000000">
            <w:pPr>
              <w:spacing w:line="240" w:lineRule="auto"/>
            </w:pPr>
            <w:r>
              <w:rPr>
                <w:sz w:val="20"/>
              </w:rPr>
              <w:t>Bezerra et al., 2015</w:t>
            </w:r>
          </w:p>
        </w:tc>
        <w:tc>
          <w:tcPr>
            <w:tcW w:w="1872" w:type="dxa"/>
          </w:tcPr>
          <w:p w14:paraId="7F976086" w14:textId="77777777" w:rsidR="00273BB2" w:rsidRDefault="00000000">
            <w:pPr>
              <w:spacing w:line="240" w:lineRule="auto"/>
            </w:pPr>
            <w:r>
              <w:rPr>
                <w:sz w:val="20"/>
              </w:rPr>
              <w:t>Brazil</w:t>
            </w:r>
          </w:p>
        </w:tc>
        <w:tc>
          <w:tcPr>
            <w:tcW w:w="1872" w:type="dxa"/>
          </w:tcPr>
          <w:p w14:paraId="6D5EF75A" w14:textId="77777777" w:rsidR="00273BB2" w:rsidRDefault="00000000">
            <w:pPr>
              <w:spacing w:line="240" w:lineRule="auto"/>
            </w:pPr>
            <w:r>
              <w:rPr>
                <w:sz w:val="20"/>
              </w:rPr>
              <w:t>Retrospective case-control</w:t>
            </w:r>
          </w:p>
        </w:tc>
        <w:tc>
          <w:tcPr>
            <w:tcW w:w="1872" w:type="dxa"/>
          </w:tcPr>
          <w:p w14:paraId="6F442F81" w14:textId="77777777" w:rsidR="00273BB2" w:rsidRDefault="00000000">
            <w:pPr>
              <w:spacing w:line="240" w:lineRule="auto"/>
            </w:pPr>
            <w:r>
              <w:rPr>
                <w:sz w:val="20"/>
              </w:rPr>
              <w:t>Folic acid intake</w:t>
            </w:r>
          </w:p>
        </w:tc>
        <w:tc>
          <w:tcPr>
            <w:tcW w:w="1872" w:type="dxa"/>
          </w:tcPr>
          <w:p w14:paraId="25DF52CA" w14:textId="77777777" w:rsidR="00273BB2" w:rsidRDefault="00000000">
            <w:pPr>
              <w:spacing w:line="240" w:lineRule="auto"/>
            </w:pPr>
            <w:r>
              <w:rPr>
                <w:sz w:val="20"/>
              </w:rPr>
              <w:t>Insufficient folic acid intake was associated with higher risk of nonsyndromic CL/P (OR = 2.18; p = 0.003).</w:t>
            </w:r>
          </w:p>
        </w:tc>
      </w:tr>
      <w:tr w:rsidR="00273BB2" w14:paraId="5D91DFCB" w14:textId="77777777">
        <w:trPr>
          <w:jc w:val="center"/>
        </w:trPr>
        <w:tc>
          <w:tcPr>
            <w:tcW w:w="1872" w:type="dxa"/>
          </w:tcPr>
          <w:p w14:paraId="25A63625" w14:textId="77777777" w:rsidR="00273BB2" w:rsidRDefault="00000000">
            <w:pPr>
              <w:spacing w:line="240" w:lineRule="auto"/>
            </w:pPr>
            <w:r>
              <w:rPr>
                <w:sz w:val="20"/>
              </w:rPr>
              <w:t>Munger et al., 2021</w:t>
            </w:r>
          </w:p>
        </w:tc>
        <w:tc>
          <w:tcPr>
            <w:tcW w:w="1872" w:type="dxa"/>
          </w:tcPr>
          <w:p w14:paraId="7477FC3C" w14:textId="77777777" w:rsidR="00273BB2" w:rsidRDefault="00000000">
            <w:pPr>
              <w:spacing w:line="240" w:lineRule="auto"/>
            </w:pPr>
            <w:r>
              <w:rPr>
                <w:sz w:val="20"/>
              </w:rPr>
              <w:t>India</w:t>
            </w:r>
          </w:p>
        </w:tc>
        <w:tc>
          <w:tcPr>
            <w:tcW w:w="1872" w:type="dxa"/>
          </w:tcPr>
          <w:p w14:paraId="3A147EFC" w14:textId="77777777" w:rsidR="00273BB2" w:rsidRDefault="00000000">
            <w:pPr>
              <w:spacing w:line="240" w:lineRule="auto"/>
            </w:pPr>
            <w:r>
              <w:rPr>
                <w:sz w:val="20"/>
              </w:rPr>
              <w:t>Retrospective case-control</w:t>
            </w:r>
          </w:p>
        </w:tc>
        <w:tc>
          <w:tcPr>
            <w:tcW w:w="1872" w:type="dxa"/>
          </w:tcPr>
          <w:p w14:paraId="3F5866AF" w14:textId="77777777" w:rsidR="00273BB2" w:rsidRDefault="00000000">
            <w:pPr>
              <w:spacing w:line="240" w:lineRule="auto"/>
            </w:pPr>
            <w:r>
              <w:rPr>
                <w:sz w:val="20"/>
              </w:rPr>
              <w:t>Vitamin B12 and folic acid</w:t>
            </w:r>
          </w:p>
        </w:tc>
        <w:tc>
          <w:tcPr>
            <w:tcW w:w="1872" w:type="dxa"/>
          </w:tcPr>
          <w:p w14:paraId="3D6818F2" w14:textId="77777777" w:rsidR="00273BB2" w:rsidRDefault="00000000">
            <w:pPr>
              <w:spacing w:line="240" w:lineRule="auto"/>
            </w:pPr>
            <w:r>
              <w:rPr>
                <w:sz w:val="20"/>
              </w:rPr>
              <w:t>Insufficient folic acid and vitamin B12 intake were associated with higher CL/P risk, with odds ratios of 2.87 and 2.48, respectively.</w:t>
            </w:r>
          </w:p>
        </w:tc>
      </w:tr>
      <w:tr w:rsidR="00273BB2" w14:paraId="6F6C2092" w14:textId="77777777">
        <w:trPr>
          <w:jc w:val="center"/>
        </w:trPr>
        <w:tc>
          <w:tcPr>
            <w:tcW w:w="1872" w:type="dxa"/>
          </w:tcPr>
          <w:p w14:paraId="40434D75" w14:textId="77777777" w:rsidR="00273BB2" w:rsidRDefault="00000000">
            <w:pPr>
              <w:spacing w:line="240" w:lineRule="auto"/>
            </w:pPr>
            <w:r>
              <w:rPr>
                <w:sz w:val="20"/>
              </w:rPr>
              <w:t>Jahanbin et al., 2018</w:t>
            </w:r>
          </w:p>
        </w:tc>
        <w:tc>
          <w:tcPr>
            <w:tcW w:w="1872" w:type="dxa"/>
          </w:tcPr>
          <w:p w14:paraId="70FF4BC1" w14:textId="77777777" w:rsidR="00273BB2" w:rsidRDefault="00000000">
            <w:pPr>
              <w:spacing w:line="240" w:lineRule="auto"/>
            </w:pPr>
            <w:r>
              <w:rPr>
                <w:sz w:val="20"/>
              </w:rPr>
              <w:t>India</w:t>
            </w:r>
          </w:p>
        </w:tc>
        <w:tc>
          <w:tcPr>
            <w:tcW w:w="1872" w:type="dxa"/>
          </w:tcPr>
          <w:p w14:paraId="0D0A2B8B" w14:textId="77777777" w:rsidR="00273BB2" w:rsidRDefault="00000000">
            <w:pPr>
              <w:spacing w:line="240" w:lineRule="auto"/>
            </w:pPr>
            <w:r>
              <w:rPr>
                <w:sz w:val="20"/>
              </w:rPr>
              <w:t>Meta-analysis</w:t>
            </w:r>
          </w:p>
        </w:tc>
        <w:tc>
          <w:tcPr>
            <w:tcW w:w="1872" w:type="dxa"/>
          </w:tcPr>
          <w:p w14:paraId="5A3533DC" w14:textId="77777777" w:rsidR="00273BB2" w:rsidRDefault="00000000">
            <w:pPr>
              <w:spacing w:line="240" w:lineRule="auto"/>
            </w:pPr>
            <w:r>
              <w:rPr>
                <w:sz w:val="20"/>
              </w:rPr>
              <w:t>Folic acid supplementation</w:t>
            </w:r>
          </w:p>
        </w:tc>
        <w:tc>
          <w:tcPr>
            <w:tcW w:w="1872" w:type="dxa"/>
          </w:tcPr>
          <w:p w14:paraId="461359E3" w14:textId="77777777" w:rsidR="00273BB2" w:rsidRDefault="00000000">
            <w:pPr>
              <w:spacing w:line="240" w:lineRule="auto"/>
            </w:pPr>
            <w:r>
              <w:rPr>
                <w:sz w:val="20"/>
              </w:rPr>
              <w:t xml:space="preserve">Preconception folic acid supplementation </w:t>
            </w:r>
            <w:r>
              <w:rPr>
                <w:sz w:val="20"/>
              </w:rPr>
              <w:lastRenderedPageBreak/>
              <w:t>and multivitamin use were associated with lower risk of CL/P and cleft palate.</w:t>
            </w:r>
          </w:p>
        </w:tc>
      </w:tr>
      <w:tr w:rsidR="00273BB2" w14:paraId="1455C440" w14:textId="77777777">
        <w:trPr>
          <w:jc w:val="center"/>
        </w:trPr>
        <w:tc>
          <w:tcPr>
            <w:tcW w:w="1872" w:type="dxa"/>
          </w:tcPr>
          <w:p w14:paraId="222A6957" w14:textId="77777777" w:rsidR="00273BB2" w:rsidRDefault="00000000">
            <w:pPr>
              <w:spacing w:line="240" w:lineRule="auto"/>
            </w:pPr>
            <w:r>
              <w:rPr>
                <w:sz w:val="20"/>
              </w:rPr>
              <w:lastRenderedPageBreak/>
              <w:t>Wilson and O’Connor, 2021</w:t>
            </w:r>
          </w:p>
        </w:tc>
        <w:tc>
          <w:tcPr>
            <w:tcW w:w="1872" w:type="dxa"/>
          </w:tcPr>
          <w:p w14:paraId="50180273" w14:textId="77777777" w:rsidR="00273BB2" w:rsidRDefault="00000000">
            <w:pPr>
              <w:spacing w:line="240" w:lineRule="auto"/>
            </w:pPr>
            <w:r>
              <w:rPr>
                <w:sz w:val="20"/>
              </w:rPr>
              <w:t>Canada</w:t>
            </w:r>
          </w:p>
        </w:tc>
        <w:tc>
          <w:tcPr>
            <w:tcW w:w="1872" w:type="dxa"/>
          </w:tcPr>
          <w:p w14:paraId="4422D96F" w14:textId="77777777" w:rsidR="00273BB2" w:rsidRDefault="00000000">
            <w:pPr>
              <w:spacing w:line="240" w:lineRule="auto"/>
            </w:pPr>
            <w:r>
              <w:rPr>
                <w:sz w:val="20"/>
              </w:rPr>
              <w:t>Review article</w:t>
            </w:r>
          </w:p>
        </w:tc>
        <w:tc>
          <w:tcPr>
            <w:tcW w:w="1872" w:type="dxa"/>
          </w:tcPr>
          <w:p w14:paraId="07FC4122" w14:textId="77777777" w:rsidR="00273BB2" w:rsidRDefault="00000000">
            <w:pPr>
              <w:spacing w:line="240" w:lineRule="auto"/>
            </w:pPr>
            <w:r>
              <w:rPr>
                <w:sz w:val="20"/>
              </w:rPr>
              <w:t>Folic acid and multivitamins</w:t>
            </w:r>
          </w:p>
        </w:tc>
        <w:tc>
          <w:tcPr>
            <w:tcW w:w="1872" w:type="dxa"/>
          </w:tcPr>
          <w:p w14:paraId="735B659A" w14:textId="77777777" w:rsidR="00273BB2" w:rsidRDefault="00000000">
            <w:pPr>
              <w:spacing w:line="240" w:lineRule="auto"/>
            </w:pPr>
            <w:r>
              <w:rPr>
                <w:sz w:val="20"/>
              </w:rPr>
              <w:t>Deficiencies in one-carbon cofactors such as B9, B12, B6, choline, and betaine may disrupt fetal development and increase folate-sensitive birth defect risk.</w:t>
            </w:r>
          </w:p>
        </w:tc>
      </w:tr>
      <w:tr w:rsidR="00273BB2" w14:paraId="108D6A03" w14:textId="77777777">
        <w:trPr>
          <w:jc w:val="center"/>
        </w:trPr>
        <w:tc>
          <w:tcPr>
            <w:tcW w:w="1872" w:type="dxa"/>
          </w:tcPr>
          <w:p w14:paraId="3956961B" w14:textId="77777777" w:rsidR="00273BB2" w:rsidRDefault="00000000">
            <w:pPr>
              <w:spacing w:line="240" w:lineRule="auto"/>
            </w:pPr>
            <w:r>
              <w:rPr>
                <w:sz w:val="20"/>
              </w:rPr>
              <w:t>Rocha et al., 2024</w:t>
            </w:r>
          </w:p>
        </w:tc>
        <w:tc>
          <w:tcPr>
            <w:tcW w:w="1872" w:type="dxa"/>
          </w:tcPr>
          <w:p w14:paraId="49C94EE4" w14:textId="77777777" w:rsidR="00273BB2" w:rsidRDefault="00000000">
            <w:pPr>
              <w:spacing w:line="240" w:lineRule="auto"/>
            </w:pPr>
            <w:r>
              <w:rPr>
                <w:sz w:val="20"/>
              </w:rPr>
              <w:t>Brazil</w:t>
            </w:r>
          </w:p>
        </w:tc>
        <w:tc>
          <w:tcPr>
            <w:tcW w:w="1872" w:type="dxa"/>
          </w:tcPr>
          <w:p w14:paraId="4AE46CCD" w14:textId="77777777" w:rsidR="00273BB2" w:rsidRDefault="00000000">
            <w:pPr>
              <w:spacing w:line="240" w:lineRule="auto"/>
            </w:pPr>
            <w:r>
              <w:rPr>
                <w:sz w:val="20"/>
              </w:rPr>
              <w:t>Retrospective case-control</w:t>
            </w:r>
          </w:p>
        </w:tc>
        <w:tc>
          <w:tcPr>
            <w:tcW w:w="1872" w:type="dxa"/>
          </w:tcPr>
          <w:p w14:paraId="382EC47F" w14:textId="77777777" w:rsidR="00273BB2" w:rsidRDefault="00000000">
            <w:pPr>
              <w:spacing w:line="240" w:lineRule="auto"/>
            </w:pPr>
            <w:r>
              <w:rPr>
                <w:sz w:val="20"/>
              </w:rPr>
              <w:t>Vitamin B6, B9, and B12</w:t>
            </w:r>
          </w:p>
        </w:tc>
        <w:tc>
          <w:tcPr>
            <w:tcW w:w="1872" w:type="dxa"/>
          </w:tcPr>
          <w:p w14:paraId="753515AC" w14:textId="77777777" w:rsidR="00273BB2" w:rsidRDefault="00000000">
            <w:pPr>
              <w:spacing w:line="240" w:lineRule="auto"/>
            </w:pPr>
            <w:r>
              <w:rPr>
                <w:sz w:val="20"/>
              </w:rPr>
              <w:t>Adequate intake of vitamin B6, folic acid, and vitamin B12 was not significantly associated with CL/P risk in the studied Amazonian population.</w:t>
            </w:r>
          </w:p>
        </w:tc>
      </w:tr>
      <w:tr w:rsidR="00273BB2" w14:paraId="44A0F309" w14:textId="77777777">
        <w:trPr>
          <w:jc w:val="center"/>
        </w:trPr>
        <w:tc>
          <w:tcPr>
            <w:tcW w:w="1872" w:type="dxa"/>
          </w:tcPr>
          <w:p w14:paraId="1C28B8C1" w14:textId="77777777" w:rsidR="00273BB2" w:rsidRDefault="00000000">
            <w:pPr>
              <w:spacing w:line="240" w:lineRule="auto"/>
            </w:pPr>
            <w:r>
              <w:rPr>
                <w:sz w:val="20"/>
              </w:rPr>
              <w:t>Astriningrum et al., 2017</w:t>
            </w:r>
          </w:p>
        </w:tc>
        <w:tc>
          <w:tcPr>
            <w:tcW w:w="1872" w:type="dxa"/>
          </w:tcPr>
          <w:p w14:paraId="61447869" w14:textId="77777777" w:rsidR="00273BB2" w:rsidRDefault="00000000">
            <w:pPr>
              <w:spacing w:line="240" w:lineRule="auto"/>
            </w:pPr>
            <w:r>
              <w:rPr>
                <w:sz w:val="20"/>
              </w:rPr>
              <w:t>Indonesia</w:t>
            </w:r>
          </w:p>
        </w:tc>
        <w:tc>
          <w:tcPr>
            <w:tcW w:w="1872" w:type="dxa"/>
          </w:tcPr>
          <w:p w14:paraId="1ACC4C1B" w14:textId="77777777" w:rsidR="00273BB2" w:rsidRDefault="00000000">
            <w:pPr>
              <w:spacing w:line="240" w:lineRule="auto"/>
            </w:pPr>
            <w:r>
              <w:rPr>
                <w:sz w:val="20"/>
              </w:rPr>
              <w:t>Cross-sectional</w:t>
            </w:r>
          </w:p>
        </w:tc>
        <w:tc>
          <w:tcPr>
            <w:tcW w:w="1872" w:type="dxa"/>
          </w:tcPr>
          <w:p w14:paraId="2A907A3B" w14:textId="77777777" w:rsidR="00273BB2" w:rsidRDefault="00000000">
            <w:pPr>
              <w:spacing w:line="240" w:lineRule="auto"/>
            </w:pPr>
            <w:r>
              <w:rPr>
                <w:sz w:val="20"/>
              </w:rPr>
              <w:t>Micronutrient intake in pregnancy</w:t>
            </w:r>
          </w:p>
        </w:tc>
        <w:tc>
          <w:tcPr>
            <w:tcW w:w="1872" w:type="dxa"/>
          </w:tcPr>
          <w:p w14:paraId="03ADFBC9" w14:textId="77777777" w:rsidR="00273BB2" w:rsidRDefault="00000000">
            <w:pPr>
              <w:spacing w:line="240" w:lineRule="auto"/>
            </w:pPr>
            <w:r>
              <w:rPr>
                <w:sz w:val="20"/>
              </w:rPr>
              <w:t>Low-income pregnant women had high levels of folic acid deficiency (91.7%) and vitamin B12 deficiency (9.5%).</w:t>
            </w:r>
          </w:p>
        </w:tc>
      </w:tr>
      <w:tr w:rsidR="00273BB2" w14:paraId="61197FD6" w14:textId="77777777">
        <w:trPr>
          <w:jc w:val="center"/>
        </w:trPr>
        <w:tc>
          <w:tcPr>
            <w:tcW w:w="1872" w:type="dxa"/>
          </w:tcPr>
          <w:p w14:paraId="6D986FC4" w14:textId="77777777" w:rsidR="00273BB2" w:rsidRDefault="00000000">
            <w:pPr>
              <w:spacing w:line="240" w:lineRule="auto"/>
            </w:pPr>
            <w:r>
              <w:rPr>
                <w:sz w:val="20"/>
              </w:rPr>
              <w:t>Kruppa et al., 2022</w:t>
            </w:r>
          </w:p>
        </w:tc>
        <w:tc>
          <w:tcPr>
            <w:tcW w:w="1872" w:type="dxa"/>
          </w:tcPr>
          <w:p w14:paraId="0C04A7B2" w14:textId="77777777" w:rsidR="00273BB2" w:rsidRDefault="00000000">
            <w:pPr>
              <w:spacing w:line="240" w:lineRule="auto"/>
            </w:pPr>
            <w:r>
              <w:rPr>
                <w:sz w:val="20"/>
              </w:rPr>
              <w:t>Lower-middle-income countries</w:t>
            </w:r>
          </w:p>
        </w:tc>
        <w:tc>
          <w:tcPr>
            <w:tcW w:w="1872" w:type="dxa"/>
          </w:tcPr>
          <w:p w14:paraId="29A203F3" w14:textId="77777777" w:rsidR="00273BB2" w:rsidRDefault="00000000">
            <w:pPr>
              <w:spacing w:line="240" w:lineRule="auto"/>
            </w:pPr>
            <w:r>
              <w:rPr>
                <w:sz w:val="20"/>
              </w:rPr>
              <w:t>Systematic review</w:t>
            </w:r>
          </w:p>
        </w:tc>
        <w:tc>
          <w:tcPr>
            <w:tcW w:w="1872" w:type="dxa"/>
          </w:tcPr>
          <w:p w14:paraId="477E422A" w14:textId="77777777" w:rsidR="00273BB2" w:rsidRDefault="00000000">
            <w:pPr>
              <w:spacing w:line="240" w:lineRule="auto"/>
            </w:pPr>
            <w:r>
              <w:rPr>
                <w:sz w:val="20"/>
              </w:rPr>
              <w:t>CL/P risk factors in LMICs</w:t>
            </w:r>
          </w:p>
        </w:tc>
        <w:tc>
          <w:tcPr>
            <w:tcW w:w="1872" w:type="dxa"/>
          </w:tcPr>
          <w:p w14:paraId="51BD2AA3" w14:textId="77777777" w:rsidR="00273BB2" w:rsidRDefault="00000000">
            <w:pPr>
              <w:spacing w:line="240" w:lineRule="auto"/>
            </w:pPr>
            <w:r>
              <w:rPr>
                <w:sz w:val="20"/>
              </w:rPr>
              <w:t>Low socioeconomic status, parental age, and family history were major risk factors, while preconception folic acid intake was protective.</w:t>
            </w:r>
          </w:p>
        </w:tc>
      </w:tr>
      <w:tr w:rsidR="00273BB2" w14:paraId="0E40E182" w14:textId="77777777">
        <w:trPr>
          <w:jc w:val="center"/>
        </w:trPr>
        <w:tc>
          <w:tcPr>
            <w:tcW w:w="1872" w:type="dxa"/>
          </w:tcPr>
          <w:p w14:paraId="2A4A1FAB" w14:textId="77777777" w:rsidR="00273BB2" w:rsidRDefault="00000000">
            <w:pPr>
              <w:spacing w:line="240" w:lineRule="auto"/>
            </w:pPr>
            <w:r>
              <w:rPr>
                <w:sz w:val="20"/>
              </w:rPr>
              <w:t>Vu et al., 2022</w:t>
            </w:r>
          </w:p>
        </w:tc>
        <w:tc>
          <w:tcPr>
            <w:tcW w:w="1872" w:type="dxa"/>
          </w:tcPr>
          <w:p w14:paraId="78AD9E50" w14:textId="77777777" w:rsidR="00273BB2" w:rsidRDefault="00000000">
            <w:pPr>
              <w:spacing w:line="240" w:lineRule="auto"/>
            </w:pPr>
            <w:r>
              <w:rPr>
                <w:sz w:val="20"/>
              </w:rPr>
              <w:t>United States</w:t>
            </w:r>
          </w:p>
        </w:tc>
        <w:tc>
          <w:tcPr>
            <w:tcW w:w="1872" w:type="dxa"/>
          </w:tcPr>
          <w:p w14:paraId="379F4FEF" w14:textId="77777777" w:rsidR="00273BB2" w:rsidRDefault="00000000">
            <w:pPr>
              <w:spacing w:line="240" w:lineRule="auto"/>
            </w:pPr>
            <w:r>
              <w:rPr>
                <w:sz w:val="20"/>
              </w:rPr>
              <w:t>Retrospective cohort</w:t>
            </w:r>
          </w:p>
        </w:tc>
        <w:tc>
          <w:tcPr>
            <w:tcW w:w="1872" w:type="dxa"/>
          </w:tcPr>
          <w:p w14:paraId="75CA5AD0" w14:textId="77777777" w:rsidR="00273BB2" w:rsidRDefault="00000000">
            <w:pPr>
              <w:spacing w:line="240" w:lineRule="auto"/>
            </w:pPr>
            <w:r>
              <w:rPr>
                <w:sz w:val="20"/>
              </w:rPr>
              <w:t>Poverty and insurance</w:t>
            </w:r>
          </w:p>
        </w:tc>
        <w:tc>
          <w:tcPr>
            <w:tcW w:w="1872" w:type="dxa"/>
          </w:tcPr>
          <w:p w14:paraId="6F0AD957" w14:textId="77777777" w:rsidR="00273BB2" w:rsidRDefault="00000000">
            <w:pPr>
              <w:spacing w:line="240" w:lineRule="auto"/>
            </w:pPr>
            <w:r>
              <w:rPr>
                <w:sz w:val="20"/>
              </w:rPr>
              <w:t>Medicaid coverage, as a proxy of lower socioeconomic status, was more frequent among mothers of children with CL/P than among controls.</w:t>
            </w:r>
          </w:p>
        </w:tc>
      </w:tr>
      <w:tr w:rsidR="00273BB2" w14:paraId="120D4301" w14:textId="77777777">
        <w:trPr>
          <w:jc w:val="center"/>
        </w:trPr>
        <w:tc>
          <w:tcPr>
            <w:tcW w:w="1872" w:type="dxa"/>
          </w:tcPr>
          <w:p w14:paraId="6A17F84A" w14:textId="77777777" w:rsidR="00273BB2" w:rsidRDefault="00000000">
            <w:pPr>
              <w:spacing w:line="240" w:lineRule="auto"/>
            </w:pPr>
            <w:r>
              <w:rPr>
                <w:sz w:val="20"/>
              </w:rPr>
              <w:t>Charoenvicha et al., 2023</w:t>
            </w:r>
          </w:p>
        </w:tc>
        <w:tc>
          <w:tcPr>
            <w:tcW w:w="1872" w:type="dxa"/>
          </w:tcPr>
          <w:p w14:paraId="349D1456" w14:textId="77777777" w:rsidR="00273BB2" w:rsidRDefault="00000000">
            <w:pPr>
              <w:spacing w:line="240" w:lineRule="auto"/>
            </w:pPr>
            <w:r>
              <w:rPr>
                <w:sz w:val="20"/>
              </w:rPr>
              <w:t>Thailand</w:t>
            </w:r>
          </w:p>
        </w:tc>
        <w:tc>
          <w:tcPr>
            <w:tcW w:w="1872" w:type="dxa"/>
          </w:tcPr>
          <w:p w14:paraId="0921FED6" w14:textId="77777777" w:rsidR="00273BB2" w:rsidRDefault="00000000">
            <w:pPr>
              <w:spacing w:line="240" w:lineRule="auto"/>
            </w:pPr>
            <w:r>
              <w:rPr>
                <w:sz w:val="20"/>
              </w:rPr>
              <w:t>Retrospective case-control</w:t>
            </w:r>
          </w:p>
        </w:tc>
        <w:tc>
          <w:tcPr>
            <w:tcW w:w="1872" w:type="dxa"/>
          </w:tcPr>
          <w:p w14:paraId="783A182D" w14:textId="77777777" w:rsidR="00273BB2" w:rsidRDefault="00000000">
            <w:pPr>
              <w:spacing w:line="240" w:lineRule="auto"/>
            </w:pPr>
            <w:r>
              <w:rPr>
                <w:sz w:val="20"/>
              </w:rPr>
              <w:t>Income level</w:t>
            </w:r>
          </w:p>
        </w:tc>
        <w:tc>
          <w:tcPr>
            <w:tcW w:w="1872" w:type="dxa"/>
          </w:tcPr>
          <w:p w14:paraId="67BE7EA4" w14:textId="77777777" w:rsidR="00273BB2" w:rsidRDefault="00000000">
            <w:pPr>
              <w:spacing w:line="240" w:lineRule="auto"/>
            </w:pPr>
            <w:r>
              <w:rPr>
                <w:sz w:val="20"/>
              </w:rPr>
              <w:t>Lower maternal income was significantly associated with a higher prevalence of nonsyndromic CL/P (p &lt; 0.001).</w:t>
            </w:r>
          </w:p>
        </w:tc>
      </w:tr>
      <w:tr w:rsidR="00273BB2" w14:paraId="24571DD3" w14:textId="77777777">
        <w:trPr>
          <w:jc w:val="center"/>
        </w:trPr>
        <w:tc>
          <w:tcPr>
            <w:tcW w:w="1872" w:type="dxa"/>
          </w:tcPr>
          <w:p w14:paraId="21D046A5" w14:textId="77777777" w:rsidR="00273BB2" w:rsidRDefault="00000000">
            <w:pPr>
              <w:spacing w:line="240" w:lineRule="auto"/>
            </w:pPr>
            <w:r>
              <w:rPr>
                <w:sz w:val="20"/>
              </w:rPr>
              <w:t>Swami and Battepati, 2018</w:t>
            </w:r>
          </w:p>
        </w:tc>
        <w:tc>
          <w:tcPr>
            <w:tcW w:w="1872" w:type="dxa"/>
          </w:tcPr>
          <w:p w14:paraId="4E32F425" w14:textId="77777777" w:rsidR="00273BB2" w:rsidRDefault="00000000">
            <w:pPr>
              <w:spacing w:line="240" w:lineRule="auto"/>
            </w:pPr>
            <w:r>
              <w:rPr>
                <w:sz w:val="20"/>
              </w:rPr>
              <w:t>India</w:t>
            </w:r>
          </w:p>
        </w:tc>
        <w:tc>
          <w:tcPr>
            <w:tcW w:w="1872" w:type="dxa"/>
          </w:tcPr>
          <w:p w14:paraId="13CCFEDE" w14:textId="77777777" w:rsidR="00273BB2" w:rsidRDefault="00000000">
            <w:pPr>
              <w:spacing w:line="240" w:lineRule="auto"/>
            </w:pPr>
            <w:r>
              <w:rPr>
                <w:sz w:val="20"/>
              </w:rPr>
              <w:t>Retrospective observational study</w:t>
            </w:r>
          </w:p>
        </w:tc>
        <w:tc>
          <w:tcPr>
            <w:tcW w:w="1872" w:type="dxa"/>
          </w:tcPr>
          <w:p w14:paraId="3A5A52CE" w14:textId="77777777" w:rsidR="00273BB2" w:rsidRDefault="00000000">
            <w:pPr>
              <w:spacing w:line="240" w:lineRule="auto"/>
            </w:pPr>
            <w:r>
              <w:rPr>
                <w:sz w:val="20"/>
              </w:rPr>
              <w:t>Socioeconomic pattern</w:t>
            </w:r>
          </w:p>
        </w:tc>
        <w:tc>
          <w:tcPr>
            <w:tcW w:w="1872" w:type="dxa"/>
          </w:tcPr>
          <w:p w14:paraId="36277F9B" w14:textId="77777777" w:rsidR="00273BB2" w:rsidRDefault="00000000">
            <w:pPr>
              <w:spacing w:line="240" w:lineRule="auto"/>
            </w:pPr>
            <w:r>
              <w:rPr>
                <w:sz w:val="20"/>
              </w:rPr>
              <w:t xml:space="preserve">Most CL/P cases occurred among </w:t>
            </w:r>
            <w:r>
              <w:rPr>
                <w:sz w:val="20"/>
              </w:rPr>
              <w:lastRenderedPageBreak/>
              <w:t>low-middle and middle socioeconomic groups, while occurrence was rare among high socioeconomic groups.</w:t>
            </w:r>
          </w:p>
        </w:tc>
      </w:tr>
      <w:tr w:rsidR="00273BB2" w14:paraId="027E96C1" w14:textId="77777777">
        <w:trPr>
          <w:jc w:val="center"/>
        </w:trPr>
        <w:tc>
          <w:tcPr>
            <w:tcW w:w="1872" w:type="dxa"/>
          </w:tcPr>
          <w:p w14:paraId="3D1FEA30" w14:textId="77777777" w:rsidR="00273BB2" w:rsidRDefault="00000000">
            <w:pPr>
              <w:spacing w:line="240" w:lineRule="auto"/>
            </w:pPr>
            <w:r>
              <w:rPr>
                <w:sz w:val="20"/>
              </w:rPr>
              <w:lastRenderedPageBreak/>
              <w:t>Adewale et al., 2023</w:t>
            </w:r>
          </w:p>
        </w:tc>
        <w:tc>
          <w:tcPr>
            <w:tcW w:w="1872" w:type="dxa"/>
          </w:tcPr>
          <w:p w14:paraId="0C6818AB" w14:textId="77777777" w:rsidR="00273BB2" w:rsidRDefault="00000000">
            <w:pPr>
              <w:spacing w:line="240" w:lineRule="auto"/>
            </w:pPr>
            <w:r>
              <w:rPr>
                <w:sz w:val="20"/>
              </w:rPr>
              <w:t>Middle East</w:t>
            </w:r>
          </w:p>
        </w:tc>
        <w:tc>
          <w:tcPr>
            <w:tcW w:w="1872" w:type="dxa"/>
          </w:tcPr>
          <w:p w14:paraId="10871ACF" w14:textId="77777777" w:rsidR="00273BB2" w:rsidRDefault="00000000">
            <w:pPr>
              <w:spacing w:line="240" w:lineRule="auto"/>
            </w:pPr>
            <w:r>
              <w:rPr>
                <w:sz w:val="20"/>
              </w:rPr>
              <w:t>Cross-sectional</w:t>
            </w:r>
          </w:p>
        </w:tc>
        <w:tc>
          <w:tcPr>
            <w:tcW w:w="1872" w:type="dxa"/>
          </w:tcPr>
          <w:p w14:paraId="2A1C4401" w14:textId="77777777" w:rsidR="00273BB2" w:rsidRDefault="00000000">
            <w:pPr>
              <w:spacing w:line="240" w:lineRule="auto"/>
            </w:pPr>
            <w:r>
              <w:rPr>
                <w:sz w:val="20"/>
              </w:rPr>
              <w:t>Cleft etiology risk factors</w:t>
            </w:r>
          </w:p>
        </w:tc>
        <w:tc>
          <w:tcPr>
            <w:tcW w:w="1872" w:type="dxa"/>
          </w:tcPr>
          <w:p w14:paraId="196994CF" w14:textId="77777777" w:rsidR="00273BB2" w:rsidRDefault="00000000">
            <w:pPr>
              <w:spacing w:line="240" w:lineRule="auto"/>
            </w:pPr>
            <w:r>
              <w:rPr>
                <w:sz w:val="20"/>
              </w:rPr>
              <w:t>Most mothers of children with CL/P were from low- to middle-income groups, indicating increased vulnerability.</w:t>
            </w:r>
          </w:p>
        </w:tc>
      </w:tr>
      <w:tr w:rsidR="00273BB2" w14:paraId="045A9309" w14:textId="77777777">
        <w:trPr>
          <w:jc w:val="center"/>
        </w:trPr>
        <w:tc>
          <w:tcPr>
            <w:tcW w:w="1872" w:type="dxa"/>
          </w:tcPr>
          <w:p w14:paraId="4D6A1D83" w14:textId="77777777" w:rsidR="00273BB2" w:rsidRDefault="00000000">
            <w:pPr>
              <w:spacing w:line="240" w:lineRule="auto"/>
            </w:pPr>
            <w:r>
              <w:rPr>
                <w:sz w:val="20"/>
              </w:rPr>
              <w:t>Phyu et al., 2020</w:t>
            </w:r>
          </w:p>
        </w:tc>
        <w:tc>
          <w:tcPr>
            <w:tcW w:w="1872" w:type="dxa"/>
          </w:tcPr>
          <w:p w14:paraId="7AFB1BA8" w14:textId="77777777" w:rsidR="00273BB2" w:rsidRDefault="00000000">
            <w:pPr>
              <w:spacing w:line="240" w:lineRule="auto"/>
            </w:pPr>
            <w:r>
              <w:rPr>
                <w:sz w:val="20"/>
              </w:rPr>
              <w:t>Myanmar</w:t>
            </w:r>
          </w:p>
        </w:tc>
        <w:tc>
          <w:tcPr>
            <w:tcW w:w="1872" w:type="dxa"/>
          </w:tcPr>
          <w:p w14:paraId="0E60F08C" w14:textId="77777777" w:rsidR="00273BB2" w:rsidRDefault="00000000">
            <w:pPr>
              <w:spacing w:line="240" w:lineRule="auto"/>
            </w:pPr>
            <w:r>
              <w:rPr>
                <w:sz w:val="20"/>
              </w:rPr>
              <w:t>Cross-sectional</w:t>
            </w:r>
          </w:p>
        </w:tc>
        <w:tc>
          <w:tcPr>
            <w:tcW w:w="1872" w:type="dxa"/>
          </w:tcPr>
          <w:p w14:paraId="37F8EFB8" w14:textId="77777777" w:rsidR="00273BB2" w:rsidRDefault="00000000">
            <w:pPr>
              <w:spacing w:line="240" w:lineRule="auto"/>
            </w:pPr>
            <w:r>
              <w:rPr>
                <w:sz w:val="20"/>
              </w:rPr>
              <w:t>Stress and socioeconomic status</w:t>
            </w:r>
          </w:p>
        </w:tc>
        <w:tc>
          <w:tcPr>
            <w:tcW w:w="1872" w:type="dxa"/>
          </w:tcPr>
          <w:p w14:paraId="64113CE9" w14:textId="77777777" w:rsidR="00273BB2" w:rsidRDefault="00000000">
            <w:pPr>
              <w:spacing w:line="240" w:lineRule="auto"/>
            </w:pPr>
            <w:r>
              <w:rPr>
                <w:sz w:val="20"/>
              </w:rPr>
              <w:t>Orofacial cleft cases were concentrated among lower-middle-income families, with fewer cases in higher-income groups.</w:t>
            </w:r>
          </w:p>
        </w:tc>
      </w:tr>
    </w:tbl>
    <w:p w14:paraId="21C77253" w14:textId="77777777" w:rsidR="00273BB2" w:rsidRDefault="00000000">
      <w:pPr>
        <w:pStyle w:val="Heading2"/>
      </w:pPr>
      <w:r>
        <w:rPr>
          <w:rFonts w:ascii="Times New Roman" w:eastAsia="Times New Roman" w:hAnsi="Times New Roman"/>
        </w:rPr>
        <w:t>Maternal Nutritional Status and CLP</w:t>
      </w:r>
    </w:p>
    <w:p w14:paraId="7B799A83" w14:textId="77777777" w:rsidR="00273BB2" w:rsidRDefault="00000000">
      <w:r>
        <w:t>Nonsyndromic CLP is a common developmental defect involving the lip and/or palate. A study of environmental factors for nonsyndromic CLP showed that 177 of 236 mothers (75%) with CL/P children consumed adequate folic acid compared with 179 of 209 controls (85.6%), and adequate intake reduced risk by approximately 50% [9]. A systematic review and meta-analysis in Ethiopia reported that congenital anomalies were more common in mothers who did not consume folic acid [10]. In Heilongjiang, China, low folic acid consumption was less common among controls than cases, and folic acid intake showed a protective effect for CL/P [11]. A Brazilian study also reported that low folate intake was associated with a 2.18-fold increased risk of CL/P (p = 0.003) [12].</w:t>
      </w:r>
    </w:p>
    <w:p w14:paraId="032994EC" w14:textId="77777777" w:rsidR="00273BB2" w:rsidRDefault="00000000">
      <w:r>
        <w:t>A retrospective case-control study in Tamil Nadu showed that low cobalamin (vitamin B12) intake was more frequent in mothers of children with CLP than in controls. Cobalamin appeared to play an important role in the one-carbon cycle and DNA methylation, with low B12 accompanied by increased methylmalonic acid as a marker of metabolic disruption [6]. A meta-</w:t>
      </w:r>
      <w:r>
        <w:lastRenderedPageBreak/>
        <w:t>analysis showed that folic acid supplementation reduced the risk of CL/P and cleft palate, while multivitamin use provided additional protection, possibly through synergistic B-vitamin effects [14].</w:t>
      </w:r>
    </w:p>
    <w:p w14:paraId="6D42C2A0" w14:textId="77777777" w:rsidR="00273BB2" w:rsidRDefault="00000000">
      <w:r>
        <w:t>Nutrients act as methyl donors both generally and at the molecular level. Folic acid (B9) is central to one-carbon metabolism, which is important for nucleotide synthesis, amino acid metabolism, and DNA methylation during embryonic development [12]. Tetrahydrofolate derivatives interact with pyridoxine (B6), cobalamin (B12), methionine synthase, and S-adenosylmethionine pathways to maintain methylation patterns [12,16]. Deficiencies in folate, B6, and B12 may increase homocysteine levels and alter methylation during embryogenesis, contributing to congenital malformations including nonsyndromic CL/P [16].</w:t>
      </w:r>
    </w:p>
    <w:p w14:paraId="35316A5D" w14:textId="77777777" w:rsidR="00273BB2" w:rsidRDefault="00000000">
      <w:r>
        <w:t>There is also counterevidence. A study in an Amazonian population found that adequate intake of folic acid, vitamin B12, and vitamin B6 was not significantly associated with orofacial cleft risk, with odds ratios close to 1 and p-values greater than 0.05 [17]. This discrepancy may reflect differences in local diets, high-fat and low-vegetable dietary patterns, complex nutrient interactions, recall bias from food frequency questionnaires, and differences in control recruitment.</w:t>
      </w:r>
    </w:p>
    <w:p w14:paraId="43CA5477" w14:textId="77777777" w:rsidR="00273BB2" w:rsidRDefault="00000000">
      <w:pPr>
        <w:pStyle w:val="Heading2"/>
      </w:pPr>
      <w:r>
        <w:rPr>
          <w:rFonts w:ascii="Times New Roman" w:eastAsia="Times New Roman" w:hAnsi="Times New Roman"/>
        </w:rPr>
        <w:t>Maternal Socioeconomic Status and CLP</w:t>
      </w:r>
    </w:p>
    <w:p w14:paraId="44173B89" w14:textId="77777777" w:rsidR="00273BB2" w:rsidRDefault="00000000">
      <w:r>
        <w:t>Socioeconomic status is commonly reflected by education, income, and occupation. Low socioeconomic status among mothers has been associated with increased risk of giving birth to children with CL/P [18,19]. Lower-middle-income settings may face structural barriers such as poverty, limited infrastructure, inadequate health services, and low maternal education, all of which may influence congenital anomaly risk [19].</w:t>
      </w:r>
    </w:p>
    <w:p w14:paraId="4A53DC99" w14:textId="77777777" w:rsidR="00273BB2" w:rsidRDefault="00000000">
      <w:r>
        <w:lastRenderedPageBreak/>
        <w:t>Evidence from multiple settings suggests an inverse relationship between socioeconomic position and CL/P risk. In a multicenter study, 214 of 254 mothers of children with CL/P (84.3%) were from low socioeconomic groups, while only 12 (4.7%) were from high socioeconomic groups [20]. Research from India showed that most CL/P cases occurred in lower-middle and middle socioeconomic categories [21]. In China, low income was more frequent among case mothers than control mothers, while high income was more frequent among controls, suggesting a protective effect of higher socioeconomic status [11]. A 10-year study in Northern Thailand similarly found that lower maternal income was significantly associated with nonsyndromic CL/P [22].</w:t>
      </w:r>
    </w:p>
    <w:p w14:paraId="0E42ADA8" w14:textId="77777777" w:rsidR="00273BB2" w:rsidRDefault="00000000">
      <w:r>
        <w:t>Evidence from Myanmar showed that many cases occurred in low-middle-income families, and affected mothers were often less educated and employed as farmers or unskilled workers [18]. Health insurance coverage may also reflect access to antenatal care, preventive counselling, and supplementation. In the United States, government insurance was more frequent among mothers of children with CL/P than among controls, whereas private insurance was more frequent among controls [23]. These findings suggest that socioeconomic status may operate through material resources, access to care, and maternal health behavior.</w:t>
      </w:r>
    </w:p>
    <w:p w14:paraId="2F0CB1DE" w14:textId="77777777" w:rsidR="00273BB2" w:rsidRDefault="00000000">
      <w:r>
        <w:t>Low socioeconomic status also affects maternal education, awareness of fetal environmental risk factors, nutritional guidance, and ability to purchase nutritious foods [9,19,25]. Indonesian data showed that folic acid and vitamin B12 deficiencies were more frequent among pregnant women from low-income households [25]. Psychological stress may also be relevant, because financial stress during pregnancy may influence maternal physiology and fetal development [18,20].</w:t>
      </w:r>
    </w:p>
    <w:p w14:paraId="15104F18" w14:textId="77777777" w:rsidR="00273BB2" w:rsidRDefault="00000000">
      <w:pPr>
        <w:pStyle w:val="Heading1"/>
      </w:pPr>
      <w:r>
        <w:rPr>
          <w:rFonts w:ascii="Times New Roman" w:eastAsia="Times New Roman" w:hAnsi="Times New Roman"/>
        </w:rPr>
        <w:lastRenderedPageBreak/>
        <w:t>Discussion</w:t>
      </w:r>
    </w:p>
    <w:p w14:paraId="2DB6FD19" w14:textId="77777777" w:rsidR="00273BB2" w:rsidRDefault="00000000">
      <w:r>
        <w:t>This scoping review mapped evidence on maternal nutritional and socioeconomic determinants of CLP. The included studies suggest that maternal deficiencies in folic acid, vitamin B12, and vitamin B6 may increase vulnerability to CLP, while adequate micronutrient intake and supplementation may have protective effects. Low socioeconomic status may further increase risk through limited access to nutritious food, antenatal care, health education, supplementation, and reduced capacity to manage pregnancy-related health needs.</w:t>
      </w:r>
    </w:p>
    <w:p w14:paraId="60187675" w14:textId="77777777" w:rsidR="00273BB2" w:rsidRDefault="00000000">
      <w:r>
        <w:t>The public health relevance of these findings is important. WHO guidance emphasizes periconceptional folic acid supplementation for women planning pregnancy and iron-folic acid supplementation as part of antenatal care to support maternal and fetal health [27,29]. Although most evidence on folic acid supplementation is strongest for neural tube defects, the reviewed literature indicates that folate-sensitive pathways and one-carbon metabolism may also be relevant to craniofacial development. Therefore, maternal nutrition counselling, early pregnancy screening, and supplementation programs should be considered as part of broader congenital anomaly prevention strategies.</w:t>
      </w:r>
    </w:p>
    <w:p w14:paraId="25854032" w14:textId="77777777" w:rsidR="00273BB2" w:rsidRDefault="00000000">
      <w:r>
        <w:t>Socioeconomic determinants should not be interpreted only as income differences. Education, occupation, health insurance, food security, access to antenatal services, and maternal health literacy may interact with nutritional status. This interaction explains why low socioeconomic status can increase risk both materially and psychosocially. Prevention strategies should therefore combine nutritional interventions with improved access to maternal health services and targeted support for low-income mothers.</w:t>
      </w:r>
    </w:p>
    <w:p w14:paraId="03FC81E7" w14:textId="77777777" w:rsidR="00273BB2" w:rsidRDefault="00000000">
      <w:r>
        <w:t xml:space="preserve">This review has several limitations. Most included studies were observational, and several used retrospective designs, which may be affected by recall bias and residual confounding. Definitions </w:t>
      </w:r>
      <w:r>
        <w:lastRenderedPageBreak/>
        <w:t>of socioeconomic status differed across studies, making direct comparison difficult. The review did not conduct meta-analysis because its purpose was to map evidence rather than calculate pooled effect estimates. In addition, the search strategy included Google Scholar, which may yield heterogeneous literature. Nevertheless, this review provides a structured overview of evidence linking maternal nutrition, socioeconomic disadvantage, and CLP risk.</w:t>
      </w:r>
    </w:p>
    <w:p w14:paraId="09103631" w14:textId="77777777" w:rsidR="00273BB2" w:rsidRDefault="00000000">
      <w:pPr>
        <w:pStyle w:val="Heading1"/>
      </w:pPr>
      <w:r>
        <w:rPr>
          <w:rFonts w:ascii="Times New Roman" w:eastAsia="Times New Roman" w:hAnsi="Times New Roman"/>
        </w:rPr>
        <w:t>Conclusion</w:t>
      </w:r>
    </w:p>
    <w:p w14:paraId="4DFB9CEA" w14:textId="77777777" w:rsidR="00273BB2" w:rsidRDefault="00000000">
      <w:r>
        <w:t>Maternal deficiencies in folic acid, vitamin B12, and vitamin B6, together with low socioeconomic status, were identified as important determinants associated with cleft lip and palate. The findings highlight the need for integrated maternal nutrition counselling, micronutrient supplementation, antenatal care access, and socioeconomic support as part of congenital anomaly prevention strategies. Future research should strengthen prospective evidence on the interaction between maternal nutrition, socioeconomic disadvantage, and craniofacial development.</w:t>
      </w:r>
    </w:p>
    <w:p w14:paraId="48BF8FCE" w14:textId="77777777" w:rsidR="00273BB2" w:rsidRDefault="00000000">
      <w:pPr>
        <w:pStyle w:val="Heading1"/>
      </w:pPr>
      <w:r>
        <w:rPr>
          <w:rFonts w:ascii="Times New Roman" w:eastAsia="Times New Roman" w:hAnsi="Times New Roman"/>
        </w:rPr>
        <w:t>Ethical Approval</w:t>
      </w:r>
    </w:p>
    <w:p w14:paraId="77FCA0A8" w14:textId="77777777" w:rsidR="00273BB2" w:rsidRDefault="00000000">
      <w:r>
        <w:t>Ethical approval was not required because this study was a scoping review of previously published literature and did not involve human participants, identifiable personal data, or primary data collection.</w:t>
      </w:r>
    </w:p>
    <w:p w14:paraId="31AC5088" w14:textId="77777777" w:rsidR="00273BB2" w:rsidRDefault="00000000">
      <w:pPr>
        <w:pStyle w:val="Heading1"/>
      </w:pPr>
      <w:r>
        <w:rPr>
          <w:rFonts w:ascii="Times New Roman" w:eastAsia="Times New Roman" w:hAnsi="Times New Roman"/>
        </w:rPr>
        <w:t>Funding</w:t>
      </w:r>
    </w:p>
    <w:p w14:paraId="3A9A42DB" w14:textId="77777777" w:rsidR="00273BB2" w:rsidRDefault="00000000">
      <w:r>
        <w:t>To be confirmed by all authors before submission.</w:t>
      </w:r>
    </w:p>
    <w:p w14:paraId="4B03900B" w14:textId="77777777" w:rsidR="00273BB2" w:rsidRDefault="00000000">
      <w:pPr>
        <w:pStyle w:val="Heading1"/>
      </w:pPr>
      <w:r>
        <w:rPr>
          <w:rFonts w:ascii="Times New Roman" w:eastAsia="Times New Roman" w:hAnsi="Times New Roman"/>
        </w:rPr>
        <w:t>Competing Interests</w:t>
      </w:r>
    </w:p>
    <w:p w14:paraId="62B9D095" w14:textId="77777777" w:rsidR="00273BB2" w:rsidRDefault="00000000">
      <w:r>
        <w:t>To be confirmed by all authors before submission.</w:t>
      </w:r>
    </w:p>
    <w:p w14:paraId="0D83D520" w14:textId="77777777" w:rsidR="00273BB2" w:rsidRDefault="00000000">
      <w:pPr>
        <w:pStyle w:val="Heading1"/>
      </w:pPr>
      <w:r>
        <w:rPr>
          <w:rFonts w:ascii="Times New Roman" w:eastAsia="Times New Roman" w:hAnsi="Times New Roman"/>
        </w:rPr>
        <w:lastRenderedPageBreak/>
        <w:t>Acknowledgments</w:t>
      </w:r>
    </w:p>
    <w:p w14:paraId="1593DCCF" w14:textId="77777777" w:rsidR="00273BB2" w:rsidRDefault="00000000">
      <w:r>
        <w:t>To be confirmed by all authors before submission.</w:t>
      </w:r>
    </w:p>
    <w:p w14:paraId="648A9CCE" w14:textId="77777777" w:rsidR="00273BB2" w:rsidRDefault="00000000">
      <w:pPr>
        <w:pStyle w:val="Heading1"/>
      </w:pPr>
      <w:r>
        <w:rPr>
          <w:rFonts w:ascii="Times New Roman" w:eastAsia="Times New Roman" w:hAnsi="Times New Roman"/>
        </w:rPr>
        <w:t>References</w:t>
      </w:r>
    </w:p>
    <w:p w14:paraId="34AE801A" w14:textId="77777777" w:rsidR="00273BB2" w:rsidRDefault="00000000">
      <w:pPr>
        <w:ind w:left="360" w:hanging="360"/>
      </w:pPr>
      <w:r>
        <w:t>1. Matthew F, Wilar R, Umboh A. Faktor risiko yang berhubungan dengan kejadian kelainan bawaan pada neonatus. e-CliniC. 2021;9(1). doi:10.35790/ecl.9.1.2021.32306.</w:t>
      </w:r>
    </w:p>
    <w:p w14:paraId="25752330" w14:textId="77777777" w:rsidR="00273BB2" w:rsidRDefault="00000000">
      <w:pPr>
        <w:ind w:left="360" w:hanging="360"/>
      </w:pPr>
      <w:r>
        <w:t>2. Farhan TM, Al-Jumaili AA, Hashim A, et al. Craniofacial anomaly association with the internal malformations in the pediatric age group in Al-Fallujah City-Iraq. Biomed Res Int. 2020;2020:4725141. doi:10.1155/2020/4725141.</w:t>
      </w:r>
    </w:p>
    <w:p w14:paraId="19D3B5B1" w14:textId="77777777" w:rsidR="00273BB2" w:rsidRDefault="00000000">
      <w:pPr>
        <w:ind w:left="360" w:hanging="360"/>
      </w:pPr>
      <w:r>
        <w:t>3. Salari N, Darvishi N, Heydari M, Bokaee S, Darvishi F, Mohammadi M. Global prevalence of cleft palate, cleft lip and cleft palate and lip: A comprehensive systematic review and meta-analysis. J Stomatol Oral Maxillofac Surg. 2022;123(2):110-120.</w:t>
      </w:r>
    </w:p>
    <w:p w14:paraId="69EE0530" w14:textId="77777777" w:rsidR="00273BB2" w:rsidRDefault="00000000">
      <w:pPr>
        <w:ind w:left="360" w:hanging="360"/>
      </w:pPr>
      <w:r>
        <w:t>4. Elfiah U, Kurniawan A, Wahyudi S. Analisis kejadian sumbing bibir dan langit: studi deskriptif berdasarkan tinjauan geografis. J Rekonstruksi Estetik. 2021;6(1):34. doi:10.20473/jre.v6i1.28230.</w:t>
      </w:r>
    </w:p>
    <w:p w14:paraId="6B4A03FC" w14:textId="77777777" w:rsidR="00273BB2" w:rsidRDefault="00000000">
      <w:pPr>
        <w:ind w:left="360" w:hanging="360"/>
      </w:pPr>
      <w:r>
        <w:t>5. Kulesa-Mrowiecka M, Węgrzyn P, Kędzierska M, et al. Characteristics of factors influencing the occurrence of cleft lip and/or palate: A case analysis and literature review. Children. 2024;11(4):399. doi:10.3390/children11040399.</w:t>
      </w:r>
    </w:p>
    <w:p w14:paraId="1187DCED" w14:textId="77777777" w:rsidR="00273BB2" w:rsidRDefault="00000000">
      <w:pPr>
        <w:ind w:left="360" w:hanging="360"/>
      </w:pPr>
      <w:r>
        <w:t>6. Munger RG, Tamura T, Johnston KE, et al. Maternal vitamin B12 status and risk of cleft lip and cleft palate birth defects in Tamil Nadu State, India. Cleft Palate Craniofac J. 2021;58(5):567-576. doi:10.1177/1055665621998394.</w:t>
      </w:r>
    </w:p>
    <w:p w14:paraId="243325AC" w14:textId="77777777" w:rsidR="00273BB2" w:rsidRDefault="00000000">
      <w:pPr>
        <w:ind w:left="360" w:hanging="360"/>
      </w:pPr>
      <w:r>
        <w:t>7. Siddiqui F, Salam RA, Lassi ZS, Das JK. The intertwined relationship between malnutrition and poverty. Front Public Health. 2020;8:453. doi:10.3389/fpubh.2020.00453.</w:t>
      </w:r>
    </w:p>
    <w:p w14:paraId="59390C74" w14:textId="77777777" w:rsidR="00273BB2" w:rsidRDefault="00000000">
      <w:pPr>
        <w:ind w:left="360" w:hanging="360"/>
      </w:pPr>
      <w:r>
        <w:lastRenderedPageBreak/>
        <w:t>8. Purwitasari KTI, Sanjaya IGPH, Hamid ARRH. Gambaran faktor risiko penyebab terjadinya celah bibir dan celah langitan di Denpasar tahun 2019. Intisari Sains Medis. 2020;11(2):697-701. doi:10.15562/ism.v11i2.656.</w:t>
      </w:r>
    </w:p>
    <w:p w14:paraId="7C9F973A" w14:textId="77777777" w:rsidR="00273BB2" w:rsidRDefault="00000000">
      <w:pPr>
        <w:ind w:left="360" w:hanging="360"/>
      </w:pPr>
      <w:r>
        <w:t>9. Xu DP, Qu WD, Sun C, et al. A study on environmental factors for nonsyndromic cleft lip and/or palate. J Craniofac Surg. 2018;29(2):364-367. doi:10.1097/SCS.0000000000004214.</w:t>
      </w:r>
    </w:p>
    <w:p w14:paraId="11798B27" w14:textId="77777777" w:rsidR="00273BB2" w:rsidRDefault="00000000">
      <w:pPr>
        <w:ind w:left="360" w:hanging="360"/>
      </w:pPr>
      <w:r>
        <w:t>10. Mogess WN, Mihretie TB. Prevalence and associated factors of congenital anomalies in Ethiopia: A systematic review and meta-analysis. PLoS One. 2024;19(4):e0302393. doi:10.1371/journal.pone.0302393.</w:t>
      </w:r>
    </w:p>
    <w:p w14:paraId="7EDC0D0A" w14:textId="77777777" w:rsidR="00273BB2" w:rsidRDefault="00000000">
      <w:pPr>
        <w:ind w:left="360" w:hanging="360"/>
      </w:pPr>
      <w:r>
        <w:t>11. Hao Y, Tian S, Jiao X, et al. Association of parental environmental exposures and supplementation intake with risk of nonsyndromic orofacial clefts: A case-control study in Heilongjiang Province, China. Nutrients. 2015;7(9):7172-7184. doi:10.3390/nu7095328.</w:t>
      </w:r>
    </w:p>
    <w:p w14:paraId="5AED2979" w14:textId="77777777" w:rsidR="00273BB2" w:rsidRDefault="00000000">
      <w:pPr>
        <w:ind w:left="360" w:hanging="360"/>
      </w:pPr>
      <w:r>
        <w:t>12. Bezerra JF, Oliveira GH, Soares CD, et al. Genetic and non-genetic factors that increase the risk of non-syndromic cleft lip and/or palate development. Oral Dis. 2015;21(3):393-399. doi:10.1111/odi.12292.</w:t>
      </w:r>
    </w:p>
    <w:p w14:paraId="575CF613" w14:textId="77777777" w:rsidR="00273BB2" w:rsidRDefault="00000000">
      <w:pPr>
        <w:ind w:left="360" w:hanging="360"/>
      </w:pPr>
      <w:r>
        <w:t>13. Tricco AC, Lillie E, Zarin W, et al. PRISMA Extension for Scoping Reviews (PRISMA-ScR): Checklist and explanation. Ann Intern Med. 2018;169(7):467-473. doi:10.7326/M18-0850.</w:t>
      </w:r>
    </w:p>
    <w:p w14:paraId="24591F0E" w14:textId="77777777" w:rsidR="00273BB2" w:rsidRDefault="00000000">
      <w:pPr>
        <w:ind w:left="360" w:hanging="360"/>
      </w:pPr>
      <w:r>
        <w:t>14. Jahanbin A, Shadkam E, Miri HH, Shirazi AS, Abtahi M. Maternal folic acid supplementation and the risk of oral clefts in offspring. J Craniofac Surg. 2018;29(6):e534-e541. doi:10.1097/SCS.0000000000004488.</w:t>
      </w:r>
    </w:p>
    <w:p w14:paraId="0A0921FF" w14:textId="77777777" w:rsidR="00273BB2" w:rsidRDefault="00000000">
      <w:pPr>
        <w:ind w:left="360" w:hanging="360"/>
      </w:pPr>
      <w:r>
        <w:t>15. Wilson RD, O’Connor DL. Maternal folic acid and multivitamin supplementation: International clinical evidence with considerations for the prevention of folate-sensitive birth defects. Prev Med Rep. 2021;24:101617. doi:10.1016/j.pmedr.2021.101617.</w:t>
      </w:r>
    </w:p>
    <w:p w14:paraId="1B69F92C" w14:textId="77777777" w:rsidR="00273BB2" w:rsidRDefault="00000000">
      <w:pPr>
        <w:ind w:left="360" w:hanging="360"/>
      </w:pPr>
      <w:r>
        <w:lastRenderedPageBreak/>
        <w:t>16. Škovierová H, Vidomanová E, Mahmood S, et al. The molecular and cellular effect of homocysteine metabolism imbalance on human health. Int J Mol Sci. 2016;17(10):1733. doi:10.3390/ijms17101733.</w:t>
      </w:r>
    </w:p>
    <w:p w14:paraId="4B88D60A" w14:textId="77777777" w:rsidR="00273BB2" w:rsidRDefault="00000000">
      <w:pPr>
        <w:ind w:left="360" w:hanging="360"/>
      </w:pPr>
      <w:r>
        <w:t>17. Rocha CSM, Reis SR, Faria JG, et al. Predisposing risk factors for cleft lip and palate in an Amazonian population by focusing on nutritional factors: A case-control study. J Plast Reconstr Aesthet Surg. 2024;94:169-177. doi:10.1016/j.bjps.2024.05.015.</w:t>
      </w:r>
    </w:p>
    <w:p w14:paraId="5B881B4B" w14:textId="77777777" w:rsidR="00273BB2" w:rsidRDefault="00000000">
      <w:pPr>
        <w:ind w:left="360" w:hanging="360"/>
      </w:pPr>
      <w:r>
        <w:t>18. Phyu MN, Mon MM, Lin HH, et al. Maternal stressful events and socioeconomic status among orofacial cleft families: A hospital-based study. J Cleft Lip Palate Craniofac Anomal. 2020;7(1):24. doi:10.4103/jclpca.jclpca_19_19.</w:t>
      </w:r>
    </w:p>
    <w:p w14:paraId="0F8BE809" w14:textId="77777777" w:rsidR="00273BB2" w:rsidRDefault="00000000">
      <w:pPr>
        <w:ind w:left="360" w:hanging="360"/>
      </w:pPr>
      <w:r>
        <w:t>19. Kruppa K, Williams J, Kantar RS, et al. Cleft lip and/or palate and associated risks in lower-middle-income countries: A systematic review. Cleft Palate Craniofac J. 2022;59(5):568-576. doi:10.1177/10556656211018952.</w:t>
      </w:r>
    </w:p>
    <w:p w14:paraId="0551684E" w14:textId="77777777" w:rsidR="00273BB2" w:rsidRDefault="00000000">
      <w:pPr>
        <w:ind w:left="360" w:hanging="360"/>
      </w:pPr>
      <w:r>
        <w:t>20. Adewale AO, Alshammari RF, Alajlan SA, et al. Risk factors associated with cleft etiology: A multicenter experience. Saudi J Oral Dent Res. 2023;8(8):233-239. doi:10.36348/sjodr.2023.v08i08.002.</w:t>
      </w:r>
    </w:p>
    <w:p w14:paraId="1F1B334F" w14:textId="77777777" w:rsidR="00273BB2" w:rsidRDefault="00000000">
      <w:pPr>
        <w:ind w:left="360" w:hanging="360"/>
      </w:pPr>
      <w:r>
        <w:t>21. Swami RS, Battepati PM. Assessment of prevalence pattern of orofacial clefting and etiological risk factors in children with cleft lip and/or palate. Ann Int Med Dent Res. 2018;4(3):DE28-DE31. doi:10.21276/aimdr.2018.4.3.DE6.</w:t>
      </w:r>
    </w:p>
    <w:p w14:paraId="718C0F4D" w14:textId="77777777" w:rsidR="00273BB2" w:rsidRDefault="00000000">
      <w:pPr>
        <w:ind w:left="360" w:hanging="360"/>
      </w:pPr>
      <w:r>
        <w:t>22. Charoenvicha C, Pradubwong S, Rittirod T, et al. Predisposing factors of non-syndromic cleft lip and cleft palate in the Northern Thai population: A 10-year retrospective case-control study. Congenit Anom. 2023;63(5):147-153. doi:10.1111/cga.12529.</w:t>
      </w:r>
    </w:p>
    <w:p w14:paraId="2533E041" w14:textId="77777777" w:rsidR="00273BB2" w:rsidRDefault="00000000">
      <w:pPr>
        <w:ind w:left="360" w:hanging="360"/>
      </w:pPr>
      <w:r>
        <w:lastRenderedPageBreak/>
        <w:t>23. Vu GH, Broder HL, Shaye DA, et al. Poverty and risk of cleft lip and palate: An analysis of United States birth data. Plast Reconstr Surg. 2022;149(1):169-182. doi:10.1097/PRS.0000000000008636.</w:t>
      </w:r>
    </w:p>
    <w:p w14:paraId="522EEB03" w14:textId="77777777" w:rsidR="00273BB2" w:rsidRDefault="00000000">
      <w:pPr>
        <w:ind w:left="360" w:hanging="360"/>
      </w:pPr>
      <w:r>
        <w:t>24. Melinda T, Purnomo A, Sutopo Y. Pengaruh sosial ekonomi terhadap kepemilikan asuransi kesehatan masyarakat Desa Kebumen Kecamatan Banyubiru Kabupaten Semarang. J Pendidikan Sosial. 2019.</w:t>
      </w:r>
    </w:p>
    <w:p w14:paraId="6CFAC447" w14:textId="77777777" w:rsidR="00273BB2" w:rsidRDefault="00000000">
      <w:pPr>
        <w:ind w:left="360" w:hanging="360"/>
      </w:pPr>
      <w:r>
        <w:t>25. Astriningrum EP, Hardinsyah H, Nurdin NM. Asupan asam folat, vitamin B12, dan vitamin C pada ibu hamil di Indonesia berdasarkan Studi Diet Total. J Gizi Pangan. 2017;12(1):31-40. doi:10.25182/jgp.2017.12.1.31-40.</w:t>
      </w:r>
    </w:p>
    <w:p w14:paraId="6B48D119" w14:textId="77777777" w:rsidR="00273BB2" w:rsidRDefault="00000000">
      <w:pPr>
        <w:ind w:left="360" w:hanging="360"/>
      </w:pPr>
      <w:r>
        <w:t>26. Mossey PA, Little J, Munger RG, Dixon MJ, Shaw WC. Cleft lip and palate. Lancet. 2009;374(9703):1773-1785. doi:10.1016/S0140-6736(09)60695-4.</w:t>
      </w:r>
    </w:p>
    <w:p w14:paraId="638AAF48" w14:textId="77777777" w:rsidR="00273BB2" w:rsidRDefault="00000000">
      <w:pPr>
        <w:ind w:left="360" w:hanging="360"/>
      </w:pPr>
      <w:r>
        <w:t>27. World Health Organization. Periconceptional folic acid supplementation to prevent neural tube defects. Geneva: World Health Organization; 2023. Available from: https://www.who.int/tools/elena/interventions/folate-periconceptional.</w:t>
      </w:r>
    </w:p>
    <w:p w14:paraId="5A733918" w14:textId="77777777" w:rsidR="00273BB2" w:rsidRDefault="00000000">
      <w:pPr>
        <w:ind w:left="360" w:hanging="360"/>
      </w:pPr>
      <w:r>
        <w:t>28. Peters MDJ, Marnie C, Tricco AC, et al. Updated methodological guidance for the conduct of scoping reviews. JBI Evid Synth. 2020;18(10):2119-2126. doi:10.11124/JBIES-20-00167.</w:t>
      </w:r>
    </w:p>
    <w:p w14:paraId="116222B1" w14:textId="77777777" w:rsidR="00273BB2" w:rsidRDefault="00000000">
      <w:pPr>
        <w:ind w:left="360" w:hanging="360"/>
      </w:pPr>
      <w:r>
        <w:t>29. World Health Organization. Daily iron and folic acid supplementation during pregnancy. Geneva: World Health Organization; 2024. Available from: https://www.who.int/tools/elena/interventions/daily-iron-pregnancy.</w:t>
      </w:r>
    </w:p>
    <w:p w14:paraId="7CD99306" w14:textId="77777777" w:rsidR="00273BB2" w:rsidRDefault="00000000">
      <w:pPr>
        <w:ind w:left="360" w:hanging="360"/>
      </w:pPr>
      <w:r>
        <w:t>30. Wang D, Wu Y, Wang Y, et al. Global, regional and national burden of orofacial clefts from 1990 to 2019: An analysis of the Global Burden of Disease Study 2019. Ann Med. 2023;55(1):2215540. doi:10.1080/07853890.2023.2215540.</w:t>
      </w:r>
    </w:p>
    <w:sectPr w:rsidR="00273BB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590748">
    <w:abstractNumId w:val="8"/>
  </w:num>
  <w:num w:numId="2" w16cid:durableId="2121366976">
    <w:abstractNumId w:val="6"/>
  </w:num>
  <w:num w:numId="3" w16cid:durableId="1578519587">
    <w:abstractNumId w:val="5"/>
  </w:num>
  <w:num w:numId="4" w16cid:durableId="514342187">
    <w:abstractNumId w:val="4"/>
  </w:num>
  <w:num w:numId="5" w16cid:durableId="459807207">
    <w:abstractNumId w:val="7"/>
  </w:num>
  <w:num w:numId="6" w16cid:durableId="641736628">
    <w:abstractNumId w:val="3"/>
  </w:num>
  <w:num w:numId="7" w16cid:durableId="730541564">
    <w:abstractNumId w:val="2"/>
  </w:num>
  <w:num w:numId="8" w16cid:durableId="1655374979">
    <w:abstractNumId w:val="1"/>
  </w:num>
  <w:num w:numId="9" w16cid:durableId="119723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BB2"/>
    <w:rsid w:val="0029639D"/>
    <w:rsid w:val="00326F90"/>
    <w:rsid w:val="00437A30"/>
    <w:rsid w:val="00AA1D8D"/>
    <w:rsid w:val="00B47730"/>
    <w:rsid w:val="00C61D05"/>
    <w:rsid w:val="00CB0664"/>
    <w:rsid w:val="00D80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29B79"/>
  <w14:defaultImageDpi w14:val="300"/>
  <w15:docId w15:val="{B870B47E-82CD-47A4-9A0C-3B91B484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3980</Words>
  <Characters>22690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Maternal Nutritional and Socioeconomic Determinants of Cleft Lip and Palate: A Scoping Review</vt:lpstr>
    </vt:vector>
  </TitlesOfParts>
  <Manager/>
  <Company/>
  <LinksUpToDate>false</LinksUpToDate>
  <CharactersWithSpaces>26617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Maternal Nutritional and Socioeconomic Determinants of Cleft Lip and Palate: A Scoping Review</dc:title>
  <dc:subject>MJIRI revised manuscript</dc:subject>
  <dc:creator>PT ANOA MANDIRI SEJAHTERA</dc:creator>
  <cp:keywords/>
  <dc:description>Prepared for MJIRI formatting review; author confirmations required for funding, competing interests, and corresponding author email.</dc:description>
  <cp:lastModifiedBy>PT ANOA MANDIRI SEJAHTERA</cp:lastModifiedBy>
  <cp:revision>2</cp:revision>
  <dcterms:created xsi:type="dcterms:W3CDTF">2026-06-11T02:22:00Z</dcterms:created>
  <dcterms:modified xsi:type="dcterms:W3CDTF">2026-06-11T02:22:00Z</dcterms:modified>
  <cp:category/>
</cp:coreProperties>
</file>