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Response to Associate Editor</w:t>
      </w:r>
    </w:p>
    <w:p>
      <w:pPr>
        <w:jc w:val="center"/>
      </w:pPr>
      <w:r>
        <w:rPr>
          <w:b/>
        </w:rPr>
        <w:t>Manuscript ID: AJMB-2609-1502</w:t>
      </w:r>
    </w:p>
    <w:p>
      <w:pPr>
        <w:jc w:val="center"/>
      </w:pPr>
      <w:r>
        <w:t>Comparative Physicochemical and Ultrastructural Characterization of Urinary Extracellular Vesicle-Enriched and Honey Vesicle-Like Nanoparticle Preparations</w:t>
      </w:r>
    </w:p>
    <w:p>
      <w:r>
        <w:rPr>
          <w:b/>
        </w:rPr>
        <w:t>Dear Editor-in-Chief and Associate Editor,</w:t>
      </w:r>
    </w:p>
    <w:p>
      <w:r>
        <w:t>Thank you for the careful evaluation of our manuscript and for the opportunity to revise it. We have addressed every comment as fully as the existing study materials permit. We agree that the requested additional measurements would materially strengthen quantitative and biological validation. However, the original preparations have been exhausted, so no further particle-counting, low-conductivity zeta-potential, marker-validation, donor/batch-resolved characterization, uptake, or cytotoxicity experiments can be performed. We therefore did not generate approximations or substitute unsupported data. Instead, we substantially reframed the manuscript as a descriptive physicochemical and ultrastructural characterization study, removed unsupported evidence and claims, and made the limitations explicit throughout.</w:t>
      </w:r>
    </w:p>
    <w:p>
      <w:r>
        <w:rPr>
          <w:b/>
        </w:rPr>
        <w:t xml:space="preserve">Revision marking: </w:t>
      </w:r>
      <w:r>
        <w:t>Continuous line numbering has been added. Newly added or materially reframed scientific text is highlighted in green; minor terminology/wording clarifications are highlighted in yellow; deleted material is shown with Track Changes in the marked manuscript. A clean revised manuscript is also provided for editorial convenience.</w:t>
      </w:r>
      <w:r>
        <w:t xml:space="preserve"> Page and line references below refer to the clean revised manuscript; the marked version contains the same accepted text together with tracked deletions.</w:t>
      </w:r>
    </w:p>
    <w:p>
      <w:pPr>
        <w:pStyle w:val="Heading1"/>
      </w:pPr>
      <w:r>
        <w:t>Comment 1</w:t>
      </w:r>
    </w:p>
    <w:p>
      <w:r>
        <w:rPr>
          <w:b/>
        </w:rPr>
        <w:t>Measure particle numbers: To report particle concentration (particles/mL) and calculate the particle-to-protein ratio.</w:t>
      </w:r>
    </w:p>
    <w:p>
      <w:pPr>
        <w:pStyle w:val="Heading2"/>
      </w:pPr>
      <w:r>
        <w:t>Response</w:t>
      </w:r>
    </w:p>
    <w:p>
      <w:r>
        <w:t>We agree that absolute particle concentration and particle-to-protein ratios would substantially strengthen the quantitative characterization. Absolute single-particle quantification was not performed in the original study, and no residual preparation remains for nanoparticle tracking analysis, nano-flow cytometry, or another validated particle-counting method. The available DLS data provide intensity-weighted size distributions and instrument-derived scattering information, neither of which can be rigorously converted to particles/mL. We therefore considered it methodologically inappropriate to estimate particle concentration or a particle-to-protein ratio from DLS or total-protein data. The revised manuscript now states this explicitly and removes wording that could be interpreted as particle yield, recovery efficiency, or purity.</w:t>
      </w:r>
    </w:p>
    <w:p>
      <w:pPr>
        <w:pStyle w:val="Heading2"/>
      </w:pPr>
      <w:r>
        <w:t>Changes in the revised manuscript</w:t>
      </w:r>
    </w:p>
    <w:p>
      <w:pPr>
        <w:ind w:left="340" w:hanging="198"/>
      </w:pPr>
      <w:r>
        <w:rPr>
          <w:b/>
        </w:rPr>
        <w:t xml:space="preserve">• </w:t>
      </w:r>
      <w:r>
        <w:t>Abstract: the absence of validated particle counting and the inability to calculate particle-to-protein ratios are stated explicitly (Page 1, lines 9-15; Page 2, lines 25-26).</w:t>
      </w:r>
    </w:p>
    <w:p>
      <w:pPr>
        <w:ind w:left="340" w:hanging="198"/>
      </w:pPr>
      <w:r>
        <w:rPr>
          <w:b/>
        </w:rPr>
        <w:t xml:space="preserve">• </w:t>
      </w:r>
      <w:r>
        <w:t>Methods: DLS count information is explicitly not interpreted as particle concentration, and no validated single-particle counting method is claimed (Page 5, lines 111-117). Total protein is not used as a surrogate for particle number, and particle-to-protein ratios are not calculated (Page 5, lines 125-132).</w:t>
      </w:r>
    </w:p>
    <w:p>
      <w:pPr>
        <w:ind w:left="340" w:hanging="198"/>
      </w:pPr>
      <w:r>
        <w:rPr>
          <w:b/>
        </w:rPr>
        <w:t xml:space="preserve">• </w:t>
      </w:r>
      <w:r>
        <w:t>Data analysis: no particle-to-protein ratio is calculated because absolute particle concentration was unavailable (Page 7, lines 163-171).</w:t>
      </w:r>
    </w:p>
    <w:p>
      <w:pPr>
        <w:ind w:left="340" w:hanging="198"/>
      </w:pPr>
      <w:r>
        <w:rPr>
          <w:b/>
        </w:rPr>
        <w:t xml:space="preserve">• </w:t>
      </w:r>
      <w:r>
        <w:t>Results: total protein is described as protein present in the final pooled suspensions rather than particle yield or recovery; particle-to-protein ratios are explicitly not calculated (Page 7-8, lines 190-197).</w:t>
      </w:r>
    </w:p>
    <w:p>
      <w:pPr>
        <w:ind w:left="340" w:hanging="198"/>
      </w:pPr>
      <w:r>
        <w:rPr>
          <w:b/>
        </w:rPr>
        <w:t xml:space="preserve">• </w:t>
      </w:r>
      <w:r>
        <w:t>Discussion/limitations: validated particle counting is identified as a required future step, and the inability of DLS to provide particles/mL is stated (Page 10-11, lines 243-249 and 261-275).</w:t>
      </w:r>
    </w:p>
    <w:p>
      <w:pPr>
        <w:ind w:left="340" w:hanging="198"/>
      </w:pPr>
      <w:r>
        <w:rPr>
          <w:b/>
        </w:rPr>
        <w:t xml:space="preserve">• </w:t>
      </w:r>
      <w:r>
        <w:t>Conclusion: claims are restricted to a descriptive baseline and do not infer particle abundance or purity (Page 12, lines 286-295).</w:t>
      </w:r>
    </w:p>
    <w:p>
      <w:pPr>
        <w:pStyle w:val="Heading1"/>
      </w:pPr>
      <w:r>
        <w:t>Comment 2</w:t>
      </w:r>
    </w:p>
    <w:p>
      <w:r>
        <w:rPr>
          <w:b/>
        </w:rPr>
        <w:t>Re-test zeta potential: Measure samples in a low-conductivity solution (e.g., Milli-Q water or sucrose buffer) to determine the surface charge.</w:t>
      </w:r>
    </w:p>
    <w:p>
      <w:pPr>
        <w:pStyle w:val="Heading2"/>
      </w:pPr>
      <w:r>
        <w:t>Response</w:t>
      </w:r>
    </w:p>
    <w:p>
      <w:r>
        <w:t>We agree that repeat measurement under validated low-conductivity conditions would provide a more interpretable electrokinetic surface-potential measurement. Unfortunately, the original preparations have been exhausted and cannot be re-tested. To prevent overinterpretation, the revised manuscript refers to these measurements only as apparent zeta potentials obtained in high-conductivity PBS. We explicitly state that ionic screening limits interpretation and that the values cannot be used to define intrinsic surface charge or colloidal stability. No new zeta-potential values were generated or inferred.</w:t>
      </w:r>
    </w:p>
    <w:p>
      <w:pPr>
        <w:pStyle w:val="Heading2"/>
      </w:pPr>
      <w:r>
        <w:t>Changes in the revised manuscript</w:t>
      </w:r>
    </w:p>
    <w:p>
      <w:pPr>
        <w:ind w:left="340" w:hanging="198"/>
      </w:pPr>
      <w:r>
        <w:rPr>
          <w:b/>
        </w:rPr>
        <w:t xml:space="preserve">• </w:t>
      </w:r>
      <w:r>
        <w:t>Methods: measurements are defined exclusively as apparent zeta potentials under the reported PBS conditions and are not interpreted as intrinsic charge or evidence of colloidal stability (Page 5, lines 118-123).</w:t>
      </w:r>
    </w:p>
    <w:p>
      <w:pPr>
        <w:ind w:left="340" w:hanging="198"/>
      </w:pPr>
      <w:r>
        <w:rPr>
          <w:b/>
        </w:rPr>
        <w:t xml:space="preserve">• </w:t>
      </w:r>
      <w:r>
        <w:t>Results: the measurements are described as buffer-limited observations, with no inference regarding colloidal stability (Page 7, lines 183-188).</w:t>
      </w:r>
    </w:p>
    <w:p>
      <w:pPr>
        <w:ind w:left="340" w:hanging="198"/>
      </w:pPr>
      <w:r>
        <w:rPr>
          <w:b/>
        </w:rPr>
        <w:t xml:space="preserve">• </w:t>
      </w:r>
      <w:r>
        <w:t>Discussion: the need for validated low-conductivity repeat measurement is stated, and the absence of residual material is disclosed (Page 10, lines 235-242).</w:t>
      </w:r>
    </w:p>
    <w:p>
      <w:pPr>
        <w:ind w:left="340" w:hanging="198"/>
      </w:pPr>
      <w:r>
        <w:rPr>
          <w:b/>
        </w:rPr>
        <w:t xml:space="preserve">• </w:t>
      </w:r>
      <w:r>
        <w:t>Limitations: high-conductivity measurement is identified as a foundational limitation (Page 11, lines 263-265).</w:t>
      </w:r>
    </w:p>
    <w:p>
      <w:pPr>
        <w:pStyle w:val="Heading1"/>
      </w:pPr>
      <w:r>
        <w:t>Comment 3</w:t>
      </w:r>
    </w:p>
    <w:p>
      <w:r>
        <w:rPr>
          <w:b/>
        </w:rPr>
        <w:t>Fix flow cytometry data: Remove the human-kit results for honey (Figure 4b). Instead, use suitable plant/insect markers or general membrane dyes. For urine, add negative-control markers such as Calnexin or Albumin as required by MISEV2023.</w:t>
      </w:r>
    </w:p>
    <w:p>
      <w:pPr>
        <w:pStyle w:val="Heading2"/>
      </w:pPr>
      <w:r>
        <w:t>Response</w:t>
      </w:r>
    </w:p>
    <w:p>
      <w:r>
        <w:t>We agree that an anti-human CD9/CD81 kit is not source-appropriate for establishing the identity of honey-derived particles. Because no residual honey preparation remains, source-appropriate marker or membrane-dye testing cannot be added. We have therefore removed the honey anti-human CD81 result from the revised evidentiary dataset, removed the honey rows from Table 4, and removed the honey panel from Figure 4. The revised Figure 4 now contains only the urine data. For urine, additional negative/contaminant markers (including calnexin, albumin, and uromodulin), a broader EV-associated marker panel, and complete assay controls were not available and cannot now be generated because the original preparation has been exhausted. The urine bead assay is therefore retained only as an exploratory anti-human CD81-associated signal and is no longer used to claim high purity or definitive EV identity.</w:t>
      </w:r>
    </w:p>
    <w:p>
      <w:pPr>
        <w:pStyle w:val="Heading2"/>
      </w:pPr>
      <w:r>
        <w:t>Changes in the revised manuscript</w:t>
      </w:r>
    </w:p>
    <w:p>
      <w:pPr>
        <w:ind w:left="340" w:hanging="198"/>
      </w:pPr>
      <w:r>
        <w:rPr>
          <w:b/>
        </w:rPr>
        <w:t xml:space="preserve">• </w:t>
      </w:r>
      <w:r>
        <w:t>Methods: the urine assay is described as exploratory; missing controls and missing calnexin, albumin, uromodulin, and broader marker panels are explicitly stated. The rationale for excluding honey anti-human CD9/CD81 data is also stated (Page 5-6, lines 134-152).</w:t>
      </w:r>
    </w:p>
    <w:p>
      <w:pPr>
        <w:ind w:left="340" w:hanging="198"/>
      </w:pPr>
      <w:r>
        <w:rPr>
          <w:b/>
        </w:rPr>
        <w:t xml:space="preserve">• </w:t>
      </w:r>
      <w:r>
        <w:t>Results: only pooled urine CD81-associated bead events are reported; honey anti-human CD81 values are no longer reported (Page 8, lines 199-204).</w:t>
      </w:r>
    </w:p>
    <w:p>
      <w:pPr>
        <w:ind w:left="340" w:hanging="198"/>
      </w:pPr>
      <w:r>
        <w:rPr>
          <w:b/>
        </w:rPr>
        <w:t xml:space="preserve">• </w:t>
      </w:r>
      <w:r>
        <w:t>Discussion: interpretation is restricted to urine, and the honey anti-human result is explicitly excluded from the revised evidentiary dataset (Page 10-11, lines 250-260).</w:t>
      </w:r>
    </w:p>
    <w:p>
      <w:pPr>
        <w:ind w:left="340" w:hanging="198"/>
      </w:pPr>
      <w:r>
        <w:rPr>
          <w:b/>
        </w:rPr>
        <w:t xml:space="preserve">• </w:t>
      </w:r>
      <w:r>
        <w:t>Limitations: the restricted marker panel and source-inappropriate honey assay are explicitly identified (Page 11, lines 265-268).</w:t>
      </w:r>
    </w:p>
    <w:p>
      <w:pPr>
        <w:ind w:left="340" w:hanging="198"/>
      </w:pPr>
      <w:r>
        <w:rPr>
          <w:b/>
        </w:rPr>
        <w:t xml:space="preserve">• </w:t>
      </w:r>
      <w:r>
        <w:t>Table 4 now contains only urine unstained and stained data and explicitly states that the assay does not establish EV purity or definitive identity (Page 20, lines 396-401).</w:t>
      </w:r>
    </w:p>
    <w:p>
      <w:pPr>
        <w:ind w:left="340" w:hanging="198"/>
      </w:pPr>
      <w:r>
        <w:rPr>
          <w:b/>
        </w:rPr>
        <w:t xml:space="preserve">• </w:t>
      </w:r>
      <w:r>
        <w:t>Figure 4b has been removed. The revised Figure 4 and legend contain only the pooled urine preparation (Page 21, lines 413-417).</w:t>
      </w:r>
    </w:p>
    <w:p>
      <w:pPr>
        <w:pStyle w:val="Heading1"/>
      </w:pPr>
      <w:r>
        <w:t>Comment 4</w:t>
      </w:r>
    </w:p>
    <w:p>
      <w:r>
        <w:rPr>
          <w:b/>
        </w:rPr>
        <w:t>Use independent biological samples and add basic cell testing: Test individual donors/batches for statistics and add simple in vitro tests such as cytotoxicity or cell uptake.</w:t>
      </w:r>
    </w:p>
    <w:p>
      <w:pPr>
        <w:pStyle w:val="Heading2"/>
      </w:pPr>
      <w:r>
        <w:t>Response</w:t>
      </w:r>
    </w:p>
    <w:p>
      <w:r>
        <w:t>We agree that independent biological replication and functional assays would be necessary for robust statistical or translational conclusions. The original donor samples and honey batches were processed separately through ultracentrifugation, but the resulting post-ultracentrifugation preparations were pooled within each matrix before downstream characterization. Consequently, donor- or batch-resolved characterization values are not available and technical runs cannot be treated as biological replicates. In addition, no residual material remains for new donor/batch-resolved preparations, cytotoxicity, or uptake experiments. The revised manuscript therefore performs no inferential comparison, identifies all characterization as pooled matrix-level data, and removes claims concerning inter-individual reproducibility, uptake, safety, biological activity, or drug-delivery suitability.</w:t>
      </w:r>
    </w:p>
    <w:p>
      <w:pPr>
        <w:pStyle w:val="Heading2"/>
      </w:pPr>
      <w:r>
        <w:t>Changes in the revised manuscript</w:t>
      </w:r>
    </w:p>
    <w:p>
      <w:pPr>
        <w:ind w:left="340" w:hanging="198"/>
      </w:pPr>
      <w:r>
        <w:rPr>
          <w:b/>
        </w:rPr>
        <w:t xml:space="preserve">• </w:t>
      </w:r>
      <w:r>
        <w:t>Study design: the post-ultracentrifugation pooling strategy and its consequence for biological replication are stated explicitly (Page 2-3, lines 60-69).</w:t>
      </w:r>
    </w:p>
    <w:p>
      <w:pPr>
        <w:ind w:left="340" w:hanging="198"/>
      </w:pPr>
      <w:r>
        <w:rPr>
          <w:b/>
        </w:rPr>
        <w:t xml:space="preserve">• </w:t>
      </w:r>
      <w:r>
        <w:t>Urine and honey sections: each donor/batch was processed separately through ultracentrifugation before pooling for characterization (Page 3, lines 75-86).</w:t>
      </w:r>
    </w:p>
    <w:p>
      <w:pPr>
        <w:ind w:left="340" w:hanging="198"/>
      </w:pPr>
      <w:r>
        <w:rPr>
          <w:b/>
        </w:rPr>
        <w:t xml:space="preserve">• </w:t>
      </w:r>
      <w:r>
        <w:t>Enrichment workflow: separate processing and post-ultracentrifugation pooling are described for urine and honey (Page 4, lines 92-105).</w:t>
      </w:r>
    </w:p>
    <w:p>
      <w:pPr>
        <w:ind w:left="340" w:hanging="198"/>
      </w:pPr>
      <w:r>
        <w:rPr>
          <w:b/>
        </w:rPr>
        <w:t xml:space="preserve">• </w:t>
      </w:r>
      <w:r>
        <w:t>Data analysis: pooled matrix-level data and technical runs are explicitly distinguished from biological replicates; no inferential comparison is performed (Page 7, lines 163-171).</w:t>
      </w:r>
    </w:p>
    <w:p>
      <w:pPr>
        <w:ind w:left="340" w:hanging="198"/>
      </w:pPr>
      <w:r>
        <w:rPr>
          <w:b/>
        </w:rPr>
        <w:t xml:space="preserve">• </w:t>
      </w:r>
      <w:r>
        <w:t>Limitations: pooling, absence of donor/batch-resolved biological replication, and absence of uptake/cytotoxicity/functional assays are stated explicitly (Page 11, lines 269-275).</w:t>
      </w:r>
    </w:p>
    <w:p>
      <w:pPr>
        <w:ind w:left="340" w:hanging="198"/>
      </w:pPr>
      <w:r>
        <w:rPr>
          <w:b/>
        </w:rPr>
        <w:t xml:space="preserve">• </w:t>
      </w:r>
      <w:r>
        <w:t>Conclusion: no claims are made regarding biological activity, safety, or therapeutic delivery; the work is presented only as a descriptive baseline (Page 12, lines 286-295).</w:t>
      </w:r>
    </w:p>
    <w:p>
      <w:pPr>
        <w:pStyle w:val="Heading1"/>
      </w:pPr>
      <w:r>
        <w:t>Overall revised claim</w:t>
      </w:r>
    </w:p>
    <w:p>
      <w:r>
        <w:t>The revised conclusion is intentionally conservative: the study documents pooled urinary EV-enriched and honey-derived vesicle-like nanoparticle preparations containing membrane-enclosed nanoscale structures and matrix-dependent physicochemical observations, but it does not claim absolute particle abundance, particle purity, biological activity, safety, or therapeutic suitability. We respectfully submit that this reframed manuscript now reflects the evidentiary limits of the available data without substituting unsupported measurements for the requested experiments.</w:t>
      </w:r>
    </w:p>
    <w:p>
      <w:r>
        <w:t>We thank the Associate Editor again for the constructive comments and for the opportunity to improve the manuscript.</w:t>
      </w:r>
    </w:p>
    <w:p>
      <w:r>
        <w:rPr>
          <w:b/>
        </w:rPr>
        <w:t>Sincerely,</w:t>
      </w:r>
    </w:p>
    <w:p>
      <w:r>
        <w:t>Agus Limanto</w:t>
        <w:br/>
        <w:t>Corresponding Author</w:t>
        <w:br/>
        <w:t>On behalf of all authors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