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sz w:val="22"/>
        </w:rPr>
        <w:t>Supplementary Table S1. Search strategy used in the literature search</w:t>
      </w:r>
    </w:p>
    <w:p>
      <w:pPr>
        <w:spacing w:line="240" w:lineRule="auto" w:after="80"/>
      </w:pPr>
      <w:r>
        <w:rPr>
          <w:b/>
        </w:rPr>
        <w:t>Search coverage: PubMed, Scopus and Google Scholar were searched for records published from 2010 to 2026. Last search update: 29 September 2026. Counts correspond to the PRISMA flow diagram: 520 records identified, 60 duplicates removed, 460 screened, 70 full-text reports assessed, 13 studies retained for qualitative synthesis and 12 studies included in meta-analysis.</w:t>
      </w:r>
      <w:r/>
    </w:p>
    <w:tbl>
      <w:tblPr>
        <w:tblStyle w:val="TableGrid"/>
        <w:tblW w:type="auto" w:w="0"/>
        <w:jc w:val="center"/>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3636"/>
        <w:gridCol w:w="3636"/>
        <w:gridCol w:w="3636"/>
        <w:gridCol w:w="3636"/>
      </w:tblGrid>
      <w:tr>
        <w:trPr>
          <w:tblHeader w:val="true"/>
        </w:trPr>
        <w:tc>
          <w:tcPr>
            <w:tcW w:type="dxa" w:w="1872"/>
            <w:shd w:fill="D9EAF7"/>
            <w:tcMar>
              <w:top w:w="60" w:type="dxa"/>
              <w:start w:w="60" w:type="dxa"/>
              <w:bottom w:w="60" w:type="dxa"/>
              <w:end w:w="60" w:type="dxa"/>
            </w:tcMar>
            <w:vAlign w:val="center"/>
          </w:tcPr>
          <w:p>
            <w:pPr>
              <w:spacing w:line="240" w:lineRule="auto" w:after="0"/>
            </w:pPr>
            <w:r>
              <w:rPr>
                <w:rFonts w:ascii="Times New Roman" w:hAnsi="Times New Roman"/>
                <w:b/>
                <w:sz w:val="17"/>
              </w:rPr>
              <w:t>Database/source</w:t>
            </w:r>
          </w:p>
        </w:tc>
        <w:tc>
          <w:tcPr>
            <w:tcW w:type="dxa" w:w="6263"/>
            <w:shd w:fill="D9EAF7"/>
            <w:tcMar>
              <w:top w:w="60" w:type="dxa"/>
              <w:start w:w="60" w:type="dxa"/>
              <w:bottom w:w="60" w:type="dxa"/>
              <w:end w:w="60" w:type="dxa"/>
            </w:tcMar>
            <w:vAlign w:val="center"/>
          </w:tcPr>
          <w:p>
            <w:pPr>
              <w:spacing w:line="240" w:lineRule="auto" w:after="0"/>
            </w:pPr>
            <w:r>
              <w:rPr>
                <w:rFonts w:ascii="Times New Roman" w:hAnsi="Times New Roman"/>
                <w:b/>
                <w:sz w:val="17"/>
              </w:rPr>
              <w:t>Search strategy</w:t>
            </w:r>
          </w:p>
        </w:tc>
        <w:tc>
          <w:tcPr>
            <w:tcW w:type="dxa" w:w="5256"/>
            <w:shd w:fill="D9EAF7"/>
            <w:tcMar>
              <w:top w:w="60" w:type="dxa"/>
              <w:start w:w="60" w:type="dxa"/>
              <w:bottom w:w="60" w:type="dxa"/>
              <w:end w:w="60" w:type="dxa"/>
            </w:tcMar>
            <w:vAlign w:val="center"/>
          </w:tcPr>
          <w:p>
            <w:pPr>
              <w:spacing w:line="240" w:lineRule="auto" w:after="0"/>
            </w:pPr>
            <w:r>
              <w:rPr>
                <w:rFonts w:ascii="Times New Roman" w:hAnsi="Times New Roman"/>
                <w:b/>
                <w:sz w:val="17"/>
              </w:rPr>
              <w:t>Limits and screening notes</w:t>
            </w:r>
          </w:p>
        </w:tc>
        <w:tc>
          <w:tcPr>
            <w:tcW w:type="dxa" w:w="1655"/>
            <w:shd w:fill="D9EAF7"/>
            <w:tcMar>
              <w:top w:w="60" w:type="dxa"/>
              <w:start w:w="60" w:type="dxa"/>
              <w:bottom w:w="60" w:type="dxa"/>
              <w:end w:w="60" w:type="dxa"/>
            </w:tcMar>
            <w:vAlign w:val="center"/>
          </w:tcPr>
          <w:p>
            <w:pPr>
              <w:spacing w:line="240" w:lineRule="auto" w:after="0"/>
            </w:pPr>
            <w:r>
              <w:rPr>
                <w:rFonts w:ascii="Times New Roman" w:hAnsi="Times New Roman"/>
                <w:b/>
                <w:sz w:val="17"/>
              </w:rPr>
              <w:t>Records identified</w:t>
            </w:r>
          </w:p>
        </w:tc>
      </w:tr>
      <w:tr>
        <w:tc>
          <w:tcPr>
            <w:tcW w:type="dxa" w:w="1872"/>
            <w:tcMar>
              <w:top w:w="60" w:type="dxa"/>
              <w:start w:w="60" w:type="dxa"/>
              <w:bottom w:w="60" w:type="dxa"/>
              <w:end w:w="60" w:type="dxa"/>
            </w:tcMar>
            <w:vAlign w:val="top"/>
          </w:tcPr>
          <w:p>
            <w:pPr>
              <w:spacing w:line="240" w:lineRule="auto" w:after="0"/>
            </w:pPr>
            <w:r>
              <w:rPr>
                <w:rFonts w:ascii="Times New Roman" w:hAnsi="Times New Roman" w:eastAsia="Times New Roman"/>
                <w:sz w:val="15"/>
              </w:rPr>
              <w:t>PubMed</w:t>
            </w:r>
          </w:p>
        </w:tc>
        <w:tc>
          <w:tcPr>
            <w:tcW w:type="dxa" w:w="6263"/>
            <w:tcMar>
              <w:top w:w="60" w:type="dxa"/>
              <w:start w:w="60" w:type="dxa"/>
              <w:bottom w:w="60" w:type="dxa"/>
              <w:end w:w="60" w:type="dxa"/>
            </w:tcMar>
            <w:vAlign w:val="top"/>
          </w:tcPr>
          <w:p>
            <w:pPr>
              <w:spacing w:line="240" w:lineRule="auto" w:after="0"/>
            </w:pPr>
            <w:r>
              <w:rPr>
                <w:rFonts w:ascii="Times New Roman" w:hAnsi="Times New Roman" w:eastAsia="Times New Roman"/>
                <w:sz w:val="15"/>
              </w:rPr>
              <w:t>(("Toxoplasma gondii" OR toxoplasmosis) AND</w:t>
              <w:br/>
              <w:t>(pregnancy OR "pregnant women" OR maternal) AND</w:t>
              <w:br/>
              <w:t>(miscarriage OR abortion OR "bad obstetric history" OR stillbirth OR "preterm birth" OR prematurity OR "low birth weight" OR "small for gestational age" OR "adverse pregnancy outcome" OR "adverse pregnancy outcomes"))</w:t>
            </w:r>
          </w:p>
        </w:tc>
        <w:tc>
          <w:tcPr>
            <w:tcW w:type="dxa" w:w="5256"/>
            <w:tcMar>
              <w:top w:w="60" w:type="dxa"/>
              <w:start w:w="60" w:type="dxa"/>
              <w:bottom w:w="60" w:type="dxa"/>
              <w:end w:w="60" w:type="dxa"/>
            </w:tcMar>
            <w:vAlign w:val="top"/>
          </w:tcPr>
          <w:p>
            <w:pPr>
              <w:spacing w:line="240" w:lineRule="auto" w:after="0"/>
            </w:pPr>
            <w:r>
              <w:rPr>
                <w:rFonts w:ascii="Times New Roman" w:hAnsi="Times New Roman" w:eastAsia="Times New Roman"/>
                <w:sz w:val="15"/>
              </w:rPr>
              <w:t>Publication years 2010-2026. Human pregnancy-related records were screened. Secondary reviews, meta-analyses, seroprevalence-only studies, infection risk-factor studies without pregnancy outcome data, and reports without extractable comparator/outcome data were excluded during full-text assessment.</w:t>
            </w:r>
          </w:p>
        </w:tc>
        <w:tc>
          <w:tcPr>
            <w:tcW w:type="dxa" w:w="1655"/>
            <w:tcMar>
              <w:top w:w="60" w:type="dxa"/>
              <w:start w:w="60" w:type="dxa"/>
              <w:bottom w:w="60" w:type="dxa"/>
              <w:end w:w="60" w:type="dxa"/>
            </w:tcMar>
            <w:vAlign w:val="top"/>
          </w:tcPr>
          <w:p>
            <w:pPr>
              <w:spacing w:line="240" w:lineRule="auto" w:after="0"/>
            </w:pPr>
            <w:r>
              <w:rPr>
                <w:rFonts w:ascii="Times New Roman" w:hAnsi="Times New Roman" w:eastAsia="Times New Roman"/>
                <w:sz w:val="15"/>
              </w:rPr>
              <w:t>180</w:t>
            </w:r>
          </w:p>
        </w:tc>
      </w:tr>
      <w:tr>
        <w:tc>
          <w:tcPr>
            <w:tcW w:type="dxa" w:w="1872"/>
            <w:tcMar>
              <w:top w:w="60" w:type="dxa"/>
              <w:start w:w="60" w:type="dxa"/>
              <w:bottom w:w="60" w:type="dxa"/>
              <w:end w:w="60" w:type="dxa"/>
            </w:tcMar>
            <w:vAlign w:val="top"/>
          </w:tcPr>
          <w:p>
            <w:pPr>
              <w:spacing w:line="240" w:lineRule="auto" w:after="0"/>
            </w:pPr>
            <w:r>
              <w:rPr>
                <w:rFonts w:ascii="Times New Roman" w:hAnsi="Times New Roman" w:eastAsia="Times New Roman"/>
                <w:sz w:val="15"/>
              </w:rPr>
              <w:t>Scopus</w:t>
            </w:r>
          </w:p>
        </w:tc>
        <w:tc>
          <w:tcPr>
            <w:tcW w:type="dxa" w:w="6263"/>
            <w:tcMar>
              <w:top w:w="60" w:type="dxa"/>
              <w:start w:w="60" w:type="dxa"/>
              <w:bottom w:w="60" w:type="dxa"/>
              <w:end w:w="60" w:type="dxa"/>
            </w:tcMar>
            <w:vAlign w:val="top"/>
          </w:tcPr>
          <w:p>
            <w:pPr>
              <w:spacing w:line="240" w:lineRule="auto" w:after="0"/>
            </w:pPr>
            <w:r>
              <w:rPr>
                <w:rFonts w:ascii="Times New Roman" w:hAnsi="Times New Roman" w:eastAsia="Times New Roman"/>
                <w:sz w:val="15"/>
              </w:rPr>
              <w:t>TITLE-ABS-KEY ("Toxoplasma gondii" OR toxoplasmosis) AND</w:t>
              <w:br/>
              <w:t>TITLE-ABS-KEY (pregnancy OR "pregnant women" OR maternal) AND</w:t>
              <w:br/>
              <w:t>TITLE-ABS-KEY (miscarriage OR abortion OR "bad obstetric history" OR stillbirth OR "preterm birth" OR prematurity OR "low birth weight" OR "small for gestational age" OR "adverse pregnancy outcome" OR "adverse pregnancy outcomes")</w:t>
            </w:r>
          </w:p>
        </w:tc>
        <w:tc>
          <w:tcPr>
            <w:tcW w:type="dxa" w:w="5256"/>
            <w:tcMar>
              <w:top w:w="60" w:type="dxa"/>
              <w:start w:w="60" w:type="dxa"/>
              <w:bottom w:w="60" w:type="dxa"/>
              <w:end w:w="60" w:type="dxa"/>
            </w:tcMar>
            <w:vAlign w:val="top"/>
          </w:tcPr>
          <w:p>
            <w:pPr>
              <w:spacing w:line="240" w:lineRule="auto" w:after="0"/>
            </w:pPr>
            <w:r>
              <w:rPr>
                <w:rFonts w:ascii="Times New Roman" w:hAnsi="Times New Roman" w:eastAsia="Times New Roman"/>
                <w:sz w:val="15"/>
              </w:rPr>
              <w:t>Publication years 2010-2026. Records were screened by title/abstract, followed by full-text assessment for primary human study design, maternal exposure definition, adverse pregnancy outcome reporting and extractable two-by-two or effect-estimate data.</w:t>
            </w:r>
          </w:p>
        </w:tc>
        <w:tc>
          <w:tcPr>
            <w:tcW w:type="dxa" w:w="1655"/>
            <w:tcMar>
              <w:top w:w="60" w:type="dxa"/>
              <w:start w:w="60" w:type="dxa"/>
              <w:bottom w:w="60" w:type="dxa"/>
              <w:end w:w="60" w:type="dxa"/>
            </w:tcMar>
            <w:vAlign w:val="top"/>
          </w:tcPr>
          <w:p>
            <w:pPr>
              <w:spacing w:line="240" w:lineRule="auto" w:after="0"/>
            </w:pPr>
            <w:r>
              <w:rPr>
                <w:rFonts w:ascii="Times New Roman" w:hAnsi="Times New Roman" w:eastAsia="Times New Roman"/>
                <w:sz w:val="15"/>
              </w:rPr>
              <w:t>210</w:t>
            </w:r>
          </w:p>
        </w:tc>
      </w:tr>
      <w:tr>
        <w:tc>
          <w:tcPr>
            <w:tcW w:type="dxa" w:w="1872"/>
            <w:tcMar>
              <w:top w:w="60" w:type="dxa"/>
              <w:start w:w="60" w:type="dxa"/>
              <w:bottom w:w="60" w:type="dxa"/>
              <w:end w:w="60" w:type="dxa"/>
            </w:tcMar>
            <w:vAlign w:val="top"/>
          </w:tcPr>
          <w:p>
            <w:pPr>
              <w:spacing w:line="240" w:lineRule="auto" w:after="0"/>
            </w:pPr>
            <w:r>
              <w:rPr>
                <w:rFonts w:ascii="Times New Roman" w:hAnsi="Times New Roman" w:eastAsia="Times New Roman"/>
                <w:sz w:val="15"/>
              </w:rPr>
              <w:t>Google Scholar</w:t>
            </w:r>
          </w:p>
        </w:tc>
        <w:tc>
          <w:tcPr>
            <w:tcW w:type="dxa" w:w="6263"/>
            <w:tcMar>
              <w:top w:w="60" w:type="dxa"/>
              <w:start w:w="60" w:type="dxa"/>
              <w:bottom w:w="60" w:type="dxa"/>
              <w:end w:w="60" w:type="dxa"/>
            </w:tcMar>
            <w:vAlign w:val="top"/>
          </w:tcPr>
          <w:p>
            <w:pPr>
              <w:spacing w:line="240" w:lineRule="auto" w:after="0"/>
            </w:pPr>
            <w:r>
              <w:rPr>
                <w:rFonts w:ascii="Times New Roman" w:hAnsi="Times New Roman" w:eastAsia="Times New Roman"/>
                <w:sz w:val="15"/>
              </w:rPr>
              <w:t>Search combinations were used because Google Scholar does not support fully reproducible Boolean syntax:</w:t>
              <w:br/>
              <w:t>1. "Toxoplasma gondii" pregnancy "adverse pregnancy outcomes"</w:t>
              <w:br/>
              <w:t>2. toxoplasmosis pregnancy miscarriage abortion</w:t>
              <w:br/>
              <w:t>3. "Toxoplasma gondii" pregnancy "preterm birth" "low birth weight"</w:t>
              <w:br/>
              <w:t>4. "Toxoplasma gondii" "small for gestational age" pregnancy</w:t>
              <w:br/>
              <w:t>5. toxoplasmosis "bad obstetric history" pregnancy</w:t>
            </w:r>
          </w:p>
        </w:tc>
        <w:tc>
          <w:tcPr>
            <w:tcW w:type="dxa" w:w="5256"/>
            <w:tcMar>
              <w:top w:w="60" w:type="dxa"/>
              <w:start w:w="60" w:type="dxa"/>
              <w:bottom w:w="60" w:type="dxa"/>
              <w:end w:w="60" w:type="dxa"/>
            </w:tcMar>
            <w:vAlign w:val="top"/>
          </w:tcPr>
          <w:p>
            <w:pPr>
              <w:spacing w:line="240" w:lineRule="auto" w:after="0"/>
            </w:pPr>
            <w:r>
              <w:rPr>
                <w:rFonts w:ascii="Times New Roman" w:hAnsi="Times New Roman" w:eastAsia="Times New Roman"/>
                <w:sz w:val="15"/>
              </w:rPr>
              <w:t>Publication years 2010-2026. Records were screened in order of relevance until 130 potentially relevant records were identified and assessed against the same eligibility criteria.</w:t>
            </w:r>
          </w:p>
        </w:tc>
        <w:tc>
          <w:tcPr>
            <w:tcW w:type="dxa" w:w="1655"/>
            <w:tcMar>
              <w:top w:w="60" w:type="dxa"/>
              <w:start w:w="60" w:type="dxa"/>
              <w:bottom w:w="60" w:type="dxa"/>
              <w:end w:w="60" w:type="dxa"/>
            </w:tcMar>
            <w:vAlign w:val="top"/>
          </w:tcPr>
          <w:p>
            <w:pPr>
              <w:spacing w:line="240" w:lineRule="auto" w:after="0"/>
            </w:pPr>
            <w:r>
              <w:rPr>
                <w:rFonts w:ascii="Times New Roman" w:hAnsi="Times New Roman" w:eastAsia="Times New Roman"/>
                <w:sz w:val="15"/>
              </w:rPr>
              <w:t>130</w:t>
            </w:r>
          </w:p>
        </w:tc>
      </w:tr>
      <w:tr>
        <w:tc>
          <w:tcPr>
            <w:tcW w:type="dxa" w:w="1872"/>
            <w:tcMar>
              <w:top w:w="60" w:type="dxa"/>
              <w:start w:w="60" w:type="dxa"/>
              <w:bottom w:w="60" w:type="dxa"/>
              <w:end w:w="60" w:type="dxa"/>
            </w:tcMar>
            <w:vAlign w:val="top"/>
          </w:tcPr>
          <w:p>
            <w:pPr>
              <w:spacing w:line="240" w:lineRule="auto" w:after="0"/>
            </w:pPr>
            <w:r>
              <w:rPr>
                <w:rFonts w:ascii="Times New Roman" w:hAnsi="Times New Roman" w:eastAsia="Times New Roman"/>
                <w:sz w:val="15"/>
              </w:rPr>
              <w:t>Full-text assessment rule</w:t>
            </w:r>
          </w:p>
        </w:tc>
        <w:tc>
          <w:tcPr>
            <w:tcW w:type="dxa" w:w="6263"/>
            <w:tcMar>
              <w:top w:w="60" w:type="dxa"/>
              <w:start w:w="60" w:type="dxa"/>
              <w:bottom w:w="60" w:type="dxa"/>
              <w:end w:w="60" w:type="dxa"/>
            </w:tcMar>
            <w:vAlign w:val="top"/>
          </w:tcPr>
          <w:p>
            <w:pPr>
              <w:spacing w:line="240" w:lineRule="auto" w:after="0"/>
            </w:pPr>
            <w:r>
              <w:rPr>
                <w:rFonts w:ascii="Times New Roman" w:hAnsi="Times New Roman" w:eastAsia="Times New Roman"/>
                <w:sz w:val="15"/>
              </w:rPr>
              <w:t>Not applicable as a database search string.</w:t>
            </w:r>
          </w:p>
        </w:tc>
        <w:tc>
          <w:tcPr>
            <w:tcW w:type="dxa" w:w="5256"/>
            <w:tcMar>
              <w:top w:w="60" w:type="dxa"/>
              <w:start w:w="60" w:type="dxa"/>
              <w:bottom w:w="60" w:type="dxa"/>
              <w:end w:w="60" w:type="dxa"/>
            </w:tcMar>
            <w:vAlign w:val="top"/>
          </w:tcPr>
          <w:p>
            <w:pPr>
              <w:spacing w:line="240" w:lineRule="auto" w:after="0"/>
            </w:pPr>
            <w:r>
              <w:rPr>
                <w:rFonts w:ascii="Times New Roman" w:hAnsi="Times New Roman" w:eastAsia="Times New Roman"/>
                <w:sz w:val="15"/>
              </w:rPr>
              <w:t>Inclusion required a primary human study; maternal T. gondii exposure measured by serology or molecular methods; adverse pregnancy outcome data; and a comparator group or extractable two-by-two data. Zeinali et al. (2023) was retained for narrative synthesis only because it lacked a normal-pregnancy comparator suitable for pooled effect estimation.</w:t>
            </w:r>
          </w:p>
        </w:tc>
        <w:tc>
          <w:tcPr>
            <w:tcW w:type="dxa" w:w="1655"/>
            <w:tcMar>
              <w:top w:w="60" w:type="dxa"/>
              <w:start w:w="60" w:type="dxa"/>
              <w:bottom w:w="60" w:type="dxa"/>
              <w:end w:w="60" w:type="dxa"/>
            </w:tcMar>
            <w:vAlign w:val="top"/>
          </w:tcPr>
          <w:p>
            <w:pPr>
              <w:spacing w:line="240" w:lineRule="auto" w:after="0"/>
            </w:pPr>
            <w:r>
              <w:rPr>
                <w:rFonts w:ascii="Times New Roman" w:hAnsi="Times New Roman" w:eastAsia="Times New Roman"/>
                <w:sz w:val="15"/>
              </w:rPr>
              <w:t>70 full-text reports assessed; 13 studies retained for qualitative synthesis; 12 included in meta-analysis</w:t>
            </w:r>
          </w:p>
        </w:tc>
      </w:tr>
    </w:tbl>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