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4"/>
        </w:rPr>
        <w:t>Comments status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Ref B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  <w:tbl>
      <w:tblPr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387"/>
      </w:tblGrid>
      <w:tr>
        <w:trPr>
          <w:tblHeader w:val="true"/>
        </w:trPr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</w:rPr>
              <w:t>comment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</w:rPr>
              <w:t>Status/your reply</w:t>
            </w:r>
          </w:p>
        </w:tc>
      </w:tr>
      <w:tr>
        <w:trPr/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Comment 1: </w:t>
            </w:r>
            <w:r>
              <w:rPr>
                <w:rFonts w:ascii="Times New Roman" w:hAnsi="Times New Roman" w:eastAsia="Times New Roman" w:cs="Times New Roman"/>
                <w:sz w:val="22"/>
              </w:rPr>
              <w:t>“Why?” — regarding the statement that the protocol was not prospectively registered.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Status: </w:t>
            </w:r>
            <w:r>
              <w:rPr>
                <w:rFonts w:ascii="Times New Roman" w:hAnsi="Times New Roman" w:eastAsia="Times New Roman" w:cs="Times New Roman"/>
                <w:sz w:val="22"/>
              </w:rPr>
              <w:t>Addressed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Your reply: </w:t>
            </w:r>
            <w:r>
              <w:rPr>
                <w:rFonts w:ascii="Times New Roman" w:hAnsi="Times New Roman" w:eastAsia="Times New Roman" w:cs="Times New Roman"/>
                <w:sz w:val="22"/>
              </w:rPr>
              <w:t>Prospective registration was not undertaken because the review process had already commenced before protocol registration was considered. The absence of prospective registration is explicitly acknowledged as a methodological limitation.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Changes in manuscript: </w:t>
            </w:r>
            <w:r>
              <w:rPr>
                <w:rFonts w:ascii="Times New Roman" w:hAnsi="Times New Roman" w:eastAsia="Times New Roman" w:cs="Times New Roman"/>
                <w:sz w:val="22"/>
              </w:rPr>
              <w:t>Protocol and Registration; Strengths and Limitations.</w:t>
            </w:r>
          </w:p>
        </w:tc>
      </w:tr>
      <w:tr>
        <w:trPr/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Comment 2: </w:t>
            </w:r>
            <w:r>
              <w:rPr>
                <w:rFonts w:ascii="Times New Roman" w:hAnsi="Times New Roman" w:eastAsia="Times New Roman" w:cs="Times New Roman"/>
                <w:sz w:val="22"/>
              </w:rPr>
              <w:t>“Write the exact definition of PP% and CPT and how to extract/calculate them.”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Status: </w:t>
            </w:r>
            <w:r>
              <w:rPr>
                <w:rFonts w:ascii="Times New Roman" w:hAnsi="Times New Roman" w:eastAsia="Times New Roman" w:cs="Times New Roman"/>
                <w:sz w:val="22"/>
              </w:rPr>
              <w:t>Addressed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Your reply: </w:t>
            </w:r>
            <w:r>
              <w:rPr>
                <w:rFonts w:ascii="Times New Roman" w:hAnsi="Times New Roman" w:eastAsia="Times New Roman" w:cs="Times New Roman"/>
                <w:sz w:val="22"/>
              </w:rPr>
              <w:t>Operational definitions were added for protection percentage (PP%) and complete protection time (CPT). PP% is defined as [(C−T)/C]×100, where C is the number of bites/landings in the untreated control and T is the number in the treated condition. CPT is defined as the time from repellent application to the study-defined loss of complete protection, and reported values were converted to hours when necessary.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Changes in manuscript: </w:t>
            </w:r>
            <w:r>
              <w:rPr>
                <w:rFonts w:ascii="Times New Roman" w:hAnsi="Times New Roman" w:eastAsia="Times New Roman" w:cs="Times New Roman"/>
                <w:sz w:val="22"/>
              </w:rPr>
              <w:t>Outcome Definitions.</w:t>
            </w:r>
          </w:p>
        </w:tc>
      </w:tr>
      <w:tr>
        <w:trPr/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Comment 3: </w:t>
            </w:r>
            <w:r>
              <w:rPr>
                <w:rFonts w:ascii="Times New Roman" w:hAnsi="Times New Roman" w:eastAsia="Times New Roman" w:cs="Times New Roman"/>
                <w:sz w:val="22"/>
              </w:rPr>
              <w:t>“Were grey literatures reviewed? This is not mentioned in the search strategy section.”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Status: </w:t>
            </w:r>
            <w:r>
              <w:rPr>
                <w:rFonts w:ascii="Times New Roman" w:hAnsi="Times New Roman" w:eastAsia="Times New Roman" w:cs="Times New Roman"/>
                <w:sz w:val="22"/>
              </w:rPr>
              <w:t>Addressed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Your reply: </w:t>
            </w:r>
            <w:r>
              <w:rPr>
                <w:rFonts w:ascii="Times New Roman" w:hAnsi="Times New Roman" w:eastAsia="Times New Roman" w:cs="Times New Roman"/>
                <w:sz w:val="22"/>
              </w:rPr>
              <w:t>Grey literature was not systematically searched because eligibility was restricted to full-text articles published in peer-reviewed journals. This restriction is now stated explicitly.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Changes in manuscript: </w:t>
            </w:r>
            <w:r>
              <w:rPr>
                <w:rFonts w:ascii="Times New Roman" w:hAnsi="Times New Roman" w:eastAsia="Times New Roman" w:cs="Times New Roman"/>
                <w:sz w:val="22"/>
              </w:rPr>
              <w:t>Sources of Information and Search Strategy.</w:t>
            </w:r>
          </w:p>
        </w:tc>
      </w:tr>
      <w:tr>
        <w:trPr/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Comment 4: </w:t>
            </w:r>
            <w:r>
              <w:rPr>
                <w:rFonts w:ascii="Times New Roman" w:hAnsi="Times New Roman" w:eastAsia="Times New Roman" w:cs="Times New Roman"/>
                <w:sz w:val="22"/>
              </w:rPr>
              <w:t>“The search strategy is too general. Whether terms related to mosquito repellent, bite prevention, arm-in-cage, etc. have been searched for or not.”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Status: </w:t>
            </w:r>
            <w:r>
              <w:rPr>
                <w:rFonts w:ascii="Times New Roman" w:hAnsi="Times New Roman" w:eastAsia="Times New Roman" w:cs="Times New Roman"/>
                <w:sz w:val="22"/>
              </w:rPr>
              <w:t>Addressed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Your reply: </w:t>
            </w:r>
            <w:r>
              <w:rPr>
                <w:rFonts w:ascii="Times New Roman" w:hAnsi="Times New Roman" w:eastAsia="Times New Roman" w:cs="Times New Roman"/>
                <w:sz w:val="22"/>
              </w:rPr>
              <w:t>The core database search strategy is now reported and the manuscript explains that database syntax was adapted for PubMed/MEDLINE, Scopus, Web of Science, and Embase. Terms describing experimental procedures such as arm-in-cage, tunnel assay, cage assay, and field landing rate were evaluated during full-text eligibility assessment rather than required as database search terms.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Changes in manuscript: </w:t>
            </w:r>
            <w:r>
              <w:rPr>
                <w:rFonts w:ascii="Times New Roman" w:hAnsi="Times New Roman" w:eastAsia="Times New Roman" w:cs="Times New Roman"/>
                <w:sz w:val="22"/>
              </w:rPr>
              <w:t>Sources of Information and Search Strategy.</w:t>
            </w:r>
          </w:p>
        </w:tc>
      </w:tr>
      <w:tr>
        <w:trPr/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Comment 5: </w:t>
            </w:r>
            <w:r>
              <w:rPr>
                <w:rFonts w:ascii="Times New Roman" w:hAnsi="Times New Roman" w:eastAsia="Times New Roman" w:cs="Times New Roman"/>
                <w:sz w:val="22"/>
              </w:rPr>
              <w:t>“Data extraction.”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Status: </w:t>
            </w:r>
            <w:r>
              <w:rPr>
                <w:rFonts w:ascii="Times New Roman" w:hAnsi="Times New Roman" w:eastAsia="Times New Roman" w:cs="Times New Roman"/>
                <w:sz w:val="22"/>
              </w:rPr>
              <w:t>Addressed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Your reply: </w:t>
            </w:r>
            <w:r>
              <w:rPr>
                <w:rFonts w:ascii="Times New Roman" w:hAnsi="Times New Roman" w:eastAsia="Times New Roman" w:cs="Times New Roman"/>
                <w:sz w:val="22"/>
              </w:rPr>
              <w:t>The Data Extraction subsection was expanded to specify the reviewers, extracted variables, handling of mosquito strain/population when reported, PP%, CPT, concentration, testing method, sample-size/analytic-unit information, and resolution of disagreements.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Changes in manuscript: </w:t>
            </w:r>
            <w:r>
              <w:rPr>
                <w:rFonts w:ascii="Times New Roman" w:hAnsi="Times New Roman" w:eastAsia="Times New Roman" w:cs="Times New Roman"/>
                <w:sz w:val="22"/>
              </w:rPr>
              <w:t>Data Extraction.</w:t>
            </w:r>
          </w:p>
        </w:tc>
      </w:tr>
      <w:tr>
        <w:trPr/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Comment 6: </w:t>
            </w:r>
            <w:r>
              <w:rPr>
                <w:rFonts w:ascii="Times New Roman" w:hAnsi="Times New Roman" w:eastAsia="Times New Roman" w:cs="Times New Roman"/>
                <w:sz w:val="22"/>
              </w:rPr>
              <w:t>“Egger's test is suitable for studies with fewer than 10.”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Status: </w:t>
            </w:r>
            <w:r>
              <w:rPr>
                <w:rFonts w:ascii="Times New Roman" w:hAnsi="Times New Roman" w:eastAsia="Times New Roman" w:cs="Times New Roman"/>
                <w:sz w:val="22"/>
              </w:rPr>
              <w:t>Addressed with revised analytical approach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Your reply: </w:t>
            </w:r>
            <w:r>
              <w:rPr>
                <w:rFonts w:ascii="Times New Roman" w:hAnsi="Times New Roman" w:eastAsia="Times New Roman" w:cs="Times New Roman"/>
                <w:sz w:val="22"/>
              </w:rPr>
              <w:t>Following revision of the study set and quantitative analysis, the manuscript no longer reports the previous Egger regression result. Potential small-study effects/publication bias are assessed by cautious visual inspection of residual funnel plots. The synthetic subgroup contains only nine studies, and no regression-based conclusion is reported for that subgroup.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Changes in manuscript: </w:t>
            </w:r>
            <w:r>
              <w:rPr>
                <w:rFonts w:ascii="Times New Roman" w:hAnsi="Times New Roman" w:eastAsia="Times New Roman" w:cs="Times New Roman"/>
                <w:sz w:val="22"/>
              </w:rPr>
              <w:t>Statistical Analysis; Publication Bias and Funnel Plot; Strengths and Limitations.</w:t>
            </w:r>
          </w:p>
        </w:tc>
      </w:tr>
      <w:tr>
        <w:trPr/>
        <w:tc>
          <w:tcPr>
            <w:tcW w:w="4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Comment 7: </w:t>
            </w:r>
            <w:r>
              <w:rPr>
                <w:rFonts w:ascii="Times New Roman" w:hAnsi="Times New Roman" w:eastAsia="Times New Roman" w:cs="Times New Roman"/>
                <w:sz w:val="22"/>
              </w:rPr>
              <w:t>“Study selection.”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Status: </w:t>
            </w:r>
            <w:r>
              <w:rPr>
                <w:rFonts w:ascii="Times New Roman" w:hAnsi="Times New Roman" w:eastAsia="Times New Roman" w:cs="Times New Roman"/>
                <w:sz w:val="22"/>
              </w:rPr>
              <w:t>Addressed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Your reply: </w:t>
            </w:r>
            <w:r>
              <w:rPr>
                <w:rFonts w:ascii="Times New Roman" w:hAnsi="Times New Roman" w:eastAsia="Times New Roman" w:cs="Times New Roman"/>
                <w:sz w:val="22"/>
              </w:rPr>
              <w:t>The Study Selection subsection now reports database-specific record counts, reference-list records, duplicates removed, records screened, full-text reports assessed, exclusion reasons, and the final 30 primary studies. The process is shown in a revised PRISMA 2020 flow diagram.</w:t>
            </w:r>
          </w:p>
          <w:p>
            <w:pPr>
              <w:spacing w:after="80" w:before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Changes in manuscript: </w:t>
            </w:r>
            <w:r>
              <w:rPr>
                <w:rFonts w:ascii="Times New Roman" w:hAnsi="Times New Roman" w:eastAsia="Times New Roman" w:cs="Times New Roman"/>
                <w:sz w:val="22"/>
              </w:rPr>
              <w:t>Study Selection; Figure 1.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