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left"/>
      </w:pPr>
      <w:r>
        <w:rPr>
          <w:rFonts w:ascii="Times New Roman" w:hAnsi="Times New Roman"/>
          <w:b/>
          <w:sz w:val="24"/>
        </w:rPr>
        <w:t>Comments status</w:t>
      </w:r>
    </w:p>
    <w:p>
      <w:pPr>
        <w:spacing w:after="80"/>
      </w:pPr>
      <w:r>
        <w:rPr>
          <w:rFonts w:ascii="Times New Roman" w:hAnsi="Times New Roman"/>
          <w:b/>
          <w:sz w:val="22"/>
        </w:rPr>
        <w:t>Ref D</w:t>
      </w:r>
    </w:p>
    <w:sectPr w:rsidR="00FC693F" w:rsidRPr="0006063C" w:rsidSect="00034616">
      <w:pgSz w:w="12240" w:h="15840"/>
      <w:pgMar w:top="964" w:right="964" w:bottom="964" w:left="964" w:header="720" w:footer="720" w:gutter="0"/>
      <w:cols w:space="720"/>
      <w:docGrid w:linePitch="360"/>
    </w:sectPr>
    <w:tbl>
      <w:tblPr>
        <w:tblW w:w="9464" w:type="dxa"/>
        <w:jc w:val="left"/>
        <w:tblInd w:w="0" w:type="dxa"/>
        <w:tblLayout w:type="fixed"/>
        <w:tblCellMar>
          <w:top w:w="0" w:type="dxa"/>
          <w:left w:w="108" w:type="dxa"/>
          <w:bottom w:w="0" w:type="dxa"/>
          <w:right w:w="108" w:type="dxa"/>
        </w:tblCellMar>
      </w:tblPr>
      <w:tblGrid>
        <w:gridCol w:w="4077"/>
        <w:gridCol w:w="5387"/>
      </w:tblGrid>
      <w:tr>
        <w:trPr>
          <w:tblHeader w:val="true"/>
        </w:trPr>
        <w:tc>
          <w:tcPr>
            <w:tcW w:w="4075" w:type="dxa"/>
            <w:tcBorders>
              <w:top w:val="single" w:sz="4" w:space="0" w:color="000000"/>
              <w:left w:val="single" w:sz="4" w:space="0" w:color="000000"/>
              <w:bottom w:val="single" w:sz="4" w:space="0" w:color="000000"/>
              <w:right w:val="single" w:sz="4" w:space="0" w:color="000000"/>
            </w:tcBorders>
            <w:vAlign w:val="center"/>
            <w:tcMar>
              <w:top w:w="100" w:type="dxa"/>
              <w:start w:w="100" w:type="dxa"/>
              <w:bottom w:w="100" w:type="dxa"/>
              <w:end w:w="100" w:type="dxa"/>
            </w:tcMar>
          </w:tcPr>
          <w:p>
            <w:pPr>
              <w:pStyle w:val="Normal"/>
              <w:spacing w:lineRule="auto" w:line="240" w:before="0" w:after="0"/>
              <w:rPr>
                <w:b/>
                <w:bCs/>
                <w:sz w:val="28"/>
                <w:szCs w:val="28"/>
              </w:rPr>
            </w:pPr>
            <w:r>
              <w:rPr>
                <w:rFonts w:ascii="Times New Roman" w:hAnsi="Times New Roman" w:eastAsia="Times New Roman" w:cs="Times New Roman"/>
                <w:b/>
                <w:bCs/>
                <w:sz w:val="24"/>
                <w:szCs w:val="28"/>
              </w:rPr>
              <w:t>comment</w:t>
            </w:r>
          </w:p>
        </w:tc>
        <w:tc>
          <w:tcPr>
            <w:tcW w:w="5386" w:type="dxa"/>
            <w:tcBorders>
              <w:top w:val="single" w:sz="4" w:space="0" w:color="000000"/>
              <w:left w:val="single" w:sz="4" w:space="0" w:color="000000"/>
              <w:bottom w:val="single" w:sz="4" w:space="0" w:color="000000"/>
              <w:right w:val="single" w:sz="4" w:space="0" w:color="000000"/>
            </w:tcBorders>
            <w:vAlign w:val="center"/>
            <w:tcMar>
              <w:top w:w="100" w:type="dxa"/>
              <w:start w:w="100" w:type="dxa"/>
              <w:bottom w:w="100" w:type="dxa"/>
              <w:end w:w="100" w:type="dxa"/>
            </w:tcMar>
          </w:tcPr>
          <w:p>
            <w:pPr>
              <w:pStyle w:val="Normal"/>
              <w:spacing w:lineRule="auto" w:line="240" w:before="0" w:after="0"/>
              <w:rPr>
                <w:b/>
                <w:bCs/>
                <w:sz w:val="28"/>
                <w:szCs w:val="28"/>
              </w:rPr>
            </w:pPr>
            <w:r>
              <w:rPr>
                <w:rFonts w:ascii="Times New Roman" w:hAnsi="Times New Roman" w:eastAsia="Times New Roman" w:cs="Times New Roman"/>
                <w:b/>
                <w:bCs/>
                <w:sz w:val="24"/>
                <w:szCs w:val="28"/>
              </w:rPr>
              <w:t>Status/your reply</w:t>
            </w:r>
          </w:p>
        </w:tc>
      </w:tr>
      <w:tr>
        <w:trPr/>
        <w:tc>
          <w:tcPr>
            <w:tcW w:w="4075" w:type="dxa"/>
            <w:tcBorders>
              <w:top w:val="single" w:sz="4" w:space="0" w:color="000000"/>
              <w:left w:val="single" w:sz="4" w:space="0" w:color="000000"/>
              <w:bottom w:val="single" w:sz="4" w:space="0" w:color="000000"/>
              <w:right w:val="single" w:sz="4" w:space="0" w:color="000000"/>
            </w:tcBorders>
            <w:vAlign w:val="top"/>
            <w:tcMar>
              <w:top w:w="90" w:type="dxa"/>
              <w:start w:w="90" w:type="dxa"/>
              <w:bottom w:w="90" w:type="dxa"/>
              <w:end w:w="90" w:type="dxa"/>
            </w:tcMar>
          </w:tcPr>
          <w:p>
            <w:pPr>
              <w:spacing w:after="0" w:line="240" w:lineRule="auto"/>
            </w:pPr>
            <w:r/>
            <w:r>
              <w:rPr>
                <w:rFonts w:ascii="Times New Roman" w:hAnsi="Times New Roman" w:eastAsia="Times New Roman" w:cs="Times New Roman"/>
                <w:b/>
                <w:sz w:val="22"/>
              </w:rPr>
              <w:t xml:space="preserve">Comment 1: </w:t>
            </w:r>
            <w:r>
              <w:rPr>
                <w:rFonts w:ascii="Times New Roman" w:hAnsi="Times New Roman" w:eastAsia="Times New Roman" w:cs="Times New Roman"/>
                <w:sz w:val="22"/>
              </w:rPr>
              <w:t>Introduction/objective: delineate primary and secondary objectives, provide a formal testable hypothesis, strengthen the public-health rationale, and consider economic burden plus safety/sustainability concerns.</w:t>
            </w:r>
          </w:p>
        </w:tc>
        <w:tc>
          <w:tcPr>
            <w:tcW w:w="5386" w:type="dxa"/>
            <w:tcBorders>
              <w:top w:val="single" w:sz="4" w:space="0" w:color="000000"/>
              <w:left w:val="single" w:sz="4" w:space="0" w:color="000000"/>
              <w:bottom w:val="single" w:sz="4" w:space="0" w:color="000000"/>
              <w:right w:val="single" w:sz="4" w:space="0" w:color="000000"/>
            </w:tcBorders>
            <w:vAlign w:val="top"/>
            <w:tcMar>
              <w:top w:w="90" w:type="dxa"/>
              <w:start w:w="90" w:type="dxa"/>
              <w:bottom w:w="90" w:type="dxa"/>
              <w:end w:w="90" w:type="dxa"/>
            </w:tcMar>
          </w:tcPr>
          <w:p>
            <w:pPr>
              <w:spacing w:after="80" w:before="0" w:line="240" w:lineRule="auto"/>
            </w:pPr>
            <w:r>
              <w:rPr>
                <w:rFonts w:ascii="Times New Roman" w:hAnsi="Times New Roman" w:eastAsia="Times New Roman" w:cs="Times New Roman"/>
                <w:b/>
                <w:sz w:val="22"/>
              </w:rPr>
              <w:t xml:space="preserve">Status: </w:t>
            </w:r>
            <w:r>
              <w:rPr>
                <w:rFonts w:ascii="Times New Roman" w:hAnsi="Times New Roman" w:eastAsia="Times New Roman" w:cs="Times New Roman"/>
                <w:sz w:val="22"/>
              </w:rPr>
              <w:t>Addressed with clarification</w:t>
            </w:r>
          </w:p>
          <w:p>
            <w:pPr>
              <w:spacing w:after="80" w:before="0" w:line="240" w:lineRule="auto"/>
            </w:pPr>
            <w:r>
              <w:rPr>
                <w:rFonts w:ascii="Times New Roman" w:hAnsi="Times New Roman" w:eastAsia="Times New Roman" w:cs="Times New Roman"/>
                <w:b/>
                <w:sz w:val="22"/>
              </w:rPr>
              <w:t xml:space="preserve">Your reply: </w:t>
            </w:r>
            <w:r>
              <w:rPr>
                <w:rFonts w:ascii="Times New Roman" w:hAnsi="Times New Roman" w:eastAsia="Times New Roman" w:cs="Times New Roman"/>
                <w:sz w:val="22"/>
              </w:rPr>
              <w:t>The revised Introduction clearly separates primary and secondary objectives and substantially strengthens the public-health rationale, including the role of personal repellents, safety/tolerability, and sustainability-related interest in botanical alternatives. A directional hypothesis was not added because the review protocol was not prospectively registered and adding an apparently a priori hypothesis after completion of the review could be misleading. The comparative objective is therefore stated explicitly without presenting a post hoc hypothesis as pre-specified. A specific economic-burden analysis was not added because economic outcomes were outside the review scope.</w:t>
            </w:r>
          </w:p>
          <w:p>
            <w:pPr>
              <w:spacing w:after="80" w:before="0" w:line="240" w:lineRule="auto"/>
            </w:pPr>
            <w:r>
              <w:rPr>
                <w:rFonts w:ascii="Times New Roman" w:hAnsi="Times New Roman" w:eastAsia="Times New Roman" w:cs="Times New Roman"/>
                <w:b/>
                <w:sz w:val="22"/>
              </w:rPr>
              <w:t xml:space="preserve">Changes in manuscript: </w:t>
            </w:r>
            <w:r>
              <w:rPr>
                <w:rFonts w:ascii="Times New Roman" w:hAnsi="Times New Roman" w:eastAsia="Times New Roman" w:cs="Times New Roman"/>
                <w:sz w:val="22"/>
              </w:rPr>
              <w:t>Introduction; Protocol and Registration.</w:t>
            </w:r>
          </w:p>
        </w:tc>
      </w:tr>
      <w:tr>
        <w:trPr/>
        <w:tc>
          <w:tcPr>
            <w:tcW w:w="4075" w:type="dxa"/>
            <w:tcBorders>
              <w:top w:val="single" w:sz="4" w:space="0" w:color="000000"/>
              <w:left w:val="single" w:sz="4" w:space="0" w:color="000000"/>
              <w:bottom w:val="single" w:sz="4" w:space="0" w:color="000000"/>
              <w:right w:val="single" w:sz="4" w:space="0" w:color="000000"/>
            </w:tcBorders>
            <w:vAlign w:val="top"/>
            <w:tcMar>
              <w:top w:w="90" w:type="dxa"/>
              <w:start w:w="90" w:type="dxa"/>
              <w:bottom w:w="90" w:type="dxa"/>
              <w:end w:w="90" w:type="dxa"/>
            </w:tcMar>
          </w:tcPr>
          <w:p>
            <w:pPr>
              <w:spacing w:after="0" w:line="240" w:lineRule="auto"/>
            </w:pPr>
            <w:r/>
            <w:r>
              <w:rPr>
                <w:rFonts w:ascii="Times New Roman" w:hAnsi="Times New Roman" w:eastAsia="Times New Roman" w:cs="Times New Roman"/>
                <w:b/>
                <w:sz w:val="22"/>
              </w:rPr>
              <w:t xml:space="preserve">Comment 2: </w:t>
            </w:r>
            <w:r>
              <w:rPr>
                <w:rFonts w:ascii="Times New Roman" w:hAnsi="Times New Roman" w:eastAsia="Times New Roman" w:cs="Times New Roman"/>
                <w:sz w:val="22"/>
              </w:rPr>
              <w:t>Abstract: define PP% and CPT; expand keywords to include picaridin and essential oils.</w:t>
            </w:r>
          </w:p>
        </w:tc>
        <w:tc>
          <w:tcPr>
            <w:tcW w:w="5386" w:type="dxa"/>
            <w:tcBorders>
              <w:top w:val="single" w:sz="4" w:space="0" w:color="000000"/>
              <w:left w:val="single" w:sz="4" w:space="0" w:color="000000"/>
              <w:bottom w:val="single" w:sz="4" w:space="0" w:color="000000"/>
              <w:right w:val="single" w:sz="4" w:space="0" w:color="000000"/>
            </w:tcBorders>
            <w:vAlign w:val="top"/>
            <w:tcMar>
              <w:top w:w="90" w:type="dxa"/>
              <w:start w:w="90" w:type="dxa"/>
              <w:bottom w:w="90" w:type="dxa"/>
              <w:end w:w="90" w:type="dxa"/>
            </w:tcMar>
          </w:tcPr>
          <w:p>
            <w:pPr>
              <w:spacing w:after="80" w:before="0" w:line="240" w:lineRule="auto"/>
            </w:pPr>
            <w:r>
              <w:rPr>
                <w:rFonts w:ascii="Times New Roman" w:hAnsi="Times New Roman" w:eastAsia="Times New Roman" w:cs="Times New Roman"/>
                <w:b/>
                <w:sz w:val="22"/>
              </w:rPr>
              <w:t xml:space="preserve">Status: </w:t>
            </w:r>
            <w:r>
              <w:rPr>
                <w:rFonts w:ascii="Times New Roman" w:hAnsi="Times New Roman" w:eastAsia="Times New Roman" w:cs="Times New Roman"/>
                <w:sz w:val="22"/>
              </w:rPr>
              <w:t>Addressed</w:t>
            </w:r>
          </w:p>
          <w:p>
            <w:pPr>
              <w:spacing w:after="80" w:before="0" w:line="240" w:lineRule="auto"/>
            </w:pPr>
            <w:r>
              <w:rPr>
                <w:rFonts w:ascii="Times New Roman" w:hAnsi="Times New Roman" w:eastAsia="Times New Roman" w:cs="Times New Roman"/>
                <w:b/>
                <w:sz w:val="22"/>
              </w:rPr>
              <w:t xml:space="preserve">Your reply: </w:t>
            </w:r>
            <w:r>
              <w:rPr>
                <w:rFonts w:ascii="Times New Roman" w:hAnsi="Times New Roman" w:eastAsia="Times New Roman" w:cs="Times New Roman"/>
                <w:sz w:val="22"/>
              </w:rPr>
              <w:t>Both abbreviations are defined in the revised Abstract, and the keywords now include picaridin and essential oils.</w:t>
            </w:r>
          </w:p>
          <w:p>
            <w:pPr>
              <w:spacing w:after="80" w:before="0" w:line="240" w:lineRule="auto"/>
            </w:pPr>
            <w:r>
              <w:rPr>
                <w:rFonts w:ascii="Times New Roman" w:hAnsi="Times New Roman" w:eastAsia="Times New Roman" w:cs="Times New Roman"/>
                <w:b/>
                <w:sz w:val="22"/>
              </w:rPr>
              <w:t xml:space="preserve">Changes in manuscript: </w:t>
            </w:r>
            <w:r>
              <w:rPr>
                <w:rFonts w:ascii="Times New Roman" w:hAnsi="Times New Roman" w:eastAsia="Times New Roman" w:cs="Times New Roman"/>
                <w:sz w:val="22"/>
              </w:rPr>
              <w:t>Abstract; Keywords.</w:t>
            </w:r>
          </w:p>
        </w:tc>
      </w:tr>
      <w:tr>
        <w:trPr/>
        <w:tc>
          <w:tcPr>
            <w:tcW w:w="4075" w:type="dxa"/>
            <w:tcBorders>
              <w:top w:val="single" w:sz="4" w:space="0" w:color="000000"/>
              <w:left w:val="single" w:sz="4" w:space="0" w:color="000000"/>
              <w:bottom w:val="single" w:sz="4" w:space="0" w:color="000000"/>
              <w:right w:val="single" w:sz="4" w:space="0" w:color="000000"/>
            </w:tcBorders>
            <w:vAlign w:val="top"/>
            <w:tcMar>
              <w:top w:w="90" w:type="dxa"/>
              <w:start w:w="90" w:type="dxa"/>
              <w:bottom w:w="90" w:type="dxa"/>
              <w:end w:w="90" w:type="dxa"/>
            </w:tcMar>
          </w:tcPr>
          <w:p>
            <w:pPr>
              <w:spacing w:after="0" w:line="240" w:lineRule="auto"/>
            </w:pPr>
            <w:r/>
            <w:r>
              <w:rPr>
                <w:rFonts w:ascii="Times New Roman" w:hAnsi="Times New Roman" w:eastAsia="Times New Roman" w:cs="Times New Roman"/>
                <w:b/>
                <w:sz w:val="22"/>
              </w:rPr>
              <w:t xml:space="preserve">Comment 3: </w:t>
            </w:r>
            <w:r>
              <w:rPr>
                <w:rFonts w:ascii="Times New Roman" w:hAnsi="Times New Roman" w:eastAsia="Times New Roman" w:cs="Times New Roman"/>
                <w:sz w:val="22"/>
              </w:rPr>
              <w:t>Protocol registration: justify why prospective registration was not performed or consider retrospective registration.</w:t>
            </w:r>
          </w:p>
        </w:tc>
        <w:tc>
          <w:tcPr>
            <w:tcW w:w="5386" w:type="dxa"/>
            <w:tcBorders>
              <w:top w:val="single" w:sz="4" w:space="0" w:color="000000"/>
              <w:left w:val="single" w:sz="4" w:space="0" w:color="000000"/>
              <w:bottom w:val="single" w:sz="4" w:space="0" w:color="000000"/>
              <w:right w:val="single" w:sz="4" w:space="0" w:color="000000"/>
            </w:tcBorders>
            <w:vAlign w:val="top"/>
            <w:tcMar>
              <w:top w:w="90" w:type="dxa"/>
              <w:start w:w="90" w:type="dxa"/>
              <w:bottom w:w="90" w:type="dxa"/>
              <w:end w:w="90" w:type="dxa"/>
            </w:tcMar>
          </w:tcPr>
          <w:p>
            <w:pPr>
              <w:spacing w:after="80" w:before="0" w:line="240" w:lineRule="auto"/>
            </w:pPr>
            <w:r>
              <w:rPr>
                <w:rFonts w:ascii="Times New Roman" w:hAnsi="Times New Roman" w:eastAsia="Times New Roman" w:cs="Times New Roman"/>
                <w:b/>
                <w:sz w:val="22"/>
              </w:rPr>
              <w:t xml:space="preserve">Status: </w:t>
            </w:r>
            <w:r>
              <w:rPr>
                <w:rFonts w:ascii="Times New Roman" w:hAnsi="Times New Roman" w:eastAsia="Times New Roman" w:cs="Times New Roman"/>
                <w:sz w:val="22"/>
              </w:rPr>
              <w:t>Addressed</w:t>
            </w:r>
          </w:p>
          <w:p>
            <w:pPr>
              <w:spacing w:after="80" w:before="0" w:line="240" w:lineRule="auto"/>
            </w:pPr>
            <w:r>
              <w:rPr>
                <w:rFonts w:ascii="Times New Roman" w:hAnsi="Times New Roman" w:eastAsia="Times New Roman" w:cs="Times New Roman"/>
                <w:b/>
                <w:sz w:val="22"/>
              </w:rPr>
              <w:t xml:space="preserve">Your reply: </w:t>
            </w:r>
            <w:r>
              <w:rPr>
                <w:rFonts w:ascii="Times New Roman" w:hAnsi="Times New Roman" w:eastAsia="Times New Roman" w:cs="Times New Roman"/>
                <w:sz w:val="22"/>
              </w:rPr>
              <w:t>The manuscript now states that prospective registration was not undertaken because the review process had already commenced before protocol registration was considered. This is explicitly acknowledged as a methodological limitation.</w:t>
            </w:r>
          </w:p>
          <w:p>
            <w:pPr>
              <w:spacing w:after="80" w:before="0" w:line="240" w:lineRule="auto"/>
            </w:pPr>
            <w:r>
              <w:rPr>
                <w:rFonts w:ascii="Times New Roman" w:hAnsi="Times New Roman" w:eastAsia="Times New Roman" w:cs="Times New Roman"/>
                <w:b/>
                <w:sz w:val="22"/>
              </w:rPr>
              <w:t xml:space="preserve">Changes in manuscript: </w:t>
            </w:r>
            <w:r>
              <w:rPr>
                <w:rFonts w:ascii="Times New Roman" w:hAnsi="Times New Roman" w:eastAsia="Times New Roman" w:cs="Times New Roman"/>
                <w:sz w:val="22"/>
              </w:rPr>
              <w:t>Protocol and Registration; Strengths and Limitations.</w:t>
            </w:r>
          </w:p>
        </w:tc>
      </w:tr>
      <w:tr>
        <w:trPr/>
        <w:tc>
          <w:tcPr>
            <w:tcW w:w="4075" w:type="dxa"/>
            <w:tcBorders>
              <w:top w:val="single" w:sz="4" w:space="0" w:color="000000"/>
              <w:left w:val="single" w:sz="4" w:space="0" w:color="000000"/>
              <w:bottom w:val="single" w:sz="4" w:space="0" w:color="000000"/>
              <w:right w:val="single" w:sz="4" w:space="0" w:color="000000"/>
            </w:tcBorders>
            <w:vAlign w:val="top"/>
            <w:tcMar>
              <w:top w:w="90" w:type="dxa"/>
              <w:start w:w="90" w:type="dxa"/>
              <w:bottom w:w="90" w:type="dxa"/>
              <w:end w:w="90" w:type="dxa"/>
            </w:tcMar>
          </w:tcPr>
          <w:p>
            <w:pPr>
              <w:spacing w:after="0" w:line="240" w:lineRule="auto"/>
            </w:pPr>
            <w:r/>
            <w:r>
              <w:rPr>
                <w:rFonts w:ascii="Times New Roman" w:hAnsi="Times New Roman" w:eastAsia="Times New Roman" w:cs="Times New Roman"/>
                <w:b/>
                <w:sz w:val="22"/>
              </w:rPr>
              <w:t xml:space="preserve">Comment 4: </w:t>
            </w:r>
            <w:r>
              <w:rPr>
                <w:rFonts w:ascii="Times New Roman" w:hAnsi="Times New Roman" w:eastAsia="Times New Roman" w:cs="Times New Roman"/>
                <w:sz w:val="22"/>
              </w:rPr>
              <w:t>Systematic reviews with pooled data should not be included as primary quantitative units; remove/reanalyze or justify overlap and sensitivity analyses.</w:t>
            </w:r>
          </w:p>
        </w:tc>
        <w:tc>
          <w:tcPr>
            <w:tcW w:w="5386" w:type="dxa"/>
            <w:tcBorders>
              <w:top w:val="single" w:sz="4" w:space="0" w:color="000000"/>
              <w:left w:val="single" w:sz="4" w:space="0" w:color="000000"/>
              <w:bottom w:val="single" w:sz="4" w:space="0" w:color="000000"/>
              <w:right w:val="single" w:sz="4" w:space="0" w:color="000000"/>
            </w:tcBorders>
            <w:vAlign w:val="top"/>
            <w:tcMar>
              <w:top w:w="90" w:type="dxa"/>
              <w:start w:w="90" w:type="dxa"/>
              <w:bottom w:w="90" w:type="dxa"/>
              <w:end w:w="90" w:type="dxa"/>
            </w:tcMar>
          </w:tcPr>
          <w:p>
            <w:pPr>
              <w:spacing w:after="80" w:before="0" w:line="240" w:lineRule="auto"/>
            </w:pPr>
            <w:r>
              <w:rPr>
                <w:rFonts w:ascii="Times New Roman" w:hAnsi="Times New Roman" w:eastAsia="Times New Roman" w:cs="Times New Roman"/>
                <w:b/>
                <w:sz w:val="22"/>
              </w:rPr>
              <w:t xml:space="preserve">Status: </w:t>
            </w:r>
            <w:r>
              <w:rPr>
                <w:rFonts w:ascii="Times New Roman" w:hAnsi="Times New Roman" w:eastAsia="Times New Roman" w:cs="Times New Roman"/>
                <w:sz w:val="22"/>
              </w:rPr>
              <w:t>Addressed</w:t>
            </w:r>
          </w:p>
          <w:p>
            <w:pPr>
              <w:spacing w:after="80" w:before="0" w:line="240" w:lineRule="auto"/>
            </w:pPr>
            <w:r>
              <w:rPr>
                <w:rFonts w:ascii="Times New Roman" w:hAnsi="Times New Roman" w:eastAsia="Times New Roman" w:cs="Times New Roman"/>
                <w:b/>
                <w:sz w:val="22"/>
              </w:rPr>
              <w:t xml:space="preserve">Your reply: </w:t>
            </w:r>
            <w:r>
              <w:rPr>
                <w:rFonts w:ascii="Times New Roman" w:hAnsi="Times New Roman" w:eastAsia="Times New Roman" w:cs="Times New Roman"/>
                <w:sz w:val="22"/>
              </w:rPr>
              <w:t>Secondary review articles were removed as quantitative units because of the risk of double counting. The final analysis was rerun using 30 primary studies, so a with-versus-without-review sensitivity analysis is no longer necessary for the final dataset.</w:t>
            </w:r>
          </w:p>
          <w:p>
            <w:pPr>
              <w:spacing w:after="80" w:before="0" w:line="240" w:lineRule="auto"/>
            </w:pPr>
            <w:r>
              <w:rPr>
                <w:rFonts w:ascii="Times New Roman" w:hAnsi="Times New Roman" w:eastAsia="Times New Roman" w:cs="Times New Roman"/>
                <w:b/>
                <w:sz w:val="22"/>
              </w:rPr>
              <w:t xml:space="preserve">Changes in manuscript: </w:t>
            </w:r>
            <w:r>
              <w:rPr>
                <w:rFonts w:ascii="Times New Roman" w:hAnsi="Times New Roman" w:eastAsia="Times New Roman" w:cs="Times New Roman"/>
                <w:sz w:val="22"/>
              </w:rPr>
              <w:t>Study Selection; Characteristics of Included Studies; revised quantitative Results.</w:t>
            </w:r>
          </w:p>
        </w:tc>
      </w:tr>
      <w:tr>
        <w:trPr/>
        <w:tc>
          <w:tcPr>
            <w:tcW w:w="4075" w:type="dxa"/>
            <w:tcBorders>
              <w:top w:val="single" w:sz="4" w:space="0" w:color="000000"/>
              <w:left w:val="single" w:sz="4" w:space="0" w:color="000000"/>
              <w:bottom w:val="single" w:sz="4" w:space="0" w:color="000000"/>
              <w:right w:val="single" w:sz="4" w:space="0" w:color="000000"/>
            </w:tcBorders>
            <w:vAlign w:val="top"/>
            <w:tcMar>
              <w:top w:w="90" w:type="dxa"/>
              <w:start w:w="90" w:type="dxa"/>
              <w:bottom w:w="90" w:type="dxa"/>
              <w:end w:w="90" w:type="dxa"/>
            </w:tcMar>
          </w:tcPr>
          <w:p>
            <w:pPr>
              <w:spacing w:after="0" w:line="240" w:lineRule="auto"/>
            </w:pPr>
            <w:r/>
            <w:r>
              <w:rPr>
                <w:rFonts w:ascii="Times New Roman" w:hAnsi="Times New Roman" w:eastAsia="Times New Roman" w:cs="Times New Roman"/>
                <w:b/>
                <w:sz w:val="22"/>
              </w:rPr>
              <w:t xml:space="preserve">Comment 5: </w:t>
            </w:r>
            <w:r>
              <w:rPr>
                <w:rFonts w:ascii="Times New Roman" w:hAnsi="Times New Roman" w:eastAsia="Times New Roman" w:cs="Times New Roman"/>
                <w:sz w:val="22"/>
              </w:rPr>
              <w:t>Substantial heterogeneity: consider meta-regression/mixed-effects modeling and report prediction intervals.</w:t>
            </w:r>
          </w:p>
        </w:tc>
        <w:tc>
          <w:tcPr>
            <w:tcW w:w="5386" w:type="dxa"/>
            <w:tcBorders>
              <w:top w:val="single" w:sz="4" w:space="0" w:color="000000"/>
              <w:left w:val="single" w:sz="4" w:space="0" w:color="000000"/>
              <w:bottom w:val="single" w:sz="4" w:space="0" w:color="000000"/>
              <w:right w:val="single" w:sz="4" w:space="0" w:color="000000"/>
            </w:tcBorders>
            <w:vAlign w:val="top"/>
            <w:tcMar>
              <w:top w:w="90" w:type="dxa"/>
              <w:start w:w="90" w:type="dxa"/>
              <w:bottom w:w="90" w:type="dxa"/>
              <w:end w:w="90" w:type="dxa"/>
            </w:tcMar>
          </w:tcPr>
          <w:p>
            <w:pPr>
              <w:spacing w:after="80" w:before="0" w:line="240" w:lineRule="auto"/>
            </w:pPr>
            <w:r>
              <w:rPr>
                <w:rFonts w:ascii="Times New Roman" w:hAnsi="Times New Roman" w:eastAsia="Times New Roman" w:cs="Times New Roman"/>
                <w:b/>
                <w:sz w:val="22"/>
              </w:rPr>
              <w:t xml:space="preserve">Status: </w:t>
            </w:r>
            <w:r>
              <w:rPr>
                <w:rFonts w:ascii="Times New Roman" w:hAnsi="Times New Roman" w:eastAsia="Times New Roman" w:cs="Times New Roman"/>
                <w:sz w:val="22"/>
              </w:rPr>
              <w:t>Addressed with justified limitation</w:t>
            </w:r>
          </w:p>
          <w:p>
            <w:pPr>
              <w:spacing w:after="80" w:before="0" w:line="240" w:lineRule="auto"/>
            </w:pPr>
            <w:r>
              <w:rPr>
                <w:rFonts w:ascii="Times New Roman" w:hAnsi="Times New Roman" w:eastAsia="Times New Roman" w:cs="Times New Roman"/>
                <w:b/>
                <w:sz w:val="22"/>
              </w:rPr>
              <w:t xml:space="preserve">Your reply: </w:t>
            </w:r>
            <w:r>
              <w:rPr>
                <w:rFonts w:ascii="Times New Roman" w:hAnsi="Times New Roman" w:eastAsia="Times New Roman" w:cs="Times New Roman"/>
                <w:sz w:val="22"/>
              </w:rPr>
              <w:t>The revised analysis reports heterogeneity for the synthetic and natural/botanical subgroups and the overall dataset, together with 95% prediction intervals. Meta-regression was considered but not performed because potentially relevant moderators such as concentration, mosquito strain/resistance status, formulation characteristics, and testing method were inconsistently reported and would produce sparse/unreliable covariate models. The residual heterogeneity and its likely sources are discussed explicitly.</w:t>
            </w:r>
          </w:p>
          <w:p>
            <w:pPr>
              <w:spacing w:after="80" w:before="0" w:line="240" w:lineRule="auto"/>
            </w:pPr>
            <w:r>
              <w:rPr>
                <w:rFonts w:ascii="Times New Roman" w:hAnsi="Times New Roman" w:eastAsia="Times New Roman" w:cs="Times New Roman"/>
                <w:b/>
                <w:sz w:val="22"/>
              </w:rPr>
              <w:t xml:space="preserve">Changes in manuscript: </w:t>
            </w:r>
            <w:r>
              <w:rPr>
                <w:rFonts w:ascii="Times New Roman" w:hAnsi="Times New Roman" w:eastAsia="Times New Roman" w:cs="Times New Roman"/>
                <w:sz w:val="22"/>
              </w:rPr>
              <w:t>Statistical Analysis; Forest Plot and Pooled Estimates; Heterogeneity and Methodological Considerations; Strengths and Limitations.</w:t>
            </w:r>
          </w:p>
        </w:tc>
      </w:tr>
      <w:tr>
        <w:trPr/>
        <w:tc>
          <w:tcPr>
            <w:tcW w:w="4075" w:type="dxa"/>
            <w:tcBorders>
              <w:top w:val="single" w:sz="4" w:space="0" w:color="000000"/>
              <w:left w:val="single" w:sz="4" w:space="0" w:color="000000"/>
              <w:bottom w:val="single" w:sz="4" w:space="0" w:color="000000"/>
              <w:right w:val="single" w:sz="4" w:space="0" w:color="000000"/>
            </w:tcBorders>
            <w:vAlign w:val="top"/>
            <w:tcMar>
              <w:top w:w="90" w:type="dxa"/>
              <w:start w:w="90" w:type="dxa"/>
              <w:bottom w:w="90" w:type="dxa"/>
              <w:end w:w="90" w:type="dxa"/>
            </w:tcMar>
          </w:tcPr>
          <w:p>
            <w:pPr>
              <w:spacing w:after="0" w:line="240" w:lineRule="auto"/>
            </w:pPr>
            <w:r/>
            <w:r>
              <w:rPr>
                <w:rFonts w:ascii="Times New Roman" w:hAnsi="Times New Roman" w:eastAsia="Times New Roman" w:cs="Times New Roman"/>
                <w:b/>
                <w:sz w:val="22"/>
              </w:rPr>
              <w:t xml:space="preserve">Comment 6: </w:t>
            </w:r>
            <w:r>
              <w:rPr>
                <w:rFonts w:ascii="Times New Roman" w:hAnsi="Times New Roman" w:eastAsia="Times New Roman" w:cs="Times New Roman"/>
                <w:sz w:val="22"/>
              </w:rPr>
              <w:t>Publication bias: previous funnel asymmetry/Egger significance should be addressed with trim-and-fill, small-study sensitivity analyses, adjusted effects, and discussion of robustness.</w:t>
            </w:r>
          </w:p>
        </w:tc>
        <w:tc>
          <w:tcPr>
            <w:tcW w:w="5386" w:type="dxa"/>
            <w:tcBorders>
              <w:top w:val="single" w:sz="4" w:space="0" w:color="000000"/>
              <w:left w:val="single" w:sz="4" w:space="0" w:color="000000"/>
              <w:bottom w:val="single" w:sz="4" w:space="0" w:color="000000"/>
              <w:right w:val="single" w:sz="4" w:space="0" w:color="000000"/>
            </w:tcBorders>
            <w:vAlign w:val="top"/>
            <w:tcMar>
              <w:top w:w="90" w:type="dxa"/>
              <w:start w:w="90" w:type="dxa"/>
              <w:bottom w:w="90" w:type="dxa"/>
              <w:end w:w="90" w:type="dxa"/>
            </w:tcMar>
          </w:tcPr>
          <w:p>
            <w:pPr>
              <w:spacing w:after="80" w:before="0" w:line="240" w:lineRule="auto"/>
            </w:pPr>
            <w:r>
              <w:rPr>
                <w:rFonts w:ascii="Times New Roman" w:hAnsi="Times New Roman" w:eastAsia="Times New Roman" w:cs="Times New Roman"/>
                <w:b/>
                <w:sz w:val="22"/>
              </w:rPr>
              <w:t xml:space="preserve">Status: </w:t>
            </w:r>
            <w:r>
              <w:rPr>
                <w:rFonts w:ascii="Times New Roman" w:hAnsi="Times New Roman" w:eastAsia="Times New Roman" w:cs="Times New Roman"/>
                <w:sz w:val="22"/>
              </w:rPr>
              <w:t>Addressed with revised analytical approach</w:t>
            </w:r>
          </w:p>
          <w:p>
            <w:pPr>
              <w:spacing w:after="80" w:before="0" w:line="240" w:lineRule="auto"/>
            </w:pPr>
            <w:r>
              <w:rPr>
                <w:rFonts w:ascii="Times New Roman" w:hAnsi="Times New Roman" w:eastAsia="Times New Roman" w:cs="Times New Roman"/>
                <w:b/>
                <w:sz w:val="22"/>
              </w:rPr>
              <w:t xml:space="preserve">Your reply: </w:t>
            </w:r>
            <w:r>
              <w:rPr>
                <w:rFonts w:ascii="Times New Roman" w:hAnsi="Times New Roman" w:eastAsia="Times New Roman" w:cs="Times New Roman"/>
                <w:sz w:val="22"/>
              </w:rPr>
              <w:t>Because the included study set and analysis were revised, the previous Egger result was not retained. The final manuscript uses cautious visual interpretation of residual funnel plots and explicitly states that these plots cannot establish the presence or absence of publication bias. Trim-and-fill and adjusted missing-study estimates were not reported because substantial heterogeneity and uncertainty in study-specific standard-error inputs would make such corrected estimates potentially misleading. Likewise, numerical small-study sensitivity results from the previous dataset were removed rather than carried forward without a validated rerun.</w:t>
            </w:r>
          </w:p>
          <w:p>
            <w:pPr>
              <w:spacing w:after="80" w:before="0" w:line="240" w:lineRule="auto"/>
            </w:pPr>
            <w:r>
              <w:rPr>
                <w:rFonts w:ascii="Times New Roman" w:hAnsi="Times New Roman" w:eastAsia="Times New Roman" w:cs="Times New Roman"/>
                <w:b/>
                <w:sz w:val="22"/>
              </w:rPr>
              <w:t xml:space="preserve">Changes in manuscript: </w:t>
            </w:r>
            <w:r>
              <w:rPr>
                <w:rFonts w:ascii="Times New Roman" w:hAnsi="Times New Roman" w:eastAsia="Times New Roman" w:cs="Times New Roman"/>
                <w:sz w:val="22"/>
              </w:rPr>
              <w:t>Statistical Analysis; Publication Bias and Funnel Plot; Strengths and Limitations.</w:t>
            </w:r>
          </w:p>
        </w:tc>
      </w:tr>
      <w:tr>
        <w:trPr/>
        <w:tc>
          <w:tcPr>
            <w:tcW w:w="4075" w:type="dxa"/>
            <w:tcBorders>
              <w:top w:val="single" w:sz="4" w:space="0" w:color="000000"/>
              <w:left w:val="single" w:sz="4" w:space="0" w:color="000000"/>
              <w:bottom w:val="single" w:sz="4" w:space="0" w:color="000000"/>
              <w:right w:val="single" w:sz="4" w:space="0" w:color="000000"/>
            </w:tcBorders>
            <w:vAlign w:val="top"/>
            <w:tcMar>
              <w:top w:w="90" w:type="dxa"/>
              <w:start w:w="90" w:type="dxa"/>
              <w:bottom w:w="90" w:type="dxa"/>
              <w:end w:w="90" w:type="dxa"/>
            </w:tcMar>
          </w:tcPr>
          <w:p>
            <w:pPr>
              <w:spacing w:after="0" w:line="240" w:lineRule="auto"/>
            </w:pPr>
            <w:r/>
            <w:r>
              <w:rPr>
                <w:rFonts w:ascii="Times New Roman" w:hAnsi="Times New Roman" w:eastAsia="Times New Roman" w:cs="Times New Roman"/>
                <w:b/>
                <w:sz w:val="22"/>
              </w:rPr>
              <w:t xml:space="preserve">Comment 7: </w:t>
            </w:r>
            <w:r>
              <w:rPr>
                <w:rFonts w:ascii="Times New Roman" w:hAnsi="Times New Roman" w:eastAsia="Times New Roman" w:cs="Times New Roman"/>
                <w:sz w:val="22"/>
              </w:rPr>
              <w:t>Risk of bias: RoB 2 is questionable for non-RCTs; use ROBINS-I or a laboratory-appropriate approach, and consider risk-of-bias-stratified sensitivity analysis.</w:t>
            </w:r>
          </w:p>
        </w:tc>
        <w:tc>
          <w:tcPr>
            <w:tcW w:w="5386" w:type="dxa"/>
            <w:tcBorders>
              <w:top w:val="single" w:sz="4" w:space="0" w:color="000000"/>
              <w:left w:val="single" w:sz="4" w:space="0" w:color="000000"/>
              <w:bottom w:val="single" w:sz="4" w:space="0" w:color="000000"/>
              <w:right w:val="single" w:sz="4" w:space="0" w:color="000000"/>
            </w:tcBorders>
            <w:vAlign w:val="top"/>
            <w:tcMar>
              <w:top w:w="90" w:type="dxa"/>
              <w:start w:w="90" w:type="dxa"/>
              <w:bottom w:w="90" w:type="dxa"/>
              <w:end w:w="90" w:type="dxa"/>
            </w:tcMar>
          </w:tcPr>
          <w:p>
            <w:pPr>
              <w:spacing w:after="80" w:before="0" w:line="240" w:lineRule="auto"/>
            </w:pPr>
            <w:r>
              <w:rPr>
                <w:rFonts w:ascii="Times New Roman" w:hAnsi="Times New Roman" w:eastAsia="Times New Roman" w:cs="Times New Roman"/>
                <w:b/>
                <w:sz w:val="22"/>
              </w:rPr>
              <w:t xml:space="preserve">Status: </w:t>
            </w:r>
            <w:r>
              <w:rPr>
                <w:rFonts w:ascii="Times New Roman" w:hAnsi="Times New Roman" w:eastAsia="Times New Roman" w:cs="Times New Roman"/>
                <w:sz w:val="22"/>
              </w:rPr>
              <w:t>Addressed with clarification</w:t>
            </w:r>
          </w:p>
          <w:p>
            <w:pPr>
              <w:spacing w:after="80" w:before="0" w:line="240" w:lineRule="auto"/>
            </w:pPr>
            <w:r>
              <w:rPr>
                <w:rFonts w:ascii="Times New Roman" w:hAnsi="Times New Roman" w:eastAsia="Times New Roman" w:cs="Times New Roman"/>
                <w:b/>
                <w:sz w:val="22"/>
              </w:rPr>
              <w:t xml:space="preserve">Your reply: </w:t>
            </w:r>
            <w:r>
              <w:rPr>
                <w:rFonts w:ascii="Times New Roman" w:hAnsi="Times New Roman" w:eastAsia="Times New Roman" w:cs="Times New Roman"/>
                <w:sz w:val="22"/>
              </w:rPr>
              <w:t>RoB 2 is now restricted to randomized studies, while an adapted ROBINS-I framework is applied to non-randomized, quasi-experimental, field, and laboratory experimental studies. Overall judgments are harmonized for presentation. A formal risk-of-bias-stratified meta-analysis was not performed because the design-specific strata were small and heterogeneous; instead, the distribution of low/some-concerns/high judgments is reported descriptively and discussed as a limitation.</w:t>
            </w:r>
          </w:p>
          <w:p>
            <w:pPr>
              <w:spacing w:after="80" w:before="0" w:line="240" w:lineRule="auto"/>
            </w:pPr>
            <w:r>
              <w:rPr>
                <w:rFonts w:ascii="Times New Roman" w:hAnsi="Times New Roman" w:eastAsia="Times New Roman" w:cs="Times New Roman"/>
                <w:b/>
                <w:sz w:val="22"/>
              </w:rPr>
              <w:t xml:space="preserve">Changes in manuscript: </w:t>
            </w:r>
            <w:r>
              <w:rPr>
                <w:rFonts w:ascii="Times New Roman" w:hAnsi="Times New Roman" w:eastAsia="Times New Roman" w:cs="Times New Roman"/>
                <w:sz w:val="22"/>
              </w:rPr>
              <w:t>Risk of Bias Assessment; Assessment of Risk of Bias; Figure 4; References 43–44.</w:t>
            </w:r>
          </w:p>
        </w:tc>
      </w:tr>
      <w:tr>
        <w:trPr/>
        <w:tc>
          <w:tcPr>
            <w:tcW w:w="4075" w:type="dxa"/>
            <w:tcBorders>
              <w:top w:val="single" w:sz="4" w:space="0" w:color="000000"/>
              <w:left w:val="single" w:sz="4" w:space="0" w:color="000000"/>
              <w:bottom w:val="single" w:sz="4" w:space="0" w:color="000000"/>
              <w:right w:val="single" w:sz="4" w:space="0" w:color="000000"/>
            </w:tcBorders>
            <w:vAlign w:val="top"/>
            <w:tcMar>
              <w:top w:w="90" w:type="dxa"/>
              <w:start w:w="90" w:type="dxa"/>
              <w:bottom w:w="90" w:type="dxa"/>
              <w:end w:w="90" w:type="dxa"/>
            </w:tcMar>
          </w:tcPr>
          <w:p>
            <w:pPr>
              <w:spacing w:after="0" w:line="240" w:lineRule="auto"/>
            </w:pPr>
            <w:r/>
            <w:r>
              <w:rPr>
                <w:rFonts w:ascii="Times New Roman" w:hAnsi="Times New Roman" w:eastAsia="Times New Roman" w:cs="Times New Roman"/>
                <w:b/>
                <w:sz w:val="22"/>
              </w:rPr>
              <w:t xml:space="preserve">Comment 8: </w:t>
            </w:r>
            <w:r>
              <w:rPr>
                <w:rFonts w:ascii="Times New Roman" w:hAnsi="Times New Roman" w:eastAsia="Times New Roman" w:cs="Times New Roman"/>
                <w:sz w:val="22"/>
              </w:rPr>
              <w:t>Statistical methods need more detail: rationale for logit transformation, CPT method, DL estimator, zero/boundary handling, SE calculation, τ², and alternative estimators such as REML.</w:t>
            </w:r>
          </w:p>
        </w:tc>
        <w:tc>
          <w:tcPr>
            <w:tcW w:w="5386" w:type="dxa"/>
            <w:tcBorders>
              <w:top w:val="single" w:sz="4" w:space="0" w:color="000000"/>
              <w:left w:val="single" w:sz="4" w:space="0" w:color="000000"/>
              <w:bottom w:val="single" w:sz="4" w:space="0" w:color="000000"/>
              <w:right w:val="single" w:sz="4" w:space="0" w:color="000000"/>
            </w:tcBorders>
            <w:vAlign w:val="top"/>
            <w:tcMar>
              <w:top w:w="90" w:type="dxa"/>
              <w:start w:w="90" w:type="dxa"/>
              <w:bottom w:w="90" w:type="dxa"/>
              <w:end w:w="90" w:type="dxa"/>
            </w:tcMar>
          </w:tcPr>
          <w:p>
            <w:pPr>
              <w:spacing w:after="80" w:before="0" w:line="240" w:lineRule="auto"/>
            </w:pPr>
            <w:r>
              <w:rPr>
                <w:rFonts w:ascii="Times New Roman" w:hAnsi="Times New Roman" w:eastAsia="Times New Roman" w:cs="Times New Roman"/>
                <w:b/>
                <w:sz w:val="22"/>
              </w:rPr>
              <w:t xml:space="preserve">Status: </w:t>
            </w:r>
            <w:r>
              <w:rPr>
                <w:rFonts w:ascii="Times New Roman" w:hAnsi="Times New Roman" w:eastAsia="Times New Roman" w:cs="Times New Roman"/>
                <w:sz w:val="22"/>
              </w:rPr>
              <w:t>Addressed</w:t>
            </w:r>
          </w:p>
          <w:p>
            <w:pPr>
              <w:spacing w:after="80" w:before="0" w:line="240" w:lineRule="auto"/>
            </w:pPr>
            <w:r>
              <w:rPr>
                <w:rFonts w:ascii="Times New Roman" w:hAnsi="Times New Roman" w:eastAsia="Times New Roman" w:cs="Times New Roman"/>
                <w:b/>
                <w:sz w:val="22"/>
              </w:rPr>
              <w:t xml:space="preserve">Your reply: </w:t>
            </w:r>
            <w:r>
              <w:rPr>
                <w:rFonts w:ascii="Times New Roman" w:hAnsi="Times New Roman" w:eastAsia="Times New Roman" w:cs="Times New Roman"/>
                <w:sz w:val="22"/>
              </w:rPr>
              <w:t>The Statistical Analysis section now explains why PP% was analyzed on the logit scale, provides the study-level standard-error approximation SE = √[1/(np) + 1/{n(1−p)}], states that the primary random-effects model used the DerSimonian–Laird estimator, explains that no study-level PP% was exactly 0% or 100% so no boundary continuity correction was needed, and reports τ² alongside I². CPT is no longer formally pooled; it is summarized descriptively because variance measures and endpoint definitions were not consistently available. Prediction intervals are reported. An alternative-estimator sensitivity claim was not retained in the final manuscript because a validated final-dataset sensitivity output was not available.</w:t>
            </w:r>
          </w:p>
          <w:p>
            <w:pPr>
              <w:spacing w:after="80" w:before="0" w:line="240" w:lineRule="auto"/>
            </w:pPr>
            <w:r>
              <w:rPr>
                <w:rFonts w:ascii="Times New Roman" w:hAnsi="Times New Roman" w:eastAsia="Times New Roman" w:cs="Times New Roman"/>
                <w:b/>
                <w:sz w:val="22"/>
              </w:rPr>
              <w:t xml:space="preserve">Changes in manuscript: </w:t>
            </w:r>
            <w:r>
              <w:rPr>
                <w:rFonts w:ascii="Times New Roman" w:hAnsi="Times New Roman" w:eastAsia="Times New Roman" w:cs="Times New Roman"/>
                <w:sz w:val="22"/>
              </w:rPr>
              <w:t>Statistical Analysis; Forest Plot and Pooled Estimates; Complete Protection Time (CPT).</w:t>
            </w:r>
          </w:p>
        </w:tc>
      </w:tr>
      <w:tr>
        <w:trPr/>
        <w:tc>
          <w:tcPr>
            <w:tcW w:w="4075" w:type="dxa"/>
            <w:tcBorders>
              <w:top w:val="single" w:sz="4" w:space="0" w:color="000000"/>
              <w:left w:val="single" w:sz="4" w:space="0" w:color="000000"/>
              <w:bottom w:val="single" w:sz="4" w:space="0" w:color="000000"/>
              <w:right w:val="single" w:sz="4" w:space="0" w:color="000000"/>
            </w:tcBorders>
            <w:vAlign w:val="top"/>
            <w:tcMar>
              <w:top w:w="90" w:type="dxa"/>
              <w:start w:w="90" w:type="dxa"/>
              <w:bottom w:w="90" w:type="dxa"/>
              <w:end w:w="90" w:type="dxa"/>
            </w:tcMar>
          </w:tcPr>
          <w:p>
            <w:pPr>
              <w:spacing w:after="0" w:line="240" w:lineRule="auto"/>
            </w:pPr>
            <w:r/>
            <w:r>
              <w:rPr>
                <w:rFonts w:ascii="Times New Roman" w:hAnsi="Times New Roman" w:eastAsia="Times New Roman" w:cs="Times New Roman"/>
                <w:b/>
                <w:sz w:val="22"/>
              </w:rPr>
              <w:t xml:space="preserve">Comment 9: </w:t>
            </w:r>
            <w:r>
              <w:rPr>
                <w:rFonts w:ascii="Times New Roman" w:hAnsi="Times New Roman" w:eastAsia="Times New Roman" w:cs="Times New Roman"/>
                <w:sz w:val="22"/>
              </w:rPr>
              <w:t>Table 1: clarify the unit of n; provide concentration ranges instead of “Various” where possible; standardize numerical precision; provide a detailed supplementary extraction table.</w:t>
            </w:r>
          </w:p>
        </w:tc>
        <w:tc>
          <w:tcPr>
            <w:tcW w:w="5386" w:type="dxa"/>
            <w:tcBorders>
              <w:top w:val="single" w:sz="4" w:space="0" w:color="000000"/>
              <w:left w:val="single" w:sz="4" w:space="0" w:color="000000"/>
              <w:bottom w:val="single" w:sz="4" w:space="0" w:color="000000"/>
              <w:right w:val="single" w:sz="4" w:space="0" w:color="000000"/>
            </w:tcBorders>
            <w:vAlign w:val="top"/>
            <w:tcMar>
              <w:top w:w="90" w:type="dxa"/>
              <w:start w:w="90" w:type="dxa"/>
              <w:bottom w:w="90" w:type="dxa"/>
              <w:end w:w="90" w:type="dxa"/>
            </w:tcMar>
          </w:tcPr>
          <w:p>
            <w:pPr>
              <w:spacing w:after="80" w:before="0" w:line="240" w:lineRule="auto"/>
            </w:pPr>
            <w:r>
              <w:rPr>
                <w:rFonts w:ascii="Times New Roman" w:hAnsi="Times New Roman" w:eastAsia="Times New Roman" w:cs="Times New Roman"/>
                <w:b/>
                <w:sz w:val="22"/>
              </w:rPr>
              <w:t xml:space="preserve">Status: </w:t>
            </w:r>
            <w:r>
              <w:rPr>
                <w:rFonts w:ascii="Times New Roman" w:hAnsi="Times New Roman" w:eastAsia="Times New Roman" w:cs="Times New Roman"/>
                <w:sz w:val="22"/>
              </w:rPr>
              <w:t>Addressed with source-reporting limitations</w:t>
            </w:r>
          </w:p>
          <w:p>
            <w:pPr>
              <w:spacing w:after="80" w:before="0" w:line="240" w:lineRule="auto"/>
            </w:pPr>
            <w:r>
              <w:rPr>
                <w:rFonts w:ascii="Times New Roman" w:hAnsi="Times New Roman" w:eastAsia="Times New Roman" w:cs="Times New Roman"/>
                <w:b/>
                <w:sz w:val="22"/>
              </w:rPr>
              <w:t xml:space="preserve">Your reply: </w:t>
            </w:r>
            <w:r>
              <w:rPr>
                <w:rFonts w:ascii="Times New Roman" w:hAnsi="Times New Roman" w:eastAsia="Times New Roman" w:cs="Times New Roman"/>
                <w:sz w:val="22"/>
              </w:rPr>
              <w:t>The table legend now clarifies that n is the sample size/analytic unit reported by the original study and may represent human participants or experimental replicates. Concentration values are presented as reported in the source publications; “Various” or “N/A” is retained where no single defensible concentration/range can be assigned without inference. To avoid altering primary-study data, numerical values are preserved as reported rather than retrospectively imposing unsupported precision. A separate expanded supplementary extraction table was not created because several requested methodological variables were not reported consistently in the original articles; these reporting limitations are explicitly acknowledged.</w:t>
            </w:r>
          </w:p>
          <w:p>
            <w:pPr>
              <w:spacing w:after="80" w:before="0" w:line="240" w:lineRule="auto"/>
            </w:pPr>
            <w:r>
              <w:rPr>
                <w:rFonts w:ascii="Times New Roman" w:hAnsi="Times New Roman" w:eastAsia="Times New Roman" w:cs="Times New Roman"/>
                <w:b/>
                <w:sz w:val="22"/>
              </w:rPr>
              <w:t xml:space="preserve">Changes in manuscript: </w:t>
            </w:r>
            <w:r>
              <w:rPr>
                <w:rFonts w:ascii="Times New Roman" w:hAnsi="Times New Roman" w:eastAsia="Times New Roman" w:cs="Times New Roman"/>
                <w:sz w:val="22"/>
              </w:rPr>
              <w:t>Table 1 legend; Data Extraction; Strengths and Limitations.</w:t>
            </w:r>
          </w:p>
        </w:tc>
      </w:tr>
      <w:tr>
        <w:trPr/>
        <w:tc>
          <w:tcPr>
            <w:tcW w:w="4075" w:type="dxa"/>
            <w:tcBorders>
              <w:top w:val="single" w:sz="4" w:space="0" w:color="000000"/>
              <w:left w:val="single" w:sz="4" w:space="0" w:color="000000"/>
              <w:bottom w:val="single" w:sz="4" w:space="0" w:color="000000"/>
              <w:right w:val="single" w:sz="4" w:space="0" w:color="000000"/>
            </w:tcBorders>
            <w:vAlign w:val="top"/>
            <w:tcMar>
              <w:top w:w="90" w:type="dxa"/>
              <w:start w:w="90" w:type="dxa"/>
              <w:bottom w:w="90" w:type="dxa"/>
              <w:end w:w="90" w:type="dxa"/>
            </w:tcMar>
          </w:tcPr>
          <w:p>
            <w:pPr>
              <w:spacing w:after="0" w:line="240" w:lineRule="auto"/>
            </w:pPr>
            <w:r/>
            <w:r>
              <w:rPr>
                <w:rFonts w:ascii="Times New Roman" w:hAnsi="Times New Roman" w:eastAsia="Times New Roman" w:cs="Times New Roman"/>
                <w:b/>
                <w:sz w:val="22"/>
              </w:rPr>
              <w:t xml:space="preserve">Comment 10: </w:t>
            </w:r>
            <w:r>
              <w:rPr>
                <w:rFonts w:ascii="Times New Roman" w:hAnsi="Times New Roman" w:eastAsia="Times New Roman" w:cs="Times New Roman"/>
                <w:sz w:val="22"/>
              </w:rPr>
              <w:t>CPT pooling is not adequately described and may be inappropriate because measurement protocols vary.</w:t>
            </w:r>
          </w:p>
        </w:tc>
        <w:tc>
          <w:tcPr>
            <w:tcW w:w="5386" w:type="dxa"/>
            <w:tcBorders>
              <w:top w:val="single" w:sz="4" w:space="0" w:color="000000"/>
              <w:left w:val="single" w:sz="4" w:space="0" w:color="000000"/>
              <w:bottom w:val="single" w:sz="4" w:space="0" w:color="000000"/>
              <w:right w:val="single" w:sz="4" w:space="0" w:color="000000"/>
            </w:tcBorders>
            <w:vAlign w:val="top"/>
            <w:tcMar>
              <w:top w:w="90" w:type="dxa"/>
              <w:start w:w="90" w:type="dxa"/>
              <w:bottom w:w="90" w:type="dxa"/>
              <w:end w:w="90" w:type="dxa"/>
            </w:tcMar>
          </w:tcPr>
          <w:p>
            <w:pPr>
              <w:spacing w:after="80" w:before="0" w:line="240" w:lineRule="auto"/>
            </w:pPr>
            <w:r>
              <w:rPr>
                <w:rFonts w:ascii="Times New Roman" w:hAnsi="Times New Roman" w:eastAsia="Times New Roman" w:cs="Times New Roman"/>
                <w:b/>
                <w:sz w:val="22"/>
              </w:rPr>
              <w:t xml:space="preserve">Status: </w:t>
            </w:r>
            <w:r>
              <w:rPr>
                <w:rFonts w:ascii="Times New Roman" w:hAnsi="Times New Roman" w:eastAsia="Times New Roman" w:cs="Times New Roman"/>
                <w:sz w:val="22"/>
              </w:rPr>
              <w:t>Addressed</w:t>
            </w:r>
          </w:p>
          <w:p>
            <w:pPr>
              <w:spacing w:after="80" w:before="0" w:line="240" w:lineRule="auto"/>
            </w:pPr>
            <w:r>
              <w:rPr>
                <w:rFonts w:ascii="Times New Roman" w:hAnsi="Times New Roman" w:eastAsia="Times New Roman" w:cs="Times New Roman"/>
                <w:b/>
                <w:sz w:val="22"/>
              </w:rPr>
              <w:t xml:space="preserve">Your reply: </w:t>
            </w:r>
            <w:r>
              <w:rPr>
                <w:rFonts w:ascii="Times New Roman" w:hAnsi="Times New Roman" w:eastAsia="Times New Roman" w:cs="Times New Roman"/>
                <w:sz w:val="22"/>
              </w:rPr>
              <w:t>We agree. CPT is no longer treated as a formally pooled continuous outcome. It is summarized descriptively by repellent category using the available reported values (mean, SD, and range), and the manuscript explicitly explains that formal inverse-variance pooling was not appropriate because variance measures were inconsistently reported.</w:t>
            </w:r>
          </w:p>
          <w:p>
            <w:pPr>
              <w:spacing w:after="80" w:before="0" w:line="240" w:lineRule="auto"/>
            </w:pPr>
            <w:r>
              <w:rPr>
                <w:rFonts w:ascii="Times New Roman" w:hAnsi="Times New Roman" w:eastAsia="Times New Roman" w:cs="Times New Roman"/>
                <w:b/>
                <w:sz w:val="22"/>
              </w:rPr>
              <w:t xml:space="preserve">Changes in manuscript: </w:t>
            </w:r>
            <w:r>
              <w:rPr>
                <w:rFonts w:ascii="Times New Roman" w:hAnsi="Times New Roman" w:eastAsia="Times New Roman" w:cs="Times New Roman"/>
                <w:sz w:val="22"/>
              </w:rPr>
              <w:t>Statistical Analysis; Complete Protection Time (CPT); Strengths and Limitations.</w:t>
            </w:r>
          </w:p>
        </w:tc>
      </w:tr>
      <w:tr>
        <w:trPr/>
        <w:tc>
          <w:tcPr>
            <w:tcW w:w="4075" w:type="dxa"/>
            <w:tcBorders>
              <w:top w:val="single" w:sz="4" w:space="0" w:color="000000"/>
              <w:left w:val="single" w:sz="4" w:space="0" w:color="000000"/>
              <w:bottom w:val="single" w:sz="4" w:space="0" w:color="000000"/>
              <w:right w:val="single" w:sz="4" w:space="0" w:color="000000"/>
            </w:tcBorders>
            <w:vAlign w:val="top"/>
            <w:tcMar>
              <w:top w:w="90" w:type="dxa"/>
              <w:start w:w="90" w:type="dxa"/>
              <w:bottom w:w="90" w:type="dxa"/>
              <w:end w:w="90" w:type="dxa"/>
            </w:tcMar>
          </w:tcPr>
          <w:p>
            <w:pPr>
              <w:spacing w:after="0" w:line="240" w:lineRule="auto"/>
            </w:pPr>
            <w:r/>
            <w:r>
              <w:rPr>
                <w:rFonts w:ascii="Times New Roman" w:hAnsi="Times New Roman" w:eastAsia="Times New Roman" w:cs="Times New Roman"/>
                <w:b/>
                <w:sz w:val="22"/>
              </w:rPr>
              <w:t xml:space="preserve">Comment 11: </w:t>
            </w:r>
            <w:r>
              <w:rPr>
                <w:rFonts w:ascii="Times New Roman" w:hAnsi="Times New Roman" w:eastAsia="Times New Roman" w:cs="Times New Roman"/>
                <w:sz w:val="22"/>
              </w:rPr>
              <w:t>Define the operational classification of natural vs. synthetic repellents and acknowledge the continuum (e.g., nootkatone).</w:t>
            </w:r>
          </w:p>
        </w:tc>
        <w:tc>
          <w:tcPr>
            <w:tcW w:w="5386" w:type="dxa"/>
            <w:tcBorders>
              <w:top w:val="single" w:sz="4" w:space="0" w:color="000000"/>
              <w:left w:val="single" w:sz="4" w:space="0" w:color="000000"/>
              <w:bottom w:val="single" w:sz="4" w:space="0" w:color="000000"/>
              <w:right w:val="single" w:sz="4" w:space="0" w:color="000000"/>
            </w:tcBorders>
            <w:vAlign w:val="top"/>
            <w:tcMar>
              <w:top w:w="90" w:type="dxa"/>
              <w:start w:w="90" w:type="dxa"/>
              <w:bottom w:w="90" w:type="dxa"/>
              <w:end w:w="90" w:type="dxa"/>
            </w:tcMar>
          </w:tcPr>
          <w:p>
            <w:pPr>
              <w:spacing w:after="80" w:before="0" w:line="240" w:lineRule="auto"/>
            </w:pPr>
            <w:r>
              <w:rPr>
                <w:rFonts w:ascii="Times New Roman" w:hAnsi="Times New Roman" w:eastAsia="Times New Roman" w:cs="Times New Roman"/>
                <w:b/>
                <w:sz w:val="22"/>
              </w:rPr>
              <w:t xml:space="preserve">Status: </w:t>
            </w:r>
            <w:r>
              <w:rPr>
                <w:rFonts w:ascii="Times New Roman" w:hAnsi="Times New Roman" w:eastAsia="Times New Roman" w:cs="Times New Roman"/>
                <w:sz w:val="22"/>
              </w:rPr>
              <w:t>Addressed</w:t>
            </w:r>
          </w:p>
          <w:p>
            <w:pPr>
              <w:spacing w:after="80" w:before="0" w:line="240" w:lineRule="auto"/>
            </w:pPr>
            <w:r>
              <w:rPr>
                <w:rFonts w:ascii="Times New Roman" w:hAnsi="Times New Roman" w:eastAsia="Times New Roman" w:cs="Times New Roman"/>
                <w:b/>
                <w:sz w:val="22"/>
              </w:rPr>
              <w:t xml:space="preserve">Your reply: </w:t>
            </w:r>
            <w:r>
              <w:rPr>
                <w:rFonts w:ascii="Times New Roman" w:hAnsi="Times New Roman" w:eastAsia="Times New Roman" w:cs="Times New Roman"/>
                <w:sz w:val="22"/>
              </w:rPr>
              <w:t>A dedicated Operational Classification of Repellents subsection was added. It defines synthetic repellents as conventionally manufactured compounds such as DEET, picaridin, IR3535, and transfluthrin, and botanical/natural repellents as plant extracts, essential oils, and plant-derived compounds. The manuscript explicitly notes that nootkatone illustrates a continuum rather than a strict binary chemical distinction.</w:t>
            </w:r>
          </w:p>
          <w:p>
            <w:pPr>
              <w:spacing w:after="80" w:before="0" w:line="240" w:lineRule="auto"/>
            </w:pPr>
            <w:r>
              <w:rPr>
                <w:rFonts w:ascii="Times New Roman" w:hAnsi="Times New Roman" w:eastAsia="Times New Roman" w:cs="Times New Roman"/>
                <w:b/>
                <w:sz w:val="22"/>
              </w:rPr>
              <w:t xml:space="preserve">Changes in manuscript: </w:t>
            </w:r>
            <w:r>
              <w:rPr>
                <w:rFonts w:ascii="Times New Roman" w:hAnsi="Times New Roman" w:eastAsia="Times New Roman" w:cs="Times New Roman"/>
                <w:sz w:val="22"/>
              </w:rPr>
              <w:t>Operational Classification of Repellents.</w:t>
            </w:r>
          </w:p>
        </w:tc>
      </w:tr>
      <w:tr>
        <w:trPr/>
        <w:tc>
          <w:tcPr>
            <w:tcW w:w="4075" w:type="dxa"/>
            <w:tcBorders>
              <w:top w:val="single" w:sz="4" w:space="0" w:color="000000"/>
              <w:left w:val="single" w:sz="4" w:space="0" w:color="000000"/>
              <w:bottom w:val="single" w:sz="4" w:space="0" w:color="000000"/>
              <w:right w:val="single" w:sz="4" w:space="0" w:color="000000"/>
            </w:tcBorders>
            <w:vAlign w:val="top"/>
            <w:tcMar>
              <w:top w:w="90" w:type="dxa"/>
              <w:start w:w="90" w:type="dxa"/>
              <w:bottom w:w="90" w:type="dxa"/>
              <w:end w:w="90" w:type="dxa"/>
            </w:tcMar>
          </w:tcPr>
          <w:p>
            <w:pPr>
              <w:spacing w:after="0" w:line="240" w:lineRule="auto"/>
            </w:pPr>
            <w:r/>
            <w:r>
              <w:rPr>
                <w:rFonts w:ascii="Times New Roman" w:hAnsi="Times New Roman" w:eastAsia="Times New Roman" w:cs="Times New Roman"/>
                <w:b/>
                <w:sz w:val="22"/>
              </w:rPr>
              <w:t xml:space="preserve">Comment 12: </w:t>
            </w:r>
            <w:r>
              <w:rPr>
                <w:rFonts w:ascii="Times New Roman" w:hAnsi="Times New Roman" w:eastAsia="Times New Roman" w:cs="Times New Roman"/>
                <w:sz w:val="22"/>
              </w:rPr>
              <w:t>Systematically report/analyze mosquito strain type and insecticide-resistance status; consider subgroup analysis and discuss resistant vs. susceptible populations.</w:t>
            </w:r>
          </w:p>
        </w:tc>
        <w:tc>
          <w:tcPr>
            <w:tcW w:w="5386" w:type="dxa"/>
            <w:tcBorders>
              <w:top w:val="single" w:sz="4" w:space="0" w:color="000000"/>
              <w:left w:val="single" w:sz="4" w:space="0" w:color="000000"/>
              <w:bottom w:val="single" w:sz="4" w:space="0" w:color="000000"/>
              <w:right w:val="single" w:sz="4" w:space="0" w:color="000000"/>
            </w:tcBorders>
            <w:vAlign w:val="top"/>
            <w:tcMar>
              <w:top w:w="90" w:type="dxa"/>
              <w:start w:w="90" w:type="dxa"/>
              <w:bottom w:w="90" w:type="dxa"/>
              <w:end w:w="90" w:type="dxa"/>
            </w:tcMar>
          </w:tcPr>
          <w:p>
            <w:pPr>
              <w:spacing w:after="80" w:before="0" w:line="240" w:lineRule="auto"/>
            </w:pPr>
            <w:r>
              <w:rPr>
                <w:rFonts w:ascii="Times New Roman" w:hAnsi="Times New Roman" w:eastAsia="Times New Roman" w:cs="Times New Roman"/>
                <w:b/>
                <w:sz w:val="22"/>
              </w:rPr>
              <w:t xml:space="preserve">Status: </w:t>
            </w:r>
            <w:r>
              <w:rPr>
                <w:rFonts w:ascii="Times New Roman" w:hAnsi="Times New Roman" w:eastAsia="Times New Roman" w:cs="Times New Roman"/>
                <w:sz w:val="22"/>
              </w:rPr>
              <w:t>Addressed with data limitation</w:t>
            </w:r>
          </w:p>
          <w:p>
            <w:pPr>
              <w:spacing w:after="80" w:before="0" w:line="240" w:lineRule="auto"/>
            </w:pPr>
            <w:r>
              <w:rPr>
                <w:rFonts w:ascii="Times New Roman" w:hAnsi="Times New Roman" w:eastAsia="Times New Roman" w:cs="Times New Roman"/>
                <w:b/>
                <w:sz w:val="22"/>
              </w:rPr>
              <w:t xml:space="preserve">Your reply: </w:t>
            </w:r>
            <w:r>
              <w:rPr>
                <w:rFonts w:ascii="Times New Roman" w:hAnsi="Times New Roman" w:eastAsia="Times New Roman" w:cs="Times New Roman"/>
                <w:sz w:val="22"/>
              </w:rPr>
              <w:t>Mosquito strain/population information is included in the extraction framework when reported. However, strain type and resistance status were not reported consistently enough across studies to support a reliable subgroup meta-analysis. These variables are now explicitly discussed as potential sources of heterogeneity, and the Discussion notes evidence from studies that included resistant/susceptible populations where available.</w:t>
            </w:r>
          </w:p>
          <w:p>
            <w:pPr>
              <w:spacing w:after="80" w:before="0" w:line="240" w:lineRule="auto"/>
            </w:pPr>
            <w:r>
              <w:rPr>
                <w:rFonts w:ascii="Times New Roman" w:hAnsi="Times New Roman" w:eastAsia="Times New Roman" w:cs="Times New Roman"/>
                <w:b/>
                <w:sz w:val="22"/>
              </w:rPr>
              <w:t xml:space="preserve">Changes in manuscript: </w:t>
            </w:r>
            <w:r>
              <w:rPr>
                <w:rFonts w:ascii="Times New Roman" w:hAnsi="Times New Roman" w:eastAsia="Times New Roman" w:cs="Times New Roman"/>
                <w:sz w:val="22"/>
              </w:rPr>
              <w:t>Data Extraction; Heterogeneity and Methodological Considerations; Strengths and Limitations; Transfluthrin and New Synthetic Delivery Systems.</w:t>
            </w:r>
          </w:p>
        </w:tc>
      </w:tr>
      <w:tr>
        <w:trPr/>
        <w:tc>
          <w:tcPr>
            <w:tcW w:w="4075" w:type="dxa"/>
            <w:tcBorders>
              <w:top w:val="single" w:sz="4" w:space="0" w:color="000000"/>
              <w:left w:val="single" w:sz="4" w:space="0" w:color="000000"/>
              <w:bottom w:val="single" w:sz="4" w:space="0" w:color="000000"/>
              <w:right w:val="single" w:sz="4" w:space="0" w:color="000000"/>
            </w:tcBorders>
            <w:vAlign w:val="top"/>
            <w:tcMar>
              <w:top w:w="90" w:type="dxa"/>
              <w:start w:w="90" w:type="dxa"/>
              <w:bottom w:w="90" w:type="dxa"/>
              <w:end w:w="90" w:type="dxa"/>
            </w:tcMar>
          </w:tcPr>
          <w:p>
            <w:pPr>
              <w:spacing w:after="0" w:line="240" w:lineRule="auto"/>
            </w:pPr>
            <w:r/>
            <w:r>
              <w:rPr>
                <w:rFonts w:ascii="Times New Roman" w:hAnsi="Times New Roman" w:eastAsia="Times New Roman" w:cs="Times New Roman"/>
                <w:b/>
                <w:sz w:val="22"/>
              </w:rPr>
              <w:t xml:space="preserve">Comment 13: </w:t>
            </w:r>
            <w:r>
              <w:rPr>
                <w:rFonts w:ascii="Times New Roman" w:hAnsi="Times New Roman" w:eastAsia="Times New Roman" w:cs="Times New Roman"/>
                <w:sz w:val="22"/>
              </w:rPr>
              <w:t>PRISMA flowchart was not properly embedded and its legend was truncated.</w:t>
            </w:r>
          </w:p>
        </w:tc>
        <w:tc>
          <w:tcPr>
            <w:tcW w:w="5386" w:type="dxa"/>
            <w:tcBorders>
              <w:top w:val="single" w:sz="4" w:space="0" w:color="000000"/>
              <w:left w:val="single" w:sz="4" w:space="0" w:color="000000"/>
              <w:bottom w:val="single" w:sz="4" w:space="0" w:color="000000"/>
              <w:right w:val="single" w:sz="4" w:space="0" w:color="000000"/>
            </w:tcBorders>
            <w:vAlign w:val="top"/>
            <w:tcMar>
              <w:top w:w="90" w:type="dxa"/>
              <w:start w:w="90" w:type="dxa"/>
              <w:bottom w:w="90" w:type="dxa"/>
              <w:end w:w="90" w:type="dxa"/>
            </w:tcMar>
          </w:tcPr>
          <w:p>
            <w:pPr>
              <w:spacing w:after="80" w:before="0" w:line="240" w:lineRule="auto"/>
            </w:pPr>
            <w:r>
              <w:rPr>
                <w:rFonts w:ascii="Times New Roman" w:hAnsi="Times New Roman" w:eastAsia="Times New Roman" w:cs="Times New Roman"/>
                <w:b/>
                <w:sz w:val="22"/>
              </w:rPr>
              <w:t xml:space="preserve">Status: </w:t>
            </w:r>
            <w:r>
              <w:rPr>
                <w:rFonts w:ascii="Times New Roman" w:hAnsi="Times New Roman" w:eastAsia="Times New Roman" w:cs="Times New Roman"/>
                <w:sz w:val="22"/>
              </w:rPr>
              <w:t>Addressed</w:t>
            </w:r>
          </w:p>
          <w:p>
            <w:pPr>
              <w:spacing w:after="80" w:before="0" w:line="240" w:lineRule="auto"/>
            </w:pPr>
            <w:r>
              <w:rPr>
                <w:rFonts w:ascii="Times New Roman" w:hAnsi="Times New Roman" w:eastAsia="Times New Roman" w:cs="Times New Roman"/>
                <w:b/>
                <w:sz w:val="22"/>
              </w:rPr>
              <w:t xml:space="preserve">Your reply: </w:t>
            </w:r>
            <w:r>
              <w:rPr>
                <w:rFonts w:ascii="Times New Roman" w:hAnsi="Times New Roman" w:eastAsia="Times New Roman" w:cs="Times New Roman"/>
                <w:sz w:val="22"/>
              </w:rPr>
              <w:t>Figure 1 was replaced with a fully embedded PRISMA 2020 flow diagram showing identification, duplicate removal, screening, full-text assessment, exclusion reasons, and the final 30 primary studies, with a complete caption.</w:t>
            </w:r>
          </w:p>
          <w:p>
            <w:pPr>
              <w:spacing w:after="80" w:before="0" w:line="240" w:lineRule="auto"/>
            </w:pPr>
            <w:r>
              <w:rPr>
                <w:rFonts w:ascii="Times New Roman" w:hAnsi="Times New Roman" w:eastAsia="Times New Roman" w:cs="Times New Roman"/>
                <w:b/>
                <w:sz w:val="22"/>
              </w:rPr>
              <w:t xml:space="preserve">Changes in manuscript: </w:t>
            </w:r>
            <w:r>
              <w:rPr>
                <w:rFonts w:ascii="Times New Roman" w:hAnsi="Times New Roman" w:eastAsia="Times New Roman" w:cs="Times New Roman"/>
                <w:sz w:val="22"/>
              </w:rPr>
              <w:t>Study Selection; Figure 1.</w:t>
            </w:r>
          </w:p>
        </w:tc>
      </w:tr>
      <w:tr>
        <w:trPr/>
        <w:tc>
          <w:tcPr>
            <w:tcW w:w="4075" w:type="dxa"/>
            <w:tcBorders>
              <w:top w:val="single" w:sz="4" w:space="0" w:color="000000"/>
              <w:left w:val="single" w:sz="4" w:space="0" w:color="000000"/>
              <w:bottom w:val="single" w:sz="4" w:space="0" w:color="000000"/>
              <w:right w:val="single" w:sz="4" w:space="0" w:color="000000"/>
            </w:tcBorders>
            <w:vAlign w:val="top"/>
            <w:tcMar>
              <w:top w:w="90" w:type="dxa"/>
              <w:start w:w="90" w:type="dxa"/>
              <w:bottom w:w="90" w:type="dxa"/>
              <w:end w:w="90" w:type="dxa"/>
            </w:tcMar>
          </w:tcPr>
          <w:p>
            <w:pPr>
              <w:spacing w:after="0" w:line="240" w:lineRule="auto"/>
            </w:pPr>
            <w:r/>
            <w:r>
              <w:rPr>
                <w:rFonts w:ascii="Times New Roman" w:hAnsi="Times New Roman" w:eastAsia="Times New Roman" w:cs="Times New Roman"/>
                <w:b/>
                <w:sz w:val="22"/>
              </w:rPr>
              <w:t xml:space="preserve">Comment 14: </w:t>
            </w:r>
            <w:r>
              <w:rPr>
                <w:rFonts w:ascii="Times New Roman" w:hAnsi="Times New Roman" w:eastAsia="Times New Roman" w:cs="Times New Roman"/>
                <w:sz w:val="22"/>
              </w:rPr>
              <w:t>Add a Strengths and Limitations subsection in the Discussion.</w:t>
            </w:r>
          </w:p>
        </w:tc>
        <w:tc>
          <w:tcPr>
            <w:tcW w:w="5386" w:type="dxa"/>
            <w:tcBorders>
              <w:top w:val="single" w:sz="4" w:space="0" w:color="000000"/>
              <w:left w:val="single" w:sz="4" w:space="0" w:color="000000"/>
              <w:bottom w:val="single" w:sz="4" w:space="0" w:color="000000"/>
              <w:right w:val="single" w:sz="4" w:space="0" w:color="000000"/>
            </w:tcBorders>
            <w:vAlign w:val="top"/>
            <w:tcMar>
              <w:top w:w="90" w:type="dxa"/>
              <w:start w:w="90" w:type="dxa"/>
              <w:bottom w:w="90" w:type="dxa"/>
              <w:end w:w="90" w:type="dxa"/>
            </w:tcMar>
          </w:tcPr>
          <w:p>
            <w:pPr>
              <w:spacing w:after="80" w:before="0" w:line="240" w:lineRule="auto"/>
            </w:pPr>
            <w:r>
              <w:rPr>
                <w:rFonts w:ascii="Times New Roman" w:hAnsi="Times New Roman" w:eastAsia="Times New Roman" w:cs="Times New Roman"/>
                <w:b/>
                <w:sz w:val="22"/>
              </w:rPr>
              <w:t xml:space="preserve">Status: </w:t>
            </w:r>
            <w:r>
              <w:rPr>
                <w:rFonts w:ascii="Times New Roman" w:hAnsi="Times New Roman" w:eastAsia="Times New Roman" w:cs="Times New Roman"/>
                <w:sz w:val="22"/>
              </w:rPr>
              <w:t>Addressed</w:t>
            </w:r>
          </w:p>
          <w:p>
            <w:pPr>
              <w:spacing w:after="80" w:before="0" w:line="240" w:lineRule="auto"/>
            </w:pPr>
            <w:r>
              <w:rPr>
                <w:rFonts w:ascii="Times New Roman" w:hAnsi="Times New Roman" w:eastAsia="Times New Roman" w:cs="Times New Roman"/>
                <w:b/>
                <w:sz w:val="22"/>
              </w:rPr>
              <w:t xml:space="preserve">Your reply: </w:t>
            </w:r>
            <w:r>
              <w:rPr>
                <w:rFonts w:ascii="Times New Roman" w:hAnsi="Times New Roman" w:eastAsia="Times New Roman" w:cs="Times New Roman"/>
                <w:sz w:val="22"/>
              </w:rPr>
              <w:t>A dedicated Strengths and Limitations subsection has been added at the end of the Discussion before the Conclusion.</w:t>
            </w:r>
          </w:p>
          <w:p>
            <w:pPr>
              <w:spacing w:after="80" w:before="0" w:line="240" w:lineRule="auto"/>
            </w:pPr>
            <w:r>
              <w:rPr>
                <w:rFonts w:ascii="Times New Roman" w:hAnsi="Times New Roman" w:eastAsia="Times New Roman" w:cs="Times New Roman"/>
                <w:b/>
                <w:sz w:val="22"/>
              </w:rPr>
              <w:t xml:space="preserve">Changes in manuscript: </w:t>
            </w:r>
            <w:r>
              <w:rPr>
                <w:rFonts w:ascii="Times New Roman" w:hAnsi="Times New Roman" w:eastAsia="Times New Roman" w:cs="Times New Roman"/>
                <w:sz w:val="22"/>
              </w:rPr>
              <w:t>Strengths and Limitations.</w:t>
            </w:r>
          </w:p>
        </w:tc>
      </w:tr>
      <w:tr>
        <w:trPr/>
        <w:tc>
          <w:tcPr>
            <w:tcW w:w="4075" w:type="dxa"/>
            <w:tcBorders>
              <w:top w:val="single" w:sz="4" w:space="0" w:color="000000"/>
              <w:left w:val="single" w:sz="4" w:space="0" w:color="000000"/>
              <w:bottom w:val="single" w:sz="4" w:space="0" w:color="000000"/>
              <w:right w:val="single" w:sz="4" w:space="0" w:color="000000"/>
            </w:tcBorders>
            <w:vAlign w:val="top"/>
            <w:tcMar>
              <w:top w:w="90" w:type="dxa"/>
              <w:start w:w="90" w:type="dxa"/>
              <w:bottom w:w="90" w:type="dxa"/>
              <w:end w:w="90" w:type="dxa"/>
            </w:tcMar>
          </w:tcPr>
          <w:p>
            <w:pPr>
              <w:spacing w:after="0" w:line="240" w:lineRule="auto"/>
            </w:pPr>
            <w:r/>
            <w:r>
              <w:rPr>
                <w:rFonts w:ascii="Times New Roman" w:hAnsi="Times New Roman" w:eastAsia="Times New Roman" w:cs="Times New Roman"/>
                <w:b/>
                <w:sz w:val="22"/>
              </w:rPr>
              <w:t xml:space="preserve">Comment 15: </w:t>
            </w:r>
            <w:r>
              <w:rPr>
                <w:rFonts w:ascii="Times New Roman" w:hAnsi="Times New Roman" w:eastAsia="Times New Roman" w:cs="Times New Roman"/>
                <w:sz w:val="22"/>
              </w:rPr>
              <w:t>Discussion/conclusions were considered insufficiently critical/overstated.</w:t>
            </w:r>
          </w:p>
        </w:tc>
        <w:tc>
          <w:tcPr>
            <w:tcW w:w="5386" w:type="dxa"/>
            <w:tcBorders>
              <w:top w:val="single" w:sz="4" w:space="0" w:color="000000"/>
              <w:left w:val="single" w:sz="4" w:space="0" w:color="000000"/>
              <w:bottom w:val="single" w:sz="4" w:space="0" w:color="000000"/>
              <w:right w:val="single" w:sz="4" w:space="0" w:color="000000"/>
            </w:tcBorders>
            <w:vAlign w:val="top"/>
            <w:tcMar>
              <w:top w:w="90" w:type="dxa"/>
              <w:start w:w="90" w:type="dxa"/>
              <w:bottom w:w="90" w:type="dxa"/>
              <w:end w:w="90" w:type="dxa"/>
            </w:tcMar>
          </w:tcPr>
          <w:p>
            <w:pPr>
              <w:spacing w:after="80" w:before="0" w:line="240" w:lineRule="auto"/>
            </w:pPr>
            <w:r>
              <w:rPr>
                <w:rFonts w:ascii="Times New Roman" w:hAnsi="Times New Roman" w:eastAsia="Times New Roman" w:cs="Times New Roman"/>
                <w:b/>
                <w:sz w:val="22"/>
              </w:rPr>
              <w:t xml:space="preserve">Status: </w:t>
            </w:r>
            <w:r>
              <w:rPr>
                <w:rFonts w:ascii="Times New Roman" w:hAnsi="Times New Roman" w:eastAsia="Times New Roman" w:cs="Times New Roman"/>
                <w:sz w:val="22"/>
              </w:rPr>
              <w:t>Addressed</w:t>
            </w:r>
          </w:p>
          <w:p>
            <w:pPr>
              <w:spacing w:after="80" w:before="0" w:line="240" w:lineRule="auto"/>
            </w:pPr>
            <w:r>
              <w:rPr>
                <w:rFonts w:ascii="Times New Roman" w:hAnsi="Times New Roman" w:eastAsia="Times New Roman" w:cs="Times New Roman"/>
                <w:b/>
                <w:sz w:val="22"/>
              </w:rPr>
              <w:t xml:space="preserve">Your reply: </w:t>
            </w:r>
            <w:r>
              <w:rPr>
                <w:rFonts w:ascii="Times New Roman" w:hAnsi="Times New Roman" w:eastAsia="Times New Roman" w:cs="Times New Roman"/>
                <w:sz w:val="22"/>
              </w:rPr>
              <w:t>The Discussion and Conclusion were rewritten to distinguish between-study subgroup comparisons from head-to-head effects, emphasize substantial heterogeneity and uncertainty, avoid definitive claims about publication bias, and frame the findings as comparative evidence requiring standardized field validation.</w:t>
            </w:r>
          </w:p>
          <w:p>
            <w:pPr>
              <w:spacing w:after="80" w:before="0" w:line="240" w:lineRule="auto"/>
            </w:pPr>
            <w:r>
              <w:rPr>
                <w:rFonts w:ascii="Times New Roman" w:hAnsi="Times New Roman" w:eastAsia="Times New Roman" w:cs="Times New Roman"/>
                <w:b/>
                <w:sz w:val="22"/>
              </w:rPr>
              <w:t xml:space="preserve">Changes in manuscript: </w:t>
            </w:r>
            <w:r>
              <w:rPr>
                <w:rFonts w:ascii="Times New Roman" w:hAnsi="Times New Roman" w:eastAsia="Times New Roman" w:cs="Times New Roman"/>
                <w:sz w:val="22"/>
              </w:rPr>
              <w:t>Discussion; Heterogeneity and Methodological Considerations; Strengths and Limitations; Conclusion.</w:t>
            </w:r>
          </w:p>
        </w:tc>
      </w:tr>
    </w:tbl>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