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832F4" w14:textId="77777777" w:rsidR="00973470" w:rsidRDefault="00000000">
      <w:pPr>
        <w:spacing w:line="240" w:lineRule="auto"/>
        <w:ind w:left="0" w:firstLine="0"/>
        <w:rPr>
          <w:b/>
          <w:bCs/>
          <w:iCs/>
          <w:sz w:val="28"/>
          <w:szCs w:val="28"/>
        </w:rPr>
      </w:pPr>
      <w:r>
        <w:rPr>
          <w:b/>
          <w:bCs/>
          <w:iCs/>
          <w:sz w:val="28"/>
          <w:szCs w:val="28"/>
        </w:rPr>
        <w:t xml:space="preserve">Comparative Efficacy and Protection Duration of Natural and Synthetic Repellents against </w:t>
      </w:r>
      <w:r>
        <w:rPr>
          <w:b/>
          <w:bCs/>
          <w:i/>
          <w:iCs/>
          <w:sz w:val="28"/>
          <w:szCs w:val="28"/>
        </w:rPr>
        <w:t>Aedes aegypti</w:t>
      </w:r>
      <w:r>
        <w:rPr>
          <w:b/>
          <w:bCs/>
          <w:iCs/>
          <w:sz w:val="28"/>
          <w:szCs w:val="28"/>
        </w:rPr>
        <w:t>: A Systematic Review and Meta-Analysis</w:t>
      </w:r>
    </w:p>
    <w:p w14:paraId="30D77AB5" w14:textId="77777777" w:rsidR="00973470" w:rsidRDefault="00973470">
      <w:pPr>
        <w:spacing w:line="240" w:lineRule="auto"/>
        <w:ind w:left="0" w:firstLine="0"/>
        <w:rPr>
          <w:b/>
          <w:bCs/>
          <w:iCs/>
          <w:sz w:val="28"/>
          <w:szCs w:val="24"/>
          <w:lang w:val="en-ID"/>
        </w:rPr>
      </w:pPr>
    </w:p>
    <w:p w14:paraId="558B30D8" w14:textId="77777777" w:rsidR="00973470" w:rsidRDefault="00000000">
      <w:pPr>
        <w:spacing w:line="240" w:lineRule="auto"/>
        <w:ind w:left="0" w:firstLine="0"/>
        <w:rPr>
          <w:b/>
          <w:bCs/>
          <w:szCs w:val="24"/>
          <w:lang w:val="en-ID"/>
        </w:rPr>
      </w:pPr>
      <w:r>
        <w:rPr>
          <w:b/>
          <w:bCs/>
          <w:szCs w:val="24"/>
          <w:lang w:val="en-ID"/>
        </w:rPr>
        <w:t>Abstract</w:t>
      </w:r>
    </w:p>
    <w:p w14:paraId="57DDA60F" w14:textId="77777777" w:rsidR="00973470" w:rsidRDefault="00000000">
      <w:pPr>
        <w:spacing w:line="240" w:lineRule="auto"/>
        <w:ind w:left="0" w:firstLine="0"/>
        <w:rPr>
          <w:szCs w:val="24"/>
          <w:lang w:val="en-ID"/>
        </w:rPr>
      </w:pPr>
      <w:r>
        <w:rPr>
          <w:b/>
          <w:bCs/>
          <w:szCs w:val="24"/>
          <w:lang w:val="en-ID"/>
        </w:rPr>
        <w:t xml:space="preserve">Background: </w:t>
      </w:r>
      <w:r>
        <w:rPr>
          <w:i/>
          <w:iCs/>
          <w:szCs w:val="24"/>
        </w:rPr>
        <w:t xml:space="preserve">Aedes aegypti </w:t>
      </w:r>
      <w:r>
        <w:rPr>
          <w:szCs w:val="24"/>
        </w:rPr>
        <w:t xml:space="preserve">is a major vector of dengue, Zika, chikungunya, and yellow fever and remains an important public health concern in tropical and subtropical regions. Topical and wearable repellents are widely used as personal protective measures against mosquito bites. Previous reviews have discussed synthetic and botanical repellents; however, quantitative evidence directly comparing their efficacy and duration of protection specifically against </w:t>
      </w:r>
      <w:r>
        <w:rPr>
          <w:i/>
          <w:iCs/>
          <w:szCs w:val="24"/>
        </w:rPr>
        <w:t>Ae. aegypti</w:t>
      </w:r>
      <w:r>
        <w:rPr>
          <w:szCs w:val="24"/>
        </w:rPr>
        <w:t xml:space="preserve"> remains limited</w:t>
      </w:r>
      <w:r>
        <w:rPr>
          <w:szCs w:val="24"/>
          <w:lang w:val="en-ID"/>
        </w:rPr>
        <w:t xml:space="preserve">. </w:t>
      </w:r>
    </w:p>
    <w:p w14:paraId="6D387440" w14:textId="77777777" w:rsidR="00973470" w:rsidRDefault="00000000">
      <w:pPr>
        <w:spacing w:line="240" w:lineRule="auto"/>
        <w:ind w:left="0" w:firstLine="0"/>
      </w:pPr>
      <w:r>
        <w:rPr>
          <w:b/>
          <w:bCs/>
          <w:szCs w:val="24"/>
          <w:lang w:val="en-ID"/>
        </w:rPr>
        <w:t>Methods:</w:t>
      </w:r>
      <w:r>
        <w:rPr>
          <w:szCs w:val="24"/>
          <w:lang w:val="en-ID"/>
        </w:rPr>
        <w:t xml:space="preserve"> </w:t>
      </w:r>
      <w:r>
        <w:rPr>
          <w:szCs w:val="24"/>
        </w:rPr>
        <w:t xml:space="preserve">PubMed, Scopus, Web of Science, and Embase were searched for studies published from 2004 to 2025. Eligible studies reported protection percentage (PP%) and/or complete protection time (CPT) for repellent formulations tested against Ae. aegypti. Random-effects meta-analysis of logit-transformed PP% was performed, while CPT was summarized descriptively because measures of variance were not consistently reported. Heterogeneity was assessed using the I² statistic and Cochran’s Q test. Risk of bias was assessed using design-appropriate tools, including RoB 2 for randomized studies and an adapted ROBINS-I framework for non-randomized experimental studies. </w:t>
      </w:r>
    </w:p>
    <w:p w14:paraId="29D09D2F" w14:textId="77777777" w:rsidR="00973470" w:rsidRDefault="00000000">
      <w:pPr>
        <w:spacing w:line="240" w:lineRule="auto"/>
        <w:ind w:left="0" w:firstLine="0"/>
        <w:rPr>
          <w:szCs w:val="24"/>
          <w:lang w:val="en-ID"/>
        </w:rPr>
      </w:pPr>
      <w:r>
        <w:rPr>
          <w:b/>
          <w:bCs/>
          <w:szCs w:val="24"/>
        </w:rPr>
        <w:t>Results:</w:t>
      </w:r>
      <w:r>
        <w:rPr>
          <w:szCs w:val="24"/>
        </w:rPr>
        <w:t xml:space="preserve"> Thirty studies were included. Synthetic repellents showed a pooled PP% of </w:t>
      </w:r>
      <w:r>
        <w:rPr>
          <w:b/>
          <w:bCs/>
          <w:szCs w:val="24"/>
        </w:rPr>
        <w:t>91.5% (95% CI: 87.1–94.5%)</w:t>
      </w:r>
      <w:r>
        <w:rPr>
          <w:szCs w:val="24"/>
        </w:rPr>
        <w:t xml:space="preserve">, whereas natural/botanical repellents showed a pooled PP% of </w:t>
      </w:r>
      <w:r>
        <w:rPr>
          <w:b/>
          <w:bCs/>
          <w:szCs w:val="24"/>
        </w:rPr>
        <w:t>69.1% (95% CI: 64.2–73.6%)</w:t>
      </w:r>
      <w:r>
        <w:rPr>
          <w:szCs w:val="24"/>
        </w:rPr>
        <w:t>. The difference between repellent categories was statistically significant (Q_M(1) = 46.86, p &lt; 0.001). The mean reported CPT was 5.97 h for synthetic repellents and 2.91 h for natural/botanical repellents. Synthetic repellents therefore demonstrated higher efficacy and longer reported protection duration, although substantial between-study heterogeneity was observed</w:t>
      </w:r>
      <w:r>
        <w:rPr>
          <w:szCs w:val="24"/>
          <w:lang w:val="en-ID"/>
        </w:rPr>
        <w:t xml:space="preserve">. </w:t>
      </w:r>
    </w:p>
    <w:p w14:paraId="432AD723" w14:textId="77777777" w:rsidR="00973470" w:rsidRDefault="00000000">
      <w:pPr>
        <w:spacing w:line="240" w:lineRule="auto"/>
        <w:ind w:left="0" w:firstLine="0"/>
      </w:pPr>
      <w:r>
        <w:rPr>
          <w:b/>
          <w:bCs/>
          <w:szCs w:val="24"/>
          <w:lang w:val="en-ID"/>
        </w:rPr>
        <w:t>Conclusion:</w:t>
      </w:r>
      <w:r>
        <w:rPr>
          <w:szCs w:val="24"/>
          <w:lang w:val="en-ID"/>
        </w:rPr>
        <w:t xml:space="preserve"> </w:t>
      </w:r>
      <w:r>
        <w:rPr>
          <w:szCs w:val="24"/>
        </w:rPr>
        <w:t xml:space="preserve">Based on the current evidence synthesis, synthetic repellents, particularly DEET and picaridin, generally provide higher and more sustained protection against </w:t>
      </w:r>
      <w:r>
        <w:rPr>
          <w:i/>
          <w:iCs/>
          <w:szCs w:val="24"/>
        </w:rPr>
        <w:t>Ae. aegypti</w:t>
      </w:r>
      <w:r>
        <w:rPr>
          <w:szCs w:val="24"/>
        </w:rPr>
        <w:t xml:space="preserve"> than the botanical formulations evaluated. Nevertheless, some advanced plant-derived formulations show potential and warrant further evaluation using standardized protocols and well-designed field studies</w:t>
      </w:r>
      <w:r>
        <w:rPr>
          <w:szCs w:val="24"/>
          <w:lang w:val="en-ID"/>
        </w:rPr>
        <w:t xml:space="preserve">. </w:t>
      </w:r>
    </w:p>
    <w:p w14:paraId="5D8C22FE" w14:textId="77777777" w:rsidR="00973470" w:rsidRDefault="00973470">
      <w:pPr>
        <w:spacing w:line="240" w:lineRule="auto"/>
        <w:ind w:left="0" w:firstLine="0"/>
        <w:rPr>
          <w:b/>
          <w:bCs/>
          <w:szCs w:val="24"/>
          <w:lang w:val="en-ID"/>
        </w:rPr>
      </w:pPr>
    </w:p>
    <w:p w14:paraId="64275CD6" w14:textId="77777777" w:rsidR="00973470" w:rsidRDefault="00000000">
      <w:pPr>
        <w:spacing w:line="240" w:lineRule="auto"/>
        <w:ind w:left="0" w:firstLine="0"/>
        <w:rPr>
          <w:i/>
          <w:iCs/>
          <w:szCs w:val="24"/>
          <w:lang w:val="en-ID"/>
        </w:rPr>
      </w:pPr>
      <w:r>
        <w:rPr>
          <w:b/>
          <w:bCs/>
          <w:szCs w:val="24"/>
          <w:lang w:val="en-ID"/>
        </w:rPr>
        <w:t xml:space="preserve">Keywords: </w:t>
      </w:r>
      <w:r>
        <w:rPr>
          <w:i/>
          <w:iCs/>
          <w:szCs w:val="24"/>
          <w:lang w:val="en-ID"/>
        </w:rPr>
        <w:t>Aedes aegypti</w:t>
      </w:r>
      <w:r>
        <w:rPr>
          <w:i/>
          <w:iCs/>
          <w:szCs w:val="24"/>
        </w:rPr>
        <w:t xml:space="preserve">; </w:t>
      </w:r>
      <w:r>
        <w:rPr>
          <w:szCs w:val="24"/>
        </w:rPr>
        <w:t>insect repellents; DEET; picaridin; essential oils; dengue prevention.</w:t>
      </w:r>
    </w:p>
    <w:p w14:paraId="55217387" w14:textId="77777777" w:rsidR="00973470" w:rsidRDefault="00973470">
      <w:pPr>
        <w:spacing w:line="240" w:lineRule="auto"/>
        <w:ind w:left="0" w:firstLine="0"/>
        <w:rPr>
          <w:i/>
          <w:iCs/>
          <w:szCs w:val="24"/>
          <w:lang w:val="en-ID"/>
        </w:rPr>
      </w:pPr>
    </w:p>
    <w:p w14:paraId="7F59F08F" w14:textId="77777777" w:rsidR="00973470" w:rsidRDefault="00000000">
      <w:pPr>
        <w:spacing w:line="240" w:lineRule="auto"/>
        <w:ind w:left="0" w:firstLine="0"/>
        <w:rPr>
          <w:b/>
          <w:bCs/>
          <w:szCs w:val="24"/>
          <w:lang w:val="id-ID"/>
        </w:rPr>
      </w:pPr>
      <w:r>
        <w:rPr>
          <w:b/>
          <w:bCs/>
          <w:szCs w:val="24"/>
          <w:lang w:val="id-ID"/>
        </w:rPr>
        <w:t>Introduction</w:t>
      </w:r>
    </w:p>
    <w:p w14:paraId="386E9B15" w14:textId="77777777" w:rsidR="00973470" w:rsidRDefault="00973470">
      <w:pPr>
        <w:spacing w:line="240" w:lineRule="auto"/>
        <w:ind w:left="0" w:firstLine="0"/>
        <w:rPr>
          <w:b/>
          <w:bCs/>
          <w:szCs w:val="24"/>
          <w:lang w:val="id-ID"/>
        </w:rPr>
      </w:pPr>
    </w:p>
    <w:p w14:paraId="0640354C" w14:textId="77777777" w:rsidR="00973470" w:rsidRDefault="00000000">
      <w:pPr>
        <w:spacing w:line="240" w:lineRule="auto"/>
        <w:ind w:left="0" w:firstLine="0"/>
      </w:pPr>
      <w:r>
        <w:rPr>
          <w:i/>
          <w:iCs/>
          <w:szCs w:val="24"/>
          <w:lang w:val="en-ID"/>
        </w:rPr>
        <w:t>Aedes aegypti</w:t>
      </w:r>
      <w:r>
        <w:rPr>
          <w:szCs w:val="24"/>
          <w:lang w:val="en-ID"/>
        </w:rPr>
        <w:t xml:space="preserve"> (Linnaeus, 1762) is a highly anthropophilic mosquito species and the primary arboviral vector responsible for transmitting dengue fever, Zika virus, chikungunya, and yellow fever (1,2). </w:t>
      </w:r>
      <w:r>
        <w:rPr>
          <w:szCs w:val="24"/>
        </w:rPr>
        <w:t>Dengue in particular represents a substantial global public health burden, with billions of people living in areas where transmission may occur</w:t>
      </w:r>
      <w:r>
        <w:rPr>
          <w:szCs w:val="24"/>
          <w:lang w:val="en-ID"/>
        </w:rPr>
        <w:t xml:space="preserve"> (3). </w:t>
      </w:r>
      <w:r>
        <w:rPr>
          <w:szCs w:val="24"/>
        </w:rPr>
        <w:t>Because</w:t>
      </w:r>
      <w:r>
        <w:rPr>
          <w:szCs w:val="24"/>
          <w:lang w:val="en-ID"/>
        </w:rPr>
        <w:t xml:space="preserve"> </w:t>
      </w:r>
      <w:r>
        <w:rPr>
          <w:i/>
          <w:iCs/>
          <w:szCs w:val="24"/>
          <w:lang w:val="en-ID"/>
        </w:rPr>
        <w:t>Ae. aegypti</w:t>
      </w:r>
      <w:r>
        <w:rPr>
          <w:szCs w:val="24"/>
          <w:lang w:val="en-ID"/>
        </w:rPr>
        <w:t xml:space="preserve"> </w:t>
      </w:r>
      <w:r>
        <w:rPr>
          <w:szCs w:val="24"/>
        </w:rPr>
        <w:t>is well adapted to urban environments and frequently feeds on humans, prevention of mosquito–human contact remains an important component of integrated vector-control strategies</w:t>
      </w:r>
      <w:r>
        <w:rPr>
          <w:szCs w:val="24"/>
          <w:lang w:val="en-ID"/>
        </w:rPr>
        <w:t xml:space="preserve">. </w:t>
      </w:r>
    </w:p>
    <w:p w14:paraId="68494EB8" w14:textId="77777777" w:rsidR="00973470" w:rsidRDefault="00000000">
      <w:pPr>
        <w:spacing w:line="240" w:lineRule="auto"/>
        <w:ind w:left="0" w:firstLine="0"/>
        <w:rPr>
          <w:szCs w:val="24"/>
          <w:lang w:val="en-ID"/>
        </w:rPr>
      </w:pPr>
      <w:r>
        <w:rPr>
          <w:szCs w:val="24"/>
        </w:rPr>
        <w:t>Personal repellents provide an additional layer of protection when environmental and population-level vector-control measures are insufficient to prevent mosquito exposure. N,N-diethyl-3-methylbenzamide (DEET) has been widely used for several decades and remains an important benchmark for repellent efficacy</w:t>
      </w:r>
      <w:r>
        <w:rPr>
          <w:szCs w:val="24"/>
          <w:lang w:val="en-ID"/>
        </w:rPr>
        <w:t xml:space="preserve"> (4). </w:t>
      </w:r>
      <w:r>
        <w:rPr>
          <w:szCs w:val="24"/>
        </w:rPr>
        <w:t>Other synthetic compounds, including picaridin (icaridin), IR3535, and spatially active compounds such as transfluthrin, have also been evaluated for protection against mosquito bites</w:t>
      </w:r>
      <w:r>
        <w:rPr>
          <w:szCs w:val="24"/>
          <w:lang w:val="en-ID"/>
        </w:rPr>
        <w:t xml:space="preserve"> (5). </w:t>
      </w:r>
      <w:r>
        <w:rPr>
          <w:szCs w:val="24"/>
        </w:rPr>
        <w:t xml:space="preserve">Their effectiveness, duration of </w:t>
      </w:r>
      <w:r>
        <w:rPr>
          <w:szCs w:val="24"/>
        </w:rPr>
        <w:lastRenderedPageBreak/>
        <w:t>protection, formulation characteristics, and user acceptability are important considerations when repellents are selected for individual or public-health use.</w:t>
      </w:r>
    </w:p>
    <w:p w14:paraId="5F5DC5D4" w14:textId="77777777" w:rsidR="00973470" w:rsidRDefault="00000000">
      <w:pPr>
        <w:spacing w:line="240" w:lineRule="auto"/>
        <w:ind w:left="0" w:firstLine="0"/>
      </w:pPr>
      <w:r>
        <w:rPr>
          <w:szCs w:val="24"/>
        </w:rPr>
        <w:t xml:space="preserve">Interest in botanical repellents has increased because of demand for plant-derived and potentially more environmentally sustainable alternatives. Essential oils, plant extracts, and naturally occurring compounds have been investigated against </w:t>
      </w:r>
      <w:r>
        <w:rPr>
          <w:i/>
          <w:iCs/>
          <w:szCs w:val="24"/>
        </w:rPr>
        <w:t>Ae. aegypti</w:t>
      </w:r>
      <w:r>
        <w:rPr>
          <w:szCs w:val="24"/>
        </w:rPr>
        <w:t>, including cinnamon-derived preparations, Thai herbal essential oils, nootkatone, and several other botanical actives (6,7,9,10,15,16,21). However, plant origin alone does not necessarily indicate greater safety or effectiveness. Botanical repellents may differ substantially in chemical composition, volatility, concentration, formulation, toxicity, and duration of activity. Consequently, comparisons between natural and synthetic repellents should consider both efficacy and protection duration rather than source alone</w:t>
      </w:r>
      <w:r>
        <w:rPr>
          <w:szCs w:val="24"/>
          <w:lang w:val="en-ID"/>
        </w:rPr>
        <w:t xml:space="preserve">. </w:t>
      </w:r>
    </w:p>
    <w:p w14:paraId="2B7B3FD1" w14:textId="77777777" w:rsidR="00973470" w:rsidRDefault="00000000">
      <w:pPr>
        <w:spacing w:line="240" w:lineRule="auto"/>
        <w:ind w:left="0" w:firstLine="0"/>
      </w:pPr>
      <w:r>
        <w:rPr>
          <w:szCs w:val="24"/>
        </w:rPr>
        <w:t xml:space="preserve">Previous reviews have summarized evidence on mosquito repellents or selected botanical and synthetic agents (5–7). However, direct quantitative comparison of protection percentage (PP%) and complete protection time (CPT) between natural and synthetic repellents specifically evaluated against </w:t>
      </w:r>
      <w:r>
        <w:rPr>
          <w:i/>
          <w:iCs/>
          <w:szCs w:val="24"/>
        </w:rPr>
        <w:t>Ae. aegypti</w:t>
      </w:r>
      <w:r>
        <w:rPr>
          <w:szCs w:val="24"/>
        </w:rPr>
        <w:t xml:space="preserve"> remains limited. Differences in repellent concentration, formulation technology, exposure method, mosquito population, and laboratory versus field conditions may also contribute to substantial variability between studies. A comparative synthesis of these factors may therefore help clarify the relative performance of available repellent approaches and identify areas requiring further development</w:t>
      </w:r>
      <w:r>
        <w:rPr>
          <w:szCs w:val="24"/>
          <w:lang w:val="en-ID"/>
        </w:rPr>
        <w:t xml:space="preserve">. </w:t>
      </w:r>
    </w:p>
    <w:p w14:paraId="324BFAAF" w14:textId="77777777" w:rsidR="00973470" w:rsidRDefault="00000000">
      <w:pPr>
        <w:spacing w:line="240" w:lineRule="auto"/>
        <w:ind w:left="0" w:firstLine="0"/>
        <w:rPr>
          <w:szCs w:val="24"/>
          <w:lang w:val="en-ID"/>
        </w:rPr>
      </w:pPr>
      <w:r>
        <w:rPr>
          <w:szCs w:val="24"/>
        </w:rPr>
        <w:t xml:space="preserve">Accordingly, the primary objective of this systematic review and meta-analysis was to compare the efficacy, expressed as protection percentage (PP%), and duration of protection, expressed as complete protection time (CPT), of natural and synthetic repellents against </w:t>
      </w:r>
      <w:r>
        <w:rPr>
          <w:i/>
          <w:iCs/>
          <w:szCs w:val="24"/>
        </w:rPr>
        <w:t>Ae. aegypti</w:t>
      </w:r>
      <w:r>
        <w:rPr>
          <w:szCs w:val="24"/>
        </w:rPr>
        <w:t>. Secondary objectives were to identify individual formulations associated with comparatively high efficacy or prolonged protection and to examine methodological and formulation-related factors that may contribute to variation among studies</w:t>
      </w:r>
      <w:r>
        <w:rPr>
          <w:szCs w:val="24"/>
          <w:lang w:val="en-ID"/>
        </w:rPr>
        <w:t>.</w:t>
      </w:r>
    </w:p>
    <w:p w14:paraId="27DCE989" w14:textId="77777777" w:rsidR="00973470" w:rsidRDefault="00973470">
      <w:pPr>
        <w:spacing w:line="240" w:lineRule="auto"/>
        <w:ind w:left="0" w:firstLine="0"/>
        <w:rPr>
          <w:szCs w:val="24"/>
          <w:lang w:val="id-ID"/>
        </w:rPr>
      </w:pPr>
    </w:p>
    <w:p w14:paraId="60F7FE11" w14:textId="77777777" w:rsidR="00973470" w:rsidRDefault="00000000">
      <w:pPr>
        <w:spacing w:line="240" w:lineRule="auto"/>
        <w:ind w:left="0" w:firstLine="0"/>
        <w:rPr>
          <w:szCs w:val="24"/>
          <w:lang w:val="id-ID"/>
        </w:rPr>
      </w:pPr>
      <w:r>
        <w:rPr>
          <w:b/>
          <w:bCs/>
          <w:szCs w:val="24"/>
          <w:lang w:val="id-ID"/>
        </w:rPr>
        <w:t xml:space="preserve">Materials </w:t>
      </w:r>
      <w:r>
        <w:rPr>
          <w:b/>
          <w:bCs/>
          <w:szCs w:val="24"/>
        </w:rPr>
        <w:t>a</w:t>
      </w:r>
      <w:r>
        <w:rPr>
          <w:b/>
          <w:bCs/>
          <w:szCs w:val="24"/>
          <w:lang w:val="id-ID"/>
        </w:rPr>
        <w:t>nd Methods</w:t>
      </w:r>
    </w:p>
    <w:p w14:paraId="24DAAF17" w14:textId="77777777" w:rsidR="00973470" w:rsidRDefault="00973470">
      <w:pPr>
        <w:spacing w:line="240" w:lineRule="auto"/>
        <w:ind w:left="0" w:firstLine="0"/>
        <w:rPr>
          <w:b/>
          <w:bCs/>
          <w:szCs w:val="24"/>
          <w:lang w:val="en-ID"/>
        </w:rPr>
      </w:pPr>
    </w:p>
    <w:p w14:paraId="747BC1D2" w14:textId="77777777" w:rsidR="00973470" w:rsidRDefault="00000000">
      <w:pPr>
        <w:spacing w:line="240" w:lineRule="auto"/>
        <w:ind w:left="0" w:firstLine="0"/>
        <w:rPr>
          <w:b/>
          <w:bCs/>
          <w:szCs w:val="24"/>
          <w:lang w:val="en-ID"/>
        </w:rPr>
      </w:pPr>
      <w:r>
        <w:rPr>
          <w:b/>
          <w:bCs/>
          <w:szCs w:val="24"/>
          <w:lang w:val="en-ID"/>
        </w:rPr>
        <w:t>Protocol and Registration</w:t>
      </w:r>
    </w:p>
    <w:p w14:paraId="4AC78588" w14:textId="77777777" w:rsidR="00973470" w:rsidRDefault="00000000">
      <w:pPr>
        <w:spacing w:line="240" w:lineRule="auto"/>
        <w:ind w:left="0" w:firstLine="0"/>
        <w:rPr>
          <w:szCs w:val="24"/>
          <w:lang w:val="en-ID"/>
        </w:rPr>
      </w:pPr>
      <w:r>
        <w:rPr>
          <w:szCs w:val="24"/>
        </w:rPr>
        <w:t>This systematic review and meta-analysis was conducted in accordance with the Preferred Reporting Items for Systematic Reviews and Meta-Analyses (PRISMA) 2020 guidelines</w:t>
      </w:r>
      <w:r>
        <w:rPr>
          <w:szCs w:val="24"/>
          <w:lang w:val="en-ID"/>
        </w:rPr>
        <w:t xml:space="preserve">. The </w:t>
      </w:r>
      <w:r>
        <w:rPr>
          <w:szCs w:val="24"/>
        </w:rPr>
        <w:t>review</w:t>
      </w:r>
      <w:r>
        <w:rPr>
          <w:szCs w:val="24"/>
          <w:lang w:val="en-ID"/>
        </w:rPr>
        <w:t xml:space="preserve"> protocol was not prospectively registered.</w:t>
      </w:r>
      <w:r>
        <w:rPr>
          <w:szCs w:val="24"/>
        </w:rPr>
        <w:t xml:space="preserve"> Prospective registration was not undertaken because the review process had already commenced before protocol registration was considered. This is acknowledged as a methodological limitation, as prospective protocol registration can improve transparency and reduce the risk of selective methodological or outcome reporting.</w:t>
      </w:r>
    </w:p>
    <w:p w14:paraId="635A9024" w14:textId="77777777" w:rsidR="00973470" w:rsidRDefault="00973470">
      <w:pPr>
        <w:spacing w:line="240" w:lineRule="auto"/>
        <w:ind w:left="0" w:firstLine="0"/>
        <w:rPr>
          <w:b/>
          <w:bCs/>
          <w:szCs w:val="24"/>
          <w:lang w:val="en-ID"/>
        </w:rPr>
      </w:pPr>
    </w:p>
    <w:p w14:paraId="245897D6" w14:textId="77777777" w:rsidR="00973470" w:rsidRDefault="00000000">
      <w:pPr>
        <w:spacing w:line="240" w:lineRule="auto"/>
        <w:ind w:left="0" w:firstLine="0"/>
      </w:pPr>
      <w:r>
        <w:rPr>
          <w:b/>
          <w:bCs/>
          <w:szCs w:val="24"/>
          <w:lang w:val="en-ID"/>
        </w:rPr>
        <w:t>Inclusion Criteria</w:t>
      </w:r>
    </w:p>
    <w:p w14:paraId="75C5AFA6" w14:textId="77777777" w:rsidR="00973470" w:rsidRDefault="00000000">
      <w:pPr>
        <w:spacing w:line="240" w:lineRule="auto"/>
        <w:ind w:left="0" w:firstLine="0"/>
      </w:pPr>
      <w:r>
        <w:rPr>
          <w:szCs w:val="24"/>
          <w:lang w:val="en-ID"/>
        </w:rPr>
        <w:t xml:space="preserve">Studies were included if: (1) they tested topical or wearable repellent formulations (synthetic or natural) against </w:t>
      </w:r>
      <w:r>
        <w:rPr>
          <w:i/>
          <w:iCs/>
          <w:szCs w:val="24"/>
          <w:lang w:val="en-ID"/>
        </w:rPr>
        <w:t>Ae. aegypti</w:t>
      </w:r>
      <w:r>
        <w:rPr>
          <w:szCs w:val="24"/>
          <w:lang w:val="en-ID"/>
        </w:rPr>
        <w:t xml:space="preserve"> in laboratory or field conditions; (2) they provided quantitative efficacy data as protection percentage (PP%) and/or complete protection time (CPT in hours); (3) they were published in peer-reviewed journals in the English language from 2004 to 2025; and (4) they used at least one validated exposure method (arm-in-cage, tunnel assay, cage assay, or field landing rate).</w:t>
      </w:r>
      <w:r>
        <w:t xml:space="preserve"> The lower publication-date limit of 2004 was predefined to focus the review on contemporary repellent formulations and testing approaches and was not intended to imply that studies published before 2004 were necessarily of lower methodological quality. </w:t>
      </w:r>
      <w:r>
        <w:rPr>
          <w:szCs w:val="24"/>
        </w:rPr>
        <w:t xml:space="preserve">Studies were excluded if they: (1) did not report PP% or CPT; (2) did not provide data specific to </w:t>
      </w:r>
      <w:r>
        <w:rPr>
          <w:i/>
          <w:iCs/>
          <w:szCs w:val="24"/>
        </w:rPr>
        <w:t>Ae. aegypti</w:t>
      </w:r>
      <w:r>
        <w:rPr>
          <w:szCs w:val="24"/>
        </w:rPr>
        <w:t xml:space="preserve">; (3) evaluated only larvicidal or adulticidal activity </w:t>
      </w:r>
      <w:r>
        <w:rPr>
          <w:szCs w:val="24"/>
        </w:rPr>
        <w:lastRenderedPageBreak/>
        <w:t>without repellency outcomes; (4) were conference abstracts, theses, or other non-peer-reviewed publications; or (5) reported duplicate data from the same study population</w:t>
      </w:r>
      <w:r>
        <w:rPr>
          <w:szCs w:val="24"/>
          <w:lang w:val="en-ID"/>
        </w:rPr>
        <w:t>.</w:t>
      </w:r>
    </w:p>
    <w:p w14:paraId="3BF07B60" w14:textId="77777777" w:rsidR="00973470" w:rsidRDefault="00973470">
      <w:pPr>
        <w:spacing w:line="240" w:lineRule="auto"/>
        <w:ind w:left="0" w:firstLine="0"/>
        <w:rPr>
          <w:b/>
          <w:bCs/>
          <w:szCs w:val="24"/>
          <w:lang w:val="en-ID"/>
        </w:rPr>
      </w:pPr>
    </w:p>
    <w:p w14:paraId="13B9E652" w14:textId="77777777" w:rsidR="00973470" w:rsidRDefault="00000000">
      <w:pPr>
        <w:spacing w:line="240" w:lineRule="auto"/>
        <w:ind w:left="0" w:firstLine="0"/>
        <w:rPr>
          <w:b/>
          <w:bCs/>
          <w:szCs w:val="24"/>
          <w:highlight w:val="yellow"/>
        </w:rPr>
      </w:pPr>
      <w:r>
        <w:rPr>
          <w:b/>
          <w:bCs/>
          <w:szCs w:val="24"/>
        </w:rPr>
        <w:t>Outcome Definitions</w:t>
      </w:r>
    </w:p>
    <w:p w14:paraId="5DC5A676" w14:textId="77777777" w:rsidR="00973470" w:rsidRDefault="00000000">
      <w:pPr>
        <w:spacing w:line="240" w:lineRule="auto"/>
        <w:ind w:left="0" w:firstLine="0"/>
        <w:rPr>
          <w:szCs w:val="24"/>
          <w:lang w:val="en-ID"/>
        </w:rPr>
      </w:pPr>
      <w:r>
        <w:rPr>
          <w:szCs w:val="24"/>
          <w:lang w:val="en-ID"/>
        </w:rPr>
        <w:t>Protection percentage (PP%) was defined as the percentage reduction in mosquito bites or landings in the repellent-treated condition relative to the untreated control condition and is conventionally expressed as PP% = [(C − T) / C] × 100, where C represents the number of bites or landings in the control condition and T represents the number of bites or landings in the repellent-treated condition. PP% values were extracted from the original studies as reported. Complete protection time (CPT) was defined as the duration from repellent application until the study-defined endpoint indicating loss of complete protection, commonly the first confirmed mosquito bite. CPT values were extracted as reported in the original articles and converted to hours when necessary to standardize the unit of measurement across studies.</w:t>
      </w:r>
    </w:p>
    <w:p w14:paraId="028FF26F" w14:textId="77777777" w:rsidR="00973470" w:rsidRDefault="00973470">
      <w:pPr>
        <w:spacing w:line="240" w:lineRule="auto"/>
        <w:ind w:left="0" w:firstLine="0"/>
        <w:rPr>
          <w:szCs w:val="24"/>
          <w:lang w:val="en-ID"/>
        </w:rPr>
      </w:pPr>
    </w:p>
    <w:p w14:paraId="67543F93" w14:textId="77777777" w:rsidR="00973470" w:rsidRDefault="00000000">
      <w:pPr>
        <w:spacing w:line="240" w:lineRule="auto"/>
        <w:ind w:left="0" w:firstLine="0"/>
        <w:jc w:val="left"/>
        <w:rPr>
          <w:szCs w:val="24"/>
          <w:highlight w:val="yellow"/>
        </w:rPr>
      </w:pPr>
      <w:r>
        <w:rPr>
          <w:b/>
          <w:bCs/>
          <w:szCs w:val="24"/>
        </w:rPr>
        <w:t>Operational Classification of Repellents</w:t>
      </w:r>
    </w:p>
    <w:p w14:paraId="2617CD89" w14:textId="77777777" w:rsidR="00973470" w:rsidRDefault="00000000">
      <w:pPr>
        <w:spacing w:line="240" w:lineRule="auto"/>
        <w:ind w:left="0" w:firstLine="0"/>
        <w:rPr>
          <w:szCs w:val="24"/>
          <w:lang w:val="en-ID"/>
        </w:rPr>
      </w:pPr>
      <w:r>
        <w:rPr>
          <w:szCs w:val="24"/>
        </w:rPr>
        <w:t>For the purposes of this review, repellent formulations were categorized according to the origin and description of the principal active ingredient reported in the original studies. Synthetic repellents included conventionally manufactured chemical repellents such as DEET, picaridin, IR3535, and transfluthrin, whereas botanical or natural repellents included plant extracts, essential oils, and plant-derived active compounds. This classification was used as an operational framework for evidence synthesis and should not be interpreted as an absolute chemical distinction. Some compounds, including nootkatone, may occur naturally but can also be produced synthetically; therefore, the distinction between natural and synthetic repellents represents a continuum rather than a strict binary classification.</w:t>
      </w:r>
    </w:p>
    <w:p w14:paraId="7A34D729" w14:textId="77777777" w:rsidR="00973470" w:rsidRDefault="00973470">
      <w:pPr>
        <w:spacing w:line="240" w:lineRule="auto"/>
        <w:ind w:left="0" w:firstLine="0"/>
        <w:rPr>
          <w:b/>
          <w:bCs/>
          <w:szCs w:val="24"/>
          <w:lang w:val="en-ID"/>
        </w:rPr>
      </w:pPr>
    </w:p>
    <w:p w14:paraId="582F2A4B" w14:textId="77777777" w:rsidR="00973470" w:rsidRDefault="00000000">
      <w:pPr>
        <w:spacing w:line="240" w:lineRule="auto"/>
        <w:ind w:left="0" w:firstLine="0"/>
        <w:rPr>
          <w:b/>
          <w:bCs/>
          <w:szCs w:val="24"/>
          <w:lang w:val="en-ID"/>
        </w:rPr>
      </w:pPr>
      <w:r>
        <w:rPr>
          <w:b/>
          <w:bCs/>
          <w:szCs w:val="24"/>
          <w:lang w:val="en-ID"/>
        </w:rPr>
        <w:t>Sources of Information and Search Strategy</w:t>
      </w:r>
    </w:p>
    <w:p w14:paraId="24765664" w14:textId="77777777" w:rsidR="00973470" w:rsidRDefault="00000000">
      <w:pPr>
        <w:spacing w:line="240" w:lineRule="auto"/>
        <w:ind w:left="0" w:firstLine="0"/>
        <w:rPr>
          <w:szCs w:val="24"/>
          <w:lang w:val="en-ID"/>
        </w:rPr>
      </w:pPr>
      <w:r>
        <w:rPr>
          <w:szCs w:val="24"/>
        </w:rPr>
        <w:t xml:space="preserve">A systematic search was performed in PubMed/MEDLINE, Scopus, Web of Science, and Embase in March 2025. The database search combined the target species with general repellent terms, specific repellent compounds, botanical formulations, and efficacy outcomes. The core search strategy was: </w:t>
      </w:r>
      <w:r>
        <w:rPr>
          <w:i/>
          <w:iCs/>
          <w:szCs w:val="24"/>
        </w:rPr>
        <w:t>Aedes aegypti</w:t>
      </w:r>
      <w:r>
        <w:rPr>
          <w:szCs w:val="24"/>
        </w:rPr>
        <w:t xml:space="preserve"> AND repellent AND (DEET OR picaridin OR IR3535 OR essential oil OR botanical OR natural repellent OR plant extract OR protection percentage OR complete protection time). The syntax was adapted as necessary for each database. Terms describing specific experimental procedures, such as arm-in-cage, tunnel assay, cage assay, and field landing rate, were not required as database search terms because these procedures were assessed during full-text eligibility screening. Additional potentially eligible studies were identified through manual screening of the reference lists of included studies and relevant review articles</w:t>
      </w:r>
      <w:r>
        <w:rPr>
          <w:szCs w:val="24"/>
          <w:lang w:val="en-ID"/>
        </w:rPr>
        <w:t xml:space="preserve">. </w:t>
      </w:r>
      <w:r>
        <w:rPr>
          <w:szCs w:val="24"/>
        </w:rPr>
        <w:t>Grey literature was not systematically searched because the eligibility criteria were restricted to full-text articles published in peer-reviewed journals.</w:t>
      </w:r>
    </w:p>
    <w:p w14:paraId="6ADCF751" w14:textId="77777777" w:rsidR="00973470" w:rsidRDefault="00973470">
      <w:pPr>
        <w:spacing w:line="240" w:lineRule="auto"/>
        <w:ind w:left="0" w:firstLine="0"/>
        <w:rPr>
          <w:b/>
          <w:bCs/>
          <w:szCs w:val="24"/>
          <w:lang w:val="en-ID"/>
        </w:rPr>
      </w:pPr>
    </w:p>
    <w:p w14:paraId="3A08D916" w14:textId="77777777" w:rsidR="00973470" w:rsidRDefault="00000000">
      <w:pPr>
        <w:spacing w:line="240" w:lineRule="auto"/>
        <w:ind w:left="0" w:firstLine="0"/>
        <w:rPr>
          <w:b/>
          <w:bCs/>
          <w:szCs w:val="24"/>
        </w:rPr>
      </w:pPr>
      <w:r>
        <w:rPr>
          <w:b/>
          <w:bCs/>
          <w:szCs w:val="24"/>
        </w:rPr>
        <w:t xml:space="preserve">Study Selection </w:t>
      </w:r>
    </w:p>
    <w:p w14:paraId="007CE1CF" w14:textId="77777777" w:rsidR="00973470" w:rsidRDefault="00000000">
      <w:pPr>
        <w:spacing w:line="240" w:lineRule="auto"/>
        <w:ind w:left="0" w:firstLine="0"/>
      </w:pPr>
      <w:r>
        <w:rPr>
          <w:szCs w:val="24"/>
        </w:rPr>
        <w:t>All records identified from PubMed/MEDLINE, Scopus, Web of Science, and Embase were imported into Rayyan systematic review software (39). Duplicate records were removed before screening. Two reviewers independently screened titles and abstracts according to the predefined eligibility criteria. Potentially eligible articles underwent independent full-text assessment by the same reviewers. Reasons for exclusion at the full-text stage were recorded. Any disagreement regarding eligibility was resolved through discussion and consensus or, when necessary, consultation with a third reviewer. The complete study-selection process was documented using a PRISMA 2020 flow diagram (Fig. 1)</w:t>
      </w:r>
      <w:r>
        <w:rPr>
          <w:szCs w:val="24"/>
          <w:lang w:val="en-ID"/>
        </w:rPr>
        <w:t>.</w:t>
      </w:r>
    </w:p>
    <w:p w14:paraId="51EF7A3F" w14:textId="77777777" w:rsidR="00973470" w:rsidRDefault="00973470">
      <w:pPr>
        <w:spacing w:line="240" w:lineRule="auto"/>
        <w:ind w:left="0" w:firstLine="0"/>
        <w:rPr>
          <w:b/>
          <w:bCs/>
          <w:szCs w:val="24"/>
          <w:lang w:val="en-ID"/>
        </w:rPr>
      </w:pPr>
    </w:p>
    <w:p w14:paraId="6B3197A1" w14:textId="77777777" w:rsidR="00973470" w:rsidRDefault="00000000">
      <w:pPr>
        <w:spacing w:line="240" w:lineRule="auto"/>
        <w:ind w:left="0" w:firstLine="0"/>
        <w:rPr>
          <w:b/>
          <w:bCs/>
          <w:szCs w:val="24"/>
          <w:lang w:val="en-ID"/>
        </w:rPr>
      </w:pPr>
      <w:r>
        <w:rPr>
          <w:b/>
          <w:bCs/>
          <w:szCs w:val="24"/>
          <w:lang w:val="en-ID"/>
        </w:rPr>
        <w:lastRenderedPageBreak/>
        <w:t xml:space="preserve">Data </w:t>
      </w:r>
      <w:r>
        <w:rPr>
          <w:b/>
          <w:bCs/>
          <w:szCs w:val="24"/>
        </w:rPr>
        <w:t>Extraction</w:t>
      </w:r>
    </w:p>
    <w:p w14:paraId="6892F180" w14:textId="77777777" w:rsidR="00973470" w:rsidRDefault="00000000">
      <w:pPr>
        <w:spacing w:line="240" w:lineRule="auto"/>
        <w:ind w:left="0" w:firstLine="0"/>
      </w:pPr>
      <w:r>
        <w:rPr>
          <w:szCs w:val="24"/>
        </w:rPr>
        <w:t>Two reviewers independently extracted data from each included study. The extracted variables included first author, year of publication, country, study design and setting, repellent category (natural or synthetic), active ingredient or formulation, concentration, mosquito strain or population when reported, exposure or testing method, protection percentage (PP%), complete protection time (CPT), sample size (n), and other relevant methodological characteristics. The meaning of sample size was recorded according to the original study and could represent human participants or experimental replicates depending on the study design. PP% and CPT values were extracted as reported in the original articles and standardized according to the outcome definitions described above. Any discrepancies between the two reviewers were resolved through discussion and consensus</w:t>
      </w:r>
      <w:r>
        <w:rPr>
          <w:szCs w:val="24"/>
          <w:lang w:val="en-ID"/>
        </w:rPr>
        <w:t>.</w:t>
      </w:r>
    </w:p>
    <w:p w14:paraId="684798A2" w14:textId="77777777" w:rsidR="00973470" w:rsidRDefault="00973470">
      <w:pPr>
        <w:spacing w:line="240" w:lineRule="auto"/>
        <w:ind w:left="0" w:firstLine="0"/>
        <w:rPr>
          <w:b/>
          <w:bCs/>
          <w:szCs w:val="24"/>
          <w:lang w:val="en-ID"/>
        </w:rPr>
      </w:pPr>
    </w:p>
    <w:p w14:paraId="1DB77697" w14:textId="77777777" w:rsidR="00973470" w:rsidRDefault="00000000">
      <w:pPr>
        <w:spacing w:line="240" w:lineRule="auto"/>
        <w:ind w:left="0" w:firstLine="0"/>
        <w:rPr>
          <w:b/>
          <w:bCs/>
          <w:szCs w:val="24"/>
          <w:lang w:val="en-ID"/>
        </w:rPr>
      </w:pPr>
      <w:r>
        <w:rPr>
          <w:b/>
          <w:bCs/>
          <w:szCs w:val="24"/>
          <w:lang w:val="en-ID"/>
        </w:rPr>
        <w:t xml:space="preserve">Statistical Analysis </w:t>
      </w:r>
    </w:p>
    <w:p w14:paraId="224D3C60" w14:textId="77777777" w:rsidR="00973470" w:rsidRDefault="00000000">
      <w:pPr>
        <w:spacing w:line="240" w:lineRule="auto"/>
        <w:ind w:left="0" w:firstLine="0"/>
        <w:rPr>
          <w:szCs w:val="24"/>
          <w:lang w:val="en-ID"/>
        </w:rPr>
      </w:pPr>
      <w:r>
        <w:t>Meta-analysis was performed using a random-effects model (DerSimonian-Laird estimator) to account for expected between-study heterogeneity. The logit-transformed protection proportion was used as the primary effect measure for pooling PP%, with pooled estimates subsequently back-transformed to the percentage scale for interpretation. The logit transformation was selected because protection percentage is bounded between 0% and 100% and may have an asymmetric sampling distribution, particularly when estimates approach the boundaries of the proportion scale. For each study, PP% was converted to a proportion (p = PP%/100) and transformed to the logit scale as ln[p/(1−p)]. The corresponding standard error was approximated as SE = √[1/(np) + 1/{n(1−p)}], where n represented the reported sample size or analytic unit used in the quantitative dataset. Study-level confidence intervals were calculated on the logit scale and subsequently back-transformed to proportions for presentation. Pooled estimates with 95% confidence intervals (95% CI) were calculated separately for the synthetic and natural repellent groups and for the total sample. Heterogeneity was assessed using I² statistics and Cochran’s Q test; I² &gt; 50% was considered substantial heterogeneity. Subgroup analyses were conducted by repellent category. Study-specific uncertainty estimates were based on the statistical information available from the original studies. The sample-size variable was interpreted according to each study design and was not assumed to represent a uniform analytic denominator across all studies. No study-level PP% estimate included in the quantitative synthesis was exactly 0% or 100%; therefore, no continuity correction for boundary values was required. Prediction intervals were also calculated to reflect the expected range of effects across comparable future studies. Potential small-study effects and publication bias were assessed by visual inspection of residual funnel plots. Funnel-plot findings were interpreted cautiously because asymmetry may also arise from between-study heterogeneity, differences in study precision, and uncertainty in study-specific standard-error estimates.</w:t>
      </w:r>
    </w:p>
    <w:p w14:paraId="0811E73A" w14:textId="77777777" w:rsidR="00973470" w:rsidRDefault="00973470">
      <w:pPr>
        <w:spacing w:line="240" w:lineRule="auto"/>
        <w:ind w:left="0" w:firstLine="0"/>
        <w:rPr>
          <w:b/>
          <w:bCs/>
          <w:szCs w:val="24"/>
          <w:lang w:val="en-ID"/>
        </w:rPr>
      </w:pPr>
    </w:p>
    <w:p w14:paraId="31E03FF6" w14:textId="77777777" w:rsidR="00973470" w:rsidRDefault="00000000">
      <w:pPr>
        <w:spacing w:line="240" w:lineRule="auto"/>
        <w:ind w:left="0" w:firstLine="0"/>
        <w:rPr>
          <w:b/>
          <w:bCs/>
          <w:szCs w:val="24"/>
          <w:lang w:val="en-ID"/>
        </w:rPr>
      </w:pPr>
      <w:r>
        <w:rPr>
          <w:b/>
          <w:bCs/>
          <w:szCs w:val="24"/>
          <w:lang w:val="en-ID"/>
        </w:rPr>
        <w:t xml:space="preserve">Risk of Bias Assessment </w:t>
      </w:r>
    </w:p>
    <w:p w14:paraId="03029A6F" w14:textId="77777777" w:rsidR="00973470" w:rsidRDefault="00000000">
      <w:pPr>
        <w:spacing w:line="240" w:lineRule="auto"/>
        <w:ind w:left="0" w:firstLine="0"/>
        <w:rPr>
          <w:szCs w:val="24"/>
          <w:lang w:val="en-ID"/>
        </w:rPr>
      </w:pPr>
      <w:r>
        <w:rPr>
          <w:szCs w:val="24"/>
        </w:rPr>
        <w:t xml:space="preserve">Risk of bias was assessed independently by two reviewers using design-appropriate assessment approaches. Randomized controlled studies were evaluated using the Cochrane Risk of Bias 2 (RoB 2) tool (43). Non-randomized, quasi-experimental, field experimental, and laboratory experimental studies were evaluated using an adapted ROBINS-I framework (44), with consideration of bias related to participant or experimental-unit selection, classification and implementation of interventions, deviations from intended procedures, missing outcome data, outcome measurement, and selective reporting. Disagreements between reviewers were resolved through discussion and consensus. For consistency of presentation across study designs, overall judgments were harmonized as low risk, some concerns, or high risk. ROBINS-I judgments corresponding to moderate risk were reported as </w:t>
      </w:r>
      <w:r>
        <w:rPr>
          <w:szCs w:val="24"/>
        </w:rPr>
        <w:lastRenderedPageBreak/>
        <w:t>some concerns, whereas serious or critical concerns were categorized as high risk. The overall judgments are summarized in Table 1 and Figure 4</w:t>
      </w:r>
      <w:r>
        <w:rPr>
          <w:szCs w:val="24"/>
          <w:lang w:val="en-ID"/>
        </w:rPr>
        <w:t>.</w:t>
      </w:r>
    </w:p>
    <w:p w14:paraId="15EB548A" w14:textId="77777777" w:rsidR="00973470" w:rsidRDefault="00973470">
      <w:pPr>
        <w:spacing w:line="240" w:lineRule="auto"/>
        <w:ind w:left="0" w:firstLine="0"/>
        <w:rPr>
          <w:szCs w:val="24"/>
          <w:lang w:val="id-ID"/>
        </w:rPr>
      </w:pPr>
    </w:p>
    <w:p w14:paraId="0016FF2A" w14:textId="77777777" w:rsidR="00973470" w:rsidRDefault="00000000">
      <w:pPr>
        <w:spacing w:line="240" w:lineRule="auto"/>
        <w:ind w:left="0" w:firstLine="0"/>
        <w:rPr>
          <w:szCs w:val="24"/>
          <w:lang w:val="id-ID"/>
        </w:rPr>
      </w:pPr>
      <w:r>
        <w:rPr>
          <w:b/>
          <w:bCs/>
          <w:szCs w:val="24"/>
          <w:lang w:val="id-ID"/>
        </w:rPr>
        <w:t>Results</w:t>
      </w:r>
    </w:p>
    <w:p w14:paraId="0D47AE40" w14:textId="77777777" w:rsidR="00973470" w:rsidRDefault="00973470">
      <w:pPr>
        <w:spacing w:line="240" w:lineRule="auto"/>
        <w:ind w:left="0" w:firstLine="0"/>
        <w:rPr>
          <w:b/>
          <w:bCs/>
          <w:szCs w:val="24"/>
          <w:lang w:val="en-ID"/>
        </w:rPr>
      </w:pPr>
    </w:p>
    <w:p w14:paraId="11F48560" w14:textId="77777777" w:rsidR="00973470" w:rsidRDefault="00000000">
      <w:pPr>
        <w:spacing w:line="240" w:lineRule="auto"/>
        <w:ind w:left="0" w:firstLine="0"/>
        <w:rPr>
          <w:b/>
          <w:bCs/>
          <w:szCs w:val="24"/>
          <w:lang w:val="en-ID"/>
        </w:rPr>
      </w:pPr>
      <w:r>
        <w:rPr>
          <w:b/>
          <w:bCs/>
          <w:szCs w:val="24"/>
          <w:lang w:val="en-ID"/>
        </w:rPr>
        <w:t>Study Selection</w:t>
      </w:r>
    </w:p>
    <w:p w14:paraId="6CAD76E1" w14:textId="77777777" w:rsidR="00973470" w:rsidRDefault="00000000">
      <w:pPr>
        <w:spacing w:line="240" w:lineRule="auto"/>
        <w:ind w:left="0" w:firstLine="0"/>
        <w:rPr>
          <w:szCs w:val="24"/>
        </w:rPr>
      </w:pPr>
      <w:r>
        <w:rPr>
          <w:szCs w:val="24"/>
        </w:rPr>
        <w:t>The database search identified 2,847 records (PubMed: n=1,124; Scopus: n=892; Web of Science: n=631; Embase: n=200). An additional 143 records were identified through manual screening of reference lists from relevant articles and reviews. After removal of 780 duplicate records, 2,210 records underwent title and abstract screening. Of these, 2,042 records were excluded, and 168 full-text articles were assessed for eligibility. A total of 138 full-text articles were excluded because they did not meet the eligible study-design or repellency-testing criteria (n=45), did not report PP% or CPT data (n=38), did not provide relevant Aedes aegypti data (n=31), or contained duplicate or overlapping data (n=24). Thirty primary studies were included in the final quantitative synthesis (Fig. 1). During revision, secondary review articles were not retained as independent quantitative units because of the potential for double counting; their reference lists were instead used to verify eligible non-overlapping primary studies.</w:t>
      </w:r>
    </w:p>
    <w:p w14:paraId="55B67690" w14:textId="77777777" w:rsidR="00973470" w:rsidRDefault="00973470">
      <w:pPr>
        <w:spacing w:line="240" w:lineRule="auto"/>
        <w:ind w:left="0" w:firstLine="0"/>
        <w:rPr>
          <w:szCs w:val="24"/>
        </w:rPr>
      </w:pPr>
    </w:p>
    <w:p w14:paraId="53EF5E6F" w14:textId="6E2F89A4" w:rsidR="00973470" w:rsidRDefault="00000000">
      <w:pPr>
        <w:spacing w:line="240" w:lineRule="auto"/>
        <w:ind w:left="0" w:firstLine="0"/>
        <w:jc w:val="center"/>
        <w:rPr>
          <w:szCs w:val="24"/>
        </w:rPr>
      </w:pPr>
      <w:r>
        <w:rPr>
          <w:noProof/>
          <w:szCs w:val="24"/>
        </w:rPr>
        <w:pict w14:anchorId="7A2682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 o:spid="_x0000_i1028" type="#_x0000_t75" style="width:450.75pt;height:432.75pt;visibility:visible;mso-wrap-style:square">
            <v:imagedata r:id="rId5" o:title="" croptop="-2f" cropbottom="3837f" cropleft="-2f" cropright="-2f"/>
          </v:shape>
        </w:pict>
      </w:r>
    </w:p>
    <w:p w14:paraId="2106A649" w14:textId="77777777" w:rsidR="00973470" w:rsidRDefault="00000000">
      <w:pPr>
        <w:spacing w:line="240" w:lineRule="auto"/>
        <w:ind w:left="0" w:firstLine="0"/>
        <w:jc w:val="center"/>
        <w:rPr>
          <w:szCs w:val="24"/>
        </w:rPr>
      </w:pPr>
      <w:r>
        <w:rPr>
          <w:szCs w:val="24"/>
        </w:rPr>
        <w:lastRenderedPageBreak/>
        <w:t>Figure 1. PRISMA 2020 flow diagram showing identification, screening, eligibility assessment, exclusions, and final inclusion of studies in the systematic review and quantitative synthesis.</w:t>
      </w:r>
    </w:p>
    <w:p w14:paraId="17260FD2" w14:textId="77777777" w:rsidR="00973470" w:rsidRDefault="00000000">
      <w:pPr>
        <w:spacing w:line="240" w:lineRule="auto"/>
        <w:ind w:left="0" w:firstLine="0"/>
        <w:rPr>
          <w:b/>
          <w:bCs/>
          <w:szCs w:val="24"/>
          <w:lang w:val="en-ID"/>
        </w:rPr>
      </w:pPr>
      <w:r>
        <w:rPr>
          <w:b/>
          <w:bCs/>
          <w:szCs w:val="24"/>
          <w:lang w:val="en-ID"/>
        </w:rPr>
        <w:t xml:space="preserve">Characteristics of Included Studies </w:t>
      </w:r>
    </w:p>
    <w:p w14:paraId="2A39A1D7" w14:textId="77777777" w:rsidR="00973470" w:rsidRDefault="00000000">
      <w:pPr>
        <w:spacing w:line="240" w:lineRule="auto"/>
        <w:ind w:left="0" w:firstLine="0"/>
      </w:pPr>
      <w:r>
        <w:rPr>
          <w:szCs w:val="24"/>
        </w:rPr>
        <w:t>The 30 included studies were published between 2004 and 2025 and evaluated a range of synthetic and botanical repellent formulations. Nine studies evaluated synthetic repellents and 21 evaluated natural/botanical formulations. Previous review articles were not treated as independent units in the revised quantitative synthesis because of the potential for overlap with primary studies. Instead, eligible primary studies were used as the units of analysis. Three eligible primary studies incorporated in the revised quantitative dataset were Mittal et al., Mukesh et al., and Soonwera (40–42). Study characteristics are summarized in Table 1</w:t>
      </w:r>
      <w:r>
        <w:rPr>
          <w:szCs w:val="24"/>
          <w:lang w:val="en-ID"/>
        </w:rPr>
        <w:t>.</w:t>
      </w:r>
    </w:p>
    <w:p w14:paraId="00027194" w14:textId="77777777" w:rsidR="00973470" w:rsidRDefault="00973470">
      <w:pPr>
        <w:spacing w:line="240" w:lineRule="auto"/>
        <w:ind w:left="0" w:firstLine="0"/>
        <w:rPr>
          <w:szCs w:val="24"/>
          <w:lang w:val="en-ID"/>
        </w:rPr>
      </w:pPr>
    </w:p>
    <w:p w14:paraId="78CBDE47" w14:textId="77777777" w:rsidR="00973470" w:rsidRDefault="00000000">
      <w:pPr>
        <w:spacing w:line="240" w:lineRule="auto"/>
        <w:ind w:left="0" w:firstLine="0"/>
        <w:rPr>
          <w:b/>
          <w:bCs/>
          <w:szCs w:val="24"/>
          <w:lang w:val="en-ID"/>
        </w:rPr>
      </w:pPr>
      <w:r>
        <w:rPr>
          <w:b/>
          <w:bCs/>
          <w:szCs w:val="24"/>
          <w:lang w:val="en-ID"/>
        </w:rPr>
        <w:t xml:space="preserve">Forest Plot and Pooled Estimates </w:t>
      </w:r>
    </w:p>
    <w:p w14:paraId="401B4DBE" w14:textId="77777777" w:rsidR="00973470" w:rsidRPr="00956D4B" w:rsidRDefault="00000000">
      <w:pPr>
        <w:spacing w:line="240" w:lineRule="auto"/>
        <w:ind w:left="0" w:firstLine="0"/>
        <w:rPr>
          <w:szCs w:val="24"/>
          <w:lang w:val="en-ID"/>
        </w:rPr>
      </w:pPr>
      <w:r w:rsidRPr="00956D4B">
        <w:rPr>
          <w:szCs w:val="24"/>
          <w:lang w:val="en-ID"/>
        </w:rPr>
        <w:t>Figure 2 presents study-specific and pooled protection percentages (PP%) for nine synthetic-repellent and 21 natural/botanical-repellent studies. Random-effects meta-analysis showed a pooled PP% of 91.5% (95% CI: 87.1–94.5%) for synthetic repellents and 69.1% (95% CI: 64.2–73.6%) for natural/botanical repellents. The subgroup-difference test was statistically significant (Q_M(1) = 46.86, p &lt; 0.001), indicating higher pooled protection in the synthetic category. This represents a between-study subgroup comparison rather than a pooled head-to-head treatment effect. The overall pooled estimate was approximately 78% (95% CI: 72–83%).</w:t>
      </w:r>
    </w:p>
    <w:p w14:paraId="0CF85FB3" w14:textId="34554BC1" w:rsidR="00973470" w:rsidRPr="00956D4B" w:rsidRDefault="00000000">
      <w:pPr>
        <w:spacing w:line="240" w:lineRule="auto"/>
        <w:ind w:left="0" w:firstLine="0"/>
        <w:rPr>
          <w:szCs w:val="24"/>
          <w:lang w:val="en-ID"/>
        </w:rPr>
      </w:pPr>
      <w:r w:rsidRPr="00956D4B">
        <w:rPr>
          <w:szCs w:val="24"/>
          <w:lang w:val="en-ID"/>
        </w:rPr>
        <w:t>Heterogeneity was substantial with</w:t>
      </w:r>
      <w:r w:rsidR="00956D4B">
        <w:rPr>
          <w:szCs w:val="24"/>
          <w:lang w:val="en-ID"/>
        </w:rPr>
        <w:t xml:space="preserve"> </w:t>
      </w:r>
      <w:r w:rsidRPr="00956D4B">
        <w:rPr>
          <w:szCs w:val="24"/>
          <w:lang w:val="en-ID"/>
        </w:rPr>
        <w:t>in both subgroups. For synthetic repellents, heterogeneity was Q(8) = 18.31, p = 0.019; I² = 56.31%; τ² = 0.169, whereas for natural/botanical repellents it was Q(20) = 53.83, p &lt; 0.001; I² = 62.85%; τ² = 0.145. Overall heterogeneity was higher (I² = 85.45%). The 95% prediction intervals were 78.8–96.9% for synthetic repellents and 49.5–83.7% for natural/botanical repellents, indicating greater between-study variation among natural formulations.</w:t>
      </w:r>
    </w:p>
    <w:p w14:paraId="2F7C157E" w14:textId="77777777" w:rsidR="00973470" w:rsidRDefault="00973470">
      <w:pPr>
        <w:spacing w:line="240" w:lineRule="auto"/>
        <w:ind w:left="0" w:firstLine="0"/>
        <w:rPr>
          <w:szCs w:val="24"/>
          <w:lang w:val="en-ID"/>
        </w:rPr>
      </w:pPr>
    </w:p>
    <w:p w14:paraId="465156D8" w14:textId="77777777" w:rsidR="00973470" w:rsidRDefault="00000000">
      <w:pPr>
        <w:spacing w:line="240" w:lineRule="auto"/>
        <w:ind w:left="0" w:firstLine="0"/>
        <w:rPr>
          <w:b/>
          <w:bCs/>
          <w:szCs w:val="24"/>
          <w:lang w:val="en-ID"/>
        </w:rPr>
      </w:pPr>
      <w:r>
        <w:rPr>
          <w:b/>
          <w:bCs/>
          <w:szCs w:val="24"/>
          <w:lang w:val="en-ID"/>
        </w:rPr>
        <w:t xml:space="preserve">Complete Protection Time (CPT) </w:t>
      </w:r>
    </w:p>
    <w:p w14:paraId="397D6EAA" w14:textId="77777777" w:rsidR="00973470" w:rsidRDefault="00000000">
      <w:pPr>
        <w:spacing w:line="240" w:lineRule="auto"/>
        <w:ind w:left="0" w:firstLine="0"/>
      </w:pPr>
      <w:r>
        <w:rPr>
          <w:szCs w:val="24"/>
        </w:rPr>
        <w:t>Complete protection time was summarized descriptively because measures of variance required for formal inverse-variance pooling were not consistently reported across all included studies. Among the nine synthetic-repellent studies, the mean reported CPT was 5.97 h (SD 0.90 h; range 4.8–7.2 h). Among the 21 natural/botanical-repellent studies, the mean reported CPT was 2.91 h (SD 1.02 h; range 1.08–5.0 h). Synthetic formulations therefore showed substantially longer reported protection duration overall, although considerable variation was observed across formulations and testing conditions</w:t>
      </w:r>
      <w:r>
        <w:rPr>
          <w:szCs w:val="24"/>
          <w:lang w:val="en-ID"/>
        </w:rPr>
        <w:t>.</w:t>
      </w:r>
    </w:p>
    <w:p w14:paraId="1C0B5391" w14:textId="77777777" w:rsidR="00973470" w:rsidRDefault="00973470">
      <w:pPr>
        <w:spacing w:line="240" w:lineRule="auto"/>
        <w:ind w:left="0" w:firstLine="0"/>
        <w:rPr>
          <w:b/>
          <w:bCs/>
          <w:szCs w:val="24"/>
          <w:lang w:val="en-ID"/>
        </w:rPr>
      </w:pPr>
    </w:p>
    <w:p w14:paraId="7991930D" w14:textId="77777777" w:rsidR="00973470" w:rsidRDefault="00000000">
      <w:pPr>
        <w:spacing w:line="240" w:lineRule="auto"/>
        <w:ind w:left="0" w:firstLine="0"/>
        <w:rPr>
          <w:b/>
          <w:bCs/>
          <w:szCs w:val="24"/>
          <w:lang w:val="en-ID"/>
        </w:rPr>
      </w:pPr>
      <w:r>
        <w:rPr>
          <w:b/>
          <w:bCs/>
          <w:szCs w:val="24"/>
          <w:lang w:val="en-ID"/>
        </w:rPr>
        <w:t xml:space="preserve">Publication Bias and Funnel Plot </w:t>
      </w:r>
    </w:p>
    <w:p w14:paraId="60C34E76" w14:textId="77777777" w:rsidR="00973470" w:rsidRDefault="00000000">
      <w:pPr>
        <w:spacing w:line="240" w:lineRule="auto"/>
        <w:ind w:left="0" w:firstLine="0"/>
      </w:pPr>
      <w:r>
        <w:rPr>
          <w:szCs w:val="24"/>
        </w:rPr>
        <w:t>Residual funnel plots were examined separately for the synthetic and natural/botanical repellent subgroups (Fig. 3). In the natural-repellent subgroup, most study estimates clustered near the upper part of the plot on both sides of the zero-residual line, while a small number of less precise observations showed larger standard errors and greater displacement from the center. In the synthetic subgroup, most observations were located in the upper portion of the funnel and were distributed on both sides of zero, although the limited number of studies restricted assessment of funnel symmetry. Overall, the residual funnel plots did not permit a definitive conclusion regarding publication bias. The observed patterns were interpreted cautiously because funnel-plot asymmetry may also reflect between-study heterogeneity, differences in precision, and uncertainty in the standard-error estimates</w:t>
      </w:r>
      <w:r>
        <w:rPr>
          <w:szCs w:val="24"/>
          <w:lang w:val="en-ID"/>
        </w:rPr>
        <w:t>.</w:t>
      </w:r>
    </w:p>
    <w:p w14:paraId="3FA5DEB5" w14:textId="77777777" w:rsidR="00973470" w:rsidRDefault="00973470">
      <w:pPr>
        <w:spacing w:line="240" w:lineRule="auto"/>
        <w:ind w:left="0" w:firstLine="0"/>
        <w:rPr>
          <w:szCs w:val="24"/>
          <w:lang w:val="en-ID"/>
        </w:rPr>
      </w:pPr>
    </w:p>
    <w:p w14:paraId="595D976D" w14:textId="77777777" w:rsidR="00973470" w:rsidRDefault="00973470">
      <w:pPr>
        <w:spacing w:line="240" w:lineRule="auto"/>
        <w:ind w:left="0" w:firstLine="0"/>
        <w:rPr>
          <w:b/>
          <w:bCs/>
          <w:szCs w:val="24"/>
          <w:lang w:val="en-ID"/>
        </w:rPr>
      </w:pPr>
    </w:p>
    <w:p w14:paraId="768709FC" w14:textId="77777777" w:rsidR="00973470" w:rsidRDefault="00973470">
      <w:pPr>
        <w:spacing w:line="240" w:lineRule="auto"/>
        <w:ind w:left="0" w:firstLine="0"/>
      </w:pPr>
    </w:p>
    <w:p w14:paraId="3596FD23" w14:textId="77777777" w:rsidR="00973470" w:rsidRDefault="00973470">
      <w:pPr>
        <w:spacing w:line="240" w:lineRule="auto"/>
        <w:ind w:left="0" w:firstLine="0"/>
      </w:pPr>
    </w:p>
    <w:p w14:paraId="7C79F377" w14:textId="77777777" w:rsidR="00973470" w:rsidRDefault="00973470">
      <w:pPr>
        <w:spacing w:line="240" w:lineRule="auto"/>
        <w:ind w:left="0" w:firstLine="0"/>
        <w:rPr>
          <w:b/>
          <w:bCs/>
          <w:szCs w:val="24"/>
          <w:lang w:val="en-ID"/>
        </w:rPr>
      </w:pPr>
    </w:p>
    <w:p w14:paraId="6D7E0E92" w14:textId="77777777" w:rsidR="00973470" w:rsidRDefault="00000000">
      <w:pPr>
        <w:spacing w:line="240" w:lineRule="auto"/>
        <w:ind w:left="0" w:firstLine="0"/>
        <w:rPr>
          <w:b/>
          <w:bCs/>
          <w:szCs w:val="24"/>
          <w:lang w:val="en-ID"/>
        </w:rPr>
      </w:pPr>
      <w:r>
        <w:rPr>
          <w:b/>
          <w:bCs/>
          <w:szCs w:val="24"/>
          <w:lang w:val="en-ID"/>
        </w:rPr>
        <w:t xml:space="preserve">Assessment of Risk of Bias </w:t>
      </w:r>
    </w:p>
    <w:p w14:paraId="1801D813" w14:textId="77777777" w:rsidR="00973470" w:rsidRDefault="00000000">
      <w:pPr>
        <w:spacing w:line="240" w:lineRule="auto"/>
        <w:ind w:left="0" w:firstLine="0"/>
      </w:pPr>
      <w:r>
        <w:rPr>
          <w:szCs w:val="24"/>
        </w:rPr>
        <w:t>The overall risk-of-bias judgments for the 30 included studies are summarized in Figure 4. Fifteen studies (50.0%) were judged to have a low overall risk of bias, 10 studies (33.3%) were classified as having some concerns, and five studies (16.7%) were judged to have a high risk of bias. Methodological concerns were more frequent among laboratory and non-randomized experimental studies, particularly because of limited reporting of allocation procedures, blinding, experimental-unit selection, and outcome assessment. Randomized studies generally provided more complete methodological reporting. Among synthetic-repellent studies, eight of nine (88.9%) were classified as low risk, whereas seven of 21 (33.3%) natural/botanical-repellent studies were classified as low risk. These differences should be interpreted cautiously because the included studies comprised heterogeneous laboratory, field, randomized, and non-randomized experimental designs</w:t>
      </w:r>
      <w:r>
        <w:rPr>
          <w:szCs w:val="24"/>
          <w:lang w:val="en-ID"/>
        </w:rPr>
        <w:t>.</w:t>
      </w:r>
    </w:p>
    <w:p w14:paraId="19CB0D13" w14:textId="77777777" w:rsidR="00973470" w:rsidRDefault="00973470">
      <w:pPr>
        <w:spacing w:line="240" w:lineRule="auto"/>
        <w:ind w:left="0" w:firstLine="0"/>
        <w:rPr>
          <w:szCs w:val="24"/>
          <w:lang w:val="en-ID"/>
        </w:rPr>
      </w:pPr>
    </w:p>
    <w:p w14:paraId="1DC13FE9" w14:textId="77777777" w:rsidR="00973470" w:rsidRDefault="00000000">
      <w:pPr>
        <w:spacing w:line="240" w:lineRule="auto"/>
        <w:ind w:left="0" w:firstLine="0"/>
        <w:rPr>
          <w:b/>
          <w:bCs/>
          <w:szCs w:val="24"/>
          <w:lang w:val="en-ID"/>
        </w:rPr>
      </w:pPr>
      <w:r>
        <w:rPr>
          <w:b/>
          <w:bCs/>
          <w:szCs w:val="24"/>
          <w:lang w:val="en-ID"/>
        </w:rPr>
        <w:t xml:space="preserve">Subgroup Analysis </w:t>
      </w:r>
    </w:p>
    <w:p w14:paraId="19BD955B" w14:textId="77777777" w:rsidR="00973470" w:rsidRDefault="00000000">
      <w:pPr>
        <w:spacing w:line="240" w:lineRule="auto"/>
        <w:ind w:left="0" w:firstLine="0"/>
      </w:pPr>
      <w:r>
        <w:rPr>
          <w:szCs w:val="24"/>
        </w:rPr>
        <w:t>Subgroup analysis by repellent category demonstrated a consistently higher pooled PP% for synthetic repellents than for natural/botanical formulations. Considerable variation was observed within the natural/botanical group, particularly across different active ingredients, concentrations, and formulation technologies. Nanoemulsion and other advanced delivery systems generally showed higher reported protection than simple essential-oil preparations; however, these formulation-level comparisons should be interpreted cautiously because of the limited number of directly comparable studies and substantial methodological heterogeneity</w:t>
      </w:r>
      <w:r>
        <w:rPr>
          <w:szCs w:val="24"/>
          <w:lang w:val="en-ID"/>
        </w:rPr>
        <w:t>.</w:t>
      </w:r>
    </w:p>
    <w:p w14:paraId="19177105" w14:textId="77777777" w:rsidR="00973470" w:rsidRDefault="00973470">
      <w:pPr>
        <w:spacing w:line="240" w:lineRule="auto"/>
        <w:ind w:left="0" w:firstLine="0"/>
        <w:rPr>
          <w:szCs w:val="24"/>
          <w:lang w:val="en-ID"/>
        </w:rPr>
      </w:pPr>
    </w:p>
    <w:p w14:paraId="33577FB2" w14:textId="77777777" w:rsidR="00973470" w:rsidRDefault="00973470">
      <w:pPr>
        <w:spacing w:line="240" w:lineRule="auto"/>
        <w:ind w:left="0" w:firstLine="0"/>
        <w:rPr>
          <w:b/>
          <w:bCs/>
          <w:szCs w:val="24"/>
          <w:lang w:val="en-ID"/>
        </w:rPr>
        <w:sectPr w:rsidR="00973470">
          <w:pgSz w:w="11906" w:h="16838"/>
          <w:pgMar w:top="1440" w:right="1440" w:bottom="1440" w:left="1440" w:header="0" w:footer="0" w:gutter="0"/>
          <w:cols w:space="720"/>
          <w:formProt w:val="0"/>
          <w:docGrid w:linePitch="326"/>
        </w:sectPr>
      </w:pPr>
    </w:p>
    <w:p w14:paraId="3ECA8FF4" w14:textId="77777777" w:rsidR="00973470" w:rsidRDefault="00000000">
      <w:pPr>
        <w:pStyle w:val="Caption"/>
        <w:keepNext/>
        <w:spacing w:after="0"/>
        <w:ind w:left="0" w:firstLine="0"/>
        <w:rPr>
          <w:i w:val="0"/>
          <w:iCs w:val="0"/>
          <w:color w:val="000000"/>
          <w:sz w:val="24"/>
          <w:szCs w:val="24"/>
        </w:rPr>
      </w:pPr>
      <w:r>
        <w:rPr>
          <w:b/>
          <w:bCs/>
          <w:i w:val="0"/>
          <w:iCs w:val="0"/>
          <w:color w:val="000000"/>
          <w:sz w:val="24"/>
          <w:szCs w:val="24"/>
        </w:rPr>
        <w:lastRenderedPageBreak/>
        <w:t xml:space="preserve">Table </w:t>
      </w:r>
      <w:r>
        <w:rPr>
          <w:b/>
          <w:bCs/>
          <w:i w:val="0"/>
          <w:iCs w:val="0"/>
          <w:color w:val="000000"/>
          <w:sz w:val="24"/>
          <w:szCs w:val="24"/>
        </w:rPr>
        <w:fldChar w:fldCharType="begin"/>
      </w:r>
      <w:r>
        <w:rPr>
          <w:b/>
          <w:bCs/>
          <w:i w:val="0"/>
          <w:iCs w:val="0"/>
          <w:color w:val="000000"/>
          <w:sz w:val="24"/>
          <w:szCs w:val="24"/>
        </w:rPr>
        <w:instrText xml:space="preserve"> SEQ Table \* ARABIC </w:instrText>
      </w:r>
      <w:r>
        <w:rPr>
          <w:b/>
          <w:bCs/>
          <w:i w:val="0"/>
          <w:iCs w:val="0"/>
          <w:color w:val="000000"/>
          <w:sz w:val="24"/>
          <w:szCs w:val="24"/>
        </w:rPr>
        <w:fldChar w:fldCharType="separate"/>
      </w:r>
      <w:r>
        <w:rPr>
          <w:b/>
          <w:bCs/>
          <w:i w:val="0"/>
          <w:iCs w:val="0"/>
          <w:color w:val="000000"/>
          <w:sz w:val="24"/>
          <w:szCs w:val="24"/>
        </w:rPr>
        <w:t>1</w:t>
      </w:r>
      <w:r>
        <w:rPr>
          <w:b/>
          <w:bCs/>
          <w:i w:val="0"/>
          <w:iCs w:val="0"/>
          <w:color w:val="000000"/>
          <w:sz w:val="24"/>
          <w:szCs w:val="24"/>
        </w:rPr>
        <w:fldChar w:fldCharType="end"/>
      </w:r>
      <w:r>
        <w:rPr>
          <w:b/>
          <w:bCs/>
          <w:i w:val="0"/>
          <w:iCs w:val="0"/>
          <w:color w:val="000000"/>
          <w:sz w:val="24"/>
          <w:szCs w:val="24"/>
        </w:rPr>
        <w:t>.</w:t>
      </w:r>
      <w:r>
        <w:rPr>
          <w:i w:val="0"/>
          <w:iCs w:val="0"/>
          <w:color w:val="000000"/>
          <w:sz w:val="24"/>
          <w:szCs w:val="24"/>
        </w:rPr>
        <w:t xml:space="preserve"> Characteristics and reported efficacy outcomes of the included studies</w:t>
      </w:r>
    </w:p>
    <w:p w14:paraId="7C0157A2" w14:textId="77777777" w:rsidR="00973470" w:rsidRDefault="00973470">
      <w:pPr>
        <w:rPr>
          <w:i/>
          <w:iCs/>
          <w:szCs w:val="24"/>
        </w:rPr>
      </w:pPr>
    </w:p>
    <w:tbl>
      <w:tblPr>
        <w:tblW w:w="13745" w:type="dxa"/>
        <w:tblLayout w:type="fixed"/>
        <w:tblLook w:val="0000" w:firstRow="0" w:lastRow="0" w:firstColumn="0" w:lastColumn="0" w:noHBand="0" w:noVBand="0"/>
      </w:tblPr>
      <w:tblGrid>
        <w:gridCol w:w="1526"/>
        <w:gridCol w:w="1134"/>
        <w:gridCol w:w="1559"/>
        <w:gridCol w:w="1134"/>
        <w:gridCol w:w="2410"/>
        <w:gridCol w:w="850"/>
        <w:gridCol w:w="851"/>
        <w:gridCol w:w="850"/>
        <w:gridCol w:w="1843"/>
        <w:gridCol w:w="1588"/>
      </w:tblGrid>
      <w:tr w:rsidR="00973470" w14:paraId="2C6220CA" w14:textId="77777777">
        <w:tc>
          <w:tcPr>
            <w:tcW w:w="1526" w:type="dxa"/>
            <w:tcBorders>
              <w:top w:val="single" w:sz="4" w:space="0" w:color="000000"/>
              <w:left w:val="single" w:sz="4" w:space="0" w:color="000000"/>
              <w:bottom w:val="single" w:sz="4" w:space="0" w:color="000000"/>
              <w:right w:val="single" w:sz="4" w:space="0" w:color="000000"/>
            </w:tcBorders>
          </w:tcPr>
          <w:p w14:paraId="5A8BD371" w14:textId="77777777" w:rsidR="00973470" w:rsidRDefault="00000000">
            <w:pPr>
              <w:spacing w:line="240" w:lineRule="auto"/>
              <w:ind w:left="0" w:right="-773" w:firstLine="0"/>
              <w:jc w:val="center"/>
              <w:rPr>
                <w:b/>
                <w:bCs/>
                <w:sz w:val="20"/>
                <w:szCs w:val="20"/>
                <w:lang w:val="en-ID"/>
              </w:rPr>
            </w:pPr>
            <w:r>
              <w:rPr>
                <w:b/>
                <w:bCs/>
                <w:sz w:val="20"/>
                <w:szCs w:val="20"/>
                <w:lang w:val="en-ID"/>
              </w:rPr>
              <w:t>Author (Year)</w:t>
            </w:r>
          </w:p>
        </w:tc>
        <w:tc>
          <w:tcPr>
            <w:tcW w:w="1134" w:type="dxa"/>
            <w:tcBorders>
              <w:top w:val="single" w:sz="4" w:space="0" w:color="000000"/>
              <w:left w:val="single" w:sz="4" w:space="0" w:color="000000"/>
              <w:bottom w:val="single" w:sz="4" w:space="0" w:color="000000"/>
              <w:right w:val="single" w:sz="4" w:space="0" w:color="000000"/>
            </w:tcBorders>
          </w:tcPr>
          <w:p w14:paraId="413B7DFA" w14:textId="77777777" w:rsidR="00973470" w:rsidRDefault="00000000">
            <w:pPr>
              <w:spacing w:line="240" w:lineRule="auto"/>
              <w:ind w:left="0" w:firstLine="0"/>
              <w:jc w:val="center"/>
              <w:rPr>
                <w:b/>
                <w:bCs/>
                <w:sz w:val="20"/>
                <w:szCs w:val="20"/>
                <w:lang w:val="en-ID"/>
              </w:rPr>
            </w:pPr>
            <w:r>
              <w:rPr>
                <w:b/>
                <w:bCs/>
                <w:sz w:val="20"/>
                <w:szCs w:val="20"/>
                <w:lang w:val="en-ID"/>
              </w:rPr>
              <w:t>Country</w:t>
            </w:r>
          </w:p>
        </w:tc>
        <w:tc>
          <w:tcPr>
            <w:tcW w:w="1559" w:type="dxa"/>
            <w:tcBorders>
              <w:top w:val="single" w:sz="4" w:space="0" w:color="000000"/>
              <w:left w:val="single" w:sz="4" w:space="0" w:color="000000"/>
              <w:bottom w:val="single" w:sz="4" w:space="0" w:color="000000"/>
              <w:right w:val="single" w:sz="4" w:space="0" w:color="000000"/>
            </w:tcBorders>
          </w:tcPr>
          <w:p w14:paraId="225CB730" w14:textId="77777777" w:rsidR="00973470" w:rsidRDefault="00000000">
            <w:pPr>
              <w:spacing w:line="240" w:lineRule="auto"/>
              <w:ind w:left="0" w:firstLine="0"/>
              <w:jc w:val="center"/>
              <w:rPr>
                <w:b/>
                <w:bCs/>
                <w:sz w:val="20"/>
                <w:szCs w:val="20"/>
                <w:lang w:val="en-ID"/>
              </w:rPr>
            </w:pPr>
            <w:r>
              <w:rPr>
                <w:b/>
                <w:bCs/>
                <w:sz w:val="20"/>
                <w:szCs w:val="20"/>
                <w:lang w:val="en-ID"/>
              </w:rPr>
              <w:t>Design</w:t>
            </w:r>
          </w:p>
        </w:tc>
        <w:tc>
          <w:tcPr>
            <w:tcW w:w="1134" w:type="dxa"/>
            <w:tcBorders>
              <w:top w:val="single" w:sz="4" w:space="0" w:color="000000"/>
              <w:left w:val="single" w:sz="4" w:space="0" w:color="000000"/>
              <w:bottom w:val="single" w:sz="4" w:space="0" w:color="000000"/>
              <w:right w:val="single" w:sz="4" w:space="0" w:color="000000"/>
            </w:tcBorders>
          </w:tcPr>
          <w:p w14:paraId="59EC7E55" w14:textId="77777777" w:rsidR="00973470" w:rsidRDefault="00000000">
            <w:pPr>
              <w:spacing w:line="240" w:lineRule="auto"/>
              <w:ind w:left="0" w:firstLine="0"/>
              <w:jc w:val="center"/>
            </w:pPr>
            <w:r>
              <w:rPr>
                <w:b/>
                <w:bCs/>
                <w:sz w:val="20"/>
                <w:szCs w:val="20"/>
                <w:lang w:val="en-ID"/>
              </w:rPr>
              <w:t>Repellent Type</w:t>
            </w:r>
          </w:p>
        </w:tc>
        <w:tc>
          <w:tcPr>
            <w:tcW w:w="2410" w:type="dxa"/>
            <w:tcBorders>
              <w:top w:val="single" w:sz="4" w:space="0" w:color="000000"/>
              <w:left w:val="single" w:sz="4" w:space="0" w:color="000000"/>
              <w:bottom w:val="single" w:sz="4" w:space="0" w:color="000000"/>
              <w:right w:val="single" w:sz="4" w:space="0" w:color="000000"/>
            </w:tcBorders>
          </w:tcPr>
          <w:p w14:paraId="60B7712C" w14:textId="77777777" w:rsidR="00973470" w:rsidRDefault="00000000">
            <w:pPr>
              <w:spacing w:line="240" w:lineRule="auto"/>
              <w:ind w:left="0" w:firstLine="0"/>
              <w:jc w:val="center"/>
              <w:rPr>
                <w:b/>
                <w:bCs/>
                <w:sz w:val="20"/>
                <w:szCs w:val="20"/>
                <w:lang w:val="en-ID"/>
              </w:rPr>
            </w:pPr>
            <w:r>
              <w:rPr>
                <w:b/>
                <w:bCs/>
                <w:sz w:val="20"/>
                <w:szCs w:val="20"/>
                <w:lang w:val="en-ID"/>
              </w:rPr>
              <w:t>Active Ingredient</w:t>
            </w:r>
          </w:p>
        </w:tc>
        <w:tc>
          <w:tcPr>
            <w:tcW w:w="850" w:type="dxa"/>
            <w:tcBorders>
              <w:top w:val="single" w:sz="4" w:space="0" w:color="000000"/>
              <w:left w:val="single" w:sz="4" w:space="0" w:color="000000"/>
              <w:bottom w:val="single" w:sz="4" w:space="0" w:color="000000"/>
              <w:right w:val="single" w:sz="4" w:space="0" w:color="000000"/>
            </w:tcBorders>
          </w:tcPr>
          <w:p w14:paraId="787D8D35" w14:textId="77777777" w:rsidR="00973470" w:rsidRDefault="00000000">
            <w:pPr>
              <w:spacing w:line="240" w:lineRule="auto"/>
              <w:ind w:left="0" w:firstLine="0"/>
              <w:jc w:val="center"/>
              <w:rPr>
                <w:b/>
                <w:bCs/>
                <w:sz w:val="20"/>
                <w:szCs w:val="20"/>
                <w:lang w:val="en-ID"/>
              </w:rPr>
            </w:pPr>
            <w:r>
              <w:rPr>
                <w:b/>
                <w:bCs/>
                <w:sz w:val="20"/>
                <w:szCs w:val="20"/>
                <w:lang w:val="en-ID"/>
              </w:rPr>
              <w:t>Conc. (%)</w:t>
            </w:r>
          </w:p>
        </w:tc>
        <w:tc>
          <w:tcPr>
            <w:tcW w:w="851" w:type="dxa"/>
            <w:tcBorders>
              <w:top w:val="single" w:sz="4" w:space="0" w:color="000000"/>
              <w:left w:val="single" w:sz="4" w:space="0" w:color="000000"/>
              <w:bottom w:val="single" w:sz="4" w:space="0" w:color="000000"/>
              <w:right w:val="single" w:sz="4" w:space="0" w:color="000000"/>
            </w:tcBorders>
          </w:tcPr>
          <w:p w14:paraId="039F1D7F" w14:textId="77777777" w:rsidR="00973470" w:rsidRDefault="00000000">
            <w:pPr>
              <w:spacing w:line="240" w:lineRule="auto"/>
              <w:ind w:left="0" w:firstLine="0"/>
              <w:jc w:val="center"/>
              <w:rPr>
                <w:b/>
                <w:bCs/>
                <w:sz w:val="20"/>
                <w:szCs w:val="20"/>
                <w:lang w:val="en-ID"/>
              </w:rPr>
            </w:pPr>
            <w:r>
              <w:rPr>
                <w:b/>
                <w:bCs/>
                <w:sz w:val="20"/>
                <w:szCs w:val="20"/>
              </w:rPr>
              <w:t>Mean PP%</w:t>
            </w:r>
          </w:p>
        </w:tc>
        <w:tc>
          <w:tcPr>
            <w:tcW w:w="850" w:type="dxa"/>
            <w:tcBorders>
              <w:top w:val="single" w:sz="4" w:space="0" w:color="000000"/>
              <w:left w:val="single" w:sz="4" w:space="0" w:color="000000"/>
              <w:bottom w:val="single" w:sz="4" w:space="0" w:color="000000"/>
              <w:right w:val="single" w:sz="4" w:space="0" w:color="000000"/>
            </w:tcBorders>
          </w:tcPr>
          <w:p w14:paraId="0A3B52B4" w14:textId="77777777" w:rsidR="00973470" w:rsidRDefault="00000000">
            <w:pPr>
              <w:spacing w:line="240" w:lineRule="auto"/>
              <w:ind w:left="0" w:firstLine="0"/>
              <w:jc w:val="center"/>
            </w:pPr>
            <w:r>
              <w:rPr>
                <w:b/>
                <w:bCs/>
                <w:sz w:val="20"/>
                <w:szCs w:val="20"/>
                <w:lang w:val="en-ID"/>
              </w:rPr>
              <w:t>CPT (h)</w:t>
            </w:r>
          </w:p>
        </w:tc>
        <w:tc>
          <w:tcPr>
            <w:tcW w:w="1843" w:type="dxa"/>
            <w:tcBorders>
              <w:top w:val="single" w:sz="4" w:space="0" w:color="000000"/>
              <w:left w:val="single" w:sz="4" w:space="0" w:color="000000"/>
              <w:bottom w:val="single" w:sz="4" w:space="0" w:color="000000"/>
              <w:right w:val="single" w:sz="4" w:space="0" w:color="000000"/>
            </w:tcBorders>
          </w:tcPr>
          <w:p w14:paraId="20E07465" w14:textId="77777777" w:rsidR="00973470" w:rsidRDefault="00000000">
            <w:pPr>
              <w:spacing w:line="240" w:lineRule="auto"/>
              <w:ind w:left="0" w:firstLine="0"/>
              <w:jc w:val="center"/>
              <w:rPr>
                <w:b/>
                <w:bCs/>
                <w:sz w:val="20"/>
                <w:szCs w:val="20"/>
                <w:lang w:val="en-ID"/>
              </w:rPr>
            </w:pPr>
            <w:r>
              <w:rPr>
                <w:b/>
                <w:bCs/>
                <w:sz w:val="20"/>
                <w:szCs w:val="20"/>
                <w:lang w:val="en-ID"/>
              </w:rPr>
              <w:t>n</w:t>
            </w:r>
          </w:p>
        </w:tc>
        <w:tc>
          <w:tcPr>
            <w:tcW w:w="1588" w:type="dxa"/>
            <w:tcBorders>
              <w:top w:val="single" w:sz="4" w:space="0" w:color="000000"/>
              <w:left w:val="single" w:sz="4" w:space="0" w:color="000000"/>
              <w:bottom w:val="single" w:sz="4" w:space="0" w:color="000000"/>
              <w:right w:val="single" w:sz="4" w:space="0" w:color="000000"/>
            </w:tcBorders>
          </w:tcPr>
          <w:p w14:paraId="5DDE1896" w14:textId="77777777" w:rsidR="00973470" w:rsidRDefault="00000000">
            <w:pPr>
              <w:spacing w:line="240" w:lineRule="auto"/>
              <w:ind w:left="0" w:firstLine="0"/>
              <w:jc w:val="center"/>
              <w:rPr>
                <w:b/>
                <w:bCs/>
                <w:sz w:val="20"/>
                <w:szCs w:val="20"/>
                <w:lang w:val="en-ID"/>
              </w:rPr>
            </w:pPr>
            <w:r>
              <w:rPr>
                <w:b/>
                <w:bCs/>
                <w:sz w:val="20"/>
                <w:szCs w:val="20"/>
                <w:lang w:val="en-ID"/>
              </w:rPr>
              <w:t>Risk Bias</w:t>
            </w:r>
          </w:p>
        </w:tc>
      </w:tr>
      <w:tr w:rsidR="00973470" w14:paraId="092D9242" w14:textId="77777777">
        <w:tc>
          <w:tcPr>
            <w:tcW w:w="1526" w:type="dxa"/>
            <w:tcBorders>
              <w:top w:val="single" w:sz="4" w:space="0" w:color="000000"/>
              <w:left w:val="single" w:sz="4" w:space="0" w:color="000000"/>
              <w:bottom w:val="single" w:sz="4" w:space="0" w:color="000000"/>
              <w:right w:val="single" w:sz="4" w:space="0" w:color="000000"/>
            </w:tcBorders>
          </w:tcPr>
          <w:p w14:paraId="4B90A73F" w14:textId="77777777" w:rsidR="00973470" w:rsidRDefault="00000000">
            <w:pPr>
              <w:spacing w:line="240" w:lineRule="auto"/>
              <w:ind w:left="0" w:firstLine="0"/>
              <w:jc w:val="center"/>
              <w:rPr>
                <w:sz w:val="20"/>
                <w:szCs w:val="20"/>
                <w:lang w:val="en-ID"/>
              </w:rPr>
            </w:pPr>
            <w:r>
              <w:rPr>
                <w:sz w:val="20"/>
                <w:szCs w:val="20"/>
              </w:rPr>
              <w:t>Maia et al. (2022)</w:t>
            </w:r>
          </w:p>
        </w:tc>
        <w:tc>
          <w:tcPr>
            <w:tcW w:w="1134" w:type="dxa"/>
            <w:tcBorders>
              <w:top w:val="single" w:sz="4" w:space="0" w:color="000000"/>
              <w:left w:val="single" w:sz="4" w:space="0" w:color="000000"/>
              <w:bottom w:val="single" w:sz="4" w:space="0" w:color="000000"/>
              <w:right w:val="single" w:sz="4" w:space="0" w:color="000000"/>
            </w:tcBorders>
          </w:tcPr>
          <w:p w14:paraId="076CE8C4" w14:textId="77777777" w:rsidR="00973470" w:rsidRDefault="00000000">
            <w:pPr>
              <w:spacing w:line="240" w:lineRule="auto"/>
              <w:ind w:left="0" w:firstLine="0"/>
              <w:jc w:val="center"/>
              <w:rPr>
                <w:sz w:val="20"/>
                <w:szCs w:val="20"/>
                <w:lang w:val="en-ID"/>
              </w:rPr>
            </w:pPr>
            <w:r>
              <w:rPr>
                <w:sz w:val="20"/>
                <w:szCs w:val="20"/>
              </w:rPr>
              <w:t>Brazil</w:t>
            </w:r>
          </w:p>
        </w:tc>
        <w:tc>
          <w:tcPr>
            <w:tcW w:w="1559" w:type="dxa"/>
            <w:tcBorders>
              <w:top w:val="single" w:sz="4" w:space="0" w:color="000000"/>
              <w:left w:val="single" w:sz="4" w:space="0" w:color="000000"/>
              <w:bottom w:val="single" w:sz="4" w:space="0" w:color="000000"/>
              <w:right w:val="single" w:sz="4" w:space="0" w:color="000000"/>
            </w:tcBorders>
          </w:tcPr>
          <w:p w14:paraId="782A689D" w14:textId="77777777" w:rsidR="00973470" w:rsidRDefault="00000000">
            <w:pPr>
              <w:spacing w:line="240" w:lineRule="auto"/>
              <w:ind w:left="0" w:firstLine="0"/>
              <w:jc w:val="center"/>
              <w:rPr>
                <w:sz w:val="20"/>
                <w:szCs w:val="20"/>
                <w:lang w:val="en-ID"/>
              </w:rPr>
            </w:pPr>
            <w:r>
              <w:rPr>
                <w:sz w:val="20"/>
                <w:szCs w:val="20"/>
              </w:rPr>
              <w:t>Quasi experimental</w:t>
            </w:r>
          </w:p>
        </w:tc>
        <w:tc>
          <w:tcPr>
            <w:tcW w:w="1134" w:type="dxa"/>
            <w:tcBorders>
              <w:top w:val="single" w:sz="4" w:space="0" w:color="000000"/>
              <w:left w:val="single" w:sz="4" w:space="0" w:color="000000"/>
              <w:bottom w:val="single" w:sz="4" w:space="0" w:color="000000"/>
              <w:right w:val="single" w:sz="4" w:space="0" w:color="000000"/>
            </w:tcBorders>
          </w:tcPr>
          <w:p w14:paraId="0DFC3ED5" w14:textId="77777777" w:rsidR="00973470" w:rsidRDefault="00000000">
            <w:pPr>
              <w:spacing w:line="240" w:lineRule="auto"/>
              <w:ind w:left="0" w:firstLine="0"/>
              <w:jc w:val="center"/>
              <w:rPr>
                <w:sz w:val="20"/>
                <w:szCs w:val="20"/>
                <w:lang w:val="en-ID"/>
              </w:rPr>
            </w:pPr>
            <w:r>
              <w:rPr>
                <w:sz w:val="20"/>
                <w:szCs w:val="20"/>
              </w:rPr>
              <w:t>Synthetic</w:t>
            </w:r>
          </w:p>
        </w:tc>
        <w:tc>
          <w:tcPr>
            <w:tcW w:w="2410" w:type="dxa"/>
            <w:tcBorders>
              <w:top w:val="single" w:sz="4" w:space="0" w:color="000000"/>
              <w:left w:val="single" w:sz="4" w:space="0" w:color="000000"/>
              <w:bottom w:val="single" w:sz="4" w:space="0" w:color="000000"/>
              <w:right w:val="single" w:sz="4" w:space="0" w:color="000000"/>
            </w:tcBorders>
          </w:tcPr>
          <w:p w14:paraId="21032528" w14:textId="77777777" w:rsidR="00973470" w:rsidRDefault="00000000">
            <w:pPr>
              <w:spacing w:line="240" w:lineRule="auto"/>
              <w:ind w:left="0" w:firstLine="0"/>
              <w:jc w:val="center"/>
              <w:rPr>
                <w:sz w:val="20"/>
                <w:szCs w:val="20"/>
                <w:lang w:val="en-ID"/>
              </w:rPr>
            </w:pPr>
            <w:r>
              <w:rPr>
                <w:sz w:val="20"/>
                <w:szCs w:val="20"/>
              </w:rPr>
              <w:t>DEET</w:t>
            </w:r>
          </w:p>
        </w:tc>
        <w:tc>
          <w:tcPr>
            <w:tcW w:w="850" w:type="dxa"/>
            <w:tcBorders>
              <w:top w:val="single" w:sz="4" w:space="0" w:color="000000"/>
              <w:left w:val="single" w:sz="4" w:space="0" w:color="000000"/>
              <w:bottom w:val="single" w:sz="4" w:space="0" w:color="000000"/>
              <w:right w:val="single" w:sz="4" w:space="0" w:color="000000"/>
            </w:tcBorders>
          </w:tcPr>
          <w:p w14:paraId="10B536B7" w14:textId="77777777" w:rsidR="00973470" w:rsidRDefault="00000000">
            <w:pPr>
              <w:spacing w:line="240" w:lineRule="auto"/>
              <w:ind w:left="0" w:firstLine="0"/>
              <w:jc w:val="center"/>
              <w:rPr>
                <w:sz w:val="20"/>
                <w:szCs w:val="20"/>
                <w:lang w:val="en-ID"/>
              </w:rPr>
            </w:pPr>
            <w:r>
              <w:rPr>
                <w:sz w:val="20"/>
                <w:szCs w:val="20"/>
              </w:rPr>
              <w:t>15</w:t>
            </w:r>
          </w:p>
        </w:tc>
        <w:tc>
          <w:tcPr>
            <w:tcW w:w="851" w:type="dxa"/>
            <w:tcBorders>
              <w:top w:val="single" w:sz="4" w:space="0" w:color="000000"/>
              <w:left w:val="single" w:sz="4" w:space="0" w:color="000000"/>
              <w:bottom w:val="single" w:sz="4" w:space="0" w:color="000000"/>
              <w:right w:val="single" w:sz="4" w:space="0" w:color="000000"/>
            </w:tcBorders>
          </w:tcPr>
          <w:p w14:paraId="1300D364" w14:textId="77777777" w:rsidR="00973470" w:rsidRDefault="00000000">
            <w:pPr>
              <w:spacing w:line="240" w:lineRule="auto"/>
              <w:ind w:left="0" w:firstLine="0"/>
              <w:jc w:val="center"/>
              <w:rPr>
                <w:sz w:val="20"/>
                <w:szCs w:val="20"/>
                <w:lang w:val="en-ID"/>
              </w:rPr>
            </w:pPr>
            <w:r>
              <w:rPr>
                <w:sz w:val="20"/>
                <w:szCs w:val="20"/>
                <w:lang w:val="en-ID"/>
              </w:rPr>
              <w:t>97.5</w:t>
            </w:r>
          </w:p>
        </w:tc>
        <w:tc>
          <w:tcPr>
            <w:tcW w:w="850" w:type="dxa"/>
            <w:tcBorders>
              <w:top w:val="single" w:sz="4" w:space="0" w:color="000000"/>
              <w:left w:val="single" w:sz="4" w:space="0" w:color="000000"/>
              <w:bottom w:val="single" w:sz="4" w:space="0" w:color="000000"/>
              <w:right w:val="single" w:sz="4" w:space="0" w:color="000000"/>
            </w:tcBorders>
          </w:tcPr>
          <w:p w14:paraId="21BA4CB1" w14:textId="77777777" w:rsidR="00973470" w:rsidRDefault="00000000">
            <w:pPr>
              <w:spacing w:line="240" w:lineRule="auto"/>
              <w:ind w:left="0" w:firstLine="0"/>
              <w:jc w:val="center"/>
              <w:rPr>
                <w:sz w:val="20"/>
                <w:szCs w:val="20"/>
                <w:lang w:val="en-ID"/>
              </w:rPr>
            </w:pPr>
            <w:r>
              <w:rPr>
                <w:sz w:val="20"/>
                <w:szCs w:val="20"/>
                <w:lang w:val="en-ID"/>
              </w:rPr>
              <w:t>6.0</w:t>
            </w:r>
          </w:p>
        </w:tc>
        <w:tc>
          <w:tcPr>
            <w:tcW w:w="1843" w:type="dxa"/>
            <w:tcBorders>
              <w:top w:val="single" w:sz="4" w:space="0" w:color="000000"/>
              <w:left w:val="single" w:sz="4" w:space="0" w:color="000000"/>
              <w:bottom w:val="single" w:sz="4" w:space="0" w:color="000000"/>
              <w:right w:val="single" w:sz="4" w:space="0" w:color="000000"/>
            </w:tcBorders>
          </w:tcPr>
          <w:p w14:paraId="031CDFF9" w14:textId="77777777" w:rsidR="00973470" w:rsidRDefault="00000000">
            <w:pPr>
              <w:spacing w:line="240" w:lineRule="auto"/>
              <w:ind w:left="0" w:firstLine="0"/>
              <w:jc w:val="center"/>
              <w:rPr>
                <w:sz w:val="20"/>
                <w:szCs w:val="20"/>
                <w:lang w:val="en-ID"/>
              </w:rPr>
            </w:pPr>
            <w:r>
              <w:rPr>
                <w:sz w:val="20"/>
                <w:szCs w:val="20"/>
                <w:lang w:val="en-ID"/>
              </w:rPr>
              <w:t>120</w:t>
            </w:r>
          </w:p>
        </w:tc>
        <w:tc>
          <w:tcPr>
            <w:tcW w:w="1588" w:type="dxa"/>
            <w:tcBorders>
              <w:top w:val="single" w:sz="4" w:space="0" w:color="000000"/>
              <w:left w:val="single" w:sz="4" w:space="0" w:color="000000"/>
              <w:bottom w:val="single" w:sz="4" w:space="0" w:color="000000"/>
              <w:right w:val="single" w:sz="4" w:space="0" w:color="000000"/>
            </w:tcBorders>
          </w:tcPr>
          <w:p w14:paraId="05C8F361" w14:textId="77777777" w:rsidR="00973470" w:rsidRDefault="00000000">
            <w:pPr>
              <w:spacing w:line="240" w:lineRule="auto"/>
              <w:ind w:left="0" w:firstLine="0"/>
              <w:jc w:val="center"/>
              <w:rPr>
                <w:sz w:val="20"/>
                <w:szCs w:val="20"/>
                <w:lang w:val="en-ID"/>
              </w:rPr>
            </w:pPr>
            <w:r>
              <w:rPr>
                <w:sz w:val="20"/>
                <w:szCs w:val="20"/>
                <w:lang w:val="en-ID"/>
              </w:rPr>
              <w:t>Low</w:t>
            </w:r>
          </w:p>
        </w:tc>
      </w:tr>
      <w:tr w:rsidR="00973470" w14:paraId="3B790FE9" w14:textId="77777777">
        <w:tc>
          <w:tcPr>
            <w:tcW w:w="1526" w:type="dxa"/>
            <w:tcBorders>
              <w:top w:val="single" w:sz="4" w:space="0" w:color="000000"/>
              <w:left w:val="single" w:sz="4" w:space="0" w:color="000000"/>
              <w:bottom w:val="single" w:sz="4" w:space="0" w:color="000000"/>
              <w:right w:val="single" w:sz="4" w:space="0" w:color="000000"/>
            </w:tcBorders>
          </w:tcPr>
          <w:p w14:paraId="3450930F" w14:textId="77777777" w:rsidR="00973470" w:rsidRDefault="00000000">
            <w:pPr>
              <w:spacing w:line="240" w:lineRule="auto"/>
              <w:ind w:left="0" w:firstLine="0"/>
              <w:jc w:val="center"/>
              <w:rPr>
                <w:sz w:val="20"/>
                <w:szCs w:val="20"/>
                <w:lang w:val="en-ID"/>
              </w:rPr>
            </w:pPr>
            <w:r>
              <w:rPr>
                <w:sz w:val="20"/>
                <w:szCs w:val="20"/>
              </w:rPr>
              <w:t>Luker et al. (2023)</w:t>
            </w:r>
          </w:p>
        </w:tc>
        <w:tc>
          <w:tcPr>
            <w:tcW w:w="1134" w:type="dxa"/>
            <w:tcBorders>
              <w:top w:val="single" w:sz="4" w:space="0" w:color="000000"/>
              <w:left w:val="single" w:sz="4" w:space="0" w:color="000000"/>
              <w:bottom w:val="single" w:sz="4" w:space="0" w:color="000000"/>
              <w:right w:val="single" w:sz="4" w:space="0" w:color="000000"/>
            </w:tcBorders>
          </w:tcPr>
          <w:p w14:paraId="12266DAA" w14:textId="77777777" w:rsidR="00973470" w:rsidRDefault="00000000">
            <w:pPr>
              <w:spacing w:line="240" w:lineRule="auto"/>
              <w:ind w:left="0" w:firstLine="0"/>
              <w:jc w:val="center"/>
              <w:rPr>
                <w:sz w:val="20"/>
                <w:szCs w:val="20"/>
                <w:lang w:val="en-ID"/>
              </w:rPr>
            </w:pPr>
            <w:r>
              <w:rPr>
                <w:sz w:val="20"/>
                <w:szCs w:val="20"/>
              </w:rPr>
              <w:t>USA</w:t>
            </w:r>
          </w:p>
        </w:tc>
        <w:tc>
          <w:tcPr>
            <w:tcW w:w="1559" w:type="dxa"/>
            <w:tcBorders>
              <w:top w:val="single" w:sz="4" w:space="0" w:color="000000"/>
              <w:left w:val="single" w:sz="4" w:space="0" w:color="000000"/>
              <w:bottom w:val="single" w:sz="4" w:space="0" w:color="000000"/>
              <w:right w:val="single" w:sz="4" w:space="0" w:color="000000"/>
            </w:tcBorders>
          </w:tcPr>
          <w:p w14:paraId="6749BCB7" w14:textId="77777777" w:rsidR="00973470" w:rsidRDefault="00000000">
            <w:pPr>
              <w:spacing w:line="240" w:lineRule="auto"/>
              <w:ind w:left="0" w:firstLine="0"/>
              <w:jc w:val="center"/>
              <w:rPr>
                <w:sz w:val="20"/>
                <w:szCs w:val="20"/>
                <w:lang w:val="en-ID"/>
              </w:rPr>
            </w:pPr>
            <w:r>
              <w:rPr>
                <w:sz w:val="20"/>
                <w:szCs w:val="20"/>
              </w:rPr>
              <w:t>Laboratory RCT</w:t>
            </w:r>
          </w:p>
        </w:tc>
        <w:tc>
          <w:tcPr>
            <w:tcW w:w="1134" w:type="dxa"/>
            <w:tcBorders>
              <w:top w:val="single" w:sz="4" w:space="0" w:color="000000"/>
              <w:left w:val="single" w:sz="4" w:space="0" w:color="000000"/>
              <w:bottom w:val="single" w:sz="4" w:space="0" w:color="000000"/>
              <w:right w:val="single" w:sz="4" w:space="0" w:color="000000"/>
            </w:tcBorders>
          </w:tcPr>
          <w:p w14:paraId="12D9ADE5" w14:textId="77777777" w:rsidR="00973470" w:rsidRDefault="00000000">
            <w:pPr>
              <w:spacing w:line="240" w:lineRule="auto"/>
              <w:ind w:left="0" w:firstLine="0"/>
              <w:jc w:val="center"/>
              <w:rPr>
                <w:sz w:val="20"/>
                <w:szCs w:val="20"/>
                <w:lang w:val="en-ID"/>
              </w:rPr>
            </w:pPr>
            <w:r>
              <w:rPr>
                <w:sz w:val="20"/>
                <w:szCs w:val="20"/>
              </w:rPr>
              <w:t>Natural</w:t>
            </w:r>
          </w:p>
        </w:tc>
        <w:tc>
          <w:tcPr>
            <w:tcW w:w="2410" w:type="dxa"/>
            <w:tcBorders>
              <w:top w:val="single" w:sz="4" w:space="0" w:color="000000"/>
              <w:left w:val="single" w:sz="4" w:space="0" w:color="000000"/>
              <w:bottom w:val="single" w:sz="4" w:space="0" w:color="000000"/>
              <w:right w:val="single" w:sz="4" w:space="0" w:color="000000"/>
            </w:tcBorders>
          </w:tcPr>
          <w:p w14:paraId="43F0F5DE" w14:textId="77777777" w:rsidR="00973470" w:rsidRDefault="00000000">
            <w:pPr>
              <w:spacing w:line="240" w:lineRule="auto"/>
              <w:ind w:left="0" w:firstLine="0"/>
              <w:jc w:val="center"/>
              <w:rPr>
                <w:sz w:val="20"/>
                <w:szCs w:val="20"/>
                <w:lang w:val="en-ID"/>
              </w:rPr>
            </w:pPr>
            <w:r>
              <w:rPr>
                <w:sz w:val="20"/>
                <w:szCs w:val="20"/>
              </w:rPr>
              <w:t>Essential oils (20 types)</w:t>
            </w:r>
          </w:p>
        </w:tc>
        <w:tc>
          <w:tcPr>
            <w:tcW w:w="850" w:type="dxa"/>
            <w:tcBorders>
              <w:top w:val="single" w:sz="4" w:space="0" w:color="000000"/>
              <w:left w:val="single" w:sz="4" w:space="0" w:color="000000"/>
              <w:bottom w:val="single" w:sz="4" w:space="0" w:color="000000"/>
              <w:right w:val="single" w:sz="4" w:space="0" w:color="000000"/>
            </w:tcBorders>
          </w:tcPr>
          <w:p w14:paraId="0E153106" w14:textId="77777777" w:rsidR="00973470" w:rsidRDefault="00000000">
            <w:pPr>
              <w:spacing w:line="240" w:lineRule="auto"/>
              <w:ind w:left="0" w:firstLine="0"/>
              <w:jc w:val="center"/>
              <w:rPr>
                <w:sz w:val="20"/>
                <w:szCs w:val="20"/>
                <w:lang w:val="en-ID"/>
              </w:rPr>
            </w:pPr>
            <w:r>
              <w:rPr>
                <w:sz w:val="20"/>
                <w:szCs w:val="20"/>
              </w:rPr>
              <w:t>Various</w:t>
            </w:r>
          </w:p>
        </w:tc>
        <w:tc>
          <w:tcPr>
            <w:tcW w:w="851" w:type="dxa"/>
            <w:tcBorders>
              <w:top w:val="single" w:sz="4" w:space="0" w:color="000000"/>
              <w:left w:val="single" w:sz="4" w:space="0" w:color="000000"/>
              <w:bottom w:val="single" w:sz="4" w:space="0" w:color="000000"/>
              <w:right w:val="single" w:sz="4" w:space="0" w:color="000000"/>
            </w:tcBorders>
          </w:tcPr>
          <w:p w14:paraId="5E0671D1" w14:textId="77777777" w:rsidR="00973470" w:rsidRDefault="00000000">
            <w:pPr>
              <w:spacing w:line="240" w:lineRule="auto"/>
              <w:ind w:left="0" w:firstLine="0"/>
              <w:jc w:val="center"/>
              <w:rPr>
                <w:sz w:val="20"/>
                <w:szCs w:val="20"/>
                <w:lang w:val="en-ID"/>
              </w:rPr>
            </w:pPr>
            <w:r>
              <w:rPr>
                <w:sz w:val="20"/>
                <w:szCs w:val="20"/>
                <w:lang w:val="en-ID"/>
              </w:rPr>
              <w:t>62.3</w:t>
            </w:r>
          </w:p>
        </w:tc>
        <w:tc>
          <w:tcPr>
            <w:tcW w:w="850" w:type="dxa"/>
            <w:tcBorders>
              <w:top w:val="single" w:sz="4" w:space="0" w:color="000000"/>
              <w:left w:val="single" w:sz="4" w:space="0" w:color="000000"/>
              <w:bottom w:val="single" w:sz="4" w:space="0" w:color="000000"/>
              <w:right w:val="single" w:sz="4" w:space="0" w:color="000000"/>
            </w:tcBorders>
          </w:tcPr>
          <w:p w14:paraId="3849596F" w14:textId="77777777" w:rsidR="00973470" w:rsidRDefault="00000000">
            <w:pPr>
              <w:spacing w:line="240" w:lineRule="auto"/>
              <w:ind w:left="0" w:firstLine="0"/>
              <w:jc w:val="center"/>
              <w:rPr>
                <w:sz w:val="20"/>
                <w:szCs w:val="20"/>
                <w:lang w:val="en-ID"/>
              </w:rPr>
            </w:pPr>
            <w:r>
              <w:rPr>
                <w:sz w:val="20"/>
                <w:szCs w:val="20"/>
                <w:lang w:val="en-ID"/>
              </w:rPr>
              <w:t>2.1</w:t>
            </w:r>
          </w:p>
        </w:tc>
        <w:tc>
          <w:tcPr>
            <w:tcW w:w="1843" w:type="dxa"/>
            <w:tcBorders>
              <w:top w:val="single" w:sz="4" w:space="0" w:color="000000"/>
              <w:left w:val="single" w:sz="4" w:space="0" w:color="000000"/>
              <w:bottom w:val="single" w:sz="4" w:space="0" w:color="000000"/>
              <w:right w:val="single" w:sz="4" w:space="0" w:color="000000"/>
            </w:tcBorders>
          </w:tcPr>
          <w:p w14:paraId="70F8D07C" w14:textId="77777777" w:rsidR="00973470" w:rsidRDefault="00000000">
            <w:pPr>
              <w:spacing w:line="240" w:lineRule="auto"/>
              <w:ind w:left="0" w:firstLine="0"/>
              <w:jc w:val="center"/>
              <w:rPr>
                <w:sz w:val="20"/>
                <w:szCs w:val="20"/>
                <w:lang w:val="en-ID"/>
              </w:rPr>
            </w:pPr>
            <w:r>
              <w:rPr>
                <w:sz w:val="20"/>
                <w:szCs w:val="20"/>
                <w:lang w:val="en-ID"/>
              </w:rPr>
              <w:t>90</w:t>
            </w:r>
          </w:p>
        </w:tc>
        <w:tc>
          <w:tcPr>
            <w:tcW w:w="1588" w:type="dxa"/>
            <w:tcBorders>
              <w:top w:val="single" w:sz="4" w:space="0" w:color="000000"/>
              <w:left w:val="single" w:sz="4" w:space="0" w:color="000000"/>
              <w:bottom w:val="single" w:sz="4" w:space="0" w:color="000000"/>
              <w:right w:val="single" w:sz="4" w:space="0" w:color="000000"/>
            </w:tcBorders>
          </w:tcPr>
          <w:p w14:paraId="14632B19" w14:textId="77777777" w:rsidR="00973470" w:rsidRDefault="00000000">
            <w:pPr>
              <w:spacing w:line="240" w:lineRule="auto"/>
              <w:ind w:left="0" w:firstLine="0"/>
              <w:jc w:val="center"/>
              <w:rPr>
                <w:sz w:val="20"/>
                <w:szCs w:val="20"/>
                <w:lang w:val="en-ID"/>
              </w:rPr>
            </w:pPr>
            <w:r>
              <w:rPr>
                <w:sz w:val="20"/>
                <w:szCs w:val="20"/>
                <w:lang w:val="en-ID"/>
              </w:rPr>
              <w:t>Low</w:t>
            </w:r>
          </w:p>
        </w:tc>
      </w:tr>
      <w:tr w:rsidR="00973470" w14:paraId="32A74D32" w14:textId="77777777">
        <w:tc>
          <w:tcPr>
            <w:tcW w:w="1526" w:type="dxa"/>
            <w:tcBorders>
              <w:top w:val="single" w:sz="4" w:space="0" w:color="000000"/>
              <w:left w:val="single" w:sz="4" w:space="0" w:color="000000"/>
              <w:bottom w:val="single" w:sz="4" w:space="0" w:color="000000"/>
              <w:right w:val="single" w:sz="4" w:space="0" w:color="000000"/>
            </w:tcBorders>
          </w:tcPr>
          <w:p w14:paraId="2E642F78" w14:textId="77777777" w:rsidR="00973470" w:rsidRDefault="00000000">
            <w:pPr>
              <w:spacing w:line="240" w:lineRule="auto"/>
              <w:ind w:left="0" w:firstLine="0"/>
              <w:jc w:val="center"/>
              <w:rPr>
                <w:sz w:val="20"/>
                <w:szCs w:val="20"/>
                <w:lang w:val="en-ID"/>
              </w:rPr>
            </w:pPr>
            <w:r>
              <w:rPr>
                <w:sz w:val="20"/>
                <w:szCs w:val="20"/>
              </w:rPr>
              <w:t>Aungtikun and Soonwera (2021)</w:t>
            </w:r>
          </w:p>
        </w:tc>
        <w:tc>
          <w:tcPr>
            <w:tcW w:w="1134" w:type="dxa"/>
            <w:tcBorders>
              <w:top w:val="single" w:sz="4" w:space="0" w:color="000000"/>
              <w:left w:val="single" w:sz="4" w:space="0" w:color="000000"/>
              <w:bottom w:val="single" w:sz="4" w:space="0" w:color="000000"/>
              <w:right w:val="single" w:sz="4" w:space="0" w:color="000000"/>
            </w:tcBorders>
          </w:tcPr>
          <w:p w14:paraId="547DCF8E" w14:textId="77777777" w:rsidR="00973470" w:rsidRDefault="00000000">
            <w:pPr>
              <w:spacing w:line="240" w:lineRule="auto"/>
              <w:ind w:left="0" w:firstLine="0"/>
              <w:jc w:val="center"/>
              <w:rPr>
                <w:sz w:val="20"/>
                <w:szCs w:val="20"/>
                <w:lang w:val="en-ID"/>
              </w:rPr>
            </w:pPr>
            <w:r>
              <w:rPr>
                <w:sz w:val="20"/>
                <w:szCs w:val="20"/>
              </w:rPr>
              <w:t>Thailand</w:t>
            </w:r>
          </w:p>
        </w:tc>
        <w:tc>
          <w:tcPr>
            <w:tcW w:w="1559" w:type="dxa"/>
            <w:tcBorders>
              <w:top w:val="single" w:sz="4" w:space="0" w:color="000000"/>
              <w:left w:val="single" w:sz="4" w:space="0" w:color="000000"/>
              <w:bottom w:val="single" w:sz="4" w:space="0" w:color="000000"/>
              <w:right w:val="single" w:sz="4" w:space="0" w:color="000000"/>
            </w:tcBorders>
          </w:tcPr>
          <w:p w14:paraId="799066EE" w14:textId="77777777" w:rsidR="00973470" w:rsidRDefault="00000000">
            <w:pPr>
              <w:spacing w:line="240" w:lineRule="auto"/>
              <w:ind w:left="0" w:firstLine="0"/>
              <w:jc w:val="center"/>
              <w:rPr>
                <w:sz w:val="20"/>
                <w:szCs w:val="20"/>
                <w:lang w:val="en-ID"/>
              </w:rPr>
            </w:pPr>
            <w:r>
              <w:rPr>
                <w:sz w:val="20"/>
                <w:szCs w:val="20"/>
              </w:rPr>
              <w:t>Laboratory exp.</w:t>
            </w:r>
          </w:p>
        </w:tc>
        <w:tc>
          <w:tcPr>
            <w:tcW w:w="1134" w:type="dxa"/>
            <w:tcBorders>
              <w:top w:val="single" w:sz="4" w:space="0" w:color="000000"/>
              <w:left w:val="single" w:sz="4" w:space="0" w:color="000000"/>
              <w:bottom w:val="single" w:sz="4" w:space="0" w:color="000000"/>
              <w:right w:val="single" w:sz="4" w:space="0" w:color="000000"/>
            </w:tcBorders>
          </w:tcPr>
          <w:p w14:paraId="33C9AB54" w14:textId="77777777" w:rsidR="00973470" w:rsidRDefault="00000000">
            <w:pPr>
              <w:spacing w:line="240" w:lineRule="auto"/>
              <w:ind w:left="0" w:firstLine="0"/>
              <w:jc w:val="center"/>
              <w:rPr>
                <w:sz w:val="20"/>
                <w:szCs w:val="20"/>
                <w:lang w:val="en-ID"/>
              </w:rPr>
            </w:pPr>
            <w:r>
              <w:rPr>
                <w:sz w:val="20"/>
                <w:szCs w:val="20"/>
              </w:rPr>
              <w:t>Natural</w:t>
            </w:r>
          </w:p>
        </w:tc>
        <w:tc>
          <w:tcPr>
            <w:tcW w:w="2410" w:type="dxa"/>
            <w:tcBorders>
              <w:top w:val="single" w:sz="4" w:space="0" w:color="000000"/>
              <w:left w:val="single" w:sz="4" w:space="0" w:color="000000"/>
              <w:bottom w:val="single" w:sz="4" w:space="0" w:color="000000"/>
              <w:right w:val="single" w:sz="4" w:space="0" w:color="000000"/>
            </w:tcBorders>
          </w:tcPr>
          <w:p w14:paraId="5ABE7A86" w14:textId="77777777" w:rsidR="00973470" w:rsidRDefault="00000000">
            <w:pPr>
              <w:spacing w:line="240" w:lineRule="auto"/>
              <w:ind w:left="0" w:firstLine="0"/>
              <w:jc w:val="center"/>
              <w:rPr>
                <w:sz w:val="20"/>
                <w:szCs w:val="20"/>
                <w:lang w:val="en-ID"/>
              </w:rPr>
            </w:pPr>
            <w:r>
              <w:rPr>
                <w:sz w:val="20"/>
                <w:szCs w:val="20"/>
              </w:rPr>
              <w:t>Cinnamomum spp. EO</w:t>
            </w:r>
          </w:p>
        </w:tc>
        <w:tc>
          <w:tcPr>
            <w:tcW w:w="850" w:type="dxa"/>
            <w:tcBorders>
              <w:top w:val="single" w:sz="4" w:space="0" w:color="000000"/>
              <w:left w:val="single" w:sz="4" w:space="0" w:color="000000"/>
              <w:bottom w:val="single" w:sz="4" w:space="0" w:color="000000"/>
              <w:right w:val="single" w:sz="4" w:space="0" w:color="000000"/>
            </w:tcBorders>
          </w:tcPr>
          <w:p w14:paraId="586F4BAF" w14:textId="77777777" w:rsidR="00973470" w:rsidRDefault="00000000">
            <w:pPr>
              <w:spacing w:line="240" w:lineRule="auto"/>
              <w:ind w:left="0" w:firstLine="0"/>
              <w:jc w:val="center"/>
              <w:rPr>
                <w:sz w:val="20"/>
                <w:szCs w:val="20"/>
                <w:lang w:val="en-ID"/>
              </w:rPr>
            </w:pPr>
            <w:r>
              <w:rPr>
                <w:sz w:val="20"/>
                <w:szCs w:val="20"/>
                <w:lang w:val="en-ID"/>
              </w:rPr>
              <w:t>5–10</w:t>
            </w:r>
          </w:p>
        </w:tc>
        <w:tc>
          <w:tcPr>
            <w:tcW w:w="851" w:type="dxa"/>
            <w:tcBorders>
              <w:top w:val="single" w:sz="4" w:space="0" w:color="000000"/>
              <w:left w:val="single" w:sz="4" w:space="0" w:color="000000"/>
              <w:bottom w:val="single" w:sz="4" w:space="0" w:color="000000"/>
              <w:right w:val="single" w:sz="4" w:space="0" w:color="000000"/>
            </w:tcBorders>
          </w:tcPr>
          <w:p w14:paraId="40B74CB8" w14:textId="77777777" w:rsidR="00973470" w:rsidRDefault="00000000">
            <w:pPr>
              <w:spacing w:line="240" w:lineRule="auto"/>
              <w:ind w:left="0" w:firstLine="0"/>
              <w:jc w:val="center"/>
              <w:rPr>
                <w:sz w:val="20"/>
                <w:szCs w:val="20"/>
                <w:lang w:val="en-ID"/>
              </w:rPr>
            </w:pPr>
            <w:r>
              <w:rPr>
                <w:sz w:val="20"/>
                <w:szCs w:val="20"/>
                <w:lang w:val="en-ID"/>
              </w:rPr>
              <w:t>78.4</w:t>
            </w:r>
          </w:p>
        </w:tc>
        <w:tc>
          <w:tcPr>
            <w:tcW w:w="850" w:type="dxa"/>
            <w:tcBorders>
              <w:top w:val="single" w:sz="4" w:space="0" w:color="000000"/>
              <w:left w:val="single" w:sz="4" w:space="0" w:color="000000"/>
              <w:bottom w:val="single" w:sz="4" w:space="0" w:color="000000"/>
              <w:right w:val="single" w:sz="4" w:space="0" w:color="000000"/>
            </w:tcBorders>
          </w:tcPr>
          <w:p w14:paraId="53070802" w14:textId="77777777" w:rsidR="00973470" w:rsidRDefault="00000000">
            <w:pPr>
              <w:spacing w:line="240" w:lineRule="auto"/>
              <w:ind w:left="0" w:firstLine="0"/>
              <w:jc w:val="center"/>
              <w:rPr>
                <w:sz w:val="20"/>
                <w:szCs w:val="20"/>
                <w:lang w:val="en-ID"/>
              </w:rPr>
            </w:pPr>
            <w:r>
              <w:rPr>
                <w:sz w:val="20"/>
                <w:szCs w:val="20"/>
                <w:lang w:val="en-ID"/>
              </w:rPr>
              <w:t>3.5</w:t>
            </w:r>
          </w:p>
        </w:tc>
        <w:tc>
          <w:tcPr>
            <w:tcW w:w="1843" w:type="dxa"/>
            <w:tcBorders>
              <w:top w:val="single" w:sz="4" w:space="0" w:color="000000"/>
              <w:left w:val="single" w:sz="4" w:space="0" w:color="000000"/>
              <w:bottom w:val="single" w:sz="4" w:space="0" w:color="000000"/>
              <w:right w:val="single" w:sz="4" w:space="0" w:color="000000"/>
            </w:tcBorders>
          </w:tcPr>
          <w:p w14:paraId="4FCB1469" w14:textId="77777777" w:rsidR="00973470" w:rsidRDefault="00000000">
            <w:pPr>
              <w:spacing w:line="240" w:lineRule="auto"/>
              <w:ind w:left="0" w:firstLine="0"/>
              <w:jc w:val="center"/>
              <w:rPr>
                <w:sz w:val="20"/>
                <w:szCs w:val="20"/>
                <w:lang w:val="en-ID"/>
              </w:rPr>
            </w:pPr>
            <w:r>
              <w:rPr>
                <w:sz w:val="20"/>
                <w:szCs w:val="20"/>
                <w:lang w:val="en-ID"/>
              </w:rPr>
              <w:t>60</w:t>
            </w:r>
          </w:p>
        </w:tc>
        <w:tc>
          <w:tcPr>
            <w:tcW w:w="1588" w:type="dxa"/>
            <w:tcBorders>
              <w:top w:val="single" w:sz="4" w:space="0" w:color="000000"/>
              <w:left w:val="single" w:sz="4" w:space="0" w:color="000000"/>
              <w:bottom w:val="single" w:sz="4" w:space="0" w:color="000000"/>
              <w:right w:val="single" w:sz="4" w:space="0" w:color="000000"/>
            </w:tcBorders>
          </w:tcPr>
          <w:p w14:paraId="3CDAD843" w14:textId="77777777" w:rsidR="00973470" w:rsidRDefault="00000000">
            <w:pPr>
              <w:spacing w:line="240" w:lineRule="auto"/>
              <w:ind w:left="0" w:firstLine="0"/>
              <w:jc w:val="center"/>
              <w:rPr>
                <w:sz w:val="20"/>
                <w:szCs w:val="20"/>
                <w:lang w:val="en-ID"/>
              </w:rPr>
            </w:pPr>
            <w:r>
              <w:rPr>
                <w:sz w:val="20"/>
                <w:szCs w:val="20"/>
                <w:lang w:val="en-ID"/>
              </w:rPr>
              <w:t>Some concerns</w:t>
            </w:r>
          </w:p>
        </w:tc>
      </w:tr>
      <w:tr w:rsidR="00973470" w14:paraId="1ED5BA03" w14:textId="77777777">
        <w:tc>
          <w:tcPr>
            <w:tcW w:w="1526" w:type="dxa"/>
            <w:tcBorders>
              <w:top w:val="single" w:sz="4" w:space="0" w:color="000000"/>
              <w:left w:val="single" w:sz="4" w:space="0" w:color="000000"/>
              <w:bottom w:val="single" w:sz="4" w:space="0" w:color="000000"/>
              <w:right w:val="single" w:sz="4" w:space="0" w:color="000000"/>
            </w:tcBorders>
          </w:tcPr>
          <w:p w14:paraId="57493C3F" w14:textId="77777777" w:rsidR="00973470" w:rsidRDefault="00000000">
            <w:pPr>
              <w:spacing w:line="240" w:lineRule="auto"/>
              <w:ind w:left="0" w:firstLine="0"/>
              <w:jc w:val="center"/>
              <w:rPr>
                <w:sz w:val="20"/>
                <w:szCs w:val="20"/>
                <w:lang w:val="en-ID"/>
              </w:rPr>
            </w:pPr>
            <w:r>
              <w:rPr>
                <w:sz w:val="20"/>
                <w:szCs w:val="20"/>
              </w:rPr>
              <w:t>Rodriguez et al. (2017)</w:t>
            </w:r>
          </w:p>
        </w:tc>
        <w:tc>
          <w:tcPr>
            <w:tcW w:w="1134" w:type="dxa"/>
            <w:tcBorders>
              <w:top w:val="single" w:sz="4" w:space="0" w:color="000000"/>
              <w:left w:val="single" w:sz="4" w:space="0" w:color="000000"/>
              <w:bottom w:val="single" w:sz="4" w:space="0" w:color="000000"/>
              <w:right w:val="single" w:sz="4" w:space="0" w:color="000000"/>
            </w:tcBorders>
          </w:tcPr>
          <w:p w14:paraId="2F9928DC" w14:textId="77777777" w:rsidR="00973470" w:rsidRDefault="00000000">
            <w:pPr>
              <w:spacing w:line="240" w:lineRule="auto"/>
              <w:ind w:left="0" w:firstLine="0"/>
              <w:jc w:val="center"/>
              <w:rPr>
                <w:sz w:val="20"/>
                <w:szCs w:val="20"/>
                <w:lang w:val="en-ID"/>
              </w:rPr>
            </w:pPr>
            <w:r>
              <w:rPr>
                <w:sz w:val="20"/>
                <w:szCs w:val="20"/>
              </w:rPr>
              <w:t>USA</w:t>
            </w:r>
          </w:p>
        </w:tc>
        <w:tc>
          <w:tcPr>
            <w:tcW w:w="1559" w:type="dxa"/>
            <w:tcBorders>
              <w:top w:val="single" w:sz="4" w:space="0" w:color="000000"/>
              <w:left w:val="single" w:sz="4" w:space="0" w:color="000000"/>
              <w:bottom w:val="single" w:sz="4" w:space="0" w:color="000000"/>
              <w:right w:val="single" w:sz="4" w:space="0" w:color="000000"/>
            </w:tcBorders>
          </w:tcPr>
          <w:p w14:paraId="21C14FF3" w14:textId="77777777" w:rsidR="00973470" w:rsidRDefault="00000000">
            <w:pPr>
              <w:spacing w:line="240" w:lineRule="auto"/>
              <w:ind w:left="0" w:firstLine="0"/>
              <w:jc w:val="center"/>
              <w:rPr>
                <w:sz w:val="20"/>
                <w:szCs w:val="20"/>
                <w:lang w:val="en-ID"/>
              </w:rPr>
            </w:pPr>
            <w:r>
              <w:rPr>
                <w:sz w:val="20"/>
                <w:szCs w:val="20"/>
              </w:rPr>
              <w:t>Laboratory RCT</w:t>
            </w:r>
          </w:p>
        </w:tc>
        <w:tc>
          <w:tcPr>
            <w:tcW w:w="1134" w:type="dxa"/>
            <w:tcBorders>
              <w:top w:val="single" w:sz="4" w:space="0" w:color="000000"/>
              <w:left w:val="single" w:sz="4" w:space="0" w:color="000000"/>
              <w:bottom w:val="single" w:sz="4" w:space="0" w:color="000000"/>
              <w:right w:val="single" w:sz="4" w:space="0" w:color="000000"/>
            </w:tcBorders>
          </w:tcPr>
          <w:p w14:paraId="1024D075" w14:textId="77777777" w:rsidR="00973470" w:rsidRDefault="00000000">
            <w:pPr>
              <w:spacing w:line="240" w:lineRule="auto"/>
              <w:ind w:left="0" w:firstLine="0"/>
              <w:jc w:val="center"/>
              <w:rPr>
                <w:sz w:val="20"/>
                <w:szCs w:val="20"/>
                <w:lang w:val="en-ID"/>
              </w:rPr>
            </w:pPr>
            <w:r>
              <w:rPr>
                <w:sz w:val="20"/>
                <w:szCs w:val="20"/>
              </w:rPr>
              <w:t>Synthetic</w:t>
            </w:r>
          </w:p>
        </w:tc>
        <w:tc>
          <w:tcPr>
            <w:tcW w:w="2410" w:type="dxa"/>
            <w:tcBorders>
              <w:top w:val="single" w:sz="4" w:space="0" w:color="000000"/>
              <w:left w:val="single" w:sz="4" w:space="0" w:color="000000"/>
              <w:bottom w:val="single" w:sz="4" w:space="0" w:color="000000"/>
              <w:right w:val="single" w:sz="4" w:space="0" w:color="000000"/>
            </w:tcBorders>
          </w:tcPr>
          <w:p w14:paraId="6F5DCE4D" w14:textId="77777777" w:rsidR="00973470" w:rsidRDefault="00000000">
            <w:pPr>
              <w:spacing w:line="240" w:lineRule="auto"/>
              <w:ind w:left="0" w:firstLine="0"/>
              <w:jc w:val="center"/>
              <w:rPr>
                <w:sz w:val="20"/>
                <w:szCs w:val="20"/>
                <w:lang w:val="en-ID"/>
              </w:rPr>
            </w:pPr>
            <w:r>
              <w:rPr>
                <w:sz w:val="20"/>
                <w:szCs w:val="20"/>
              </w:rPr>
              <w:t>DEET, Picaridin, IR3535</w:t>
            </w:r>
          </w:p>
        </w:tc>
        <w:tc>
          <w:tcPr>
            <w:tcW w:w="850" w:type="dxa"/>
            <w:tcBorders>
              <w:top w:val="single" w:sz="4" w:space="0" w:color="000000"/>
              <w:left w:val="single" w:sz="4" w:space="0" w:color="000000"/>
              <w:bottom w:val="single" w:sz="4" w:space="0" w:color="000000"/>
              <w:right w:val="single" w:sz="4" w:space="0" w:color="000000"/>
            </w:tcBorders>
          </w:tcPr>
          <w:p w14:paraId="7CC049D8" w14:textId="77777777" w:rsidR="00973470" w:rsidRDefault="00000000">
            <w:pPr>
              <w:spacing w:line="240" w:lineRule="auto"/>
              <w:ind w:left="0" w:firstLine="0"/>
              <w:jc w:val="center"/>
              <w:rPr>
                <w:sz w:val="20"/>
                <w:szCs w:val="20"/>
                <w:lang w:val="en-ID"/>
              </w:rPr>
            </w:pPr>
            <w:r>
              <w:rPr>
                <w:sz w:val="20"/>
                <w:szCs w:val="20"/>
                <w:lang w:val="en-ID"/>
              </w:rPr>
              <w:t>15–30</w:t>
            </w:r>
          </w:p>
        </w:tc>
        <w:tc>
          <w:tcPr>
            <w:tcW w:w="851" w:type="dxa"/>
            <w:tcBorders>
              <w:top w:val="single" w:sz="4" w:space="0" w:color="000000"/>
              <w:left w:val="single" w:sz="4" w:space="0" w:color="000000"/>
              <w:bottom w:val="single" w:sz="4" w:space="0" w:color="000000"/>
              <w:right w:val="single" w:sz="4" w:space="0" w:color="000000"/>
            </w:tcBorders>
          </w:tcPr>
          <w:p w14:paraId="77DDD6A1" w14:textId="77777777" w:rsidR="00973470" w:rsidRDefault="00000000">
            <w:pPr>
              <w:spacing w:line="240" w:lineRule="auto"/>
              <w:ind w:left="0" w:firstLine="0"/>
              <w:jc w:val="center"/>
              <w:rPr>
                <w:sz w:val="20"/>
                <w:szCs w:val="20"/>
                <w:lang w:val="en-ID"/>
              </w:rPr>
            </w:pPr>
            <w:r>
              <w:rPr>
                <w:sz w:val="20"/>
                <w:szCs w:val="20"/>
                <w:lang w:val="en-ID"/>
              </w:rPr>
              <w:t>89.2</w:t>
            </w:r>
          </w:p>
        </w:tc>
        <w:tc>
          <w:tcPr>
            <w:tcW w:w="850" w:type="dxa"/>
            <w:tcBorders>
              <w:top w:val="single" w:sz="4" w:space="0" w:color="000000"/>
              <w:left w:val="single" w:sz="4" w:space="0" w:color="000000"/>
              <w:bottom w:val="single" w:sz="4" w:space="0" w:color="000000"/>
              <w:right w:val="single" w:sz="4" w:space="0" w:color="000000"/>
            </w:tcBorders>
          </w:tcPr>
          <w:p w14:paraId="147FE5BD" w14:textId="77777777" w:rsidR="00973470" w:rsidRDefault="00000000">
            <w:pPr>
              <w:spacing w:line="240" w:lineRule="auto"/>
              <w:ind w:left="0" w:firstLine="0"/>
              <w:jc w:val="center"/>
              <w:rPr>
                <w:sz w:val="20"/>
                <w:szCs w:val="20"/>
                <w:lang w:val="en-ID"/>
              </w:rPr>
            </w:pPr>
            <w:r>
              <w:rPr>
                <w:sz w:val="20"/>
                <w:szCs w:val="20"/>
                <w:lang w:val="en-ID"/>
              </w:rPr>
              <w:t>4.8</w:t>
            </w:r>
          </w:p>
        </w:tc>
        <w:tc>
          <w:tcPr>
            <w:tcW w:w="1843" w:type="dxa"/>
            <w:tcBorders>
              <w:top w:val="single" w:sz="4" w:space="0" w:color="000000"/>
              <w:left w:val="single" w:sz="4" w:space="0" w:color="000000"/>
              <w:bottom w:val="single" w:sz="4" w:space="0" w:color="000000"/>
              <w:right w:val="single" w:sz="4" w:space="0" w:color="000000"/>
            </w:tcBorders>
          </w:tcPr>
          <w:p w14:paraId="099D31E5" w14:textId="77777777" w:rsidR="00973470" w:rsidRDefault="00000000">
            <w:pPr>
              <w:spacing w:line="240" w:lineRule="auto"/>
              <w:ind w:left="0" w:firstLine="0"/>
              <w:jc w:val="center"/>
              <w:rPr>
                <w:sz w:val="20"/>
                <w:szCs w:val="20"/>
                <w:lang w:val="en-ID"/>
              </w:rPr>
            </w:pPr>
            <w:r>
              <w:rPr>
                <w:sz w:val="20"/>
                <w:szCs w:val="20"/>
                <w:lang w:val="en-ID"/>
              </w:rPr>
              <w:t>80</w:t>
            </w:r>
          </w:p>
        </w:tc>
        <w:tc>
          <w:tcPr>
            <w:tcW w:w="1588" w:type="dxa"/>
            <w:tcBorders>
              <w:top w:val="single" w:sz="4" w:space="0" w:color="000000"/>
              <w:left w:val="single" w:sz="4" w:space="0" w:color="000000"/>
              <w:bottom w:val="single" w:sz="4" w:space="0" w:color="000000"/>
              <w:right w:val="single" w:sz="4" w:space="0" w:color="000000"/>
            </w:tcBorders>
          </w:tcPr>
          <w:p w14:paraId="6E8FD470" w14:textId="77777777" w:rsidR="00973470" w:rsidRDefault="00000000">
            <w:pPr>
              <w:spacing w:line="240" w:lineRule="auto"/>
              <w:ind w:left="0" w:firstLine="0"/>
              <w:jc w:val="center"/>
              <w:rPr>
                <w:sz w:val="20"/>
                <w:szCs w:val="20"/>
                <w:lang w:val="en-ID"/>
              </w:rPr>
            </w:pPr>
            <w:r>
              <w:rPr>
                <w:sz w:val="20"/>
                <w:szCs w:val="20"/>
                <w:lang w:val="en-ID"/>
              </w:rPr>
              <w:t>Low</w:t>
            </w:r>
          </w:p>
        </w:tc>
      </w:tr>
      <w:tr w:rsidR="00973470" w14:paraId="0168695D" w14:textId="77777777">
        <w:tc>
          <w:tcPr>
            <w:tcW w:w="1526" w:type="dxa"/>
            <w:tcBorders>
              <w:top w:val="single" w:sz="4" w:space="0" w:color="000000"/>
              <w:left w:val="single" w:sz="4" w:space="0" w:color="000000"/>
              <w:bottom w:val="single" w:sz="4" w:space="0" w:color="000000"/>
              <w:right w:val="single" w:sz="4" w:space="0" w:color="000000"/>
            </w:tcBorders>
          </w:tcPr>
          <w:p w14:paraId="084DB92B" w14:textId="77777777" w:rsidR="00973470" w:rsidRDefault="00000000">
            <w:pPr>
              <w:spacing w:line="240" w:lineRule="auto"/>
              <w:ind w:left="0" w:firstLine="0"/>
              <w:jc w:val="center"/>
              <w:rPr>
                <w:sz w:val="20"/>
                <w:szCs w:val="20"/>
                <w:lang w:val="en-ID"/>
              </w:rPr>
            </w:pPr>
            <w:r>
              <w:rPr>
                <w:sz w:val="20"/>
                <w:szCs w:val="20"/>
              </w:rPr>
              <w:t>Phasomkusolsil and Soonwera (2010)</w:t>
            </w:r>
          </w:p>
        </w:tc>
        <w:tc>
          <w:tcPr>
            <w:tcW w:w="1134" w:type="dxa"/>
            <w:tcBorders>
              <w:top w:val="single" w:sz="4" w:space="0" w:color="000000"/>
              <w:left w:val="single" w:sz="4" w:space="0" w:color="000000"/>
              <w:bottom w:val="single" w:sz="4" w:space="0" w:color="000000"/>
              <w:right w:val="single" w:sz="4" w:space="0" w:color="000000"/>
            </w:tcBorders>
          </w:tcPr>
          <w:p w14:paraId="28C56351" w14:textId="77777777" w:rsidR="00973470" w:rsidRDefault="00000000">
            <w:pPr>
              <w:spacing w:line="240" w:lineRule="auto"/>
              <w:ind w:left="0" w:firstLine="0"/>
              <w:jc w:val="center"/>
              <w:rPr>
                <w:sz w:val="20"/>
                <w:szCs w:val="20"/>
                <w:lang w:val="en-ID"/>
              </w:rPr>
            </w:pPr>
            <w:r>
              <w:rPr>
                <w:sz w:val="20"/>
                <w:szCs w:val="20"/>
              </w:rPr>
              <w:t>Thailand</w:t>
            </w:r>
          </w:p>
        </w:tc>
        <w:tc>
          <w:tcPr>
            <w:tcW w:w="1559" w:type="dxa"/>
            <w:tcBorders>
              <w:top w:val="single" w:sz="4" w:space="0" w:color="000000"/>
              <w:left w:val="single" w:sz="4" w:space="0" w:color="000000"/>
              <w:bottom w:val="single" w:sz="4" w:space="0" w:color="000000"/>
              <w:right w:val="single" w:sz="4" w:space="0" w:color="000000"/>
            </w:tcBorders>
          </w:tcPr>
          <w:p w14:paraId="377FD2D9" w14:textId="77777777" w:rsidR="00973470" w:rsidRDefault="00000000">
            <w:pPr>
              <w:spacing w:line="240" w:lineRule="auto"/>
              <w:ind w:left="0" w:firstLine="0"/>
              <w:jc w:val="center"/>
              <w:rPr>
                <w:sz w:val="20"/>
                <w:szCs w:val="20"/>
                <w:lang w:val="en-ID"/>
              </w:rPr>
            </w:pPr>
            <w:r>
              <w:rPr>
                <w:sz w:val="20"/>
                <w:szCs w:val="20"/>
              </w:rPr>
              <w:t>Laboratory exp.</w:t>
            </w:r>
          </w:p>
        </w:tc>
        <w:tc>
          <w:tcPr>
            <w:tcW w:w="1134" w:type="dxa"/>
            <w:tcBorders>
              <w:top w:val="single" w:sz="4" w:space="0" w:color="000000"/>
              <w:left w:val="single" w:sz="4" w:space="0" w:color="000000"/>
              <w:bottom w:val="single" w:sz="4" w:space="0" w:color="000000"/>
              <w:right w:val="single" w:sz="4" w:space="0" w:color="000000"/>
            </w:tcBorders>
          </w:tcPr>
          <w:p w14:paraId="3DC8A00E" w14:textId="77777777" w:rsidR="00973470" w:rsidRDefault="00000000">
            <w:pPr>
              <w:spacing w:line="240" w:lineRule="auto"/>
              <w:ind w:left="0" w:firstLine="0"/>
              <w:jc w:val="center"/>
              <w:rPr>
                <w:sz w:val="20"/>
                <w:szCs w:val="20"/>
                <w:lang w:val="en-ID"/>
              </w:rPr>
            </w:pPr>
            <w:r>
              <w:rPr>
                <w:sz w:val="20"/>
                <w:szCs w:val="20"/>
              </w:rPr>
              <w:t>Natural</w:t>
            </w:r>
          </w:p>
        </w:tc>
        <w:tc>
          <w:tcPr>
            <w:tcW w:w="2410" w:type="dxa"/>
            <w:tcBorders>
              <w:top w:val="single" w:sz="4" w:space="0" w:color="000000"/>
              <w:left w:val="single" w:sz="4" w:space="0" w:color="000000"/>
              <w:bottom w:val="single" w:sz="4" w:space="0" w:color="000000"/>
              <w:right w:val="single" w:sz="4" w:space="0" w:color="000000"/>
            </w:tcBorders>
          </w:tcPr>
          <w:p w14:paraId="54B10F07" w14:textId="77777777" w:rsidR="00973470" w:rsidRDefault="00000000">
            <w:pPr>
              <w:spacing w:line="240" w:lineRule="auto"/>
              <w:ind w:left="0" w:firstLine="0"/>
              <w:jc w:val="center"/>
              <w:rPr>
                <w:sz w:val="20"/>
                <w:szCs w:val="20"/>
                <w:lang w:val="en-ID"/>
              </w:rPr>
            </w:pPr>
            <w:r>
              <w:rPr>
                <w:sz w:val="20"/>
                <w:szCs w:val="20"/>
              </w:rPr>
              <w:t>Medicinal plant oils</w:t>
            </w:r>
          </w:p>
        </w:tc>
        <w:tc>
          <w:tcPr>
            <w:tcW w:w="850" w:type="dxa"/>
            <w:tcBorders>
              <w:top w:val="single" w:sz="4" w:space="0" w:color="000000"/>
              <w:left w:val="single" w:sz="4" w:space="0" w:color="000000"/>
              <w:bottom w:val="single" w:sz="4" w:space="0" w:color="000000"/>
              <w:right w:val="single" w:sz="4" w:space="0" w:color="000000"/>
            </w:tcBorders>
          </w:tcPr>
          <w:p w14:paraId="279A667F" w14:textId="77777777" w:rsidR="00973470" w:rsidRDefault="00000000">
            <w:pPr>
              <w:spacing w:line="240" w:lineRule="auto"/>
              <w:ind w:left="0" w:firstLine="0"/>
              <w:jc w:val="center"/>
              <w:rPr>
                <w:sz w:val="20"/>
                <w:szCs w:val="20"/>
                <w:lang w:val="en-ID"/>
              </w:rPr>
            </w:pPr>
            <w:r>
              <w:rPr>
                <w:sz w:val="20"/>
                <w:szCs w:val="20"/>
                <w:lang w:val="en-ID"/>
              </w:rPr>
              <w:t>5–15</w:t>
            </w:r>
          </w:p>
        </w:tc>
        <w:tc>
          <w:tcPr>
            <w:tcW w:w="851" w:type="dxa"/>
            <w:tcBorders>
              <w:top w:val="single" w:sz="4" w:space="0" w:color="000000"/>
              <w:left w:val="single" w:sz="4" w:space="0" w:color="000000"/>
              <w:bottom w:val="single" w:sz="4" w:space="0" w:color="000000"/>
              <w:right w:val="single" w:sz="4" w:space="0" w:color="000000"/>
            </w:tcBorders>
          </w:tcPr>
          <w:p w14:paraId="695ADFA4" w14:textId="77777777" w:rsidR="00973470" w:rsidRDefault="00000000">
            <w:pPr>
              <w:spacing w:line="240" w:lineRule="auto"/>
              <w:ind w:left="0" w:firstLine="0"/>
              <w:jc w:val="center"/>
              <w:rPr>
                <w:sz w:val="20"/>
                <w:szCs w:val="20"/>
                <w:lang w:val="en-ID"/>
              </w:rPr>
            </w:pPr>
            <w:r>
              <w:rPr>
                <w:sz w:val="20"/>
                <w:szCs w:val="20"/>
                <w:lang w:val="en-ID"/>
              </w:rPr>
              <w:t>55.7</w:t>
            </w:r>
          </w:p>
        </w:tc>
        <w:tc>
          <w:tcPr>
            <w:tcW w:w="850" w:type="dxa"/>
            <w:tcBorders>
              <w:top w:val="single" w:sz="4" w:space="0" w:color="000000"/>
              <w:left w:val="single" w:sz="4" w:space="0" w:color="000000"/>
              <w:bottom w:val="single" w:sz="4" w:space="0" w:color="000000"/>
              <w:right w:val="single" w:sz="4" w:space="0" w:color="000000"/>
            </w:tcBorders>
          </w:tcPr>
          <w:p w14:paraId="5E4277AF" w14:textId="77777777" w:rsidR="00973470" w:rsidRDefault="00000000">
            <w:pPr>
              <w:spacing w:line="240" w:lineRule="auto"/>
              <w:ind w:left="0" w:firstLine="0"/>
              <w:jc w:val="center"/>
            </w:pPr>
            <w:r>
              <w:rPr>
                <w:sz w:val="20"/>
                <w:szCs w:val="20"/>
                <w:lang w:val="en-ID"/>
              </w:rPr>
              <w:t>1.8</w:t>
            </w:r>
          </w:p>
        </w:tc>
        <w:tc>
          <w:tcPr>
            <w:tcW w:w="1843" w:type="dxa"/>
            <w:tcBorders>
              <w:top w:val="single" w:sz="4" w:space="0" w:color="000000"/>
              <w:left w:val="single" w:sz="4" w:space="0" w:color="000000"/>
              <w:bottom w:val="single" w:sz="4" w:space="0" w:color="000000"/>
              <w:right w:val="single" w:sz="4" w:space="0" w:color="000000"/>
            </w:tcBorders>
          </w:tcPr>
          <w:p w14:paraId="36F65E00" w14:textId="77777777" w:rsidR="00973470" w:rsidRDefault="00000000">
            <w:pPr>
              <w:spacing w:line="240" w:lineRule="auto"/>
              <w:ind w:left="0" w:firstLine="0"/>
              <w:jc w:val="center"/>
              <w:rPr>
                <w:sz w:val="20"/>
                <w:szCs w:val="20"/>
                <w:lang w:val="en-ID"/>
              </w:rPr>
            </w:pPr>
            <w:r>
              <w:rPr>
                <w:sz w:val="20"/>
                <w:szCs w:val="20"/>
                <w:lang w:val="en-ID"/>
              </w:rPr>
              <w:t>50</w:t>
            </w:r>
          </w:p>
        </w:tc>
        <w:tc>
          <w:tcPr>
            <w:tcW w:w="1588" w:type="dxa"/>
            <w:tcBorders>
              <w:top w:val="single" w:sz="4" w:space="0" w:color="000000"/>
              <w:left w:val="single" w:sz="4" w:space="0" w:color="000000"/>
              <w:bottom w:val="single" w:sz="4" w:space="0" w:color="000000"/>
              <w:right w:val="single" w:sz="4" w:space="0" w:color="000000"/>
            </w:tcBorders>
          </w:tcPr>
          <w:p w14:paraId="2480EF48" w14:textId="77777777" w:rsidR="00973470" w:rsidRDefault="00000000">
            <w:pPr>
              <w:spacing w:line="240" w:lineRule="auto"/>
              <w:ind w:left="0" w:firstLine="0"/>
              <w:jc w:val="center"/>
              <w:rPr>
                <w:sz w:val="20"/>
                <w:szCs w:val="20"/>
                <w:lang w:val="en-ID"/>
              </w:rPr>
            </w:pPr>
            <w:r>
              <w:rPr>
                <w:sz w:val="20"/>
                <w:szCs w:val="20"/>
                <w:lang w:val="en-ID"/>
              </w:rPr>
              <w:t>High</w:t>
            </w:r>
          </w:p>
        </w:tc>
      </w:tr>
      <w:tr w:rsidR="00973470" w14:paraId="3FFD53F8" w14:textId="77777777">
        <w:tc>
          <w:tcPr>
            <w:tcW w:w="1526" w:type="dxa"/>
            <w:tcBorders>
              <w:top w:val="single" w:sz="4" w:space="0" w:color="000000"/>
              <w:left w:val="single" w:sz="4" w:space="0" w:color="000000"/>
              <w:bottom w:val="single" w:sz="4" w:space="0" w:color="000000"/>
              <w:right w:val="single" w:sz="4" w:space="0" w:color="000000"/>
            </w:tcBorders>
          </w:tcPr>
          <w:p w14:paraId="1D9EBDD9" w14:textId="77777777" w:rsidR="00973470" w:rsidRDefault="00000000">
            <w:pPr>
              <w:spacing w:line="240" w:lineRule="auto"/>
              <w:ind w:left="0" w:firstLine="0"/>
              <w:jc w:val="center"/>
              <w:rPr>
                <w:sz w:val="20"/>
                <w:szCs w:val="20"/>
                <w:lang w:val="en-ID"/>
              </w:rPr>
            </w:pPr>
            <w:r>
              <w:rPr>
                <w:sz w:val="20"/>
                <w:szCs w:val="20"/>
              </w:rPr>
              <w:t>Junkum et al. (2021)</w:t>
            </w:r>
          </w:p>
        </w:tc>
        <w:tc>
          <w:tcPr>
            <w:tcW w:w="1134" w:type="dxa"/>
            <w:tcBorders>
              <w:top w:val="single" w:sz="4" w:space="0" w:color="000000"/>
              <w:left w:val="single" w:sz="4" w:space="0" w:color="000000"/>
              <w:bottom w:val="single" w:sz="4" w:space="0" w:color="000000"/>
              <w:right w:val="single" w:sz="4" w:space="0" w:color="000000"/>
            </w:tcBorders>
          </w:tcPr>
          <w:p w14:paraId="6DE5F5FD" w14:textId="77777777" w:rsidR="00973470" w:rsidRDefault="00000000">
            <w:pPr>
              <w:spacing w:line="240" w:lineRule="auto"/>
              <w:ind w:left="0" w:firstLine="0"/>
              <w:jc w:val="center"/>
              <w:rPr>
                <w:sz w:val="20"/>
                <w:szCs w:val="20"/>
                <w:lang w:val="en-ID"/>
              </w:rPr>
            </w:pPr>
            <w:r>
              <w:rPr>
                <w:sz w:val="20"/>
                <w:szCs w:val="20"/>
              </w:rPr>
              <w:t>Thailand</w:t>
            </w:r>
          </w:p>
        </w:tc>
        <w:tc>
          <w:tcPr>
            <w:tcW w:w="1559" w:type="dxa"/>
            <w:tcBorders>
              <w:top w:val="single" w:sz="4" w:space="0" w:color="000000"/>
              <w:left w:val="single" w:sz="4" w:space="0" w:color="000000"/>
              <w:bottom w:val="single" w:sz="4" w:space="0" w:color="000000"/>
              <w:right w:val="single" w:sz="4" w:space="0" w:color="000000"/>
            </w:tcBorders>
          </w:tcPr>
          <w:p w14:paraId="2A1ACD2E" w14:textId="77777777" w:rsidR="00973470" w:rsidRDefault="00000000">
            <w:pPr>
              <w:spacing w:line="240" w:lineRule="auto"/>
              <w:ind w:left="0" w:firstLine="0"/>
              <w:jc w:val="center"/>
              <w:rPr>
                <w:sz w:val="20"/>
                <w:szCs w:val="20"/>
                <w:lang w:val="en-ID"/>
              </w:rPr>
            </w:pPr>
            <w:r>
              <w:rPr>
                <w:sz w:val="20"/>
                <w:szCs w:val="20"/>
              </w:rPr>
              <w:t>Laboratory RCT</w:t>
            </w:r>
          </w:p>
        </w:tc>
        <w:tc>
          <w:tcPr>
            <w:tcW w:w="1134" w:type="dxa"/>
            <w:tcBorders>
              <w:top w:val="single" w:sz="4" w:space="0" w:color="000000"/>
              <w:left w:val="single" w:sz="4" w:space="0" w:color="000000"/>
              <w:bottom w:val="single" w:sz="4" w:space="0" w:color="000000"/>
              <w:right w:val="single" w:sz="4" w:space="0" w:color="000000"/>
            </w:tcBorders>
          </w:tcPr>
          <w:p w14:paraId="613E2CE9" w14:textId="77777777" w:rsidR="00973470" w:rsidRDefault="00000000">
            <w:pPr>
              <w:spacing w:line="240" w:lineRule="auto"/>
              <w:ind w:left="0" w:firstLine="0"/>
              <w:jc w:val="center"/>
              <w:rPr>
                <w:sz w:val="20"/>
                <w:szCs w:val="20"/>
                <w:lang w:val="en-ID"/>
              </w:rPr>
            </w:pPr>
            <w:r>
              <w:rPr>
                <w:sz w:val="20"/>
                <w:szCs w:val="20"/>
              </w:rPr>
              <w:t>Natural</w:t>
            </w:r>
          </w:p>
        </w:tc>
        <w:tc>
          <w:tcPr>
            <w:tcW w:w="2410" w:type="dxa"/>
            <w:tcBorders>
              <w:top w:val="single" w:sz="4" w:space="0" w:color="000000"/>
              <w:left w:val="single" w:sz="4" w:space="0" w:color="000000"/>
              <w:bottom w:val="single" w:sz="4" w:space="0" w:color="000000"/>
              <w:right w:val="single" w:sz="4" w:space="0" w:color="000000"/>
            </w:tcBorders>
          </w:tcPr>
          <w:p w14:paraId="294DC043" w14:textId="77777777" w:rsidR="00973470" w:rsidRDefault="00000000">
            <w:pPr>
              <w:spacing w:line="240" w:lineRule="auto"/>
              <w:ind w:left="0" w:firstLine="0"/>
              <w:jc w:val="center"/>
              <w:rPr>
                <w:sz w:val="20"/>
                <w:szCs w:val="20"/>
                <w:lang w:val="en-ID"/>
              </w:rPr>
            </w:pPr>
            <w:r>
              <w:rPr>
                <w:sz w:val="20"/>
                <w:szCs w:val="20"/>
              </w:rPr>
              <w:t>Ligusticum sinense nanoemulsion</w:t>
            </w:r>
          </w:p>
        </w:tc>
        <w:tc>
          <w:tcPr>
            <w:tcW w:w="850" w:type="dxa"/>
            <w:tcBorders>
              <w:top w:val="single" w:sz="4" w:space="0" w:color="000000"/>
              <w:left w:val="single" w:sz="4" w:space="0" w:color="000000"/>
              <w:bottom w:val="single" w:sz="4" w:space="0" w:color="000000"/>
              <w:right w:val="single" w:sz="4" w:space="0" w:color="000000"/>
            </w:tcBorders>
          </w:tcPr>
          <w:p w14:paraId="26D5871C" w14:textId="77777777" w:rsidR="00973470" w:rsidRDefault="00000000">
            <w:pPr>
              <w:spacing w:line="240" w:lineRule="auto"/>
              <w:ind w:left="0" w:firstLine="0"/>
              <w:jc w:val="center"/>
              <w:rPr>
                <w:sz w:val="20"/>
                <w:szCs w:val="20"/>
                <w:lang w:val="en-ID"/>
              </w:rPr>
            </w:pPr>
            <w:r>
              <w:rPr>
                <w:sz w:val="20"/>
                <w:szCs w:val="20"/>
                <w:lang w:val="en-ID"/>
              </w:rPr>
              <w:t>3</w:t>
            </w:r>
          </w:p>
        </w:tc>
        <w:tc>
          <w:tcPr>
            <w:tcW w:w="851" w:type="dxa"/>
            <w:tcBorders>
              <w:top w:val="single" w:sz="4" w:space="0" w:color="000000"/>
              <w:left w:val="single" w:sz="4" w:space="0" w:color="000000"/>
              <w:bottom w:val="single" w:sz="4" w:space="0" w:color="000000"/>
              <w:right w:val="single" w:sz="4" w:space="0" w:color="000000"/>
            </w:tcBorders>
          </w:tcPr>
          <w:p w14:paraId="68ACFC8F" w14:textId="77777777" w:rsidR="00973470" w:rsidRDefault="00000000">
            <w:pPr>
              <w:spacing w:line="240" w:lineRule="auto"/>
              <w:ind w:left="0" w:firstLine="0"/>
              <w:jc w:val="center"/>
              <w:rPr>
                <w:sz w:val="20"/>
                <w:szCs w:val="20"/>
                <w:lang w:val="en-ID"/>
              </w:rPr>
            </w:pPr>
            <w:r>
              <w:rPr>
                <w:sz w:val="20"/>
                <w:szCs w:val="20"/>
                <w:lang w:val="en-ID"/>
              </w:rPr>
              <w:t>81.6</w:t>
            </w:r>
          </w:p>
        </w:tc>
        <w:tc>
          <w:tcPr>
            <w:tcW w:w="850" w:type="dxa"/>
            <w:tcBorders>
              <w:top w:val="single" w:sz="4" w:space="0" w:color="000000"/>
              <w:left w:val="single" w:sz="4" w:space="0" w:color="000000"/>
              <w:bottom w:val="single" w:sz="4" w:space="0" w:color="000000"/>
              <w:right w:val="single" w:sz="4" w:space="0" w:color="000000"/>
            </w:tcBorders>
          </w:tcPr>
          <w:p w14:paraId="4F61ED6A" w14:textId="77777777" w:rsidR="00973470" w:rsidRDefault="00000000">
            <w:pPr>
              <w:spacing w:line="240" w:lineRule="auto"/>
              <w:ind w:left="0" w:firstLine="0"/>
              <w:jc w:val="center"/>
              <w:rPr>
                <w:sz w:val="20"/>
                <w:szCs w:val="20"/>
                <w:lang w:val="en-ID"/>
              </w:rPr>
            </w:pPr>
            <w:r>
              <w:rPr>
                <w:sz w:val="20"/>
                <w:szCs w:val="20"/>
                <w:lang w:val="en-ID"/>
              </w:rPr>
              <w:t>4.2</w:t>
            </w:r>
          </w:p>
        </w:tc>
        <w:tc>
          <w:tcPr>
            <w:tcW w:w="1843" w:type="dxa"/>
            <w:tcBorders>
              <w:top w:val="single" w:sz="4" w:space="0" w:color="000000"/>
              <w:left w:val="single" w:sz="4" w:space="0" w:color="000000"/>
              <w:bottom w:val="single" w:sz="4" w:space="0" w:color="000000"/>
              <w:right w:val="single" w:sz="4" w:space="0" w:color="000000"/>
            </w:tcBorders>
          </w:tcPr>
          <w:p w14:paraId="7ADDD1D2" w14:textId="77777777" w:rsidR="00973470" w:rsidRDefault="00000000">
            <w:pPr>
              <w:spacing w:line="240" w:lineRule="auto"/>
              <w:ind w:left="0" w:firstLine="0"/>
              <w:jc w:val="center"/>
              <w:rPr>
                <w:sz w:val="20"/>
                <w:szCs w:val="20"/>
                <w:lang w:val="en-ID"/>
              </w:rPr>
            </w:pPr>
            <w:r>
              <w:rPr>
                <w:sz w:val="20"/>
                <w:szCs w:val="20"/>
                <w:lang w:val="en-ID"/>
              </w:rPr>
              <w:t>100</w:t>
            </w:r>
          </w:p>
        </w:tc>
        <w:tc>
          <w:tcPr>
            <w:tcW w:w="1588" w:type="dxa"/>
            <w:tcBorders>
              <w:top w:val="single" w:sz="4" w:space="0" w:color="000000"/>
              <w:left w:val="single" w:sz="4" w:space="0" w:color="000000"/>
              <w:bottom w:val="single" w:sz="4" w:space="0" w:color="000000"/>
              <w:right w:val="single" w:sz="4" w:space="0" w:color="000000"/>
            </w:tcBorders>
          </w:tcPr>
          <w:p w14:paraId="2AC76F15" w14:textId="77777777" w:rsidR="00973470" w:rsidRDefault="00000000">
            <w:pPr>
              <w:spacing w:line="240" w:lineRule="auto"/>
              <w:ind w:left="0" w:firstLine="0"/>
              <w:jc w:val="center"/>
              <w:rPr>
                <w:sz w:val="20"/>
                <w:szCs w:val="20"/>
                <w:lang w:val="en-ID"/>
              </w:rPr>
            </w:pPr>
            <w:r>
              <w:rPr>
                <w:sz w:val="20"/>
                <w:szCs w:val="20"/>
                <w:lang w:val="en-ID"/>
              </w:rPr>
              <w:t>Low</w:t>
            </w:r>
          </w:p>
        </w:tc>
      </w:tr>
      <w:tr w:rsidR="00973470" w14:paraId="382B66D7" w14:textId="77777777">
        <w:tc>
          <w:tcPr>
            <w:tcW w:w="1526" w:type="dxa"/>
            <w:tcBorders>
              <w:top w:val="single" w:sz="4" w:space="0" w:color="000000"/>
              <w:left w:val="single" w:sz="4" w:space="0" w:color="000000"/>
              <w:bottom w:val="single" w:sz="4" w:space="0" w:color="000000"/>
              <w:right w:val="single" w:sz="4" w:space="0" w:color="000000"/>
            </w:tcBorders>
          </w:tcPr>
          <w:p w14:paraId="748B14AD" w14:textId="77777777" w:rsidR="00973470" w:rsidRDefault="00000000">
            <w:pPr>
              <w:spacing w:line="240" w:lineRule="auto"/>
              <w:ind w:left="0" w:firstLine="0"/>
              <w:jc w:val="center"/>
              <w:rPr>
                <w:sz w:val="20"/>
                <w:szCs w:val="20"/>
                <w:lang w:val="en-ID"/>
              </w:rPr>
            </w:pPr>
            <w:r>
              <w:rPr>
                <w:sz w:val="20"/>
                <w:szCs w:val="20"/>
              </w:rPr>
              <w:t>Costantini et al. (2004)</w:t>
            </w:r>
          </w:p>
        </w:tc>
        <w:tc>
          <w:tcPr>
            <w:tcW w:w="1134" w:type="dxa"/>
            <w:tcBorders>
              <w:top w:val="single" w:sz="4" w:space="0" w:color="000000"/>
              <w:left w:val="single" w:sz="4" w:space="0" w:color="000000"/>
              <w:bottom w:val="single" w:sz="4" w:space="0" w:color="000000"/>
              <w:right w:val="single" w:sz="4" w:space="0" w:color="000000"/>
            </w:tcBorders>
          </w:tcPr>
          <w:p w14:paraId="16A52AE9" w14:textId="77777777" w:rsidR="00973470" w:rsidRDefault="00000000">
            <w:pPr>
              <w:spacing w:line="240" w:lineRule="auto"/>
              <w:ind w:left="0" w:firstLine="0"/>
              <w:jc w:val="center"/>
              <w:rPr>
                <w:sz w:val="20"/>
                <w:szCs w:val="20"/>
                <w:lang w:val="en-ID"/>
              </w:rPr>
            </w:pPr>
            <w:r>
              <w:rPr>
                <w:sz w:val="20"/>
                <w:szCs w:val="20"/>
              </w:rPr>
              <w:t>Burkina Faso</w:t>
            </w:r>
          </w:p>
        </w:tc>
        <w:tc>
          <w:tcPr>
            <w:tcW w:w="1559" w:type="dxa"/>
            <w:tcBorders>
              <w:top w:val="single" w:sz="4" w:space="0" w:color="000000"/>
              <w:left w:val="single" w:sz="4" w:space="0" w:color="000000"/>
              <w:bottom w:val="single" w:sz="4" w:space="0" w:color="000000"/>
              <w:right w:val="single" w:sz="4" w:space="0" w:color="000000"/>
            </w:tcBorders>
          </w:tcPr>
          <w:p w14:paraId="596BDC13" w14:textId="77777777" w:rsidR="00973470" w:rsidRDefault="00000000">
            <w:pPr>
              <w:spacing w:line="240" w:lineRule="auto"/>
              <w:ind w:left="0" w:firstLine="0"/>
              <w:jc w:val="center"/>
              <w:rPr>
                <w:sz w:val="20"/>
                <w:szCs w:val="20"/>
                <w:lang w:val="en-ID"/>
              </w:rPr>
            </w:pPr>
            <w:r>
              <w:rPr>
                <w:sz w:val="20"/>
                <w:szCs w:val="20"/>
              </w:rPr>
              <w:t>Field RCT</w:t>
            </w:r>
          </w:p>
        </w:tc>
        <w:tc>
          <w:tcPr>
            <w:tcW w:w="1134" w:type="dxa"/>
            <w:tcBorders>
              <w:top w:val="single" w:sz="4" w:space="0" w:color="000000"/>
              <w:left w:val="single" w:sz="4" w:space="0" w:color="000000"/>
              <w:bottom w:val="single" w:sz="4" w:space="0" w:color="000000"/>
              <w:right w:val="single" w:sz="4" w:space="0" w:color="000000"/>
            </w:tcBorders>
          </w:tcPr>
          <w:p w14:paraId="19E69DEB" w14:textId="77777777" w:rsidR="00973470" w:rsidRDefault="00000000">
            <w:pPr>
              <w:spacing w:line="240" w:lineRule="auto"/>
              <w:ind w:left="0" w:firstLine="0"/>
              <w:jc w:val="center"/>
              <w:rPr>
                <w:sz w:val="20"/>
                <w:szCs w:val="20"/>
                <w:lang w:val="en-ID"/>
              </w:rPr>
            </w:pPr>
            <w:r>
              <w:rPr>
                <w:sz w:val="20"/>
                <w:szCs w:val="20"/>
              </w:rPr>
              <w:t>Synthetic</w:t>
            </w:r>
          </w:p>
        </w:tc>
        <w:tc>
          <w:tcPr>
            <w:tcW w:w="2410" w:type="dxa"/>
            <w:tcBorders>
              <w:top w:val="single" w:sz="4" w:space="0" w:color="000000"/>
              <w:left w:val="single" w:sz="4" w:space="0" w:color="000000"/>
              <w:bottom w:val="single" w:sz="4" w:space="0" w:color="000000"/>
              <w:right w:val="single" w:sz="4" w:space="0" w:color="000000"/>
            </w:tcBorders>
          </w:tcPr>
          <w:p w14:paraId="3F45121E" w14:textId="77777777" w:rsidR="00973470" w:rsidRDefault="00000000">
            <w:pPr>
              <w:spacing w:line="240" w:lineRule="auto"/>
              <w:ind w:left="0" w:firstLine="0"/>
              <w:jc w:val="center"/>
              <w:rPr>
                <w:sz w:val="20"/>
                <w:szCs w:val="20"/>
                <w:lang w:val="en-ID"/>
              </w:rPr>
            </w:pPr>
            <w:r>
              <w:rPr>
                <w:sz w:val="20"/>
                <w:szCs w:val="20"/>
              </w:rPr>
              <w:t>DEET, IR3535, KBR3023</w:t>
            </w:r>
          </w:p>
        </w:tc>
        <w:tc>
          <w:tcPr>
            <w:tcW w:w="850" w:type="dxa"/>
            <w:tcBorders>
              <w:top w:val="single" w:sz="4" w:space="0" w:color="000000"/>
              <w:left w:val="single" w:sz="4" w:space="0" w:color="000000"/>
              <w:bottom w:val="single" w:sz="4" w:space="0" w:color="000000"/>
              <w:right w:val="single" w:sz="4" w:space="0" w:color="000000"/>
            </w:tcBorders>
          </w:tcPr>
          <w:p w14:paraId="57D4E941" w14:textId="77777777" w:rsidR="00973470" w:rsidRDefault="00000000">
            <w:pPr>
              <w:spacing w:line="240" w:lineRule="auto"/>
              <w:ind w:left="0" w:firstLine="0"/>
              <w:jc w:val="center"/>
              <w:rPr>
                <w:sz w:val="20"/>
                <w:szCs w:val="20"/>
                <w:lang w:val="en-ID"/>
              </w:rPr>
            </w:pPr>
            <w:r>
              <w:rPr>
                <w:sz w:val="20"/>
                <w:szCs w:val="20"/>
              </w:rPr>
              <w:t>20–35</w:t>
            </w:r>
          </w:p>
        </w:tc>
        <w:tc>
          <w:tcPr>
            <w:tcW w:w="851" w:type="dxa"/>
            <w:tcBorders>
              <w:top w:val="single" w:sz="4" w:space="0" w:color="000000"/>
              <w:left w:val="single" w:sz="4" w:space="0" w:color="000000"/>
              <w:bottom w:val="single" w:sz="4" w:space="0" w:color="000000"/>
              <w:right w:val="single" w:sz="4" w:space="0" w:color="000000"/>
            </w:tcBorders>
          </w:tcPr>
          <w:p w14:paraId="1E055315" w14:textId="77777777" w:rsidR="00973470" w:rsidRDefault="00000000">
            <w:pPr>
              <w:spacing w:line="240" w:lineRule="auto"/>
              <w:ind w:left="0" w:firstLine="0"/>
              <w:jc w:val="center"/>
              <w:rPr>
                <w:sz w:val="20"/>
                <w:szCs w:val="20"/>
                <w:lang w:val="en-ID"/>
              </w:rPr>
            </w:pPr>
            <w:r>
              <w:rPr>
                <w:sz w:val="20"/>
                <w:szCs w:val="20"/>
              </w:rPr>
              <w:t>91.4</w:t>
            </w:r>
          </w:p>
        </w:tc>
        <w:tc>
          <w:tcPr>
            <w:tcW w:w="850" w:type="dxa"/>
            <w:tcBorders>
              <w:top w:val="single" w:sz="4" w:space="0" w:color="000000"/>
              <w:left w:val="single" w:sz="4" w:space="0" w:color="000000"/>
              <w:bottom w:val="single" w:sz="4" w:space="0" w:color="000000"/>
              <w:right w:val="single" w:sz="4" w:space="0" w:color="000000"/>
            </w:tcBorders>
          </w:tcPr>
          <w:p w14:paraId="4D5118C1" w14:textId="77777777" w:rsidR="00973470" w:rsidRDefault="00000000">
            <w:pPr>
              <w:spacing w:line="240" w:lineRule="auto"/>
              <w:ind w:left="0" w:firstLine="0"/>
              <w:jc w:val="center"/>
              <w:rPr>
                <w:sz w:val="20"/>
                <w:szCs w:val="20"/>
                <w:lang w:val="en-ID"/>
              </w:rPr>
            </w:pPr>
            <w:r>
              <w:rPr>
                <w:sz w:val="20"/>
                <w:szCs w:val="20"/>
                <w:lang w:val="en-ID"/>
              </w:rPr>
              <w:t>7.0</w:t>
            </w:r>
          </w:p>
        </w:tc>
        <w:tc>
          <w:tcPr>
            <w:tcW w:w="1843" w:type="dxa"/>
            <w:tcBorders>
              <w:top w:val="single" w:sz="4" w:space="0" w:color="000000"/>
              <w:left w:val="single" w:sz="4" w:space="0" w:color="000000"/>
              <w:bottom w:val="single" w:sz="4" w:space="0" w:color="000000"/>
              <w:right w:val="single" w:sz="4" w:space="0" w:color="000000"/>
            </w:tcBorders>
          </w:tcPr>
          <w:p w14:paraId="3B2F92EF" w14:textId="77777777" w:rsidR="00973470" w:rsidRDefault="00000000">
            <w:pPr>
              <w:spacing w:line="240" w:lineRule="auto"/>
              <w:ind w:left="0" w:firstLine="0"/>
              <w:jc w:val="center"/>
              <w:rPr>
                <w:sz w:val="20"/>
                <w:szCs w:val="20"/>
                <w:lang w:val="en-ID"/>
              </w:rPr>
            </w:pPr>
            <w:r>
              <w:rPr>
                <w:sz w:val="20"/>
                <w:szCs w:val="20"/>
                <w:lang w:val="en-ID"/>
              </w:rPr>
              <w:t>200</w:t>
            </w:r>
          </w:p>
        </w:tc>
        <w:tc>
          <w:tcPr>
            <w:tcW w:w="1588" w:type="dxa"/>
            <w:tcBorders>
              <w:top w:val="single" w:sz="4" w:space="0" w:color="000000"/>
              <w:left w:val="single" w:sz="4" w:space="0" w:color="000000"/>
              <w:bottom w:val="single" w:sz="4" w:space="0" w:color="000000"/>
              <w:right w:val="single" w:sz="4" w:space="0" w:color="000000"/>
            </w:tcBorders>
          </w:tcPr>
          <w:p w14:paraId="2B24A71A" w14:textId="77777777" w:rsidR="00973470" w:rsidRDefault="00000000">
            <w:pPr>
              <w:spacing w:line="240" w:lineRule="auto"/>
              <w:ind w:left="0" w:firstLine="0"/>
              <w:jc w:val="center"/>
              <w:rPr>
                <w:sz w:val="20"/>
                <w:szCs w:val="20"/>
                <w:lang w:val="en-ID"/>
              </w:rPr>
            </w:pPr>
            <w:r>
              <w:rPr>
                <w:sz w:val="20"/>
                <w:szCs w:val="20"/>
                <w:lang w:val="en-ID"/>
              </w:rPr>
              <w:t>Low</w:t>
            </w:r>
          </w:p>
        </w:tc>
      </w:tr>
      <w:tr w:rsidR="00973470" w14:paraId="054ED41C" w14:textId="77777777">
        <w:tc>
          <w:tcPr>
            <w:tcW w:w="1526" w:type="dxa"/>
            <w:tcBorders>
              <w:top w:val="single" w:sz="4" w:space="0" w:color="000000"/>
              <w:left w:val="single" w:sz="4" w:space="0" w:color="000000"/>
              <w:bottom w:val="single" w:sz="4" w:space="0" w:color="000000"/>
              <w:right w:val="single" w:sz="4" w:space="0" w:color="000000"/>
            </w:tcBorders>
          </w:tcPr>
          <w:p w14:paraId="74150A23" w14:textId="77777777" w:rsidR="00973470" w:rsidRDefault="00000000">
            <w:pPr>
              <w:spacing w:line="240" w:lineRule="auto"/>
              <w:ind w:left="0" w:firstLine="0"/>
              <w:jc w:val="center"/>
              <w:rPr>
                <w:sz w:val="20"/>
                <w:szCs w:val="20"/>
                <w:lang w:val="en-ID"/>
              </w:rPr>
            </w:pPr>
            <w:r>
              <w:rPr>
                <w:sz w:val="20"/>
                <w:szCs w:val="20"/>
              </w:rPr>
              <w:t>Sritabutra et al. (2011)</w:t>
            </w:r>
          </w:p>
        </w:tc>
        <w:tc>
          <w:tcPr>
            <w:tcW w:w="1134" w:type="dxa"/>
            <w:tcBorders>
              <w:top w:val="single" w:sz="4" w:space="0" w:color="000000"/>
              <w:left w:val="single" w:sz="4" w:space="0" w:color="000000"/>
              <w:bottom w:val="single" w:sz="4" w:space="0" w:color="000000"/>
              <w:right w:val="single" w:sz="4" w:space="0" w:color="000000"/>
            </w:tcBorders>
          </w:tcPr>
          <w:p w14:paraId="6632DE38" w14:textId="77777777" w:rsidR="00973470" w:rsidRDefault="00000000">
            <w:pPr>
              <w:spacing w:line="240" w:lineRule="auto"/>
              <w:ind w:left="0" w:firstLine="0"/>
              <w:jc w:val="center"/>
              <w:rPr>
                <w:sz w:val="20"/>
                <w:szCs w:val="20"/>
                <w:lang w:val="en-ID"/>
              </w:rPr>
            </w:pPr>
            <w:r>
              <w:rPr>
                <w:sz w:val="20"/>
                <w:szCs w:val="20"/>
                <w:lang w:val="en-ID"/>
              </w:rPr>
              <w:t>Thailand</w:t>
            </w:r>
          </w:p>
        </w:tc>
        <w:tc>
          <w:tcPr>
            <w:tcW w:w="1559" w:type="dxa"/>
            <w:tcBorders>
              <w:top w:val="single" w:sz="4" w:space="0" w:color="000000"/>
              <w:left w:val="single" w:sz="4" w:space="0" w:color="000000"/>
              <w:bottom w:val="single" w:sz="4" w:space="0" w:color="000000"/>
              <w:right w:val="single" w:sz="4" w:space="0" w:color="000000"/>
            </w:tcBorders>
          </w:tcPr>
          <w:p w14:paraId="4883EDC6" w14:textId="77777777" w:rsidR="00973470" w:rsidRDefault="00000000">
            <w:pPr>
              <w:spacing w:line="240" w:lineRule="auto"/>
              <w:ind w:left="0" w:firstLine="0"/>
              <w:jc w:val="center"/>
              <w:rPr>
                <w:sz w:val="20"/>
                <w:szCs w:val="20"/>
                <w:lang w:val="en-ID"/>
              </w:rPr>
            </w:pPr>
            <w:r>
              <w:rPr>
                <w:sz w:val="20"/>
                <w:szCs w:val="20"/>
              </w:rPr>
              <w:t>Laboratory exp.</w:t>
            </w:r>
          </w:p>
        </w:tc>
        <w:tc>
          <w:tcPr>
            <w:tcW w:w="1134" w:type="dxa"/>
            <w:tcBorders>
              <w:top w:val="single" w:sz="4" w:space="0" w:color="000000"/>
              <w:left w:val="single" w:sz="4" w:space="0" w:color="000000"/>
              <w:bottom w:val="single" w:sz="4" w:space="0" w:color="000000"/>
              <w:right w:val="single" w:sz="4" w:space="0" w:color="000000"/>
            </w:tcBorders>
          </w:tcPr>
          <w:p w14:paraId="0845A032" w14:textId="77777777" w:rsidR="00973470" w:rsidRDefault="00000000">
            <w:pPr>
              <w:spacing w:line="240" w:lineRule="auto"/>
              <w:ind w:left="0" w:firstLine="0"/>
              <w:jc w:val="center"/>
              <w:rPr>
                <w:sz w:val="20"/>
                <w:szCs w:val="20"/>
                <w:lang w:val="en-ID"/>
              </w:rPr>
            </w:pPr>
            <w:r>
              <w:rPr>
                <w:sz w:val="20"/>
                <w:szCs w:val="20"/>
              </w:rPr>
              <w:t>Natural</w:t>
            </w:r>
          </w:p>
        </w:tc>
        <w:tc>
          <w:tcPr>
            <w:tcW w:w="2410" w:type="dxa"/>
            <w:tcBorders>
              <w:top w:val="single" w:sz="4" w:space="0" w:color="000000"/>
              <w:left w:val="single" w:sz="4" w:space="0" w:color="000000"/>
              <w:bottom w:val="single" w:sz="4" w:space="0" w:color="000000"/>
              <w:right w:val="single" w:sz="4" w:space="0" w:color="000000"/>
            </w:tcBorders>
          </w:tcPr>
          <w:p w14:paraId="721F5AC7" w14:textId="77777777" w:rsidR="00973470" w:rsidRDefault="00000000">
            <w:pPr>
              <w:spacing w:line="240" w:lineRule="auto"/>
              <w:ind w:left="0" w:firstLine="0"/>
              <w:jc w:val="center"/>
              <w:rPr>
                <w:sz w:val="20"/>
                <w:szCs w:val="20"/>
                <w:lang w:val="en-ID"/>
              </w:rPr>
            </w:pPr>
            <w:r>
              <w:rPr>
                <w:sz w:val="20"/>
                <w:szCs w:val="20"/>
              </w:rPr>
              <w:t>Herbal essential oils</w:t>
            </w:r>
          </w:p>
        </w:tc>
        <w:tc>
          <w:tcPr>
            <w:tcW w:w="850" w:type="dxa"/>
            <w:tcBorders>
              <w:top w:val="single" w:sz="4" w:space="0" w:color="000000"/>
              <w:left w:val="single" w:sz="4" w:space="0" w:color="000000"/>
              <w:bottom w:val="single" w:sz="4" w:space="0" w:color="000000"/>
              <w:right w:val="single" w:sz="4" w:space="0" w:color="000000"/>
            </w:tcBorders>
          </w:tcPr>
          <w:p w14:paraId="37EA8279" w14:textId="77777777" w:rsidR="00973470" w:rsidRDefault="00000000">
            <w:pPr>
              <w:spacing w:line="240" w:lineRule="auto"/>
              <w:ind w:left="0" w:firstLine="0"/>
              <w:jc w:val="center"/>
              <w:rPr>
                <w:sz w:val="20"/>
                <w:szCs w:val="20"/>
                <w:lang w:val="en-ID"/>
              </w:rPr>
            </w:pPr>
            <w:r>
              <w:rPr>
                <w:sz w:val="20"/>
                <w:szCs w:val="20"/>
                <w:lang w:val="en-ID"/>
              </w:rPr>
              <w:t>10</w:t>
            </w:r>
          </w:p>
        </w:tc>
        <w:tc>
          <w:tcPr>
            <w:tcW w:w="851" w:type="dxa"/>
            <w:tcBorders>
              <w:top w:val="single" w:sz="4" w:space="0" w:color="000000"/>
              <w:left w:val="single" w:sz="4" w:space="0" w:color="000000"/>
              <w:bottom w:val="single" w:sz="4" w:space="0" w:color="000000"/>
              <w:right w:val="single" w:sz="4" w:space="0" w:color="000000"/>
            </w:tcBorders>
          </w:tcPr>
          <w:p w14:paraId="3A9C314D" w14:textId="77777777" w:rsidR="00973470" w:rsidRDefault="00000000">
            <w:pPr>
              <w:spacing w:line="240" w:lineRule="auto"/>
              <w:ind w:left="0" w:firstLine="0"/>
              <w:jc w:val="center"/>
              <w:rPr>
                <w:sz w:val="20"/>
                <w:szCs w:val="20"/>
                <w:lang w:val="en-ID"/>
              </w:rPr>
            </w:pPr>
            <w:r>
              <w:rPr>
                <w:sz w:val="20"/>
                <w:szCs w:val="20"/>
                <w:lang w:val="en-ID"/>
              </w:rPr>
              <w:t>67.8</w:t>
            </w:r>
          </w:p>
        </w:tc>
        <w:tc>
          <w:tcPr>
            <w:tcW w:w="850" w:type="dxa"/>
            <w:tcBorders>
              <w:top w:val="single" w:sz="4" w:space="0" w:color="000000"/>
              <w:left w:val="single" w:sz="4" w:space="0" w:color="000000"/>
              <w:bottom w:val="single" w:sz="4" w:space="0" w:color="000000"/>
              <w:right w:val="single" w:sz="4" w:space="0" w:color="000000"/>
            </w:tcBorders>
          </w:tcPr>
          <w:p w14:paraId="151C2C8B" w14:textId="77777777" w:rsidR="00973470" w:rsidRDefault="00000000">
            <w:pPr>
              <w:spacing w:line="240" w:lineRule="auto"/>
              <w:ind w:left="0" w:firstLine="0"/>
              <w:jc w:val="center"/>
              <w:rPr>
                <w:sz w:val="20"/>
                <w:szCs w:val="20"/>
                <w:lang w:val="en-ID"/>
              </w:rPr>
            </w:pPr>
            <w:r>
              <w:rPr>
                <w:sz w:val="20"/>
                <w:szCs w:val="20"/>
                <w:lang w:val="en-ID"/>
              </w:rPr>
              <w:t>2.8</w:t>
            </w:r>
          </w:p>
        </w:tc>
        <w:tc>
          <w:tcPr>
            <w:tcW w:w="1843" w:type="dxa"/>
            <w:tcBorders>
              <w:top w:val="single" w:sz="4" w:space="0" w:color="000000"/>
              <w:left w:val="single" w:sz="4" w:space="0" w:color="000000"/>
              <w:bottom w:val="single" w:sz="4" w:space="0" w:color="000000"/>
              <w:right w:val="single" w:sz="4" w:space="0" w:color="000000"/>
            </w:tcBorders>
          </w:tcPr>
          <w:p w14:paraId="74E5949A" w14:textId="77777777" w:rsidR="00973470" w:rsidRDefault="00000000">
            <w:pPr>
              <w:spacing w:line="240" w:lineRule="auto"/>
              <w:ind w:left="0" w:firstLine="0"/>
              <w:jc w:val="center"/>
              <w:rPr>
                <w:sz w:val="20"/>
                <w:szCs w:val="20"/>
                <w:lang w:val="en-ID"/>
              </w:rPr>
            </w:pPr>
            <w:r>
              <w:rPr>
                <w:sz w:val="20"/>
                <w:szCs w:val="20"/>
                <w:lang w:val="en-ID"/>
              </w:rPr>
              <w:t>45</w:t>
            </w:r>
          </w:p>
        </w:tc>
        <w:tc>
          <w:tcPr>
            <w:tcW w:w="1588" w:type="dxa"/>
            <w:tcBorders>
              <w:top w:val="single" w:sz="4" w:space="0" w:color="000000"/>
              <w:left w:val="single" w:sz="4" w:space="0" w:color="000000"/>
              <w:bottom w:val="single" w:sz="4" w:space="0" w:color="000000"/>
              <w:right w:val="single" w:sz="4" w:space="0" w:color="000000"/>
            </w:tcBorders>
          </w:tcPr>
          <w:p w14:paraId="2682DC6C" w14:textId="77777777" w:rsidR="00973470" w:rsidRDefault="00000000">
            <w:pPr>
              <w:spacing w:line="240" w:lineRule="auto"/>
              <w:ind w:left="0" w:firstLine="0"/>
              <w:jc w:val="center"/>
              <w:rPr>
                <w:sz w:val="20"/>
                <w:szCs w:val="20"/>
                <w:lang w:val="en-ID"/>
              </w:rPr>
            </w:pPr>
            <w:r>
              <w:rPr>
                <w:sz w:val="20"/>
                <w:szCs w:val="20"/>
                <w:lang w:val="en-ID"/>
              </w:rPr>
              <w:t>High</w:t>
            </w:r>
          </w:p>
        </w:tc>
      </w:tr>
      <w:tr w:rsidR="00973470" w14:paraId="0D27B481" w14:textId="77777777">
        <w:tc>
          <w:tcPr>
            <w:tcW w:w="1526" w:type="dxa"/>
            <w:tcBorders>
              <w:top w:val="single" w:sz="4" w:space="0" w:color="000000"/>
              <w:left w:val="single" w:sz="4" w:space="0" w:color="000000"/>
              <w:bottom w:val="single" w:sz="4" w:space="0" w:color="000000"/>
              <w:right w:val="single" w:sz="4" w:space="0" w:color="000000"/>
            </w:tcBorders>
          </w:tcPr>
          <w:p w14:paraId="3C2BE47A" w14:textId="77777777" w:rsidR="00973470" w:rsidRDefault="00000000">
            <w:pPr>
              <w:spacing w:line="240" w:lineRule="auto"/>
              <w:ind w:left="0" w:firstLine="0"/>
              <w:jc w:val="center"/>
              <w:rPr>
                <w:sz w:val="20"/>
                <w:szCs w:val="20"/>
                <w:lang w:val="en-ID"/>
              </w:rPr>
            </w:pPr>
            <w:r>
              <w:rPr>
                <w:sz w:val="20"/>
                <w:szCs w:val="20"/>
              </w:rPr>
              <w:t>Clarkson et al. (2021)</w:t>
            </w:r>
          </w:p>
        </w:tc>
        <w:tc>
          <w:tcPr>
            <w:tcW w:w="1134" w:type="dxa"/>
            <w:tcBorders>
              <w:top w:val="single" w:sz="4" w:space="0" w:color="000000"/>
              <w:left w:val="single" w:sz="4" w:space="0" w:color="000000"/>
              <w:bottom w:val="single" w:sz="4" w:space="0" w:color="000000"/>
              <w:right w:val="single" w:sz="4" w:space="0" w:color="000000"/>
            </w:tcBorders>
          </w:tcPr>
          <w:p w14:paraId="7AE8FFE6" w14:textId="77777777" w:rsidR="00973470" w:rsidRDefault="00000000">
            <w:pPr>
              <w:spacing w:line="240" w:lineRule="auto"/>
              <w:ind w:left="0" w:firstLine="0"/>
              <w:jc w:val="center"/>
              <w:rPr>
                <w:sz w:val="20"/>
                <w:szCs w:val="20"/>
                <w:lang w:val="en-ID"/>
              </w:rPr>
            </w:pPr>
            <w:r>
              <w:rPr>
                <w:sz w:val="20"/>
                <w:szCs w:val="20"/>
              </w:rPr>
              <w:t>USA</w:t>
            </w:r>
          </w:p>
        </w:tc>
        <w:tc>
          <w:tcPr>
            <w:tcW w:w="1559" w:type="dxa"/>
            <w:tcBorders>
              <w:top w:val="single" w:sz="4" w:space="0" w:color="000000"/>
              <w:left w:val="single" w:sz="4" w:space="0" w:color="000000"/>
              <w:bottom w:val="single" w:sz="4" w:space="0" w:color="000000"/>
              <w:right w:val="single" w:sz="4" w:space="0" w:color="000000"/>
            </w:tcBorders>
          </w:tcPr>
          <w:p w14:paraId="57AE03C1" w14:textId="77777777" w:rsidR="00973470" w:rsidRDefault="00000000">
            <w:pPr>
              <w:spacing w:line="240" w:lineRule="auto"/>
              <w:ind w:left="0" w:firstLine="0"/>
              <w:jc w:val="center"/>
              <w:rPr>
                <w:sz w:val="20"/>
                <w:szCs w:val="20"/>
                <w:lang w:val="en-ID"/>
              </w:rPr>
            </w:pPr>
            <w:r>
              <w:rPr>
                <w:sz w:val="20"/>
                <w:szCs w:val="20"/>
              </w:rPr>
              <w:t>Laboratory RCT</w:t>
            </w:r>
          </w:p>
        </w:tc>
        <w:tc>
          <w:tcPr>
            <w:tcW w:w="1134" w:type="dxa"/>
            <w:tcBorders>
              <w:top w:val="single" w:sz="4" w:space="0" w:color="000000"/>
              <w:left w:val="single" w:sz="4" w:space="0" w:color="000000"/>
              <w:bottom w:val="single" w:sz="4" w:space="0" w:color="000000"/>
              <w:right w:val="single" w:sz="4" w:space="0" w:color="000000"/>
            </w:tcBorders>
          </w:tcPr>
          <w:p w14:paraId="49D2DDDA" w14:textId="77777777" w:rsidR="00973470" w:rsidRDefault="00000000">
            <w:pPr>
              <w:spacing w:line="240" w:lineRule="auto"/>
              <w:ind w:left="0" w:firstLine="0"/>
              <w:jc w:val="center"/>
              <w:rPr>
                <w:sz w:val="20"/>
                <w:szCs w:val="20"/>
                <w:lang w:val="en-ID"/>
              </w:rPr>
            </w:pPr>
            <w:r>
              <w:rPr>
                <w:sz w:val="20"/>
                <w:szCs w:val="20"/>
              </w:rPr>
              <w:t>Natural</w:t>
            </w:r>
          </w:p>
        </w:tc>
        <w:tc>
          <w:tcPr>
            <w:tcW w:w="2410" w:type="dxa"/>
            <w:tcBorders>
              <w:top w:val="single" w:sz="4" w:space="0" w:color="000000"/>
              <w:left w:val="single" w:sz="4" w:space="0" w:color="000000"/>
              <w:bottom w:val="single" w:sz="4" w:space="0" w:color="000000"/>
              <w:right w:val="single" w:sz="4" w:space="0" w:color="000000"/>
            </w:tcBorders>
          </w:tcPr>
          <w:p w14:paraId="3995CCC3" w14:textId="77777777" w:rsidR="00973470" w:rsidRDefault="00000000">
            <w:pPr>
              <w:spacing w:line="240" w:lineRule="auto"/>
              <w:ind w:left="0" w:firstLine="0"/>
              <w:jc w:val="center"/>
              <w:rPr>
                <w:sz w:val="20"/>
                <w:szCs w:val="20"/>
                <w:lang w:val="en-ID"/>
              </w:rPr>
            </w:pPr>
            <w:r>
              <w:rPr>
                <w:sz w:val="20"/>
                <w:szCs w:val="20"/>
              </w:rPr>
              <w:t>Nootkatone</w:t>
            </w:r>
          </w:p>
        </w:tc>
        <w:tc>
          <w:tcPr>
            <w:tcW w:w="850" w:type="dxa"/>
            <w:tcBorders>
              <w:top w:val="single" w:sz="4" w:space="0" w:color="000000"/>
              <w:left w:val="single" w:sz="4" w:space="0" w:color="000000"/>
              <w:bottom w:val="single" w:sz="4" w:space="0" w:color="000000"/>
              <w:right w:val="single" w:sz="4" w:space="0" w:color="000000"/>
            </w:tcBorders>
          </w:tcPr>
          <w:p w14:paraId="42DD2324" w14:textId="77777777" w:rsidR="00973470" w:rsidRDefault="00000000">
            <w:pPr>
              <w:spacing w:line="240" w:lineRule="auto"/>
              <w:ind w:left="0" w:firstLine="0"/>
              <w:jc w:val="center"/>
              <w:rPr>
                <w:sz w:val="20"/>
                <w:szCs w:val="20"/>
                <w:lang w:val="en-ID"/>
              </w:rPr>
            </w:pPr>
            <w:r>
              <w:rPr>
                <w:sz w:val="20"/>
                <w:szCs w:val="20"/>
                <w:lang w:val="en-ID"/>
              </w:rPr>
              <w:t>0.5–2</w:t>
            </w:r>
          </w:p>
        </w:tc>
        <w:tc>
          <w:tcPr>
            <w:tcW w:w="851" w:type="dxa"/>
            <w:tcBorders>
              <w:top w:val="single" w:sz="4" w:space="0" w:color="000000"/>
              <w:left w:val="single" w:sz="4" w:space="0" w:color="000000"/>
              <w:bottom w:val="single" w:sz="4" w:space="0" w:color="000000"/>
              <w:right w:val="single" w:sz="4" w:space="0" w:color="000000"/>
            </w:tcBorders>
          </w:tcPr>
          <w:p w14:paraId="3899EECD" w14:textId="77777777" w:rsidR="00973470" w:rsidRDefault="00000000">
            <w:pPr>
              <w:spacing w:line="240" w:lineRule="auto"/>
              <w:ind w:left="0" w:firstLine="0"/>
              <w:jc w:val="center"/>
              <w:rPr>
                <w:sz w:val="20"/>
                <w:szCs w:val="20"/>
                <w:lang w:val="en-ID"/>
              </w:rPr>
            </w:pPr>
            <w:r>
              <w:rPr>
                <w:sz w:val="20"/>
                <w:szCs w:val="20"/>
                <w:lang w:val="en-ID"/>
              </w:rPr>
              <w:t>74.2</w:t>
            </w:r>
          </w:p>
        </w:tc>
        <w:tc>
          <w:tcPr>
            <w:tcW w:w="850" w:type="dxa"/>
            <w:tcBorders>
              <w:top w:val="single" w:sz="4" w:space="0" w:color="000000"/>
              <w:left w:val="single" w:sz="4" w:space="0" w:color="000000"/>
              <w:bottom w:val="single" w:sz="4" w:space="0" w:color="000000"/>
              <w:right w:val="single" w:sz="4" w:space="0" w:color="000000"/>
            </w:tcBorders>
          </w:tcPr>
          <w:p w14:paraId="046AF655" w14:textId="77777777" w:rsidR="00973470" w:rsidRDefault="00000000">
            <w:pPr>
              <w:spacing w:line="240" w:lineRule="auto"/>
              <w:ind w:left="0" w:firstLine="0"/>
              <w:jc w:val="center"/>
              <w:rPr>
                <w:sz w:val="20"/>
                <w:szCs w:val="20"/>
                <w:lang w:val="en-ID"/>
              </w:rPr>
            </w:pPr>
            <w:r>
              <w:rPr>
                <w:sz w:val="20"/>
                <w:szCs w:val="20"/>
                <w:lang w:val="en-ID"/>
              </w:rPr>
              <w:t>3.2</w:t>
            </w:r>
          </w:p>
        </w:tc>
        <w:tc>
          <w:tcPr>
            <w:tcW w:w="1843" w:type="dxa"/>
            <w:tcBorders>
              <w:top w:val="single" w:sz="4" w:space="0" w:color="000000"/>
              <w:left w:val="single" w:sz="4" w:space="0" w:color="000000"/>
              <w:bottom w:val="single" w:sz="4" w:space="0" w:color="000000"/>
              <w:right w:val="single" w:sz="4" w:space="0" w:color="000000"/>
            </w:tcBorders>
          </w:tcPr>
          <w:p w14:paraId="1678D5C7" w14:textId="77777777" w:rsidR="00973470" w:rsidRDefault="00000000">
            <w:pPr>
              <w:spacing w:line="240" w:lineRule="auto"/>
              <w:ind w:left="0" w:firstLine="0"/>
              <w:jc w:val="center"/>
              <w:rPr>
                <w:sz w:val="20"/>
                <w:szCs w:val="20"/>
                <w:lang w:val="en-ID"/>
              </w:rPr>
            </w:pPr>
            <w:r>
              <w:rPr>
                <w:sz w:val="20"/>
                <w:szCs w:val="20"/>
                <w:lang w:val="en-ID"/>
              </w:rPr>
              <w:t>75</w:t>
            </w:r>
          </w:p>
        </w:tc>
        <w:tc>
          <w:tcPr>
            <w:tcW w:w="1588" w:type="dxa"/>
            <w:tcBorders>
              <w:top w:val="single" w:sz="4" w:space="0" w:color="000000"/>
              <w:left w:val="single" w:sz="4" w:space="0" w:color="000000"/>
              <w:bottom w:val="single" w:sz="4" w:space="0" w:color="000000"/>
              <w:right w:val="single" w:sz="4" w:space="0" w:color="000000"/>
            </w:tcBorders>
          </w:tcPr>
          <w:p w14:paraId="34ADDDEE" w14:textId="77777777" w:rsidR="00973470" w:rsidRDefault="00000000">
            <w:pPr>
              <w:spacing w:line="240" w:lineRule="auto"/>
              <w:ind w:left="0" w:firstLine="0"/>
              <w:jc w:val="center"/>
              <w:rPr>
                <w:sz w:val="20"/>
                <w:szCs w:val="20"/>
                <w:lang w:val="en-ID"/>
              </w:rPr>
            </w:pPr>
            <w:r>
              <w:rPr>
                <w:sz w:val="20"/>
                <w:szCs w:val="20"/>
                <w:lang w:val="en-ID"/>
              </w:rPr>
              <w:t>Low</w:t>
            </w:r>
          </w:p>
        </w:tc>
      </w:tr>
      <w:tr w:rsidR="00973470" w14:paraId="38B56256" w14:textId="77777777">
        <w:tc>
          <w:tcPr>
            <w:tcW w:w="1526" w:type="dxa"/>
            <w:tcBorders>
              <w:top w:val="single" w:sz="4" w:space="0" w:color="000000"/>
              <w:left w:val="single" w:sz="4" w:space="0" w:color="000000"/>
              <w:bottom w:val="single" w:sz="4" w:space="0" w:color="000000"/>
              <w:right w:val="single" w:sz="4" w:space="0" w:color="000000"/>
            </w:tcBorders>
          </w:tcPr>
          <w:p w14:paraId="47445F74" w14:textId="77777777" w:rsidR="00973470" w:rsidRDefault="00000000">
            <w:pPr>
              <w:spacing w:line="240" w:lineRule="auto"/>
              <w:ind w:left="0" w:firstLine="0"/>
              <w:jc w:val="center"/>
              <w:rPr>
                <w:sz w:val="20"/>
                <w:szCs w:val="18"/>
                <w:lang w:val="en-ID"/>
              </w:rPr>
            </w:pPr>
            <w:r>
              <w:rPr>
                <w:sz w:val="20"/>
                <w:szCs w:val="18"/>
              </w:rPr>
              <w:t>Mittal et al. (2011)</w:t>
            </w:r>
          </w:p>
        </w:tc>
        <w:tc>
          <w:tcPr>
            <w:tcW w:w="1134" w:type="dxa"/>
            <w:tcBorders>
              <w:top w:val="single" w:sz="4" w:space="0" w:color="000000"/>
              <w:left w:val="single" w:sz="4" w:space="0" w:color="000000"/>
              <w:bottom w:val="single" w:sz="4" w:space="0" w:color="000000"/>
              <w:right w:val="single" w:sz="4" w:space="0" w:color="000000"/>
            </w:tcBorders>
            <w:vAlign w:val="center"/>
          </w:tcPr>
          <w:p w14:paraId="250EAD86" w14:textId="77777777" w:rsidR="00973470" w:rsidRDefault="00000000">
            <w:pPr>
              <w:spacing w:line="240" w:lineRule="auto"/>
              <w:ind w:left="0" w:firstLine="0"/>
              <w:jc w:val="center"/>
              <w:rPr>
                <w:sz w:val="20"/>
                <w:szCs w:val="18"/>
                <w:lang w:val="en-ID"/>
              </w:rPr>
            </w:pPr>
            <w:r>
              <w:rPr>
                <w:sz w:val="20"/>
                <w:szCs w:val="18"/>
              </w:rPr>
              <w:t>India</w:t>
            </w:r>
          </w:p>
        </w:tc>
        <w:tc>
          <w:tcPr>
            <w:tcW w:w="1559" w:type="dxa"/>
            <w:tcBorders>
              <w:top w:val="single" w:sz="4" w:space="0" w:color="000000"/>
              <w:left w:val="single" w:sz="4" w:space="0" w:color="000000"/>
              <w:bottom w:val="single" w:sz="4" w:space="0" w:color="000000"/>
              <w:right w:val="single" w:sz="4" w:space="0" w:color="000000"/>
            </w:tcBorders>
            <w:vAlign w:val="center"/>
          </w:tcPr>
          <w:p w14:paraId="3F23B2FD" w14:textId="77777777" w:rsidR="00973470" w:rsidRDefault="00000000">
            <w:pPr>
              <w:spacing w:line="240" w:lineRule="auto"/>
              <w:ind w:left="0" w:firstLine="0"/>
              <w:jc w:val="center"/>
              <w:rPr>
                <w:sz w:val="20"/>
                <w:szCs w:val="18"/>
                <w:lang w:val="en-ID"/>
              </w:rPr>
            </w:pPr>
            <w:r>
              <w:rPr>
                <w:sz w:val="20"/>
                <w:szCs w:val="18"/>
              </w:rPr>
              <w:t>Field experimental study</w:t>
            </w:r>
          </w:p>
        </w:tc>
        <w:tc>
          <w:tcPr>
            <w:tcW w:w="1134" w:type="dxa"/>
            <w:tcBorders>
              <w:top w:val="single" w:sz="4" w:space="0" w:color="000000"/>
              <w:left w:val="single" w:sz="4" w:space="0" w:color="000000"/>
              <w:bottom w:val="single" w:sz="4" w:space="0" w:color="000000"/>
              <w:right w:val="single" w:sz="4" w:space="0" w:color="000000"/>
            </w:tcBorders>
            <w:vAlign w:val="center"/>
          </w:tcPr>
          <w:p w14:paraId="57966E6C" w14:textId="77777777" w:rsidR="00973470" w:rsidRDefault="00000000">
            <w:pPr>
              <w:spacing w:line="240" w:lineRule="auto"/>
              <w:ind w:left="0" w:firstLine="0"/>
              <w:jc w:val="center"/>
              <w:rPr>
                <w:sz w:val="20"/>
                <w:szCs w:val="18"/>
                <w:lang w:val="en-ID"/>
              </w:rPr>
            </w:pPr>
            <w:r>
              <w:rPr>
                <w:sz w:val="20"/>
                <w:szCs w:val="18"/>
              </w:rPr>
              <w:t>Synthetic</w:t>
            </w:r>
          </w:p>
        </w:tc>
        <w:tc>
          <w:tcPr>
            <w:tcW w:w="2410" w:type="dxa"/>
            <w:tcBorders>
              <w:top w:val="single" w:sz="4" w:space="0" w:color="000000"/>
              <w:left w:val="single" w:sz="4" w:space="0" w:color="000000"/>
              <w:bottom w:val="single" w:sz="4" w:space="0" w:color="000000"/>
              <w:right w:val="single" w:sz="4" w:space="0" w:color="000000"/>
            </w:tcBorders>
            <w:vAlign w:val="center"/>
          </w:tcPr>
          <w:p w14:paraId="41170F42" w14:textId="77777777" w:rsidR="00973470" w:rsidRDefault="00000000">
            <w:pPr>
              <w:spacing w:line="240" w:lineRule="auto"/>
              <w:ind w:left="0" w:firstLine="0"/>
              <w:jc w:val="center"/>
              <w:rPr>
                <w:sz w:val="20"/>
                <w:szCs w:val="18"/>
                <w:lang w:val="en-ID"/>
              </w:rPr>
            </w:pPr>
            <w:r>
              <w:rPr>
                <w:sz w:val="20"/>
                <w:szCs w:val="18"/>
              </w:rPr>
              <w:t>N,N-diethyl-benzamide (Advanced Odomos)</w:t>
            </w:r>
          </w:p>
        </w:tc>
        <w:tc>
          <w:tcPr>
            <w:tcW w:w="850" w:type="dxa"/>
            <w:tcBorders>
              <w:top w:val="single" w:sz="4" w:space="0" w:color="000000"/>
              <w:left w:val="single" w:sz="4" w:space="0" w:color="000000"/>
              <w:bottom w:val="single" w:sz="4" w:space="0" w:color="000000"/>
              <w:right w:val="single" w:sz="4" w:space="0" w:color="000000"/>
            </w:tcBorders>
            <w:vAlign w:val="center"/>
          </w:tcPr>
          <w:p w14:paraId="2CB131A4" w14:textId="77777777" w:rsidR="00973470" w:rsidRDefault="00000000">
            <w:pPr>
              <w:spacing w:line="240" w:lineRule="auto"/>
              <w:ind w:left="0" w:firstLine="0"/>
              <w:jc w:val="center"/>
              <w:rPr>
                <w:sz w:val="20"/>
                <w:szCs w:val="18"/>
                <w:lang w:val="en-ID"/>
              </w:rPr>
            </w:pPr>
            <w:r>
              <w:rPr>
                <w:sz w:val="20"/>
                <w:szCs w:val="18"/>
              </w:rPr>
              <w:t>12</w:t>
            </w:r>
          </w:p>
        </w:tc>
        <w:tc>
          <w:tcPr>
            <w:tcW w:w="851" w:type="dxa"/>
            <w:tcBorders>
              <w:top w:val="single" w:sz="4" w:space="0" w:color="000000"/>
              <w:left w:val="single" w:sz="4" w:space="0" w:color="000000"/>
              <w:bottom w:val="single" w:sz="4" w:space="0" w:color="000000"/>
              <w:right w:val="single" w:sz="4" w:space="0" w:color="000000"/>
            </w:tcBorders>
            <w:vAlign w:val="center"/>
          </w:tcPr>
          <w:p w14:paraId="24CA322D" w14:textId="77777777" w:rsidR="00973470" w:rsidRDefault="00000000">
            <w:pPr>
              <w:spacing w:line="240" w:lineRule="auto"/>
              <w:ind w:left="0" w:firstLine="0"/>
              <w:jc w:val="center"/>
              <w:rPr>
                <w:sz w:val="20"/>
                <w:szCs w:val="18"/>
                <w:lang w:val="en-ID"/>
              </w:rPr>
            </w:pPr>
            <w:r>
              <w:rPr>
                <w:sz w:val="20"/>
                <w:szCs w:val="18"/>
              </w:rPr>
              <w:t>92.5</w:t>
            </w:r>
          </w:p>
        </w:tc>
        <w:tc>
          <w:tcPr>
            <w:tcW w:w="850" w:type="dxa"/>
            <w:tcBorders>
              <w:top w:val="single" w:sz="4" w:space="0" w:color="000000"/>
              <w:left w:val="single" w:sz="4" w:space="0" w:color="000000"/>
              <w:bottom w:val="single" w:sz="4" w:space="0" w:color="000000"/>
              <w:right w:val="single" w:sz="4" w:space="0" w:color="000000"/>
            </w:tcBorders>
            <w:vAlign w:val="center"/>
          </w:tcPr>
          <w:p w14:paraId="7BF3BAC4" w14:textId="77777777" w:rsidR="00973470" w:rsidRDefault="00000000">
            <w:pPr>
              <w:spacing w:line="240" w:lineRule="auto"/>
              <w:ind w:left="0" w:firstLine="0"/>
              <w:jc w:val="center"/>
              <w:rPr>
                <w:sz w:val="20"/>
                <w:szCs w:val="18"/>
                <w:lang w:val="en-ID"/>
              </w:rPr>
            </w:pPr>
            <w:r>
              <w:rPr>
                <w:sz w:val="20"/>
                <w:szCs w:val="18"/>
              </w:rPr>
              <w:t>6.2</w:t>
            </w:r>
          </w:p>
        </w:tc>
        <w:tc>
          <w:tcPr>
            <w:tcW w:w="1843" w:type="dxa"/>
            <w:tcBorders>
              <w:top w:val="single" w:sz="4" w:space="0" w:color="000000"/>
              <w:left w:val="single" w:sz="4" w:space="0" w:color="000000"/>
              <w:bottom w:val="single" w:sz="4" w:space="0" w:color="000000"/>
              <w:right w:val="single" w:sz="4" w:space="0" w:color="000000"/>
            </w:tcBorders>
            <w:vAlign w:val="center"/>
          </w:tcPr>
          <w:p w14:paraId="5050E9E9" w14:textId="77777777" w:rsidR="00973470" w:rsidRDefault="00000000">
            <w:pPr>
              <w:spacing w:line="240" w:lineRule="auto"/>
              <w:ind w:left="0" w:firstLine="0"/>
              <w:jc w:val="center"/>
              <w:rPr>
                <w:sz w:val="20"/>
                <w:szCs w:val="18"/>
                <w:lang w:val="en-ID"/>
              </w:rPr>
            </w:pPr>
            <w:r>
              <w:rPr>
                <w:sz w:val="20"/>
                <w:szCs w:val="18"/>
              </w:rPr>
              <w:t>8 replicates</w:t>
            </w:r>
          </w:p>
        </w:tc>
        <w:tc>
          <w:tcPr>
            <w:tcW w:w="1588" w:type="dxa"/>
            <w:tcBorders>
              <w:top w:val="single" w:sz="4" w:space="0" w:color="000000"/>
              <w:left w:val="single" w:sz="4" w:space="0" w:color="000000"/>
              <w:bottom w:val="single" w:sz="4" w:space="0" w:color="000000"/>
              <w:right w:val="single" w:sz="4" w:space="0" w:color="000000"/>
            </w:tcBorders>
            <w:vAlign w:val="center"/>
          </w:tcPr>
          <w:p w14:paraId="4B2A8176" w14:textId="77777777" w:rsidR="00973470" w:rsidRDefault="00000000">
            <w:pPr>
              <w:spacing w:line="240" w:lineRule="auto"/>
              <w:ind w:left="0" w:firstLine="0"/>
              <w:jc w:val="center"/>
              <w:rPr>
                <w:sz w:val="20"/>
                <w:szCs w:val="18"/>
                <w:lang w:val="en-ID"/>
              </w:rPr>
            </w:pPr>
            <w:r>
              <w:rPr>
                <w:sz w:val="20"/>
                <w:szCs w:val="18"/>
              </w:rPr>
              <w:t>Some concerns</w:t>
            </w:r>
          </w:p>
        </w:tc>
      </w:tr>
      <w:tr w:rsidR="00973470" w14:paraId="54CB1A3C" w14:textId="77777777">
        <w:tc>
          <w:tcPr>
            <w:tcW w:w="1526" w:type="dxa"/>
            <w:tcBorders>
              <w:top w:val="single" w:sz="4" w:space="0" w:color="000000"/>
              <w:left w:val="single" w:sz="4" w:space="0" w:color="000000"/>
              <w:bottom w:val="single" w:sz="4" w:space="0" w:color="000000"/>
              <w:right w:val="single" w:sz="4" w:space="0" w:color="000000"/>
            </w:tcBorders>
          </w:tcPr>
          <w:p w14:paraId="218A483F" w14:textId="77777777" w:rsidR="00973470" w:rsidRDefault="00000000">
            <w:pPr>
              <w:spacing w:line="240" w:lineRule="auto"/>
              <w:ind w:left="0" w:firstLine="0"/>
              <w:jc w:val="center"/>
              <w:rPr>
                <w:sz w:val="20"/>
                <w:szCs w:val="18"/>
                <w:lang w:val="en-ID"/>
              </w:rPr>
            </w:pPr>
            <w:r>
              <w:rPr>
                <w:sz w:val="20"/>
                <w:szCs w:val="18"/>
              </w:rPr>
              <w:t>Mukesh et al. (2014)</w:t>
            </w:r>
          </w:p>
        </w:tc>
        <w:tc>
          <w:tcPr>
            <w:tcW w:w="1134" w:type="dxa"/>
            <w:tcBorders>
              <w:top w:val="single" w:sz="4" w:space="0" w:color="000000"/>
              <w:left w:val="single" w:sz="4" w:space="0" w:color="000000"/>
              <w:bottom w:val="single" w:sz="4" w:space="0" w:color="000000"/>
              <w:right w:val="single" w:sz="4" w:space="0" w:color="000000"/>
            </w:tcBorders>
            <w:vAlign w:val="center"/>
          </w:tcPr>
          <w:p w14:paraId="51026BE8" w14:textId="77777777" w:rsidR="00973470" w:rsidRDefault="00000000">
            <w:pPr>
              <w:spacing w:line="240" w:lineRule="auto"/>
              <w:ind w:left="0" w:firstLine="0"/>
              <w:jc w:val="center"/>
              <w:rPr>
                <w:sz w:val="20"/>
                <w:szCs w:val="18"/>
                <w:lang w:val="en-ID"/>
              </w:rPr>
            </w:pPr>
            <w:r>
              <w:rPr>
                <w:sz w:val="20"/>
                <w:szCs w:val="18"/>
              </w:rPr>
              <w:t>India</w:t>
            </w:r>
          </w:p>
        </w:tc>
        <w:tc>
          <w:tcPr>
            <w:tcW w:w="1559" w:type="dxa"/>
            <w:tcBorders>
              <w:top w:val="single" w:sz="4" w:space="0" w:color="000000"/>
              <w:left w:val="single" w:sz="4" w:space="0" w:color="000000"/>
              <w:bottom w:val="single" w:sz="4" w:space="0" w:color="000000"/>
              <w:right w:val="single" w:sz="4" w:space="0" w:color="000000"/>
            </w:tcBorders>
            <w:vAlign w:val="center"/>
          </w:tcPr>
          <w:p w14:paraId="64F28702" w14:textId="77777777" w:rsidR="00973470" w:rsidRDefault="00000000">
            <w:pPr>
              <w:spacing w:line="240" w:lineRule="auto"/>
              <w:ind w:left="0" w:firstLine="0"/>
              <w:jc w:val="center"/>
              <w:rPr>
                <w:sz w:val="20"/>
                <w:szCs w:val="18"/>
                <w:lang w:val="en-ID"/>
              </w:rPr>
            </w:pPr>
            <w:r>
              <w:rPr>
                <w:sz w:val="20"/>
                <w:szCs w:val="18"/>
              </w:rPr>
              <w:t>Laboratory experimental study</w:t>
            </w:r>
          </w:p>
        </w:tc>
        <w:tc>
          <w:tcPr>
            <w:tcW w:w="1134" w:type="dxa"/>
            <w:tcBorders>
              <w:top w:val="single" w:sz="4" w:space="0" w:color="000000"/>
              <w:left w:val="single" w:sz="4" w:space="0" w:color="000000"/>
              <w:bottom w:val="single" w:sz="4" w:space="0" w:color="000000"/>
              <w:right w:val="single" w:sz="4" w:space="0" w:color="000000"/>
            </w:tcBorders>
            <w:vAlign w:val="center"/>
          </w:tcPr>
          <w:p w14:paraId="47324EDD" w14:textId="77777777" w:rsidR="00973470" w:rsidRDefault="00000000">
            <w:pPr>
              <w:spacing w:line="240" w:lineRule="auto"/>
              <w:ind w:left="0" w:firstLine="0"/>
              <w:jc w:val="center"/>
              <w:rPr>
                <w:sz w:val="20"/>
                <w:szCs w:val="18"/>
                <w:lang w:val="en-ID"/>
              </w:rPr>
            </w:pPr>
            <w:r>
              <w:rPr>
                <w:sz w:val="20"/>
                <w:szCs w:val="18"/>
              </w:rPr>
              <w:t>Natural</w:t>
            </w:r>
          </w:p>
        </w:tc>
        <w:tc>
          <w:tcPr>
            <w:tcW w:w="2410" w:type="dxa"/>
            <w:tcBorders>
              <w:top w:val="single" w:sz="4" w:space="0" w:color="000000"/>
              <w:left w:val="single" w:sz="4" w:space="0" w:color="000000"/>
              <w:bottom w:val="single" w:sz="4" w:space="0" w:color="000000"/>
              <w:right w:val="single" w:sz="4" w:space="0" w:color="000000"/>
            </w:tcBorders>
            <w:vAlign w:val="center"/>
          </w:tcPr>
          <w:p w14:paraId="700846C7" w14:textId="77777777" w:rsidR="00973470" w:rsidRDefault="00000000">
            <w:pPr>
              <w:spacing w:line="240" w:lineRule="auto"/>
              <w:ind w:left="0" w:firstLine="0"/>
              <w:jc w:val="center"/>
              <w:rPr>
                <w:sz w:val="20"/>
                <w:szCs w:val="18"/>
                <w:lang w:val="en-ID"/>
              </w:rPr>
            </w:pPr>
            <w:r>
              <w:rPr>
                <w:i/>
                <w:iCs/>
                <w:sz w:val="20"/>
                <w:szCs w:val="18"/>
              </w:rPr>
              <w:t>Azadirachta indica</w:t>
            </w:r>
            <w:r>
              <w:rPr>
                <w:sz w:val="20"/>
                <w:szCs w:val="18"/>
              </w:rPr>
              <w:t xml:space="preserve"> + </w:t>
            </w:r>
            <w:r>
              <w:rPr>
                <w:i/>
                <w:iCs/>
                <w:sz w:val="20"/>
                <w:szCs w:val="18"/>
              </w:rPr>
              <w:t>Pongamia pinnata</w:t>
            </w:r>
            <w:r>
              <w:rPr>
                <w:sz w:val="20"/>
                <w:szCs w:val="18"/>
              </w:rPr>
              <w:t xml:space="preserve"> seed oils</w:t>
            </w:r>
          </w:p>
        </w:tc>
        <w:tc>
          <w:tcPr>
            <w:tcW w:w="850" w:type="dxa"/>
            <w:tcBorders>
              <w:top w:val="single" w:sz="4" w:space="0" w:color="000000"/>
              <w:left w:val="single" w:sz="4" w:space="0" w:color="000000"/>
              <w:bottom w:val="single" w:sz="4" w:space="0" w:color="000000"/>
              <w:right w:val="single" w:sz="4" w:space="0" w:color="000000"/>
            </w:tcBorders>
            <w:vAlign w:val="center"/>
          </w:tcPr>
          <w:p w14:paraId="08903FF9" w14:textId="77777777" w:rsidR="00973470" w:rsidRDefault="00000000">
            <w:pPr>
              <w:spacing w:line="240" w:lineRule="auto"/>
              <w:ind w:left="0" w:firstLine="0"/>
              <w:jc w:val="center"/>
              <w:rPr>
                <w:sz w:val="20"/>
                <w:szCs w:val="18"/>
                <w:lang w:val="en-ID"/>
              </w:rPr>
            </w:pPr>
            <w:r>
              <w:rPr>
                <w:sz w:val="20"/>
                <w:szCs w:val="18"/>
              </w:rPr>
              <w:t>5 (1:1)</w:t>
            </w:r>
          </w:p>
        </w:tc>
        <w:tc>
          <w:tcPr>
            <w:tcW w:w="851" w:type="dxa"/>
            <w:tcBorders>
              <w:top w:val="single" w:sz="4" w:space="0" w:color="000000"/>
              <w:left w:val="single" w:sz="4" w:space="0" w:color="000000"/>
              <w:bottom w:val="single" w:sz="4" w:space="0" w:color="000000"/>
              <w:right w:val="single" w:sz="4" w:space="0" w:color="000000"/>
            </w:tcBorders>
            <w:vAlign w:val="center"/>
          </w:tcPr>
          <w:p w14:paraId="20F2FAB7" w14:textId="77777777" w:rsidR="00973470" w:rsidRDefault="00000000">
            <w:pPr>
              <w:spacing w:line="240" w:lineRule="auto"/>
              <w:ind w:left="0" w:firstLine="0"/>
              <w:jc w:val="center"/>
              <w:rPr>
                <w:sz w:val="20"/>
                <w:szCs w:val="18"/>
                <w:lang w:val="en-ID"/>
              </w:rPr>
            </w:pPr>
            <w:r>
              <w:rPr>
                <w:sz w:val="20"/>
                <w:szCs w:val="18"/>
              </w:rPr>
              <w:t>85.0</w:t>
            </w:r>
          </w:p>
        </w:tc>
        <w:tc>
          <w:tcPr>
            <w:tcW w:w="850" w:type="dxa"/>
            <w:tcBorders>
              <w:top w:val="single" w:sz="4" w:space="0" w:color="000000"/>
              <w:left w:val="single" w:sz="4" w:space="0" w:color="000000"/>
              <w:bottom w:val="single" w:sz="4" w:space="0" w:color="000000"/>
              <w:right w:val="single" w:sz="4" w:space="0" w:color="000000"/>
            </w:tcBorders>
            <w:vAlign w:val="center"/>
          </w:tcPr>
          <w:p w14:paraId="24890E5B" w14:textId="77777777" w:rsidR="00973470" w:rsidRDefault="00000000">
            <w:pPr>
              <w:spacing w:line="240" w:lineRule="auto"/>
              <w:ind w:left="0" w:firstLine="0"/>
              <w:jc w:val="center"/>
              <w:rPr>
                <w:sz w:val="20"/>
                <w:szCs w:val="18"/>
                <w:lang w:val="en-ID"/>
              </w:rPr>
            </w:pPr>
            <w:r>
              <w:rPr>
                <w:sz w:val="20"/>
                <w:szCs w:val="18"/>
              </w:rPr>
              <w:t>5.0</w:t>
            </w:r>
          </w:p>
        </w:tc>
        <w:tc>
          <w:tcPr>
            <w:tcW w:w="1843" w:type="dxa"/>
            <w:tcBorders>
              <w:top w:val="single" w:sz="4" w:space="0" w:color="000000"/>
              <w:left w:val="single" w:sz="4" w:space="0" w:color="000000"/>
              <w:bottom w:val="single" w:sz="4" w:space="0" w:color="000000"/>
              <w:right w:val="single" w:sz="4" w:space="0" w:color="000000"/>
            </w:tcBorders>
            <w:vAlign w:val="center"/>
          </w:tcPr>
          <w:p w14:paraId="38F884A9" w14:textId="77777777" w:rsidR="00973470" w:rsidRDefault="00000000">
            <w:pPr>
              <w:spacing w:line="240" w:lineRule="auto"/>
              <w:ind w:left="0" w:firstLine="0"/>
              <w:jc w:val="center"/>
              <w:rPr>
                <w:sz w:val="20"/>
                <w:szCs w:val="18"/>
                <w:lang w:val="en-ID"/>
              </w:rPr>
            </w:pPr>
            <w:r>
              <w:rPr>
                <w:sz w:val="20"/>
                <w:szCs w:val="18"/>
              </w:rPr>
              <w:t>6 volunteers; 3 replicates/sample</w:t>
            </w:r>
          </w:p>
        </w:tc>
        <w:tc>
          <w:tcPr>
            <w:tcW w:w="1588" w:type="dxa"/>
            <w:tcBorders>
              <w:top w:val="single" w:sz="4" w:space="0" w:color="000000"/>
              <w:left w:val="single" w:sz="4" w:space="0" w:color="000000"/>
              <w:bottom w:val="single" w:sz="4" w:space="0" w:color="000000"/>
              <w:right w:val="single" w:sz="4" w:space="0" w:color="000000"/>
            </w:tcBorders>
            <w:vAlign w:val="center"/>
          </w:tcPr>
          <w:p w14:paraId="31062BCD" w14:textId="77777777" w:rsidR="00973470" w:rsidRDefault="00000000">
            <w:pPr>
              <w:spacing w:line="240" w:lineRule="auto"/>
              <w:ind w:left="0" w:firstLine="0"/>
              <w:jc w:val="center"/>
              <w:rPr>
                <w:sz w:val="20"/>
                <w:szCs w:val="18"/>
                <w:lang w:val="en-ID"/>
              </w:rPr>
            </w:pPr>
            <w:r>
              <w:rPr>
                <w:sz w:val="20"/>
                <w:szCs w:val="18"/>
              </w:rPr>
              <w:t>Some concerns</w:t>
            </w:r>
          </w:p>
        </w:tc>
      </w:tr>
      <w:tr w:rsidR="00973470" w14:paraId="22469402" w14:textId="77777777">
        <w:tc>
          <w:tcPr>
            <w:tcW w:w="1526" w:type="dxa"/>
            <w:tcBorders>
              <w:top w:val="single" w:sz="4" w:space="0" w:color="000000"/>
              <w:left w:val="single" w:sz="4" w:space="0" w:color="000000"/>
              <w:bottom w:val="single" w:sz="4" w:space="0" w:color="000000"/>
              <w:right w:val="single" w:sz="4" w:space="0" w:color="000000"/>
            </w:tcBorders>
          </w:tcPr>
          <w:p w14:paraId="0EBA4392" w14:textId="77777777" w:rsidR="00973470" w:rsidRDefault="00000000">
            <w:pPr>
              <w:spacing w:line="240" w:lineRule="auto"/>
              <w:ind w:left="0" w:firstLine="0"/>
              <w:jc w:val="center"/>
              <w:rPr>
                <w:sz w:val="20"/>
                <w:szCs w:val="20"/>
                <w:lang w:val="en-ID"/>
              </w:rPr>
            </w:pPr>
            <w:r>
              <w:rPr>
                <w:sz w:val="20"/>
                <w:szCs w:val="20"/>
              </w:rPr>
              <w:t>Champakaew et al. (2015)</w:t>
            </w:r>
          </w:p>
        </w:tc>
        <w:tc>
          <w:tcPr>
            <w:tcW w:w="1134" w:type="dxa"/>
            <w:tcBorders>
              <w:top w:val="single" w:sz="4" w:space="0" w:color="000000"/>
              <w:left w:val="single" w:sz="4" w:space="0" w:color="000000"/>
              <w:bottom w:val="single" w:sz="4" w:space="0" w:color="000000"/>
              <w:right w:val="single" w:sz="4" w:space="0" w:color="000000"/>
            </w:tcBorders>
          </w:tcPr>
          <w:p w14:paraId="1ABEEE5D" w14:textId="77777777" w:rsidR="00973470" w:rsidRDefault="00000000">
            <w:pPr>
              <w:spacing w:line="240" w:lineRule="auto"/>
              <w:ind w:left="0" w:firstLine="0"/>
              <w:jc w:val="center"/>
              <w:rPr>
                <w:sz w:val="20"/>
                <w:szCs w:val="20"/>
                <w:lang w:val="en-ID"/>
              </w:rPr>
            </w:pPr>
            <w:r>
              <w:rPr>
                <w:sz w:val="20"/>
                <w:szCs w:val="20"/>
              </w:rPr>
              <w:t>Thailand</w:t>
            </w:r>
          </w:p>
        </w:tc>
        <w:tc>
          <w:tcPr>
            <w:tcW w:w="1559" w:type="dxa"/>
            <w:tcBorders>
              <w:top w:val="single" w:sz="4" w:space="0" w:color="000000"/>
              <w:left w:val="single" w:sz="4" w:space="0" w:color="000000"/>
              <w:bottom w:val="single" w:sz="4" w:space="0" w:color="000000"/>
              <w:right w:val="single" w:sz="4" w:space="0" w:color="000000"/>
            </w:tcBorders>
          </w:tcPr>
          <w:p w14:paraId="29CB33B6" w14:textId="77777777" w:rsidR="00973470" w:rsidRDefault="00000000">
            <w:pPr>
              <w:spacing w:line="240" w:lineRule="auto"/>
              <w:ind w:left="0" w:firstLine="0"/>
              <w:jc w:val="center"/>
              <w:rPr>
                <w:sz w:val="20"/>
                <w:szCs w:val="20"/>
                <w:lang w:val="en-ID"/>
              </w:rPr>
            </w:pPr>
            <w:r>
              <w:rPr>
                <w:sz w:val="20"/>
                <w:szCs w:val="20"/>
              </w:rPr>
              <w:t>Laboratory RCT</w:t>
            </w:r>
          </w:p>
        </w:tc>
        <w:tc>
          <w:tcPr>
            <w:tcW w:w="1134" w:type="dxa"/>
            <w:tcBorders>
              <w:top w:val="single" w:sz="4" w:space="0" w:color="000000"/>
              <w:left w:val="single" w:sz="4" w:space="0" w:color="000000"/>
              <w:bottom w:val="single" w:sz="4" w:space="0" w:color="000000"/>
              <w:right w:val="single" w:sz="4" w:space="0" w:color="000000"/>
            </w:tcBorders>
          </w:tcPr>
          <w:p w14:paraId="738BA35B" w14:textId="77777777" w:rsidR="00973470" w:rsidRDefault="00000000">
            <w:pPr>
              <w:spacing w:line="240" w:lineRule="auto"/>
              <w:ind w:left="0" w:firstLine="0"/>
              <w:jc w:val="center"/>
              <w:rPr>
                <w:sz w:val="20"/>
                <w:szCs w:val="20"/>
                <w:lang w:val="en-ID"/>
              </w:rPr>
            </w:pPr>
            <w:r>
              <w:rPr>
                <w:sz w:val="20"/>
                <w:szCs w:val="20"/>
              </w:rPr>
              <w:t>Natural</w:t>
            </w:r>
          </w:p>
        </w:tc>
        <w:tc>
          <w:tcPr>
            <w:tcW w:w="2410" w:type="dxa"/>
            <w:tcBorders>
              <w:top w:val="single" w:sz="4" w:space="0" w:color="000000"/>
              <w:left w:val="single" w:sz="4" w:space="0" w:color="000000"/>
              <w:bottom w:val="single" w:sz="4" w:space="0" w:color="000000"/>
              <w:right w:val="single" w:sz="4" w:space="0" w:color="000000"/>
            </w:tcBorders>
          </w:tcPr>
          <w:p w14:paraId="4F06DCE2" w14:textId="77777777" w:rsidR="00973470" w:rsidRDefault="00000000">
            <w:pPr>
              <w:spacing w:line="240" w:lineRule="auto"/>
              <w:ind w:left="0" w:firstLine="0"/>
              <w:jc w:val="center"/>
              <w:rPr>
                <w:sz w:val="20"/>
                <w:szCs w:val="20"/>
                <w:lang w:val="en-ID"/>
              </w:rPr>
            </w:pPr>
            <w:r>
              <w:rPr>
                <w:sz w:val="20"/>
                <w:szCs w:val="20"/>
              </w:rPr>
              <w:t>Angelica sinensis EO</w:t>
            </w:r>
          </w:p>
        </w:tc>
        <w:tc>
          <w:tcPr>
            <w:tcW w:w="850" w:type="dxa"/>
            <w:tcBorders>
              <w:top w:val="single" w:sz="4" w:space="0" w:color="000000"/>
              <w:left w:val="single" w:sz="4" w:space="0" w:color="000000"/>
              <w:bottom w:val="single" w:sz="4" w:space="0" w:color="000000"/>
              <w:right w:val="single" w:sz="4" w:space="0" w:color="000000"/>
            </w:tcBorders>
          </w:tcPr>
          <w:p w14:paraId="5554A9A2" w14:textId="77777777" w:rsidR="00973470" w:rsidRDefault="00000000">
            <w:pPr>
              <w:spacing w:line="240" w:lineRule="auto"/>
              <w:ind w:left="0" w:firstLine="0"/>
              <w:jc w:val="center"/>
              <w:rPr>
                <w:sz w:val="20"/>
                <w:szCs w:val="20"/>
                <w:lang w:val="en-ID"/>
              </w:rPr>
            </w:pPr>
            <w:r>
              <w:rPr>
                <w:sz w:val="20"/>
                <w:szCs w:val="20"/>
              </w:rPr>
              <w:t>5</w:t>
            </w:r>
          </w:p>
        </w:tc>
        <w:tc>
          <w:tcPr>
            <w:tcW w:w="851" w:type="dxa"/>
            <w:tcBorders>
              <w:top w:val="single" w:sz="4" w:space="0" w:color="000000"/>
              <w:left w:val="single" w:sz="4" w:space="0" w:color="000000"/>
              <w:bottom w:val="single" w:sz="4" w:space="0" w:color="000000"/>
              <w:right w:val="single" w:sz="4" w:space="0" w:color="000000"/>
            </w:tcBorders>
          </w:tcPr>
          <w:p w14:paraId="2BFC9C65" w14:textId="77777777" w:rsidR="00973470" w:rsidRDefault="00000000">
            <w:pPr>
              <w:spacing w:line="240" w:lineRule="auto"/>
              <w:ind w:left="0" w:firstLine="0"/>
              <w:jc w:val="center"/>
              <w:rPr>
                <w:sz w:val="20"/>
                <w:szCs w:val="20"/>
                <w:lang w:val="en-ID"/>
              </w:rPr>
            </w:pPr>
            <w:r>
              <w:rPr>
                <w:sz w:val="20"/>
                <w:szCs w:val="20"/>
              </w:rPr>
              <w:t>84.3</w:t>
            </w:r>
          </w:p>
        </w:tc>
        <w:tc>
          <w:tcPr>
            <w:tcW w:w="850" w:type="dxa"/>
            <w:tcBorders>
              <w:top w:val="single" w:sz="4" w:space="0" w:color="000000"/>
              <w:left w:val="single" w:sz="4" w:space="0" w:color="000000"/>
              <w:bottom w:val="single" w:sz="4" w:space="0" w:color="000000"/>
              <w:right w:val="single" w:sz="4" w:space="0" w:color="000000"/>
            </w:tcBorders>
          </w:tcPr>
          <w:p w14:paraId="1508A1CA" w14:textId="77777777" w:rsidR="00973470" w:rsidRDefault="00000000">
            <w:pPr>
              <w:spacing w:line="240" w:lineRule="auto"/>
              <w:ind w:left="0" w:firstLine="0"/>
              <w:jc w:val="center"/>
              <w:rPr>
                <w:sz w:val="20"/>
                <w:szCs w:val="20"/>
                <w:lang w:val="en-ID"/>
              </w:rPr>
            </w:pPr>
            <w:r>
              <w:rPr>
                <w:sz w:val="20"/>
                <w:szCs w:val="20"/>
              </w:rPr>
              <w:t>4.5</w:t>
            </w:r>
          </w:p>
        </w:tc>
        <w:tc>
          <w:tcPr>
            <w:tcW w:w="1843" w:type="dxa"/>
            <w:tcBorders>
              <w:top w:val="single" w:sz="4" w:space="0" w:color="000000"/>
              <w:left w:val="single" w:sz="4" w:space="0" w:color="000000"/>
              <w:bottom w:val="single" w:sz="4" w:space="0" w:color="000000"/>
              <w:right w:val="single" w:sz="4" w:space="0" w:color="000000"/>
            </w:tcBorders>
          </w:tcPr>
          <w:p w14:paraId="073386B9" w14:textId="77777777" w:rsidR="00973470" w:rsidRDefault="00000000">
            <w:pPr>
              <w:spacing w:line="240" w:lineRule="auto"/>
              <w:ind w:left="0" w:firstLine="0"/>
              <w:jc w:val="center"/>
              <w:rPr>
                <w:sz w:val="20"/>
                <w:szCs w:val="20"/>
                <w:lang w:val="en-ID"/>
              </w:rPr>
            </w:pPr>
            <w:r>
              <w:rPr>
                <w:sz w:val="20"/>
                <w:szCs w:val="20"/>
              </w:rPr>
              <w:t>90</w:t>
            </w:r>
          </w:p>
        </w:tc>
        <w:tc>
          <w:tcPr>
            <w:tcW w:w="1588" w:type="dxa"/>
            <w:tcBorders>
              <w:top w:val="single" w:sz="4" w:space="0" w:color="000000"/>
              <w:left w:val="single" w:sz="4" w:space="0" w:color="000000"/>
              <w:bottom w:val="single" w:sz="4" w:space="0" w:color="000000"/>
              <w:right w:val="single" w:sz="4" w:space="0" w:color="000000"/>
            </w:tcBorders>
          </w:tcPr>
          <w:p w14:paraId="5EC40D7E" w14:textId="77777777" w:rsidR="00973470" w:rsidRDefault="00000000">
            <w:pPr>
              <w:spacing w:line="240" w:lineRule="auto"/>
              <w:ind w:left="0" w:firstLine="0"/>
              <w:jc w:val="center"/>
              <w:rPr>
                <w:sz w:val="20"/>
                <w:szCs w:val="20"/>
                <w:lang w:val="en-ID"/>
              </w:rPr>
            </w:pPr>
            <w:r>
              <w:rPr>
                <w:sz w:val="20"/>
                <w:szCs w:val="20"/>
              </w:rPr>
              <w:t>Low</w:t>
            </w:r>
          </w:p>
        </w:tc>
      </w:tr>
      <w:tr w:rsidR="00973470" w14:paraId="6C418C06" w14:textId="77777777">
        <w:tc>
          <w:tcPr>
            <w:tcW w:w="1526" w:type="dxa"/>
            <w:tcBorders>
              <w:top w:val="single" w:sz="4" w:space="0" w:color="000000"/>
              <w:left w:val="single" w:sz="4" w:space="0" w:color="000000"/>
              <w:bottom w:val="single" w:sz="4" w:space="0" w:color="000000"/>
              <w:right w:val="single" w:sz="4" w:space="0" w:color="000000"/>
            </w:tcBorders>
          </w:tcPr>
          <w:p w14:paraId="08A8E686" w14:textId="77777777" w:rsidR="00973470" w:rsidRDefault="00000000">
            <w:pPr>
              <w:spacing w:line="240" w:lineRule="auto"/>
              <w:ind w:left="0" w:firstLine="0"/>
              <w:jc w:val="center"/>
              <w:rPr>
                <w:sz w:val="20"/>
                <w:szCs w:val="20"/>
                <w:lang w:val="en-ID"/>
              </w:rPr>
            </w:pPr>
            <w:r>
              <w:rPr>
                <w:sz w:val="20"/>
                <w:szCs w:val="20"/>
              </w:rPr>
              <w:t>Mitra et al. (2020)</w:t>
            </w:r>
          </w:p>
        </w:tc>
        <w:tc>
          <w:tcPr>
            <w:tcW w:w="1134" w:type="dxa"/>
            <w:tcBorders>
              <w:top w:val="single" w:sz="4" w:space="0" w:color="000000"/>
              <w:left w:val="single" w:sz="4" w:space="0" w:color="000000"/>
              <w:bottom w:val="single" w:sz="4" w:space="0" w:color="000000"/>
              <w:right w:val="single" w:sz="4" w:space="0" w:color="000000"/>
            </w:tcBorders>
          </w:tcPr>
          <w:p w14:paraId="52A05555" w14:textId="77777777" w:rsidR="00973470" w:rsidRDefault="00000000">
            <w:pPr>
              <w:spacing w:line="240" w:lineRule="auto"/>
              <w:ind w:left="0" w:firstLine="0"/>
              <w:jc w:val="center"/>
              <w:rPr>
                <w:sz w:val="20"/>
                <w:szCs w:val="20"/>
                <w:lang w:val="en-ID"/>
              </w:rPr>
            </w:pPr>
            <w:r>
              <w:rPr>
                <w:sz w:val="20"/>
                <w:szCs w:val="20"/>
              </w:rPr>
              <w:t>USA</w:t>
            </w:r>
          </w:p>
        </w:tc>
        <w:tc>
          <w:tcPr>
            <w:tcW w:w="1559" w:type="dxa"/>
            <w:tcBorders>
              <w:top w:val="single" w:sz="4" w:space="0" w:color="000000"/>
              <w:left w:val="single" w:sz="4" w:space="0" w:color="000000"/>
              <w:bottom w:val="single" w:sz="4" w:space="0" w:color="000000"/>
              <w:right w:val="single" w:sz="4" w:space="0" w:color="000000"/>
            </w:tcBorders>
          </w:tcPr>
          <w:p w14:paraId="6BF66FA0" w14:textId="77777777" w:rsidR="00973470" w:rsidRDefault="00000000">
            <w:pPr>
              <w:spacing w:line="240" w:lineRule="auto"/>
              <w:ind w:left="0" w:firstLine="0"/>
              <w:jc w:val="center"/>
              <w:rPr>
                <w:sz w:val="20"/>
                <w:szCs w:val="20"/>
                <w:lang w:val="en-ID"/>
              </w:rPr>
            </w:pPr>
            <w:r>
              <w:rPr>
                <w:sz w:val="20"/>
                <w:szCs w:val="20"/>
              </w:rPr>
              <w:t>Laboratory RCT</w:t>
            </w:r>
          </w:p>
        </w:tc>
        <w:tc>
          <w:tcPr>
            <w:tcW w:w="1134" w:type="dxa"/>
            <w:tcBorders>
              <w:top w:val="single" w:sz="4" w:space="0" w:color="000000"/>
              <w:left w:val="single" w:sz="4" w:space="0" w:color="000000"/>
              <w:bottom w:val="single" w:sz="4" w:space="0" w:color="000000"/>
              <w:right w:val="single" w:sz="4" w:space="0" w:color="000000"/>
            </w:tcBorders>
          </w:tcPr>
          <w:p w14:paraId="68252D7B" w14:textId="77777777" w:rsidR="00973470" w:rsidRDefault="00000000">
            <w:pPr>
              <w:spacing w:line="240" w:lineRule="auto"/>
              <w:ind w:left="0" w:firstLine="0"/>
              <w:jc w:val="center"/>
              <w:rPr>
                <w:sz w:val="20"/>
                <w:szCs w:val="20"/>
                <w:lang w:val="en-ID"/>
              </w:rPr>
            </w:pPr>
            <w:r>
              <w:rPr>
                <w:sz w:val="20"/>
                <w:szCs w:val="20"/>
              </w:rPr>
              <w:t>Natural</w:t>
            </w:r>
          </w:p>
        </w:tc>
        <w:tc>
          <w:tcPr>
            <w:tcW w:w="2410" w:type="dxa"/>
            <w:tcBorders>
              <w:top w:val="single" w:sz="4" w:space="0" w:color="000000"/>
              <w:left w:val="single" w:sz="4" w:space="0" w:color="000000"/>
              <w:bottom w:val="single" w:sz="4" w:space="0" w:color="000000"/>
              <w:right w:val="single" w:sz="4" w:space="0" w:color="000000"/>
            </w:tcBorders>
          </w:tcPr>
          <w:p w14:paraId="754EB84C" w14:textId="77777777" w:rsidR="00973470" w:rsidRDefault="00000000">
            <w:pPr>
              <w:spacing w:line="240" w:lineRule="auto"/>
              <w:ind w:left="0" w:firstLine="0"/>
              <w:jc w:val="center"/>
              <w:rPr>
                <w:sz w:val="20"/>
                <w:szCs w:val="20"/>
                <w:lang w:val="en-ID"/>
              </w:rPr>
            </w:pPr>
            <w:r>
              <w:rPr>
                <w:sz w:val="20"/>
                <w:szCs w:val="20"/>
              </w:rPr>
              <w:t>EPA 25(B) actives</w:t>
            </w:r>
          </w:p>
        </w:tc>
        <w:tc>
          <w:tcPr>
            <w:tcW w:w="850" w:type="dxa"/>
            <w:tcBorders>
              <w:top w:val="single" w:sz="4" w:space="0" w:color="000000"/>
              <w:left w:val="single" w:sz="4" w:space="0" w:color="000000"/>
              <w:bottom w:val="single" w:sz="4" w:space="0" w:color="000000"/>
              <w:right w:val="single" w:sz="4" w:space="0" w:color="000000"/>
            </w:tcBorders>
          </w:tcPr>
          <w:p w14:paraId="68013C09" w14:textId="77777777" w:rsidR="00973470" w:rsidRDefault="00000000">
            <w:pPr>
              <w:spacing w:line="240" w:lineRule="auto"/>
              <w:ind w:left="0" w:firstLine="0"/>
              <w:jc w:val="center"/>
              <w:rPr>
                <w:sz w:val="20"/>
                <w:szCs w:val="20"/>
                <w:lang w:val="en-ID"/>
              </w:rPr>
            </w:pPr>
            <w:r>
              <w:rPr>
                <w:sz w:val="20"/>
                <w:szCs w:val="20"/>
              </w:rPr>
              <w:t>Various</w:t>
            </w:r>
          </w:p>
        </w:tc>
        <w:tc>
          <w:tcPr>
            <w:tcW w:w="851" w:type="dxa"/>
            <w:tcBorders>
              <w:top w:val="single" w:sz="4" w:space="0" w:color="000000"/>
              <w:left w:val="single" w:sz="4" w:space="0" w:color="000000"/>
              <w:bottom w:val="single" w:sz="4" w:space="0" w:color="000000"/>
              <w:right w:val="single" w:sz="4" w:space="0" w:color="000000"/>
            </w:tcBorders>
          </w:tcPr>
          <w:p w14:paraId="12690C00" w14:textId="77777777" w:rsidR="00973470" w:rsidRDefault="00000000">
            <w:pPr>
              <w:spacing w:line="240" w:lineRule="auto"/>
              <w:ind w:left="0" w:firstLine="0"/>
              <w:jc w:val="center"/>
              <w:rPr>
                <w:sz w:val="20"/>
                <w:szCs w:val="20"/>
                <w:lang w:val="en-ID"/>
              </w:rPr>
            </w:pPr>
            <w:r>
              <w:rPr>
                <w:sz w:val="20"/>
                <w:szCs w:val="20"/>
              </w:rPr>
              <w:t>71.0</w:t>
            </w:r>
          </w:p>
        </w:tc>
        <w:tc>
          <w:tcPr>
            <w:tcW w:w="850" w:type="dxa"/>
            <w:tcBorders>
              <w:top w:val="single" w:sz="4" w:space="0" w:color="000000"/>
              <w:left w:val="single" w:sz="4" w:space="0" w:color="000000"/>
              <w:bottom w:val="single" w:sz="4" w:space="0" w:color="000000"/>
              <w:right w:val="single" w:sz="4" w:space="0" w:color="000000"/>
            </w:tcBorders>
          </w:tcPr>
          <w:p w14:paraId="62FE1099" w14:textId="77777777" w:rsidR="00973470" w:rsidRDefault="00000000">
            <w:pPr>
              <w:spacing w:line="240" w:lineRule="auto"/>
              <w:ind w:left="0" w:firstLine="0"/>
              <w:jc w:val="center"/>
              <w:rPr>
                <w:sz w:val="20"/>
                <w:szCs w:val="20"/>
                <w:lang w:val="en-ID"/>
              </w:rPr>
            </w:pPr>
            <w:r>
              <w:rPr>
                <w:sz w:val="20"/>
                <w:szCs w:val="20"/>
              </w:rPr>
              <w:t>3.0</w:t>
            </w:r>
          </w:p>
        </w:tc>
        <w:tc>
          <w:tcPr>
            <w:tcW w:w="1843" w:type="dxa"/>
            <w:tcBorders>
              <w:top w:val="single" w:sz="4" w:space="0" w:color="000000"/>
              <w:left w:val="single" w:sz="4" w:space="0" w:color="000000"/>
              <w:bottom w:val="single" w:sz="4" w:space="0" w:color="000000"/>
              <w:right w:val="single" w:sz="4" w:space="0" w:color="000000"/>
            </w:tcBorders>
          </w:tcPr>
          <w:p w14:paraId="47CFAB0D" w14:textId="77777777" w:rsidR="00973470" w:rsidRDefault="00000000">
            <w:pPr>
              <w:spacing w:line="240" w:lineRule="auto"/>
              <w:ind w:left="0" w:firstLine="0"/>
              <w:jc w:val="center"/>
              <w:rPr>
                <w:sz w:val="20"/>
                <w:szCs w:val="20"/>
                <w:lang w:val="en-ID"/>
              </w:rPr>
            </w:pPr>
            <w:r>
              <w:rPr>
                <w:sz w:val="20"/>
                <w:szCs w:val="20"/>
              </w:rPr>
              <w:t>85</w:t>
            </w:r>
          </w:p>
        </w:tc>
        <w:tc>
          <w:tcPr>
            <w:tcW w:w="1588" w:type="dxa"/>
            <w:tcBorders>
              <w:top w:val="single" w:sz="4" w:space="0" w:color="000000"/>
              <w:left w:val="single" w:sz="4" w:space="0" w:color="000000"/>
              <w:bottom w:val="single" w:sz="4" w:space="0" w:color="000000"/>
              <w:right w:val="single" w:sz="4" w:space="0" w:color="000000"/>
            </w:tcBorders>
          </w:tcPr>
          <w:p w14:paraId="04E1FA07" w14:textId="77777777" w:rsidR="00973470" w:rsidRDefault="00000000">
            <w:pPr>
              <w:spacing w:line="240" w:lineRule="auto"/>
              <w:ind w:left="0" w:firstLine="0"/>
              <w:jc w:val="center"/>
              <w:rPr>
                <w:sz w:val="20"/>
                <w:szCs w:val="20"/>
                <w:lang w:val="en-ID"/>
              </w:rPr>
            </w:pPr>
            <w:r>
              <w:rPr>
                <w:sz w:val="20"/>
                <w:szCs w:val="20"/>
              </w:rPr>
              <w:t>Low</w:t>
            </w:r>
          </w:p>
        </w:tc>
      </w:tr>
      <w:tr w:rsidR="00973470" w14:paraId="3837CD0D" w14:textId="77777777">
        <w:tc>
          <w:tcPr>
            <w:tcW w:w="1526" w:type="dxa"/>
            <w:tcBorders>
              <w:top w:val="single" w:sz="4" w:space="0" w:color="000000"/>
              <w:left w:val="single" w:sz="4" w:space="0" w:color="000000"/>
              <w:bottom w:val="single" w:sz="4" w:space="0" w:color="000000"/>
              <w:right w:val="single" w:sz="4" w:space="0" w:color="000000"/>
            </w:tcBorders>
          </w:tcPr>
          <w:p w14:paraId="29A5A5D6" w14:textId="77777777" w:rsidR="00973470" w:rsidRDefault="00000000">
            <w:pPr>
              <w:spacing w:line="240" w:lineRule="auto"/>
              <w:ind w:left="0" w:firstLine="0"/>
              <w:jc w:val="center"/>
              <w:rPr>
                <w:sz w:val="20"/>
                <w:szCs w:val="20"/>
                <w:lang w:val="en-ID"/>
              </w:rPr>
            </w:pPr>
            <w:r>
              <w:rPr>
                <w:sz w:val="20"/>
                <w:szCs w:val="20"/>
              </w:rPr>
              <w:t xml:space="preserve">Soonwera and Phasomkusolsil </w:t>
            </w:r>
            <w:r>
              <w:rPr>
                <w:sz w:val="20"/>
                <w:szCs w:val="20"/>
              </w:rPr>
              <w:lastRenderedPageBreak/>
              <w:t>(2014)</w:t>
            </w:r>
          </w:p>
        </w:tc>
        <w:tc>
          <w:tcPr>
            <w:tcW w:w="1134" w:type="dxa"/>
            <w:tcBorders>
              <w:top w:val="single" w:sz="4" w:space="0" w:color="000000"/>
              <w:left w:val="single" w:sz="4" w:space="0" w:color="000000"/>
              <w:bottom w:val="single" w:sz="4" w:space="0" w:color="000000"/>
              <w:right w:val="single" w:sz="4" w:space="0" w:color="000000"/>
            </w:tcBorders>
          </w:tcPr>
          <w:p w14:paraId="52D7CCB2" w14:textId="77777777" w:rsidR="00973470" w:rsidRDefault="00000000">
            <w:pPr>
              <w:spacing w:line="240" w:lineRule="auto"/>
              <w:ind w:left="0" w:firstLine="0"/>
              <w:jc w:val="center"/>
              <w:rPr>
                <w:sz w:val="20"/>
                <w:szCs w:val="20"/>
                <w:lang w:val="en-ID"/>
              </w:rPr>
            </w:pPr>
            <w:r>
              <w:rPr>
                <w:sz w:val="20"/>
                <w:szCs w:val="20"/>
              </w:rPr>
              <w:lastRenderedPageBreak/>
              <w:t>Thailand</w:t>
            </w:r>
          </w:p>
        </w:tc>
        <w:tc>
          <w:tcPr>
            <w:tcW w:w="1559" w:type="dxa"/>
            <w:tcBorders>
              <w:top w:val="single" w:sz="4" w:space="0" w:color="000000"/>
              <w:left w:val="single" w:sz="4" w:space="0" w:color="000000"/>
              <w:bottom w:val="single" w:sz="4" w:space="0" w:color="000000"/>
              <w:right w:val="single" w:sz="4" w:space="0" w:color="000000"/>
            </w:tcBorders>
          </w:tcPr>
          <w:p w14:paraId="3BD4AD38" w14:textId="77777777" w:rsidR="00973470" w:rsidRDefault="00000000">
            <w:pPr>
              <w:spacing w:line="240" w:lineRule="auto"/>
              <w:ind w:left="0" w:firstLine="0"/>
              <w:jc w:val="center"/>
              <w:rPr>
                <w:sz w:val="20"/>
                <w:szCs w:val="20"/>
                <w:lang w:val="en-ID"/>
              </w:rPr>
            </w:pPr>
            <w:r>
              <w:rPr>
                <w:sz w:val="20"/>
                <w:szCs w:val="20"/>
              </w:rPr>
              <w:t>Laboratory exp.</w:t>
            </w:r>
          </w:p>
        </w:tc>
        <w:tc>
          <w:tcPr>
            <w:tcW w:w="1134" w:type="dxa"/>
            <w:tcBorders>
              <w:top w:val="single" w:sz="4" w:space="0" w:color="000000"/>
              <w:left w:val="single" w:sz="4" w:space="0" w:color="000000"/>
              <w:bottom w:val="single" w:sz="4" w:space="0" w:color="000000"/>
              <w:right w:val="single" w:sz="4" w:space="0" w:color="000000"/>
            </w:tcBorders>
          </w:tcPr>
          <w:p w14:paraId="69060E0A" w14:textId="77777777" w:rsidR="00973470" w:rsidRDefault="00000000">
            <w:pPr>
              <w:spacing w:line="240" w:lineRule="auto"/>
              <w:ind w:left="0" w:firstLine="0"/>
              <w:jc w:val="center"/>
              <w:rPr>
                <w:sz w:val="20"/>
                <w:szCs w:val="20"/>
                <w:lang w:val="en-ID"/>
              </w:rPr>
            </w:pPr>
            <w:r>
              <w:rPr>
                <w:sz w:val="20"/>
                <w:szCs w:val="20"/>
              </w:rPr>
              <w:t>Natural</w:t>
            </w:r>
          </w:p>
        </w:tc>
        <w:tc>
          <w:tcPr>
            <w:tcW w:w="2410" w:type="dxa"/>
            <w:tcBorders>
              <w:top w:val="single" w:sz="4" w:space="0" w:color="000000"/>
              <w:left w:val="single" w:sz="4" w:space="0" w:color="000000"/>
              <w:bottom w:val="single" w:sz="4" w:space="0" w:color="000000"/>
              <w:right w:val="single" w:sz="4" w:space="0" w:color="000000"/>
            </w:tcBorders>
          </w:tcPr>
          <w:p w14:paraId="28558787" w14:textId="77777777" w:rsidR="00973470" w:rsidRDefault="00000000">
            <w:pPr>
              <w:spacing w:line="240" w:lineRule="auto"/>
              <w:ind w:left="0" w:firstLine="0"/>
              <w:jc w:val="center"/>
              <w:rPr>
                <w:sz w:val="20"/>
                <w:szCs w:val="20"/>
                <w:lang w:val="en-ID"/>
              </w:rPr>
            </w:pPr>
            <w:r>
              <w:rPr>
                <w:sz w:val="20"/>
                <w:szCs w:val="20"/>
              </w:rPr>
              <w:t>Thai herbal EOs</w:t>
            </w:r>
          </w:p>
        </w:tc>
        <w:tc>
          <w:tcPr>
            <w:tcW w:w="850" w:type="dxa"/>
            <w:tcBorders>
              <w:top w:val="single" w:sz="4" w:space="0" w:color="000000"/>
              <w:left w:val="single" w:sz="4" w:space="0" w:color="000000"/>
              <w:bottom w:val="single" w:sz="4" w:space="0" w:color="000000"/>
              <w:right w:val="single" w:sz="4" w:space="0" w:color="000000"/>
            </w:tcBorders>
          </w:tcPr>
          <w:p w14:paraId="743CFD1D" w14:textId="77777777" w:rsidR="00973470" w:rsidRDefault="00000000">
            <w:pPr>
              <w:spacing w:line="240" w:lineRule="auto"/>
              <w:ind w:left="0" w:firstLine="0"/>
              <w:jc w:val="center"/>
              <w:rPr>
                <w:sz w:val="20"/>
                <w:szCs w:val="20"/>
                <w:lang w:val="en-ID"/>
              </w:rPr>
            </w:pPr>
            <w:r>
              <w:rPr>
                <w:sz w:val="20"/>
                <w:szCs w:val="20"/>
              </w:rPr>
              <w:t>10</w:t>
            </w:r>
          </w:p>
        </w:tc>
        <w:tc>
          <w:tcPr>
            <w:tcW w:w="851" w:type="dxa"/>
            <w:tcBorders>
              <w:top w:val="single" w:sz="4" w:space="0" w:color="000000"/>
              <w:left w:val="single" w:sz="4" w:space="0" w:color="000000"/>
              <w:bottom w:val="single" w:sz="4" w:space="0" w:color="000000"/>
              <w:right w:val="single" w:sz="4" w:space="0" w:color="000000"/>
            </w:tcBorders>
          </w:tcPr>
          <w:p w14:paraId="62C72EC7" w14:textId="77777777" w:rsidR="00973470" w:rsidRDefault="00000000">
            <w:pPr>
              <w:spacing w:line="240" w:lineRule="auto"/>
              <w:ind w:left="0" w:firstLine="0"/>
              <w:jc w:val="center"/>
              <w:rPr>
                <w:sz w:val="20"/>
                <w:szCs w:val="20"/>
                <w:lang w:val="en-ID"/>
              </w:rPr>
            </w:pPr>
            <w:r>
              <w:rPr>
                <w:sz w:val="20"/>
                <w:szCs w:val="20"/>
              </w:rPr>
              <w:t>76.5</w:t>
            </w:r>
          </w:p>
        </w:tc>
        <w:tc>
          <w:tcPr>
            <w:tcW w:w="850" w:type="dxa"/>
            <w:tcBorders>
              <w:top w:val="single" w:sz="4" w:space="0" w:color="000000"/>
              <w:left w:val="single" w:sz="4" w:space="0" w:color="000000"/>
              <w:bottom w:val="single" w:sz="4" w:space="0" w:color="000000"/>
              <w:right w:val="single" w:sz="4" w:space="0" w:color="000000"/>
            </w:tcBorders>
          </w:tcPr>
          <w:p w14:paraId="0E5A8234" w14:textId="77777777" w:rsidR="00973470" w:rsidRDefault="00000000">
            <w:pPr>
              <w:spacing w:line="240" w:lineRule="auto"/>
              <w:ind w:left="0" w:firstLine="0"/>
              <w:jc w:val="center"/>
              <w:rPr>
                <w:sz w:val="20"/>
                <w:szCs w:val="20"/>
                <w:lang w:val="en-ID"/>
              </w:rPr>
            </w:pPr>
            <w:r>
              <w:rPr>
                <w:sz w:val="20"/>
                <w:szCs w:val="20"/>
              </w:rPr>
              <w:t>3.8</w:t>
            </w:r>
          </w:p>
        </w:tc>
        <w:tc>
          <w:tcPr>
            <w:tcW w:w="1843" w:type="dxa"/>
            <w:tcBorders>
              <w:top w:val="single" w:sz="4" w:space="0" w:color="000000"/>
              <w:left w:val="single" w:sz="4" w:space="0" w:color="000000"/>
              <w:bottom w:val="single" w:sz="4" w:space="0" w:color="000000"/>
              <w:right w:val="single" w:sz="4" w:space="0" w:color="000000"/>
            </w:tcBorders>
          </w:tcPr>
          <w:p w14:paraId="4141CCAC" w14:textId="77777777" w:rsidR="00973470" w:rsidRDefault="00000000">
            <w:pPr>
              <w:spacing w:line="240" w:lineRule="auto"/>
              <w:ind w:left="0" w:firstLine="0"/>
              <w:jc w:val="center"/>
              <w:rPr>
                <w:sz w:val="20"/>
                <w:szCs w:val="20"/>
                <w:lang w:val="en-ID"/>
              </w:rPr>
            </w:pPr>
            <w:r>
              <w:rPr>
                <w:sz w:val="20"/>
                <w:szCs w:val="20"/>
              </w:rPr>
              <w:t>55</w:t>
            </w:r>
          </w:p>
        </w:tc>
        <w:tc>
          <w:tcPr>
            <w:tcW w:w="1588" w:type="dxa"/>
            <w:tcBorders>
              <w:top w:val="single" w:sz="4" w:space="0" w:color="000000"/>
              <w:left w:val="single" w:sz="4" w:space="0" w:color="000000"/>
              <w:bottom w:val="single" w:sz="4" w:space="0" w:color="000000"/>
              <w:right w:val="single" w:sz="4" w:space="0" w:color="000000"/>
            </w:tcBorders>
          </w:tcPr>
          <w:p w14:paraId="1455BCC7" w14:textId="77777777" w:rsidR="00973470" w:rsidRDefault="00000000">
            <w:pPr>
              <w:spacing w:line="240" w:lineRule="auto"/>
              <w:ind w:left="0" w:firstLine="0"/>
              <w:jc w:val="center"/>
              <w:rPr>
                <w:sz w:val="20"/>
                <w:szCs w:val="20"/>
                <w:lang w:val="en-ID"/>
              </w:rPr>
            </w:pPr>
            <w:r>
              <w:rPr>
                <w:sz w:val="20"/>
                <w:szCs w:val="20"/>
              </w:rPr>
              <w:t>Some concerns</w:t>
            </w:r>
          </w:p>
        </w:tc>
      </w:tr>
      <w:tr w:rsidR="00973470" w14:paraId="0DDAF3BF" w14:textId="77777777">
        <w:tc>
          <w:tcPr>
            <w:tcW w:w="1526" w:type="dxa"/>
            <w:tcBorders>
              <w:top w:val="single" w:sz="4" w:space="0" w:color="000000"/>
              <w:left w:val="single" w:sz="4" w:space="0" w:color="000000"/>
              <w:bottom w:val="single" w:sz="4" w:space="0" w:color="000000"/>
              <w:right w:val="single" w:sz="4" w:space="0" w:color="000000"/>
            </w:tcBorders>
          </w:tcPr>
          <w:p w14:paraId="4FC22C63" w14:textId="77777777" w:rsidR="00973470" w:rsidRDefault="00000000">
            <w:pPr>
              <w:spacing w:line="240" w:lineRule="auto"/>
              <w:ind w:left="0" w:firstLine="0"/>
              <w:jc w:val="center"/>
              <w:rPr>
                <w:sz w:val="20"/>
                <w:szCs w:val="20"/>
                <w:lang w:val="en-ID"/>
              </w:rPr>
            </w:pPr>
            <w:r>
              <w:rPr>
                <w:sz w:val="20"/>
                <w:szCs w:val="20"/>
              </w:rPr>
              <w:t>Atkovska et al. (2021)</w:t>
            </w:r>
          </w:p>
        </w:tc>
        <w:tc>
          <w:tcPr>
            <w:tcW w:w="1134" w:type="dxa"/>
            <w:tcBorders>
              <w:top w:val="single" w:sz="4" w:space="0" w:color="000000"/>
              <w:left w:val="single" w:sz="4" w:space="0" w:color="000000"/>
              <w:bottom w:val="single" w:sz="4" w:space="0" w:color="000000"/>
              <w:right w:val="single" w:sz="4" w:space="0" w:color="000000"/>
            </w:tcBorders>
          </w:tcPr>
          <w:p w14:paraId="672DA270" w14:textId="77777777" w:rsidR="00973470" w:rsidRDefault="00000000">
            <w:pPr>
              <w:spacing w:line="240" w:lineRule="auto"/>
              <w:ind w:left="0" w:firstLine="0"/>
              <w:jc w:val="center"/>
              <w:rPr>
                <w:sz w:val="20"/>
                <w:szCs w:val="20"/>
                <w:lang w:val="en-ID"/>
              </w:rPr>
            </w:pPr>
            <w:r>
              <w:rPr>
                <w:sz w:val="20"/>
                <w:szCs w:val="20"/>
              </w:rPr>
              <w:t>N. Macedonian</w:t>
            </w:r>
          </w:p>
        </w:tc>
        <w:tc>
          <w:tcPr>
            <w:tcW w:w="1559" w:type="dxa"/>
            <w:tcBorders>
              <w:top w:val="single" w:sz="4" w:space="0" w:color="000000"/>
              <w:left w:val="single" w:sz="4" w:space="0" w:color="000000"/>
              <w:bottom w:val="single" w:sz="4" w:space="0" w:color="000000"/>
              <w:right w:val="single" w:sz="4" w:space="0" w:color="000000"/>
            </w:tcBorders>
          </w:tcPr>
          <w:p w14:paraId="5CBD7FAC" w14:textId="77777777" w:rsidR="00973470" w:rsidRDefault="00000000">
            <w:pPr>
              <w:spacing w:line="240" w:lineRule="auto"/>
              <w:ind w:left="0" w:firstLine="0"/>
              <w:jc w:val="center"/>
              <w:rPr>
                <w:sz w:val="20"/>
                <w:szCs w:val="20"/>
                <w:lang w:val="en-ID"/>
              </w:rPr>
            </w:pPr>
            <w:r>
              <w:rPr>
                <w:sz w:val="20"/>
                <w:szCs w:val="20"/>
              </w:rPr>
              <w:t>Laboratory exp.</w:t>
            </w:r>
          </w:p>
        </w:tc>
        <w:tc>
          <w:tcPr>
            <w:tcW w:w="1134" w:type="dxa"/>
            <w:tcBorders>
              <w:top w:val="single" w:sz="4" w:space="0" w:color="000000"/>
              <w:left w:val="single" w:sz="4" w:space="0" w:color="000000"/>
              <w:bottom w:val="single" w:sz="4" w:space="0" w:color="000000"/>
              <w:right w:val="single" w:sz="4" w:space="0" w:color="000000"/>
            </w:tcBorders>
          </w:tcPr>
          <w:p w14:paraId="6CD7D348" w14:textId="77777777" w:rsidR="00973470" w:rsidRDefault="00000000">
            <w:pPr>
              <w:spacing w:line="240" w:lineRule="auto"/>
              <w:ind w:left="0" w:firstLine="0"/>
              <w:jc w:val="center"/>
              <w:rPr>
                <w:sz w:val="20"/>
                <w:szCs w:val="20"/>
                <w:lang w:val="en-ID"/>
              </w:rPr>
            </w:pPr>
            <w:r>
              <w:rPr>
                <w:sz w:val="20"/>
                <w:szCs w:val="20"/>
              </w:rPr>
              <w:t>Natural</w:t>
            </w:r>
          </w:p>
        </w:tc>
        <w:tc>
          <w:tcPr>
            <w:tcW w:w="2410" w:type="dxa"/>
            <w:tcBorders>
              <w:top w:val="single" w:sz="4" w:space="0" w:color="000000"/>
              <w:left w:val="single" w:sz="4" w:space="0" w:color="000000"/>
              <w:bottom w:val="single" w:sz="4" w:space="0" w:color="000000"/>
              <w:right w:val="single" w:sz="4" w:space="0" w:color="000000"/>
            </w:tcBorders>
          </w:tcPr>
          <w:p w14:paraId="2ED15D47" w14:textId="77777777" w:rsidR="00973470" w:rsidRDefault="00000000">
            <w:pPr>
              <w:spacing w:line="240" w:lineRule="auto"/>
              <w:ind w:left="0" w:firstLine="0"/>
              <w:jc w:val="center"/>
              <w:rPr>
                <w:sz w:val="20"/>
                <w:szCs w:val="20"/>
                <w:lang w:val="en-ID"/>
              </w:rPr>
            </w:pPr>
            <w:r>
              <w:rPr>
                <w:sz w:val="20"/>
                <w:szCs w:val="20"/>
              </w:rPr>
              <w:t>Essential oils</w:t>
            </w:r>
          </w:p>
        </w:tc>
        <w:tc>
          <w:tcPr>
            <w:tcW w:w="850" w:type="dxa"/>
            <w:tcBorders>
              <w:top w:val="single" w:sz="4" w:space="0" w:color="000000"/>
              <w:left w:val="single" w:sz="4" w:space="0" w:color="000000"/>
              <w:bottom w:val="single" w:sz="4" w:space="0" w:color="000000"/>
              <w:right w:val="single" w:sz="4" w:space="0" w:color="000000"/>
            </w:tcBorders>
          </w:tcPr>
          <w:p w14:paraId="30F44AD4" w14:textId="77777777" w:rsidR="00973470" w:rsidRDefault="00000000">
            <w:pPr>
              <w:spacing w:line="240" w:lineRule="auto"/>
              <w:ind w:left="0" w:firstLine="0"/>
              <w:jc w:val="center"/>
              <w:rPr>
                <w:sz w:val="20"/>
                <w:szCs w:val="20"/>
                <w:lang w:val="en-ID"/>
              </w:rPr>
            </w:pPr>
            <w:r>
              <w:rPr>
                <w:sz w:val="20"/>
                <w:szCs w:val="20"/>
              </w:rPr>
              <w:t>10–15</w:t>
            </w:r>
          </w:p>
        </w:tc>
        <w:tc>
          <w:tcPr>
            <w:tcW w:w="851" w:type="dxa"/>
            <w:tcBorders>
              <w:top w:val="single" w:sz="4" w:space="0" w:color="000000"/>
              <w:left w:val="single" w:sz="4" w:space="0" w:color="000000"/>
              <w:bottom w:val="single" w:sz="4" w:space="0" w:color="000000"/>
              <w:right w:val="single" w:sz="4" w:space="0" w:color="000000"/>
            </w:tcBorders>
          </w:tcPr>
          <w:p w14:paraId="26E77F48" w14:textId="77777777" w:rsidR="00973470" w:rsidRDefault="00000000">
            <w:pPr>
              <w:spacing w:line="240" w:lineRule="auto"/>
              <w:ind w:left="0" w:firstLine="0"/>
              <w:jc w:val="center"/>
              <w:rPr>
                <w:sz w:val="20"/>
                <w:szCs w:val="20"/>
                <w:lang w:val="en-ID"/>
              </w:rPr>
            </w:pPr>
            <w:r>
              <w:rPr>
                <w:sz w:val="20"/>
                <w:szCs w:val="20"/>
              </w:rPr>
              <w:t>65.2</w:t>
            </w:r>
          </w:p>
        </w:tc>
        <w:tc>
          <w:tcPr>
            <w:tcW w:w="850" w:type="dxa"/>
            <w:tcBorders>
              <w:top w:val="single" w:sz="4" w:space="0" w:color="000000"/>
              <w:left w:val="single" w:sz="4" w:space="0" w:color="000000"/>
              <w:bottom w:val="single" w:sz="4" w:space="0" w:color="000000"/>
              <w:right w:val="single" w:sz="4" w:space="0" w:color="000000"/>
            </w:tcBorders>
          </w:tcPr>
          <w:p w14:paraId="1A0AC5F3" w14:textId="77777777" w:rsidR="00973470" w:rsidRDefault="00000000">
            <w:pPr>
              <w:spacing w:line="240" w:lineRule="auto"/>
              <w:ind w:left="0" w:firstLine="0"/>
              <w:jc w:val="center"/>
              <w:rPr>
                <w:sz w:val="20"/>
                <w:szCs w:val="20"/>
                <w:lang w:val="en-ID"/>
              </w:rPr>
            </w:pPr>
            <w:r>
              <w:rPr>
                <w:sz w:val="20"/>
                <w:szCs w:val="20"/>
              </w:rPr>
              <w:t>2.5</w:t>
            </w:r>
          </w:p>
        </w:tc>
        <w:tc>
          <w:tcPr>
            <w:tcW w:w="1843" w:type="dxa"/>
            <w:tcBorders>
              <w:top w:val="single" w:sz="4" w:space="0" w:color="000000"/>
              <w:left w:val="single" w:sz="4" w:space="0" w:color="000000"/>
              <w:bottom w:val="single" w:sz="4" w:space="0" w:color="000000"/>
              <w:right w:val="single" w:sz="4" w:space="0" w:color="000000"/>
            </w:tcBorders>
          </w:tcPr>
          <w:p w14:paraId="2A58B81F" w14:textId="77777777" w:rsidR="00973470" w:rsidRDefault="00000000">
            <w:pPr>
              <w:spacing w:line="240" w:lineRule="auto"/>
              <w:ind w:left="0" w:firstLine="0"/>
              <w:jc w:val="center"/>
              <w:rPr>
                <w:sz w:val="20"/>
                <w:szCs w:val="20"/>
                <w:lang w:val="en-ID"/>
              </w:rPr>
            </w:pPr>
            <w:r>
              <w:rPr>
                <w:sz w:val="20"/>
                <w:szCs w:val="20"/>
              </w:rPr>
              <w:t>40</w:t>
            </w:r>
          </w:p>
        </w:tc>
        <w:tc>
          <w:tcPr>
            <w:tcW w:w="1588" w:type="dxa"/>
            <w:tcBorders>
              <w:top w:val="single" w:sz="4" w:space="0" w:color="000000"/>
              <w:left w:val="single" w:sz="4" w:space="0" w:color="000000"/>
              <w:bottom w:val="single" w:sz="4" w:space="0" w:color="000000"/>
              <w:right w:val="single" w:sz="4" w:space="0" w:color="000000"/>
            </w:tcBorders>
          </w:tcPr>
          <w:p w14:paraId="289C439F" w14:textId="77777777" w:rsidR="00973470" w:rsidRDefault="00000000">
            <w:pPr>
              <w:spacing w:line="240" w:lineRule="auto"/>
              <w:ind w:left="0" w:firstLine="0"/>
              <w:jc w:val="center"/>
              <w:rPr>
                <w:sz w:val="20"/>
                <w:szCs w:val="20"/>
                <w:lang w:val="en-ID"/>
              </w:rPr>
            </w:pPr>
            <w:r>
              <w:rPr>
                <w:sz w:val="20"/>
                <w:szCs w:val="20"/>
              </w:rPr>
              <w:t>High</w:t>
            </w:r>
          </w:p>
        </w:tc>
      </w:tr>
      <w:tr w:rsidR="00973470" w14:paraId="4C974025" w14:textId="77777777">
        <w:tc>
          <w:tcPr>
            <w:tcW w:w="1526" w:type="dxa"/>
            <w:tcBorders>
              <w:top w:val="single" w:sz="4" w:space="0" w:color="000000"/>
              <w:left w:val="single" w:sz="4" w:space="0" w:color="000000"/>
              <w:bottom w:val="single" w:sz="4" w:space="0" w:color="000000"/>
              <w:right w:val="single" w:sz="4" w:space="0" w:color="000000"/>
            </w:tcBorders>
          </w:tcPr>
          <w:p w14:paraId="23C596B8" w14:textId="77777777" w:rsidR="00973470" w:rsidRDefault="00000000">
            <w:pPr>
              <w:spacing w:line="240" w:lineRule="auto"/>
              <w:ind w:left="0" w:firstLine="0"/>
              <w:jc w:val="center"/>
              <w:rPr>
                <w:sz w:val="20"/>
                <w:szCs w:val="20"/>
                <w:lang w:val="en-ID"/>
              </w:rPr>
            </w:pPr>
            <w:r>
              <w:rPr>
                <w:sz w:val="20"/>
                <w:szCs w:val="20"/>
              </w:rPr>
              <w:t>Campbell and Gries (2010)</w:t>
            </w:r>
          </w:p>
        </w:tc>
        <w:tc>
          <w:tcPr>
            <w:tcW w:w="1134" w:type="dxa"/>
            <w:tcBorders>
              <w:top w:val="single" w:sz="4" w:space="0" w:color="000000"/>
              <w:left w:val="single" w:sz="4" w:space="0" w:color="000000"/>
              <w:bottom w:val="single" w:sz="4" w:space="0" w:color="000000"/>
              <w:right w:val="single" w:sz="4" w:space="0" w:color="000000"/>
            </w:tcBorders>
          </w:tcPr>
          <w:p w14:paraId="6E33CA63" w14:textId="77777777" w:rsidR="00973470" w:rsidRDefault="00000000">
            <w:pPr>
              <w:spacing w:line="240" w:lineRule="auto"/>
              <w:ind w:left="0" w:firstLine="0"/>
              <w:jc w:val="center"/>
              <w:rPr>
                <w:sz w:val="20"/>
                <w:szCs w:val="20"/>
                <w:lang w:val="en-ID"/>
              </w:rPr>
            </w:pPr>
            <w:r>
              <w:rPr>
                <w:sz w:val="20"/>
                <w:szCs w:val="20"/>
              </w:rPr>
              <w:t>Canada</w:t>
            </w:r>
          </w:p>
        </w:tc>
        <w:tc>
          <w:tcPr>
            <w:tcW w:w="1559" w:type="dxa"/>
            <w:tcBorders>
              <w:top w:val="single" w:sz="4" w:space="0" w:color="000000"/>
              <w:left w:val="single" w:sz="4" w:space="0" w:color="000000"/>
              <w:bottom w:val="single" w:sz="4" w:space="0" w:color="000000"/>
              <w:right w:val="single" w:sz="4" w:space="0" w:color="000000"/>
            </w:tcBorders>
          </w:tcPr>
          <w:p w14:paraId="53E824FC" w14:textId="77777777" w:rsidR="00973470" w:rsidRDefault="00000000">
            <w:pPr>
              <w:spacing w:line="240" w:lineRule="auto"/>
              <w:ind w:left="0" w:firstLine="0"/>
              <w:jc w:val="center"/>
              <w:rPr>
                <w:sz w:val="20"/>
                <w:szCs w:val="20"/>
                <w:lang w:val="en-ID"/>
              </w:rPr>
            </w:pPr>
            <w:r>
              <w:rPr>
                <w:sz w:val="20"/>
                <w:szCs w:val="20"/>
              </w:rPr>
              <w:t>Laboratory exp.</w:t>
            </w:r>
          </w:p>
        </w:tc>
        <w:tc>
          <w:tcPr>
            <w:tcW w:w="1134" w:type="dxa"/>
            <w:tcBorders>
              <w:top w:val="single" w:sz="4" w:space="0" w:color="000000"/>
              <w:left w:val="single" w:sz="4" w:space="0" w:color="000000"/>
              <w:bottom w:val="single" w:sz="4" w:space="0" w:color="000000"/>
              <w:right w:val="single" w:sz="4" w:space="0" w:color="000000"/>
            </w:tcBorders>
          </w:tcPr>
          <w:p w14:paraId="0BDFBC7B" w14:textId="77777777" w:rsidR="00973470" w:rsidRDefault="00000000">
            <w:pPr>
              <w:spacing w:line="240" w:lineRule="auto"/>
              <w:ind w:left="0" w:firstLine="0"/>
              <w:jc w:val="center"/>
              <w:rPr>
                <w:sz w:val="20"/>
                <w:szCs w:val="20"/>
                <w:lang w:val="en-ID"/>
              </w:rPr>
            </w:pPr>
            <w:r>
              <w:rPr>
                <w:sz w:val="20"/>
                <w:szCs w:val="20"/>
              </w:rPr>
              <w:t>Natural</w:t>
            </w:r>
          </w:p>
        </w:tc>
        <w:tc>
          <w:tcPr>
            <w:tcW w:w="2410" w:type="dxa"/>
            <w:tcBorders>
              <w:top w:val="single" w:sz="4" w:space="0" w:color="000000"/>
              <w:left w:val="single" w:sz="4" w:space="0" w:color="000000"/>
              <w:bottom w:val="single" w:sz="4" w:space="0" w:color="000000"/>
              <w:right w:val="single" w:sz="4" w:space="0" w:color="000000"/>
            </w:tcBorders>
          </w:tcPr>
          <w:p w14:paraId="214E6180" w14:textId="77777777" w:rsidR="00973470" w:rsidRDefault="00000000">
            <w:pPr>
              <w:spacing w:line="240" w:lineRule="auto"/>
              <w:ind w:left="0" w:firstLine="0"/>
              <w:jc w:val="center"/>
              <w:rPr>
                <w:sz w:val="20"/>
                <w:szCs w:val="20"/>
                <w:lang w:val="en-ID"/>
              </w:rPr>
            </w:pPr>
            <w:r>
              <w:rPr>
                <w:sz w:val="20"/>
                <w:szCs w:val="20"/>
              </w:rPr>
              <w:t>Soybean oil</w:t>
            </w:r>
          </w:p>
        </w:tc>
        <w:tc>
          <w:tcPr>
            <w:tcW w:w="850" w:type="dxa"/>
            <w:tcBorders>
              <w:top w:val="single" w:sz="4" w:space="0" w:color="000000"/>
              <w:left w:val="single" w:sz="4" w:space="0" w:color="000000"/>
              <w:bottom w:val="single" w:sz="4" w:space="0" w:color="000000"/>
              <w:right w:val="single" w:sz="4" w:space="0" w:color="000000"/>
            </w:tcBorders>
          </w:tcPr>
          <w:p w14:paraId="56FF226C" w14:textId="77777777" w:rsidR="00973470" w:rsidRDefault="00000000">
            <w:pPr>
              <w:spacing w:line="240" w:lineRule="auto"/>
              <w:ind w:left="0" w:firstLine="0"/>
              <w:jc w:val="center"/>
              <w:rPr>
                <w:sz w:val="20"/>
                <w:szCs w:val="20"/>
                <w:lang w:val="en-ID"/>
              </w:rPr>
            </w:pPr>
            <w:r>
              <w:rPr>
                <w:sz w:val="20"/>
                <w:szCs w:val="20"/>
              </w:rPr>
              <w:t>100</w:t>
            </w:r>
          </w:p>
        </w:tc>
        <w:tc>
          <w:tcPr>
            <w:tcW w:w="851" w:type="dxa"/>
            <w:tcBorders>
              <w:top w:val="single" w:sz="4" w:space="0" w:color="000000"/>
              <w:left w:val="single" w:sz="4" w:space="0" w:color="000000"/>
              <w:bottom w:val="single" w:sz="4" w:space="0" w:color="000000"/>
              <w:right w:val="single" w:sz="4" w:space="0" w:color="000000"/>
            </w:tcBorders>
          </w:tcPr>
          <w:p w14:paraId="14D8688C" w14:textId="77777777" w:rsidR="00973470" w:rsidRDefault="00000000">
            <w:pPr>
              <w:spacing w:line="240" w:lineRule="auto"/>
              <w:ind w:left="0" w:firstLine="0"/>
              <w:jc w:val="center"/>
              <w:rPr>
                <w:sz w:val="20"/>
                <w:szCs w:val="20"/>
                <w:lang w:val="en-ID"/>
              </w:rPr>
            </w:pPr>
            <w:r>
              <w:rPr>
                <w:sz w:val="20"/>
                <w:szCs w:val="20"/>
              </w:rPr>
              <w:t>48.9</w:t>
            </w:r>
          </w:p>
        </w:tc>
        <w:tc>
          <w:tcPr>
            <w:tcW w:w="850" w:type="dxa"/>
            <w:tcBorders>
              <w:top w:val="single" w:sz="4" w:space="0" w:color="000000"/>
              <w:left w:val="single" w:sz="4" w:space="0" w:color="000000"/>
              <w:bottom w:val="single" w:sz="4" w:space="0" w:color="000000"/>
              <w:right w:val="single" w:sz="4" w:space="0" w:color="000000"/>
            </w:tcBorders>
          </w:tcPr>
          <w:p w14:paraId="4D2F7822" w14:textId="77777777" w:rsidR="00973470" w:rsidRDefault="00000000">
            <w:pPr>
              <w:spacing w:line="240" w:lineRule="auto"/>
              <w:ind w:left="0" w:firstLine="0"/>
              <w:jc w:val="center"/>
              <w:rPr>
                <w:sz w:val="20"/>
                <w:szCs w:val="20"/>
                <w:lang w:val="en-ID"/>
              </w:rPr>
            </w:pPr>
            <w:r>
              <w:rPr>
                <w:sz w:val="20"/>
                <w:szCs w:val="20"/>
              </w:rPr>
              <w:t>1.5</w:t>
            </w:r>
          </w:p>
        </w:tc>
        <w:tc>
          <w:tcPr>
            <w:tcW w:w="1843" w:type="dxa"/>
            <w:tcBorders>
              <w:top w:val="single" w:sz="4" w:space="0" w:color="000000"/>
              <w:left w:val="single" w:sz="4" w:space="0" w:color="000000"/>
              <w:bottom w:val="single" w:sz="4" w:space="0" w:color="000000"/>
              <w:right w:val="single" w:sz="4" w:space="0" w:color="000000"/>
            </w:tcBorders>
          </w:tcPr>
          <w:p w14:paraId="31208FD0" w14:textId="77777777" w:rsidR="00973470" w:rsidRDefault="00000000">
            <w:pPr>
              <w:spacing w:line="240" w:lineRule="auto"/>
              <w:ind w:left="0" w:firstLine="0"/>
              <w:jc w:val="center"/>
              <w:rPr>
                <w:sz w:val="20"/>
                <w:szCs w:val="20"/>
                <w:lang w:val="en-ID"/>
              </w:rPr>
            </w:pPr>
            <w:r>
              <w:rPr>
                <w:sz w:val="20"/>
                <w:szCs w:val="20"/>
              </w:rPr>
              <w:t>60</w:t>
            </w:r>
          </w:p>
        </w:tc>
        <w:tc>
          <w:tcPr>
            <w:tcW w:w="1588" w:type="dxa"/>
            <w:tcBorders>
              <w:top w:val="single" w:sz="4" w:space="0" w:color="000000"/>
              <w:left w:val="single" w:sz="4" w:space="0" w:color="000000"/>
              <w:bottom w:val="single" w:sz="4" w:space="0" w:color="000000"/>
              <w:right w:val="single" w:sz="4" w:space="0" w:color="000000"/>
            </w:tcBorders>
          </w:tcPr>
          <w:p w14:paraId="4939E1C6" w14:textId="77777777" w:rsidR="00973470" w:rsidRDefault="00000000">
            <w:pPr>
              <w:spacing w:line="240" w:lineRule="auto"/>
              <w:ind w:left="0" w:firstLine="0"/>
              <w:jc w:val="center"/>
              <w:rPr>
                <w:sz w:val="20"/>
                <w:szCs w:val="20"/>
                <w:lang w:val="en-ID"/>
              </w:rPr>
            </w:pPr>
            <w:r>
              <w:rPr>
                <w:sz w:val="20"/>
                <w:szCs w:val="20"/>
              </w:rPr>
              <w:t>Some concerns</w:t>
            </w:r>
          </w:p>
        </w:tc>
      </w:tr>
      <w:tr w:rsidR="00973470" w14:paraId="0FD1CA98" w14:textId="77777777">
        <w:tc>
          <w:tcPr>
            <w:tcW w:w="1526" w:type="dxa"/>
            <w:tcBorders>
              <w:top w:val="single" w:sz="4" w:space="0" w:color="000000"/>
              <w:left w:val="single" w:sz="4" w:space="0" w:color="000000"/>
              <w:bottom w:val="single" w:sz="4" w:space="0" w:color="000000"/>
              <w:right w:val="single" w:sz="4" w:space="0" w:color="000000"/>
            </w:tcBorders>
          </w:tcPr>
          <w:p w14:paraId="6184B5C3" w14:textId="77777777" w:rsidR="00973470" w:rsidRDefault="00000000">
            <w:pPr>
              <w:spacing w:line="240" w:lineRule="auto"/>
              <w:ind w:left="0" w:firstLine="0"/>
              <w:jc w:val="center"/>
              <w:rPr>
                <w:sz w:val="20"/>
                <w:szCs w:val="20"/>
                <w:lang w:val="en-ID"/>
              </w:rPr>
            </w:pPr>
            <w:r>
              <w:rPr>
                <w:sz w:val="20"/>
                <w:szCs w:val="20"/>
              </w:rPr>
              <w:t>Zulfikar et al. (2019)</w:t>
            </w:r>
          </w:p>
        </w:tc>
        <w:tc>
          <w:tcPr>
            <w:tcW w:w="1134" w:type="dxa"/>
            <w:tcBorders>
              <w:top w:val="single" w:sz="4" w:space="0" w:color="000000"/>
              <w:left w:val="single" w:sz="4" w:space="0" w:color="000000"/>
              <w:bottom w:val="single" w:sz="4" w:space="0" w:color="000000"/>
              <w:right w:val="single" w:sz="4" w:space="0" w:color="000000"/>
            </w:tcBorders>
          </w:tcPr>
          <w:p w14:paraId="3B3DF061" w14:textId="77777777" w:rsidR="00973470" w:rsidRDefault="00000000">
            <w:pPr>
              <w:spacing w:line="240" w:lineRule="auto"/>
              <w:ind w:left="0" w:firstLine="0"/>
              <w:jc w:val="center"/>
              <w:rPr>
                <w:sz w:val="20"/>
                <w:szCs w:val="20"/>
                <w:lang w:val="en-ID"/>
              </w:rPr>
            </w:pPr>
            <w:r>
              <w:rPr>
                <w:sz w:val="20"/>
                <w:szCs w:val="20"/>
              </w:rPr>
              <w:t>Indonesia</w:t>
            </w:r>
          </w:p>
        </w:tc>
        <w:tc>
          <w:tcPr>
            <w:tcW w:w="1559" w:type="dxa"/>
            <w:tcBorders>
              <w:top w:val="single" w:sz="4" w:space="0" w:color="000000"/>
              <w:left w:val="single" w:sz="4" w:space="0" w:color="000000"/>
              <w:bottom w:val="single" w:sz="4" w:space="0" w:color="000000"/>
              <w:right w:val="single" w:sz="4" w:space="0" w:color="000000"/>
            </w:tcBorders>
          </w:tcPr>
          <w:p w14:paraId="523B7A5A" w14:textId="77777777" w:rsidR="00973470" w:rsidRDefault="00000000">
            <w:pPr>
              <w:spacing w:line="240" w:lineRule="auto"/>
              <w:ind w:left="0" w:firstLine="0"/>
              <w:jc w:val="center"/>
              <w:rPr>
                <w:sz w:val="20"/>
                <w:szCs w:val="20"/>
                <w:lang w:val="en-ID"/>
              </w:rPr>
            </w:pPr>
            <w:r>
              <w:rPr>
                <w:sz w:val="20"/>
                <w:szCs w:val="20"/>
              </w:rPr>
              <w:t>Laboratory exp.</w:t>
            </w:r>
          </w:p>
        </w:tc>
        <w:tc>
          <w:tcPr>
            <w:tcW w:w="1134" w:type="dxa"/>
            <w:tcBorders>
              <w:top w:val="single" w:sz="4" w:space="0" w:color="000000"/>
              <w:left w:val="single" w:sz="4" w:space="0" w:color="000000"/>
              <w:bottom w:val="single" w:sz="4" w:space="0" w:color="000000"/>
              <w:right w:val="single" w:sz="4" w:space="0" w:color="000000"/>
            </w:tcBorders>
          </w:tcPr>
          <w:p w14:paraId="4ED1A29D" w14:textId="77777777" w:rsidR="00973470" w:rsidRDefault="00000000">
            <w:pPr>
              <w:spacing w:line="240" w:lineRule="auto"/>
              <w:ind w:left="0" w:firstLine="0"/>
              <w:jc w:val="center"/>
              <w:rPr>
                <w:sz w:val="20"/>
                <w:szCs w:val="20"/>
                <w:lang w:val="en-ID"/>
              </w:rPr>
            </w:pPr>
            <w:r>
              <w:rPr>
                <w:sz w:val="20"/>
                <w:szCs w:val="20"/>
              </w:rPr>
              <w:t>Natural</w:t>
            </w:r>
          </w:p>
        </w:tc>
        <w:tc>
          <w:tcPr>
            <w:tcW w:w="2410" w:type="dxa"/>
            <w:tcBorders>
              <w:top w:val="single" w:sz="4" w:space="0" w:color="000000"/>
              <w:left w:val="single" w:sz="4" w:space="0" w:color="000000"/>
              <w:bottom w:val="single" w:sz="4" w:space="0" w:color="000000"/>
              <w:right w:val="single" w:sz="4" w:space="0" w:color="000000"/>
            </w:tcBorders>
          </w:tcPr>
          <w:p w14:paraId="5B584BA8" w14:textId="77777777" w:rsidR="00973470" w:rsidRDefault="00000000">
            <w:pPr>
              <w:spacing w:line="240" w:lineRule="auto"/>
              <w:ind w:left="0" w:firstLine="0"/>
              <w:jc w:val="center"/>
              <w:rPr>
                <w:sz w:val="20"/>
                <w:szCs w:val="20"/>
                <w:lang w:val="en-ID"/>
              </w:rPr>
            </w:pPr>
            <w:r>
              <w:rPr>
                <w:sz w:val="20"/>
                <w:szCs w:val="20"/>
              </w:rPr>
              <w:t>Lemongrass extract</w:t>
            </w:r>
          </w:p>
        </w:tc>
        <w:tc>
          <w:tcPr>
            <w:tcW w:w="850" w:type="dxa"/>
            <w:tcBorders>
              <w:top w:val="single" w:sz="4" w:space="0" w:color="000000"/>
              <w:left w:val="single" w:sz="4" w:space="0" w:color="000000"/>
              <w:bottom w:val="single" w:sz="4" w:space="0" w:color="000000"/>
              <w:right w:val="single" w:sz="4" w:space="0" w:color="000000"/>
            </w:tcBorders>
          </w:tcPr>
          <w:p w14:paraId="655B5813" w14:textId="77777777" w:rsidR="00973470" w:rsidRDefault="00000000">
            <w:pPr>
              <w:spacing w:line="240" w:lineRule="auto"/>
              <w:ind w:left="0" w:firstLine="0"/>
              <w:jc w:val="center"/>
              <w:rPr>
                <w:sz w:val="20"/>
                <w:szCs w:val="20"/>
                <w:lang w:val="en-ID"/>
              </w:rPr>
            </w:pPr>
            <w:r>
              <w:rPr>
                <w:sz w:val="20"/>
                <w:szCs w:val="20"/>
              </w:rPr>
              <w:t>Various</w:t>
            </w:r>
          </w:p>
        </w:tc>
        <w:tc>
          <w:tcPr>
            <w:tcW w:w="851" w:type="dxa"/>
            <w:tcBorders>
              <w:top w:val="single" w:sz="4" w:space="0" w:color="000000"/>
              <w:left w:val="single" w:sz="4" w:space="0" w:color="000000"/>
              <w:bottom w:val="single" w:sz="4" w:space="0" w:color="000000"/>
              <w:right w:val="single" w:sz="4" w:space="0" w:color="000000"/>
            </w:tcBorders>
          </w:tcPr>
          <w:p w14:paraId="7C4ECE41" w14:textId="77777777" w:rsidR="00973470" w:rsidRDefault="00000000">
            <w:pPr>
              <w:spacing w:line="240" w:lineRule="auto"/>
              <w:ind w:left="0" w:firstLine="0"/>
              <w:jc w:val="center"/>
              <w:rPr>
                <w:sz w:val="20"/>
                <w:szCs w:val="20"/>
                <w:lang w:val="en-ID"/>
              </w:rPr>
            </w:pPr>
            <w:r>
              <w:rPr>
                <w:sz w:val="20"/>
                <w:szCs w:val="20"/>
              </w:rPr>
              <w:t>52.3</w:t>
            </w:r>
          </w:p>
        </w:tc>
        <w:tc>
          <w:tcPr>
            <w:tcW w:w="850" w:type="dxa"/>
            <w:tcBorders>
              <w:top w:val="single" w:sz="4" w:space="0" w:color="000000"/>
              <w:left w:val="single" w:sz="4" w:space="0" w:color="000000"/>
              <w:bottom w:val="single" w:sz="4" w:space="0" w:color="000000"/>
              <w:right w:val="single" w:sz="4" w:space="0" w:color="000000"/>
            </w:tcBorders>
          </w:tcPr>
          <w:p w14:paraId="764B8F64" w14:textId="77777777" w:rsidR="00973470" w:rsidRDefault="00000000">
            <w:pPr>
              <w:spacing w:line="240" w:lineRule="auto"/>
              <w:ind w:left="0" w:firstLine="0"/>
              <w:jc w:val="center"/>
              <w:rPr>
                <w:sz w:val="20"/>
                <w:szCs w:val="20"/>
                <w:lang w:val="en-ID"/>
              </w:rPr>
            </w:pPr>
            <w:r>
              <w:rPr>
                <w:sz w:val="20"/>
                <w:szCs w:val="20"/>
              </w:rPr>
              <w:t>1.7</w:t>
            </w:r>
          </w:p>
        </w:tc>
        <w:tc>
          <w:tcPr>
            <w:tcW w:w="1843" w:type="dxa"/>
            <w:tcBorders>
              <w:top w:val="single" w:sz="4" w:space="0" w:color="000000"/>
              <w:left w:val="single" w:sz="4" w:space="0" w:color="000000"/>
              <w:bottom w:val="single" w:sz="4" w:space="0" w:color="000000"/>
              <w:right w:val="single" w:sz="4" w:space="0" w:color="000000"/>
            </w:tcBorders>
          </w:tcPr>
          <w:p w14:paraId="4BC8F23A" w14:textId="77777777" w:rsidR="00973470" w:rsidRDefault="00000000">
            <w:pPr>
              <w:spacing w:line="240" w:lineRule="auto"/>
              <w:ind w:left="0" w:firstLine="0"/>
              <w:jc w:val="center"/>
              <w:rPr>
                <w:sz w:val="20"/>
                <w:szCs w:val="20"/>
                <w:lang w:val="en-ID"/>
              </w:rPr>
            </w:pPr>
            <w:r>
              <w:rPr>
                <w:sz w:val="20"/>
                <w:szCs w:val="20"/>
              </w:rPr>
              <w:t>50</w:t>
            </w:r>
          </w:p>
        </w:tc>
        <w:tc>
          <w:tcPr>
            <w:tcW w:w="1588" w:type="dxa"/>
            <w:tcBorders>
              <w:top w:val="single" w:sz="4" w:space="0" w:color="000000"/>
              <w:left w:val="single" w:sz="4" w:space="0" w:color="000000"/>
              <w:bottom w:val="single" w:sz="4" w:space="0" w:color="000000"/>
              <w:right w:val="single" w:sz="4" w:space="0" w:color="000000"/>
            </w:tcBorders>
          </w:tcPr>
          <w:p w14:paraId="7701817F" w14:textId="77777777" w:rsidR="00973470" w:rsidRDefault="00000000">
            <w:pPr>
              <w:spacing w:line="240" w:lineRule="auto"/>
              <w:ind w:left="0" w:firstLine="0"/>
              <w:jc w:val="center"/>
              <w:rPr>
                <w:sz w:val="20"/>
                <w:szCs w:val="20"/>
                <w:lang w:val="en-ID"/>
              </w:rPr>
            </w:pPr>
            <w:r>
              <w:rPr>
                <w:sz w:val="20"/>
                <w:szCs w:val="20"/>
              </w:rPr>
              <w:t>High</w:t>
            </w:r>
          </w:p>
        </w:tc>
      </w:tr>
      <w:tr w:rsidR="00973470" w14:paraId="53503586" w14:textId="77777777">
        <w:tc>
          <w:tcPr>
            <w:tcW w:w="1526" w:type="dxa"/>
            <w:tcBorders>
              <w:top w:val="single" w:sz="4" w:space="0" w:color="000000"/>
              <w:left w:val="single" w:sz="4" w:space="0" w:color="000000"/>
              <w:bottom w:val="single" w:sz="4" w:space="0" w:color="000000"/>
              <w:right w:val="single" w:sz="4" w:space="0" w:color="000000"/>
            </w:tcBorders>
          </w:tcPr>
          <w:p w14:paraId="7E55DA98" w14:textId="77777777" w:rsidR="00973470" w:rsidRDefault="00000000">
            <w:pPr>
              <w:spacing w:line="240" w:lineRule="auto"/>
              <w:ind w:left="0" w:firstLine="0"/>
              <w:jc w:val="center"/>
              <w:rPr>
                <w:sz w:val="20"/>
                <w:szCs w:val="20"/>
                <w:lang w:val="en-ID"/>
              </w:rPr>
            </w:pPr>
            <w:r>
              <w:rPr>
                <w:sz w:val="20"/>
                <w:szCs w:val="20"/>
              </w:rPr>
              <w:t>Jobe et al. (2024)</w:t>
            </w:r>
          </w:p>
        </w:tc>
        <w:tc>
          <w:tcPr>
            <w:tcW w:w="1134" w:type="dxa"/>
            <w:tcBorders>
              <w:top w:val="single" w:sz="4" w:space="0" w:color="000000"/>
              <w:left w:val="single" w:sz="4" w:space="0" w:color="000000"/>
              <w:bottom w:val="single" w:sz="4" w:space="0" w:color="000000"/>
              <w:right w:val="single" w:sz="4" w:space="0" w:color="000000"/>
            </w:tcBorders>
          </w:tcPr>
          <w:p w14:paraId="3EAFEDF5" w14:textId="77777777" w:rsidR="00973470" w:rsidRDefault="00000000">
            <w:pPr>
              <w:spacing w:line="240" w:lineRule="auto"/>
              <w:ind w:left="0" w:firstLine="0"/>
              <w:jc w:val="center"/>
              <w:rPr>
                <w:sz w:val="20"/>
                <w:szCs w:val="20"/>
                <w:lang w:val="en-ID"/>
              </w:rPr>
            </w:pPr>
            <w:r>
              <w:rPr>
                <w:sz w:val="20"/>
                <w:szCs w:val="20"/>
              </w:rPr>
              <w:t>USA</w:t>
            </w:r>
          </w:p>
        </w:tc>
        <w:tc>
          <w:tcPr>
            <w:tcW w:w="1559" w:type="dxa"/>
            <w:tcBorders>
              <w:top w:val="single" w:sz="4" w:space="0" w:color="000000"/>
              <w:left w:val="single" w:sz="4" w:space="0" w:color="000000"/>
              <w:bottom w:val="single" w:sz="4" w:space="0" w:color="000000"/>
              <w:right w:val="single" w:sz="4" w:space="0" w:color="000000"/>
            </w:tcBorders>
          </w:tcPr>
          <w:p w14:paraId="7E48A9D7" w14:textId="77777777" w:rsidR="00973470" w:rsidRDefault="00000000">
            <w:pPr>
              <w:spacing w:line="240" w:lineRule="auto"/>
              <w:ind w:left="0" w:firstLine="0"/>
              <w:jc w:val="center"/>
              <w:rPr>
                <w:sz w:val="20"/>
                <w:szCs w:val="20"/>
                <w:lang w:val="en-ID"/>
              </w:rPr>
            </w:pPr>
            <w:r>
              <w:rPr>
                <w:sz w:val="20"/>
                <w:szCs w:val="20"/>
              </w:rPr>
              <w:t>Laboratory RCT</w:t>
            </w:r>
          </w:p>
        </w:tc>
        <w:tc>
          <w:tcPr>
            <w:tcW w:w="1134" w:type="dxa"/>
            <w:tcBorders>
              <w:top w:val="single" w:sz="4" w:space="0" w:color="000000"/>
              <w:left w:val="single" w:sz="4" w:space="0" w:color="000000"/>
              <w:bottom w:val="single" w:sz="4" w:space="0" w:color="000000"/>
              <w:right w:val="single" w:sz="4" w:space="0" w:color="000000"/>
            </w:tcBorders>
          </w:tcPr>
          <w:p w14:paraId="44A89524" w14:textId="77777777" w:rsidR="00973470" w:rsidRDefault="00000000">
            <w:pPr>
              <w:spacing w:line="240" w:lineRule="auto"/>
              <w:ind w:left="0" w:firstLine="0"/>
              <w:jc w:val="center"/>
              <w:rPr>
                <w:sz w:val="20"/>
                <w:szCs w:val="20"/>
                <w:lang w:val="en-ID"/>
              </w:rPr>
            </w:pPr>
            <w:r>
              <w:rPr>
                <w:sz w:val="20"/>
                <w:szCs w:val="20"/>
              </w:rPr>
              <w:t>Synthetic</w:t>
            </w:r>
          </w:p>
        </w:tc>
        <w:tc>
          <w:tcPr>
            <w:tcW w:w="2410" w:type="dxa"/>
            <w:tcBorders>
              <w:top w:val="single" w:sz="4" w:space="0" w:color="000000"/>
              <w:left w:val="single" w:sz="4" w:space="0" w:color="000000"/>
              <w:bottom w:val="single" w:sz="4" w:space="0" w:color="000000"/>
              <w:right w:val="single" w:sz="4" w:space="0" w:color="000000"/>
            </w:tcBorders>
          </w:tcPr>
          <w:p w14:paraId="126E5F9F" w14:textId="77777777" w:rsidR="00973470" w:rsidRDefault="00000000">
            <w:pPr>
              <w:spacing w:line="240" w:lineRule="auto"/>
              <w:ind w:left="0" w:firstLine="0"/>
              <w:jc w:val="center"/>
              <w:rPr>
                <w:sz w:val="20"/>
                <w:szCs w:val="20"/>
                <w:lang w:val="en-ID"/>
              </w:rPr>
            </w:pPr>
            <w:r>
              <w:rPr>
                <w:sz w:val="20"/>
                <w:szCs w:val="20"/>
              </w:rPr>
              <w:t>Electric field (transfluthrin)</w:t>
            </w:r>
          </w:p>
        </w:tc>
        <w:tc>
          <w:tcPr>
            <w:tcW w:w="850" w:type="dxa"/>
            <w:tcBorders>
              <w:top w:val="single" w:sz="4" w:space="0" w:color="000000"/>
              <w:left w:val="single" w:sz="4" w:space="0" w:color="000000"/>
              <w:bottom w:val="single" w:sz="4" w:space="0" w:color="000000"/>
              <w:right w:val="single" w:sz="4" w:space="0" w:color="000000"/>
            </w:tcBorders>
          </w:tcPr>
          <w:p w14:paraId="2F570C90" w14:textId="77777777" w:rsidR="00973470" w:rsidRDefault="00000000">
            <w:pPr>
              <w:spacing w:line="240" w:lineRule="auto"/>
              <w:ind w:left="0" w:firstLine="0"/>
              <w:jc w:val="center"/>
              <w:rPr>
                <w:sz w:val="20"/>
                <w:szCs w:val="20"/>
                <w:lang w:val="en-ID"/>
              </w:rPr>
            </w:pPr>
            <w:r>
              <w:rPr>
                <w:sz w:val="20"/>
                <w:szCs w:val="20"/>
              </w:rPr>
              <w:t>N/A</w:t>
            </w:r>
          </w:p>
        </w:tc>
        <w:tc>
          <w:tcPr>
            <w:tcW w:w="851" w:type="dxa"/>
            <w:tcBorders>
              <w:top w:val="single" w:sz="4" w:space="0" w:color="000000"/>
              <w:left w:val="single" w:sz="4" w:space="0" w:color="000000"/>
              <w:bottom w:val="single" w:sz="4" w:space="0" w:color="000000"/>
              <w:right w:val="single" w:sz="4" w:space="0" w:color="000000"/>
            </w:tcBorders>
          </w:tcPr>
          <w:p w14:paraId="3989B3D3" w14:textId="77777777" w:rsidR="00973470" w:rsidRDefault="00000000">
            <w:pPr>
              <w:spacing w:line="240" w:lineRule="auto"/>
              <w:ind w:left="0" w:firstLine="0"/>
              <w:jc w:val="center"/>
              <w:rPr>
                <w:sz w:val="20"/>
                <w:szCs w:val="20"/>
                <w:lang w:val="en-ID"/>
              </w:rPr>
            </w:pPr>
            <w:r>
              <w:rPr>
                <w:sz w:val="20"/>
                <w:szCs w:val="20"/>
              </w:rPr>
              <w:t>85.0</w:t>
            </w:r>
          </w:p>
        </w:tc>
        <w:tc>
          <w:tcPr>
            <w:tcW w:w="850" w:type="dxa"/>
            <w:tcBorders>
              <w:top w:val="single" w:sz="4" w:space="0" w:color="000000"/>
              <w:left w:val="single" w:sz="4" w:space="0" w:color="000000"/>
              <w:bottom w:val="single" w:sz="4" w:space="0" w:color="000000"/>
              <w:right w:val="single" w:sz="4" w:space="0" w:color="000000"/>
            </w:tcBorders>
          </w:tcPr>
          <w:p w14:paraId="72C47260" w14:textId="77777777" w:rsidR="00973470" w:rsidRDefault="00000000">
            <w:pPr>
              <w:spacing w:line="240" w:lineRule="auto"/>
              <w:ind w:left="0" w:firstLine="0"/>
              <w:jc w:val="center"/>
              <w:rPr>
                <w:sz w:val="20"/>
                <w:szCs w:val="20"/>
                <w:lang w:val="en-ID"/>
              </w:rPr>
            </w:pPr>
            <w:r>
              <w:rPr>
                <w:sz w:val="20"/>
                <w:szCs w:val="20"/>
              </w:rPr>
              <w:t>5.0</w:t>
            </w:r>
          </w:p>
        </w:tc>
        <w:tc>
          <w:tcPr>
            <w:tcW w:w="1843" w:type="dxa"/>
            <w:tcBorders>
              <w:top w:val="single" w:sz="4" w:space="0" w:color="000000"/>
              <w:left w:val="single" w:sz="4" w:space="0" w:color="000000"/>
              <w:bottom w:val="single" w:sz="4" w:space="0" w:color="000000"/>
              <w:right w:val="single" w:sz="4" w:space="0" w:color="000000"/>
            </w:tcBorders>
          </w:tcPr>
          <w:p w14:paraId="7564CD13" w14:textId="77777777" w:rsidR="00973470" w:rsidRDefault="00000000">
            <w:pPr>
              <w:spacing w:line="240" w:lineRule="auto"/>
              <w:ind w:left="0" w:firstLine="0"/>
              <w:jc w:val="center"/>
              <w:rPr>
                <w:sz w:val="20"/>
                <w:szCs w:val="20"/>
                <w:lang w:val="en-ID"/>
              </w:rPr>
            </w:pPr>
            <w:r>
              <w:rPr>
                <w:sz w:val="20"/>
                <w:szCs w:val="20"/>
              </w:rPr>
              <w:t>70</w:t>
            </w:r>
          </w:p>
        </w:tc>
        <w:tc>
          <w:tcPr>
            <w:tcW w:w="1588" w:type="dxa"/>
            <w:tcBorders>
              <w:top w:val="single" w:sz="4" w:space="0" w:color="000000"/>
              <w:left w:val="single" w:sz="4" w:space="0" w:color="000000"/>
              <w:bottom w:val="single" w:sz="4" w:space="0" w:color="000000"/>
              <w:right w:val="single" w:sz="4" w:space="0" w:color="000000"/>
            </w:tcBorders>
          </w:tcPr>
          <w:p w14:paraId="371C4A03" w14:textId="77777777" w:rsidR="00973470" w:rsidRDefault="00000000">
            <w:pPr>
              <w:spacing w:line="240" w:lineRule="auto"/>
              <w:ind w:left="0" w:firstLine="0"/>
              <w:jc w:val="center"/>
              <w:rPr>
                <w:sz w:val="20"/>
                <w:szCs w:val="20"/>
                <w:lang w:val="en-ID"/>
              </w:rPr>
            </w:pPr>
            <w:r>
              <w:rPr>
                <w:sz w:val="20"/>
                <w:szCs w:val="20"/>
              </w:rPr>
              <w:t>Low</w:t>
            </w:r>
          </w:p>
        </w:tc>
      </w:tr>
      <w:tr w:rsidR="00973470" w14:paraId="72472BFB" w14:textId="77777777">
        <w:tc>
          <w:tcPr>
            <w:tcW w:w="1526" w:type="dxa"/>
            <w:tcBorders>
              <w:top w:val="single" w:sz="4" w:space="0" w:color="000000"/>
              <w:left w:val="single" w:sz="4" w:space="0" w:color="000000"/>
              <w:bottom w:val="single" w:sz="4" w:space="0" w:color="000000"/>
              <w:right w:val="single" w:sz="4" w:space="0" w:color="000000"/>
            </w:tcBorders>
          </w:tcPr>
          <w:p w14:paraId="472226C1" w14:textId="77777777" w:rsidR="00973470" w:rsidRDefault="00000000">
            <w:pPr>
              <w:spacing w:line="240" w:lineRule="auto"/>
              <w:ind w:left="0" w:firstLine="0"/>
              <w:jc w:val="center"/>
              <w:rPr>
                <w:sz w:val="20"/>
                <w:szCs w:val="20"/>
                <w:lang w:val="en-ID"/>
              </w:rPr>
            </w:pPr>
            <w:r>
              <w:rPr>
                <w:sz w:val="20"/>
                <w:szCs w:val="20"/>
                <w:lang w:val="en-ID"/>
              </w:rPr>
              <w:t>Ahebwa et al. (2024)</w:t>
            </w:r>
          </w:p>
        </w:tc>
        <w:tc>
          <w:tcPr>
            <w:tcW w:w="1134" w:type="dxa"/>
            <w:tcBorders>
              <w:top w:val="single" w:sz="4" w:space="0" w:color="000000"/>
              <w:left w:val="single" w:sz="4" w:space="0" w:color="000000"/>
              <w:bottom w:val="single" w:sz="4" w:space="0" w:color="000000"/>
              <w:right w:val="single" w:sz="4" w:space="0" w:color="000000"/>
            </w:tcBorders>
          </w:tcPr>
          <w:tbl>
            <w:tblPr>
              <w:tblW w:w="110" w:type="dxa"/>
              <w:tblLayout w:type="fixed"/>
              <w:tblCellMar>
                <w:top w:w="15" w:type="dxa"/>
                <w:left w:w="15" w:type="dxa"/>
                <w:bottom w:w="15" w:type="dxa"/>
                <w:right w:w="15" w:type="dxa"/>
              </w:tblCellMar>
              <w:tblLook w:val="0000" w:firstRow="0" w:lastRow="0" w:firstColumn="0" w:lastColumn="0" w:noHBand="0" w:noVBand="0"/>
            </w:tblPr>
            <w:tblGrid>
              <w:gridCol w:w="110"/>
            </w:tblGrid>
            <w:tr w:rsidR="00973470" w14:paraId="13CDA818" w14:textId="77777777">
              <w:tc>
                <w:tcPr>
                  <w:tcW w:w="110" w:type="dxa"/>
                  <w:vAlign w:val="center"/>
                </w:tcPr>
                <w:p w14:paraId="04358220" w14:textId="77777777" w:rsidR="00973470" w:rsidRDefault="00973470">
                  <w:pPr>
                    <w:snapToGrid w:val="0"/>
                    <w:spacing w:line="240" w:lineRule="auto"/>
                    <w:ind w:left="0" w:firstLine="0"/>
                    <w:jc w:val="center"/>
                    <w:rPr>
                      <w:sz w:val="20"/>
                      <w:szCs w:val="20"/>
                      <w:lang w:val="en-ID"/>
                    </w:rPr>
                  </w:pPr>
                </w:p>
              </w:tc>
            </w:tr>
          </w:tbl>
          <w:p w14:paraId="53B66979" w14:textId="77777777" w:rsidR="00973470" w:rsidRDefault="00973470">
            <w:pPr>
              <w:spacing w:line="240" w:lineRule="auto"/>
              <w:ind w:left="0" w:firstLine="0"/>
              <w:jc w:val="center"/>
              <w:rPr>
                <w:vanish/>
                <w:sz w:val="20"/>
                <w:szCs w:val="20"/>
                <w:lang w:val="en-ID"/>
              </w:rPr>
            </w:pPr>
          </w:p>
          <w:tbl>
            <w:tblPr>
              <w:tblW w:w="801" w:type="dxa"/>
              <w:tblLayout w:type="fixed"/>
              <w:tblCellMar>
                <w:top w:w="15" w:type="dxa"/>
                <w:left w:w="15" w:type="dxa"/>
                <w:bottom w:w="15" w:type="dxa"/>
                <w:right w:w="15" w:type="dxa"/>
              </w:tblCellMar>
              <w:tblLook w:val="0000" w:firstRow="0" w:lastRow="0" w:firstColumn="0" w:lastColumn="0" w:noHBand="0" w:noVBand="0"/>
            </w:tblPr>
            <w:tblGrid>
              <w:gridCol w:w="801"/>
            </w:tblGrid>
            <w:tr w:rsidR="00973470" w14:paraId="4D910B14" w14:textId="77777777">
              <w:tc>
                <w:tcPr>
                  <w:tcW w:w="801" w:type="dxa"/>
                  <w:vAlign w:val="center"/>
                </w:tcPr>
                <w:p w14:paraId="17F92F1C" w14:textId="77777777" w:rsidR="00973470" w:rsidRDefault="00000000">
                  <w:pPr>
                    <w:spacing w:line="240" w:lineRule="auto"/>
                    <w:ind w:left="0" w:firstLine="0"/>
                    <w:jc w:val="center"/>
                    <w:rPr>
                      <w:sz w:val="20"/>
                      <w:szCs w:val="20"/>
                      <w:lang w:val="en-ID"/>
                    </w:rPr>
                  </w:pPr>
                  <w:r>
                    <w:rPr>
                      <w:sz w:val="20"/>
                      <w:szCs w:val="20"/>
                      <w:lang w:val="en-ID"/>
                    </w:rPr>
                    <w:t>Thailand</w:t>
                  </w:r>
                </w:p>
              </w:tc>
            </w:tr>
          </w:tbl>
          <w:p w14:paraId="5062EA29" w14:textId="77777777" w:rsidR="00973470" w:rsidRDefault="00973470">
            <w:pPr>
              <w:spacing w:line="240" w:lineRule="auto"/>
              <w:ind w:left="0" w:firstLine="0"/>
              <w:jc w:val="center"/>
              <w:rPr>
                <w:sz w:val="20"/>
                <w:szCs w:val="20"/>
                <w:lang w:val="en-ID"/>
              </w:rPr>
            </w:pPr>
          </w:p>
        </w:tc>
        <w:tc>
          <w:tcPr>
            <w:tcW w:w="1559" w:type="dxa"/>
            <w:tcBorders>
              <w:top w:val="single" w:sz="4" w:space="0" w:color="000000"/>
              <w:left w:val="single" w:sz="4" w:space="0" w:color="000000"/>
              <w:bottom w:val="single" w:sz="4" w:space="0" w:color="000000"/>
              <w:right w:val="single" w:sz="4" w:space="0" w:color="000000"/>
            </w:tcBorders>
          </w:tcPr>
          <w:p w14:paraId="7DBE164F" w14:textId="77777777" w:rsidR="00973470" w:rsidRDefault="00000000">
            <w:pPr>
              <w:spacing w:line="240" w:lineRule="auto"/>
              <w:ind w:left="0" w:firstLine="0"/>
              <w:jc w:val="center"/>
              <w:rPr>
                <w:sz w:val="20"/>
                <w:szCs w:val="20"/>
                <w:lang w:val="en-ID"/>
              </w:rPr>
            </w:pPr>
            <w:r>
              <w:rPr>
                <w:sz w:val="20"/>
                <w:szCs w:val="20"/>
              </w:rPr>
              <w:t>Semifield RCT</w:t>
            </w:r>
          </w:p>
        </w:tc>
        <w:tc>
          <w:tcPr>
            <w:tcW w:w="1134" w:type="dxa"/>
            <w:tcBorders>
              <w:top w:val="single" w:sz="4" w:space="0" w:color="000000"/>
              <w:left w:val="single" w:sz="4" w:space="0" w:color="000000"/>
              <w:bottom w:val="single" w:sz="4" w:space="0" w:color="000000"/>
              <w:right w:val="single" w:sz="4" w:space="0" w:color="000000"/>
            </w:tcBorders>
          </w:tcPr>
          <w:p w14:paraId="006AD8BA" w14:textId="77777777" w:rsidR="00973470" w:rsidRDefault="00000000">
            <w:pPr>
              <w:spacing w:line="240" w:lineRule="auto"/>
              <w:ind w:left="0" w:firstLine="0"/>
              <w:jc w:val="center"/>
              <w:rPr>
                <w:sz w:val="20"/>
                <w:szCs w:val="20"/>
                <w:lang w:val="en-ID"/>
              </w:rPr>
            </w:pPr>
            <w:r>
              <w:rPr>
                <w:sz w:val="20"/>
                <w:szCs w:val="20"/>
              </w:rPr>
              <w:t>Synthetic</w:t>
            </w:r>
          </w:p>
        </w:tc>
        <w:tc>
          <w:tcPr>
            <w:tcW w:w="2410" w:type="dxa"/>
            <w:tcBorders>
              <w:top w:val="single" w:sz="4" w:space="0" w:color="000000"/>
              <w:left w:val="single" w:sz="4" w:space="0" w:color="000000"/>
              <w:bottom w:val="single" w:sz="4" w:space="0" w:color="000000"/>
              <w:right w:val="single" w:sz="4" w:space="0" w:color="000000"/>
            </w:tcBorders>
          </w:tcPr>
          <w:p w14:paraId="1E090D25" w14:textId="77777777" w:rsidR="00973470" w:rsidRDefault="00000000">
            <w:pPr>
              <w:spacing w:line="240" w:lineRule="auto"/>
              <w:ind w:left="0" w:firstLine="0"/>
              <w:jc w:val="center"/>
              <w:rPr>
                <w:sz w:val="20"/>
                <w:szCs w:val="20"/>
                <w:lang w:val="en-ID"/>
              </w:rPr>
            </w:pPr>
            <w:r>
              <w:rPr>
                <w:sz w:val="20"/>
                <w:szCs w:val="20"/>
              </w:rPr>
              <w:t>Transfluthrin-treated cloth</w:t>
            </w:r>
          </w:p>
        </w:tc>
        <w:tc>
          <w:tcPr>
            <w:tcW w:w="850" w:type="dxa"/>
            <w:tcBorders>
              <w:top w:val="single" w:sz="4" w:space="0" w:color="000000"/>
              <w:left w:val="single" w:sz="4" w:space="0" w:color="000000"/>
              <w:bottom w:val="single" w:sz="4" w:space="0" w:color="000000"/>
              <w:right w:val="single" w:sz="4" w:space="0" w:color="000000"/>
            </w:tcBorders>
          </w:tcPr>
          <w:p w14:paraId="5C4A1969" w14:textId="77777777" w:rsidR="00973470" w:rsidRDefault="00000000">
            <w:pPr>
              <w:spacing w:line="240" w:lineRule="auto"/>
              <w:ind w:left="0" w:firstLine="0"/>
              <w:jc w:val="center"/>
              <w:rPr>
                <w:sz w:val="20"/>
                <w:szCs w:val="20"/>
                <w:lang w:val="en-ID"/>
              </w:rPr>
            </w:pPr>
            <w:r>
              <w:rPr>
                <w:sz w:val="20"/>
                <w:szCs w:val="20"/>
              </w:rPr>
              <w:t>N/A</w:t>
            </w:r>
          </w:p>
        </w:tc>
        <w:tc>
          <w:tcPr>
            <w:tcW w:w="851" w:type="dxa"/>
            <w:tcBorders>
              <w:top w:val="single" w:sz="4" w:space="0" w:color="000000"/>
              <w:left w:val="single" w:sz="4" w:space="0" w:color="000000"/>
              <w:bottom w:val="single" w:sz="4" w:space="0" w:color="000000"/>
              <w:right w:val="single" w:sz="4" w:space="0" w:color="000000"/>
            </w:tcBorders>
          </w:tcPr>
          <w:p w14:paraId="21BDB5BD" w14:textId="77777777" w:rsidR="00973470" w:rsidRDefault="00000000">
            <w:pPr>
              <w:spacing w:line="240" w:lineRule="auto"/>
              <w:ind w:left="0" w:firstLine="0"/>
              <w:jc w:val="center"/>
              <w:rPr>
                <w:sz w:val="20"/>
                <w:szCs w:val="20"/>
                <w:lang w:val="en-ID"/>
              </w:rPr>
            </w:pPr>
            <w:r>
              <w:rPr>
                <w:sz w:val="20"/>
                <w:szCs w:val="20"/>
              </w:rPr>
              <w:t>88.6</w:t>
            </w:r>
          </w:p>
        </w:tc>
        <w:tc>
          <w:tcPr>
            <w:tcW w:w="850" w:type="dxa"/>
            <w:tcBorders>
              <w:top w:val="single" w:sz="4" w:space="0" w:color="000000"/>
              <w:left w:val="single" w:sz="4" w:space="0" w:color="000000"/>
              <w:bottom w:val="single" w:sz="4" w:space="0" w:color="000000"/>
              <w:right w:val="single" w:sz="4" w:space="0" w:color="000000"/>
            </w:tcBorders>
          </w:tcPr>
          <w:p w14:paraId="05F1D4B4" w14:textId="77777777" w:rsidR="00973470" w:rsidRDefault="00000000">
            <w:pPr>
              <w:spacing w:line="240" w:lineRule="auto"/>
              <w:ind w:left="0" w:firstLine="0"/>
              <w:jc w:val="center"/>
              <w:rPr>
                <w:sz w:val="20"/>
                <w:szCs w:val="20"/>
                <w:lang w:val="en-ID"/>
              </w:rPr>
            </w:pPr>
            <w:r>
              <w:rPr>
                <w:sz w:val="20"/>
                <w:szCs w:val="20"/>
              </w:rPr>
              <w:t>5.5</w:t>
            </w:r>
          </w:p>
        </w:tc>
        <w:tc>
          <w:tcPr>
            <w:tcW w:w="1843" w:type="dxa"/>
            <w:tcBorders>
              <w:top w:val="single" w:sz="4" w:space="0" w:color="000000"/>
              <w:left w:val="single" w:sz="4" w:space="0" w:color="000000"/>
              <w:bottom w:val="single" w:sz="4" w:space="0" w:color="000000"/>
              <w:right w:val="single" w:sz="4" w:space="0" w:color="000000"/>
            </w:tcBorders>
          </w:tcPr>
          <w:p w14:paraId="2979A3FB" w14:textId="77777777" w:rsidR="00973470" w:rsidRDefault="00000000">
            <w:pPr>
              <w:spacing w:line="240" w:lineRule="auto"/>
              <w:ind w:left="0" w:firstLine="0"/>
              <w:jc w:val="center"/>
              <w:rPr>
                <w:sz w:val="20"/>
                <w:szCs w:val="20"/>
                <w:lang w:val="en-ID"/>
              </w:rPr>
            </w:pPr>
            <w:r>
              <w:rPr>
                <w:sz w:val="20"/>
                <w:szCs w:val="20"/>
              </w:rPr>
              <w:t>110</w:t>
            </w:r>
          </w:p>
        </w:tc>
        <w:tc>
          <w:tcPr>
            <w:tcW w:w="1588" w:type="dxa"/>
            <w:tcBorders>
              <w:top w:val="single" w:sz="4" w:space="0" w:color="000000"/>
              <w:left w:val="single" w:sz="4" w:space="0" w:color="000000"/>
              <w:bottom w:val="single" w:sz="4" w:space="0" w:color="000000"/>
              <w:right w:val="single" w:sz="4" w:space="0" w:color="000000"/>
            </w:tcBorders>
          </w:tcPr>
          <w:p w14:paraId="3A949C91" w14:textId="77777777" w:rsidR="00973470" w:rsidRDefault="00000000">
            <w:pPr>
              <w:spacing w:line="240" w:lineRule="auto"/>
              <w:ind w:left="0" w:firstLine="0"/>
              <w:jc w:val="center"/>
              <w:rPr>
                <w:sz w:val="20"/>
                <w:szCs w:val="20"/>
                <w:lang w:val="en-ID"/>
              </w:rPr>
            </w:pPr>
            <w:r>
              <w:rPr>
                <w:sz w:val="20"/>
                <w:szCs w:val="20"/>
              </w:rPr>
              <w:t>Low</w:t>
            </w:r>
          </w:p>
        </w:tc>
      </w:tr>
      <w:tr w:rsidR="00973470" w14:paraId="682B2992" w14:textId="77777777">
        <w:tc>
          <w:tcPr>
            <w:tcW w:w="1526" w:type="dxa"/>
            <w:tcBorders>
              <w:top w:val="single" w:sz="4" w:space="0" w:color="000000"/>
              <w:left w:val="single" w:sz="4" w:space="0" w:color="000000"/>
              <w:bottom w:val="single" w:sz="4" w:space="0" w:color="000000"/>
              <w:right w:val="single" w:sz="4" w:space="0" w:color="000000"/>
            </w:tcBorders>
          </w:tcPr>
          <w:p w14:paraId="2F6F3D10" w14:textId="77777777" w:rsidR="00973470" w:rsidRDefault="00000000">
            <w:pPr>
              <w:spacing w:line="240" w:lineRule="auto"/>
              <w:ind w:left="0" w:firstLine="0"/>
              <w:jc w:val="center"/>
              <w:rPr>
                <w:sz w:val="20"/>
                <w:szCs w:val="20"/>
                <w:lang w:val="en-ID"/>
              </w:rPr>
            </w:pPr>
            <w:r>
              <w:rPr>
                <w:sz w:val="20"/>
                <w:szCs w:val="20"/>
              </w:rPr>
              <w:t>Dilly et al. (2023)</w:t>
            </w:r>
          </w:p>
        </w:tc>
        <w:tc>
          <w:tcPr>
            <w:tcW w:w="1134" w:type="dxa"/>
            <w:tcBorders>
              <w:top w:val="single" w:sz="4" w:space="0" w:color="000000"/>
              <w:left w:val="single" w:sz="4" w:space="0" w:color="000000"/>
              <w:bottom w:val="single" w:sz="4" w:space="0" w:color="000000"/>
              <w:right w:val="single" w:sz="4" w:space="0" w:color="000000"/>
            </w:tcBorders>
          </w:tcPr>
          <w:p w14:paraId="59865279" w14:textId="77777777" w:rsidR="00973470" w:rsidRDefault="00000000">
            <w:pPr>
              <w:spacing w:line="240" w:lineRule="auto"/>
              <w:ind w:left="0" w:firstLine="0"/>
              <w:jc w:val="center"/>
              <w:rPr>
                <w:sz w:val="20"/>
                <w:szCs w:val="20"/>
                <w:lang w:val="en-ID"/>
              </w:rPr>
            </w:pPr>
            <w:r>
              <w:rPr>
                <w:sz w:val="20"/>
                <w:szCs w:val="20"/>
              </w:rPr>
              <w:t>Brazil</w:t>
            </w:r>
          </w:p>
        </w:tc>
        <w:tc>
          <w:tcPr>
            <w:tcW w:w="1559" w:type="dxa"/>
            <w:tcBorders>
              <w:top w:val="single" w:sz="4" w:space="0" w:color="000000"/>
              <w:left w:val="single" w:sz="4" w:space="0" w:color="000000"/>
              <w:bottom w:val="single" w:sz="4" w:space="0" w:color="000000"/>
              <w:right w:val="single" w:sz="4" w:space="0" w:color="000000"/>
            </w:tcBorders>
          </w:tcPr>
          <w:p w14:paraId="1116C6A0" w14:textId="77777777" w:rsidR="00973470" w:rsidRDefault="00000000">
            <w:pPr>
              <w:spacing w:line="240" w:lineRule="auto"/>
              <w:ind w:left="0" w:firstLine="0"/>
              <w:jc w:val="center"/>
              <w:rPr>
                <w:sz w:val="20"/>
                <w:szCs w:val="20"/>
                <w:lang w:val="en-ID"/>
              </w:rPr>
            </w:pPr>
            <w:r>
              <w:rPr>
                <w:sz w:val="20"/>
                <w:szCs w:val="20"/>
              </w:rPr>
              <w:t>Laboratory exp.</w:t>
            </w:r>
          </w:p>
        </w:tc>
        <w:tc>
          <w:tcPr>
            <w:tcW w:w="1134" w:type="dxa"/>
            <w:tcBorders>
              <w:top w:val="single" w:sz="4" w:space="0" w:color="000000"/>
              <w:left w:val="single" w:sz="4" w:space="0" w:color="000000"/>
              <w:bottom w:val="single" w:sz="4" w:space="0" w:color="000000"/>
              <w:right w:val="single" w:sz="4" w:space="0" w:color="000000"/>
            </w:tcBorders>
          </w:tcPr>
          <w:p w14:paraId="31CE935C" w14:textId="77777777" w:rsidR="00973470" w:rsidRDefault="00000000">
            <w:pPr>
              <w:spacing w:line="240" w:lineRule="auto"/>
              <w:ind w:left="0" w:firstLine="0"/>
              <w:jc w:val="center"/>
              <w:rPr>
                <w:sz w:val="20"/>
                <w:szCs w:val="20"/>
                <w:lang w:val="en-ID"/>
              </w:rPr>
            </w:pPr>
            <w:r>
              <w:rPr>
                <w:sz w:val="20"/>
                <w:szCs w:val="20"/>
              </w:rPr>
              <w:t>Natural</w:t>
            </w:r>
          </w:p>
        </w:tc>
        <w:tc>
          <w:tcPr>
            <w:tcW w:w="2410" w:type="dxa"/>
            <w:tcBorders>
              <w:top w:val="single" w:sz="4" w:space="0" w:color="000000"/>
              <w:left w:val="single" w:sz="4" w:space="0" w:color="000000"/>
              <w:bottom w:val="single" w:sz="4" w:space="0" w:color="000000"/>
              <w:right w:val="single" w:sz="4" w:space="0" w:color="000000"/>
            </w:tcBorders>
          </w:tcPr>
          <w:p w14:paraId="5CF802D7" w14:textId="77777777" w:rsidR="00973470" w:rsidRDefault="00000000">
            <w:pPr>
              <w:spacing w:line="240" w:lineRule="auto"/>
              <w:ind w:left="0" w:firstLine="0"/>
              <w:jc w:val="center"/>
              <w:rPr>
                <w:sz w:val="20"/>
                <w:szCs w:val="20"/>
                <w:lang w:val="en-ID"/>
              </w:rPr>
            </w:pPr>
            <w:r>
              <w:rPr>
                <w:sz w:val="20"/>
                <w:szCs w:val="20"/>
              </w:rPr>
              <w:t>Plant biomaterials</w:t>
            </w:r>
          </w:p>
        </w:tc>
        <w:tc>
          <w:tcPr>
            <w:tcW w:w="850" w:type="dxa"/>
            <w:tcBorders>
              <w:top w:val="single" w:sz="4" w:space="0" w:color="000000"/>
              <w:left w:val="single" w:sz="4" w:space="0" w:color="000000"/>
              <w:bottom w:val="single" w:sz="4" w:space="0" w:color="000000"/>
              <w:right w:val="single" w:sz="4" w:space="0" w:color="000000"/>
            </w:tcBorders>
          </w:tcPr>
          <w:p w14:paraId="3191EAD1" w14:textId="77777777" w:rsidR="00973470" w:rsidRDefault="00000000">
            <w:pPr>
              <w:spacing w:line="240" w:lineRule="auto"/>
              <w:ind w:left="0" w:firstLine="0"/>
              <w:jc w:val="center"/>
              <w:rPr>
                <w:sz w:val="20"/>
                <w:szCs w:val="20"/>
                <w:lang w:val="en-ID"/>
              </w:rPr>
            </w:pPr>
            <w:r>
              <w:rPr>
                <w:sz w:val="20"/>
                <w:szCs w:val="20"/>
              </w:rPr>
              <w:t>Various</w:t>
            </w:r>
          </w:p>
        </w:tc>
        <w:tc>
          <w:tcPr>
            <w:tcW w:w="851" w:type="dxa"/>
            <w:tcBorders>
              <w:top w:val="single" w:sz="4" w:space="0" w:color="000000"/>
              <w:left w:val="single" w:sz="4" w:space="0" w:color="000000"/>
              <w:bottom w:val="single" w:sz="4" w:space="0" w:color="000000"/>
              <w:right w:val="single" w:sz="4" w:space="0" w:color="000000"/>
            </w:tcBorders>
          </w:tcPr>
          <w:p w14:paraId="45EA1F4E" w14:textId="77777777" w:rsidR="00973470" w:rsidRDefault="00000000">
            <w:pPr>
              <w:spacing w:line="240" w:lineRule="auto"/>
              <w:ind w:left="0" w:firstLine="0"/>
              <w:jc w:val="center"/>
              <w:rPr>
                <w:sz w:val="20"/>
                <w:szCs w:val="20"/>
                <w:lang w:val="en-ID"/>
              </w:rPr>
            </w:pPr>
            <w:r>
              <w:rPr>
                <w:sz w:val="20"/>
                <w:szCs w:val="20"/>
              </w:rPr>
              <w:t>69.1</w:t>
            </w:r>
          </w:p>
        </w:tc>
        <w:tc>
          <w:tcPr>
            <w:tcW w:w="850" w:type="dxa"/>
            <w:tcBorders>
              <w:top w:val="single" w:sz="4" w:space="0" w:color="000000"/>
              <w:left w:val="single" w:sz="4" w:space="0" w:color="000000"/>
              <w:bottom w:val="single" w:sz="4" w:space="0" w:color="000000"/>
              <w:right w:val="single" w:sz="4" w:space="0" w:color="000000"/>
            </w:tcBorders>
          </w:tcPr>
          <w:p w14:paraId="41BFC2D6" w14:textId="77777777" w:rsidR="00973470" w:rsidRDefault="00000000">
            <w:pPr>
              <w:spacing w:line="240" w:lineRule="auto"/>
              <w:ind w:left="0" w:firstLine="0"/>
              <w:jc w:val="center"/>
              <w:rPr>
                <w:sz w:val="20"/>
                <w:szCs w:val="20"/>
                <w:lang w:val="en-ID"/>
              </w:rPr>
            </w:pPr>
            <w:r>
              <w:rPr>
                <w:sz w:val="20"/>
                <w:szCs w:val="20"/>
              </w:rPr>
              <w:t>2.9</w:t>
            </w:r>
          </w:p>
        </w:tc>
        <w:tc>
          <w:tcPr>
            <w:tcW w:w="1843" w:type="dxa"/>
            <w:tcBorders>
              <w:top w:val="single" w:sz="4" w:space="0" w:color="000000"/>
              <w:left w:val="single" w:sz="4" w:space="0" w:color="000000"/>
              <w:bottom w:val="single" w:sz="4" w:space="0" w:color="000000"/>
              <w:right w:val="single" w:sz="4" w:space="0" w:color="000000"/>
            </w:tcBorders>
          </w:tcPr>
          <w:p w14:paraId="74A25ADD" w14:textId="77777777" w:rsidR="00973470" w:rsidRDefault="00000000">
            <w:pPr>
              <w:spacing w:line="240" w:lineRule="auto"/>
              <w:ind w:left="0" w:firstLine="0"/>
              <w:jc w:val="center"/>
              <w:rPr>
                <w:sz w:val="20"/>
                <w:szCs w:val="20"/>
                <w:lang w:val="en-ID"/>
              </w:rPr>
            </w:pPr>
            <w:r>
              <w:rPr>
                <w:sz w:val="20"/>
                <w:szCs w:val="20"/>
              </w:rPr>
              <w:t>65</w:t>
            </w:r>
          </w:p>
        </w:tc>
        <w:tc>
          <w:tcPr>
            <w:tcW w:w="1588" w:type="dxa"/>
            <w:tcBorders>
              <w:top w:val="single" w:sz="4" w:space="0" w:color="000000"/>
              <w:left w:val="single" w:sz="4" w:space="0" w:color="000000"/>
              <w:bottom w:val="single" w:sz="4" w:space="0" w:color="000000"/>
              <w:right w:val="single" w:sz="4" w:space="0" w:color="000000"/>
            </w:tcBorders>
          </w:tcPr>
          <w:p w14:paraId="1384C94C" w14:textId="77777777" w:rsidR="00973470" w:rsidRDefault="00000000">
            <w:pPr>
              <w:spacing w:line="240" w:lineRule="auto"/>
              <w:ind w:left="0" w:firstLine="0"/>
              <w:jc w:val="center"/>
              <w:rPr>
                <w:sz w:val="20"/>
                <w:szCs w:val="20"/>
                <w:lang w:val="en-ID"/>
              </w:rPr>
            </w:pPr>
            <w:r>
              <w:rPr>
                <w:sz w:val="20"/>
                <w:szCs w:val="20"/>
              </w:rPr>
              <w:t>Some concerns</w:t>
            </w:r>
          </w:p>
        </w:tc>
      </w:tr>
      <w:tr w:rsidR="00973470" w14:paraId="262051A4" w14:textId="77777777">
        <w:tc>
          <w:tcPr>
            <w:tcW w:w="1526" w:type="dxa"/>
            <w:tcBorders>
              <w:top w:val="single" w:sz="4" w:space="0" w:color="000000"/>
              <w:left w:val="single" w:sz="4" w:space="0" w:color="000000"/>
              <w:bottom w:val="single" w:sz="4" w:space="0" w:color="000000"/>
              <w:right w:val="single" w:sz="4" w:space="0" w:color="000000"/>
            </w:tcBorders>
          </w:tcPr>
          <w:p w14:paraId="5AE6B262" w14:textId="77777777" w:rsidR="00973470" w:rsidRDefault="00000000">
            <w:pPr>
              <w:spacing w:line="240" w:lineRule="auto"/>
              <w:ind w:left="0" w:firstLine="0"/>
              <w:jc w:val="center"/>
              <w:rPr>
                <w:sz w:val="20"/>
                <w:szCs w:val="20"/>
                <w:lang w:val="en-ID"/>
              </w:rPr>
            </w:pPr>
            <w:r>
              <w:rPr>
                <w:sz w:val="20"/>
                <w:szCs w:val="20"/>
              </w:rPr>
              <w:t>de Araujo Neto et al. (2025)</w:t>
            </w:r>
          </w:p>
        </w:tc>
        <w:tc>
          <w:tcPr>
            <w:tcW w:w="1134" w:type="dxa"/>
            <w:tcBorders>
              <w:top w:val="single" w:sz="4" w:space="0" w:color="000000"/>
              <w:left w:val="single" w:sz="4" w:space="0" w:color="000000"/>
              <w:bottom w:val="single" w:sz="4" w:space="0" w:color="000000"/>
              <w:right w:val="single" w:sz="4" w:space="0" w:color="000000"/>
            </w:tcBorders>
          </w:tcPr>
          <w:p w14:paraId="5F564C77" w14:textId="77777777" w:rsidR="00973470" w:rsidRDefault="00000000">
            <w:pPr>
              <w:spacing w:line="240" w:lineRule="auto"/>
              <w:ind w:left="0" w:firstLine="0"/>
              <w:jc w:val="center"/>
              <w:rPr>
                <w:sz w:val="20"/>
                <w:szCs w:val="20"/>
                <w:lang w:val="en-ID"/>
              </w:rPr>
            </w:pPr>
            <w:r>
              <w:rPr>
                <w:sz w:val="20"/>
                <w:szCs w:val="20"/>
              </w:rPr>
              <w:t>Brazil</w:t>
            </w:r>
          </w:p>
        </w:tc>
        <w:tc>
          <w:tcPr>
            <w:tcW w:w="1559" w:type="dxa"/>
            <w:tcBorders>
              <w:top w:val="single" w:sz="4" w:space="0" w:color="000000"/>
              <w:left w:val="single" w:sz="4" w:space="0" w:color="000000"/>
              <w:bottom w:val="single" w:sz="4" w:space="0" w:color="000000"/>
              <w:right w:val="single" w:sz="4" w:space="0" w:color="000000"/>
            </w:tcBorders>
          </w:tcPr>
          <w:p w14:paraId="0CC05C88" w14:textId="77777777" w:rsidR="00973470" w:rsidRDefault="00000000">
            <w:pPr>
              <w:spacing w:line="240" w:lineRule="auto"/>
              <w:ind w:left="0" w:firstLine="0"/>
              <w:jc w:val="center"/>
              <w:rPr>
                <w:sz w:val="20"/>
                <w:szCs w:val="20"/>
                <w:lang w:val="en-ID"/>
              </w:rPr>
            </w:pPr>
            <w:r>
              <w:rPr>
                <w:sz w:val="20"/>
                <w:szCs w:val="20"/>
              </w:rPr>
              <w:t>Laboratory RCT</w:t>
            </w:r>
          </w:p>
        </w:tc>
        <w:tc>
          <w:tcPr>
            <w:tcW w:w="1134" w:type="dxa"/>
            <w:tcBorders>
              <w:top w:val="single" w:sz="4" w:space="0" w:color="000000"/>
              <w:left w:val="single" w:sz="4" w:space="0" w:color="000000"/>
              <w:bottom w:val="single" w:sz="4" w:space="0" w:color="000000"/>
              <w:right w:val="single" w:sz="4" w:space="0" w:color="000000"/>
            </w:tcBorders>
          </w:tcPr>
          <w:p w14:paraId="4AAA8514" w14:textId="77777777" w:rsidR="00973470" w:rsidRDefault="00000000">
            <w:pPr>
              <w:spacing w:line="240" w:lineRule="auto"/>
              <w:ind w:left="0" w:firstLine="0"/>
              <w:jc w:val="center"/>
              <w:rPr>
                <w:sz w:val="20"/>
                <w:szCs w:val="20"/>
                <w:lang w:val="en-ID"/>
              </w:rPr>
            </w:pPr>
            <w:r>
              <w:rPr>
                <w:sz w:val="20"/>
                <w:szCs w:val="20"/>
              </w:rPr>
              <w:t>Natural</w:t>
            </w:r>
          </w:p>
        </w:tc>
        <w:tc>
          <w:tcPr>
            <w:tcW w:w="2410" w:type="dxa"/>
            <w:tcBorders>
              <w:top w:val="single" w:sz="4" w:space="0" w:color="000000"/>
              <w:left w:val="single" w:sz="4" w:space="0" w:color="000000"/>
              <w:bottom w:val="single" w:sz="4" w:space="0" w:color="000000"/>
              <w:right w:val="single" w:sz="4" w:space="0" w:color="000000"/>
            </w:tcBorders>
          </w:tcPr>
          <w:p w14:paraId="0AC02889" w14:textId="77777777" w:rsidR="00973470" w:rsidRDefault="00000000">
            <w:pPr>
              <w:spacing w:line="240" w:lineRule="auto"/>
              <w:ind w:left="0" w:firstLine="0"/>
              <w:jc w:val="center"/>
              <w:rPr>
                <w:sz w:val="20"/>
                <w:szCs w:val="20"/>
                <w:lang w:val="en-ID"/>
              </w:rPr>
            </w:pPr>
            <w:r>
              <w:rPr>
                <w:sz w:val="20"/>
                <w:szCs w:val="20"/>
              </w:rPr>
              <w:t>Novel plant compound</w:t>
            </w:r>
          </w:p>
        </w:tc>
        <w:tc>
          <w:tcPr>
            <w:tcW w:w="850" w:type="dxa"/>
            <w:tcBorders>
              <w:top w:val="single" w:sz="4" w:space="0" w:color="000000"/>
              <w:left w:val="single" w:sz="4" w:space="0" w:color="000000"/>
              <w:bottom w:val="single" w:sz="4" w:space="0" w:color="000000"/>
              <w:right w:val="single" w:sz="4" w:space="0" w:color="000000"/>
            </w:tcBorders>
          </w:tcPr>
          <w:p w14:paraId="08DFC233" w14:textId="77777777" w:rsidR="00973470" w:rsidRDefault="00000000">
            <w:pPr>
              <w:spacing w:line="240" w:lineRule="auto"/>
              <w:ind w:left="0" w:firstLine="0"/>
              <w:jc w:val="center"/>
              <w:rPr>
                <w:sz w:val="20"/>
                <w:szCs w:val="20"/>
                <w:lang w:val="en-ID"/>
              </w:rPr>
            </w:pPr>
            <w:r>
              <w:rPr>
                <w:sz w:val="20"/>
                <w:szCs w:val="20"/>
              </w:rPr>
              <w:t>N/A</w:t>
            </w:r>
          </w:p>
        </w:tc>
        <w:tc>
          <w:tcPr>
            <w:tcW w:w="851" w:type="dxa"/>
            <w:tcBorders>
              <w:top w:val="single" w:sz="4" w:space="0" w:color="000000"/>
              <w:left w:val="single" w:sz="4" w:space="0" w:color="000000"/>
              <w:bottom w:val="single" w:sz="4" w:space="0" w:color="000000"/>
              <w:right w:val="single" w:sz="4" w:space="0" w:color="000000"/>
            </w:tcBorders>
          </w:tcPr>
          <w:p w14:paraId="0B29DB5F" w14:textId="77777777" w:rsidR="00973470" w:rsidRDefault="00000000">
            <w:pPr>
              <w:spacing w:line="240" w:lineRule="auto"/>
              <w:ind w:left="0" w:firstLine="0"/>
              <w:jc w:val="center"/>
              <w:rPr>
                <w:sz w:val="20"/>
                <w:szCs w:val="20"/>
                <w:lang w:val="en-ID"/>
              </w:rPr>
            </w:pPr>
            <w:r>
              <w:rPr>
                <w:sz w:val="20"/>
                <w:szCs w:val="20"/>
              </w:rPr>
              <w:t>73.8</w:t>
            </w:r>
          </w:p>
        </w:tc>
        <w:tc>
          <w:tcPr>
            <w:tcW w:w="850" w:type="dxa"/>
            <w:tcBorders>
              <w:top w:val="single" w:sz="4" w:space="0" w:color="000000"/>
              <w:left w:val="single" w:sz="4" w:space="0" w:color="000000"/>
              <w:bottom w:val="single" w:sz="4" w:space="0" w:color="000000"/>
              <w:right w:val="single" w:sz="4" w:space="0" w:color="000000"/>
            </w:tcBorders>
          </w:tcPr>
          <w:p w14:paraId="5FD191DE" w14:textId="77777777" w:rsidR="00973470" w:rsidRDefault="00000000">
            <w:pPr>
              <w:spacing w:line="240" w:lineRule="auto"/>
              <w:ind w:left="0" w:firstLine="0"/>
              <w:jc w:val="center"/>
              <w:rPr>
                <w:sz w:val="20"/>
                <w:szCs w:val="20"/>
                <w:lang w:val="en-ID"/>
              </w:rPr>
            </w:pPr>
            <w:r>
              <w:rPr>
                <w:sz w:val="20"/>
                <w:szCs w:val="20"/>
              </w:rPr>
              <w:t>3.3</w:t>
            </w:r>
          </w:p>
        </w:tc>
        <w:tc>
          <w:tcPr>
            <w:tcW w:w="1843" w:type="dxa"/>
            <w:tcBorders>
              <w:top w:val="single" w:sz="4" w:space="0" w:color="000000"/>
              <w:left w:val="single" w:sz="4" w:space="0" w:color="000000"/>
              <w:bottom w:val="single" w:sz="4" w:space="0" w:color="000000"/>
              <w:right w:val="single" w:sz="4" w:space="0" w:color="000000"/>
            </w:tcBorders>
          </w:tcPr>
          <w:p w14:paraId="05D5E0FF" w14:textId="77777777" w:rsidR="00973470" w:rsidRDefault="00000000">
            <w:pPr>
              <w:spacing w:line="240" w:lineRule="auto"/>
              <w:ind w:left="0" w:firstLine="0"/>
              <w:jc w:val="center"/>
              <w:rPr>
                <w:sz w:val="20"/>
                <w:szCs w:val="20"/>
                <w:lang w:val="en-ID"/>
              </w:rPr>
            </w:pPr>
            <w:r>
              <w:rPr>
                <w:sz w:val="20"/>
                <w:szCs w:val="20"/>
              </w:rPr>
              <w:t>55</w:t>
            </w:r>
          </w:p>
        </w:tc>
        <w:tc>
          <w:tcPr>
            <w:tcW w:w="1588" w:type="dxa"/>
            <w:tcBorders>
              <w:top w:val="single" w:sz="4" w:space="0" w:color="000000"/>
              <w:left w:val="single" w:sz="4" w:space="0" w:color="000000"/>
              <w:bottom w:val="single" w:sz="4" w:space="0" w:color="000000"/>
              <w:right w:val="single" w:sz="4" w:space="0" w:color="000000"/>
            </w:tcBorders>
          </w:tcPr>
          <w:p w14:paraId="792546F6" w14:textId="77777777" w:rsidR="00973470" w:rsidRDefault="00000000">
            <w:pPr>
              <w:spacing w:line="240" w:lineRule="auto"/>
              <w:ind w:left="0" w:firstLine="0"/>
              <w:jc w:val="center"/>
              <w:rPr>
                <w:sz w:val="20"/>
                <w:szCs w:val="20"/>
                <w:lang w:val="en-ID"/>
              </w:rPr>
            </w:pPr>
            <w:r>
              <w:rPr>
                <w:sz w:val="20"/>
                <w:szCs w:val="20"/>
              </w:rPr>
              <w:t>Low</w:t>
            </w:r>
          </w:p>
        </w:tc>
      </w:tr>
      <w:tr w:rsidR="00973470" w14:paraId="7CA77026" w14:textId="77777777">
        <w:tc>
          <w:tcPr>
            <w:tcW w:w="1526" w:type="dxa"/>
            <w:tcBorders>
              <w:top w:val="single" w:sz="4" w:space="0" w:color="000000"/>
              <w:left w:val="single" w:sz="4" w:space="0" w:color="000000"/>
              <w:bottom w:val="single" w:sz="4" w:space="0" w:color="000000"/>
              <w:right w:val="single" w:sz="4" w:space="0" w:color="000000"/>
            </w:tcBorders>
          </w:tcPr>
          <w:p w14:paraId="40E8C73C" w14:textId="77777777" w:rsidR="00973470" w:rsidRDefault="00000000">
            <w:pPr>
              <w:spacing w:line="240" w:lineRule="auto"/>
              <w:ind w:left="0" w:firstLine="0"/>
              <w:jc w:val="center"/>
              <w:rPr>
                <w:sz w:val="20"/>
                <w:szCs w:val="20"/>
                <w:lang w:val="en-ID"/>
              </w:rPr>
            </w:pPr>
            <w:r>
              <w:rPr>
                <w:sz w:val="20"/>
                <w:szCs w:val="20"/>
              </w:rPr>
              <w:t>Omondi et al. (2019)</w:t>
            </w:r>
          </w:p>
        </w:tc>
        <w:tc>
          <w:tcPr>
            <w:tcW w:w="1134" w:type="dxa"/>
            <w:tcBorders>
              <w:top w:val="single" w:sz="4" w:space="0" w:color="000000"/>
              <w:left w:val="single" w:sz="4" w:space="0" w:color="000000"/>
              <w:bottom w:val="single" w:sz="4" w:space="0" w:color="000000"/>
              <w:right w:val="single" w:sz="4" w:space="0" w:color="000000"/>
            </w:tcBorders>
          </w:tcPr>
          <w:p w14:paraId="3D302DA7" w14:textId="77777777" w:rsidR="00973470" w:rsidRDefault="00000000">
            <w:pPr>
              <w:spacing w:line="240" w:lineRule="auto"/>
              <w:ind w:left="0" w:firstLine="0"/>
              <w:jc w:val="center"/>
              <w:rPr>
                <w:sz w:val="20"/>
                <w:szCs w:val="20"/>
                <w:lang w:val="en-ID"/>
              </w:rPr>
            </w:pPr>
            <w:r>
              <w:rPr>
                <w:sz w:val="20"/>
                <w:szCs w:val="20"/>
              </w:rPr>
              <w:t>Kenya</w:t>
            </w:r>
          </w:p>
        </w:tc>
        <w:tc>
          <w:tcPr>
            <w:tcW w:w="1559" w:type="dxa"/>
            <w:tcBorders>
              <w:top w:val="single" w:sz="4" w:space="0" w:color="000000"/>
              <w:left w:val="single" w:sz="4" w:space="0" w:color="000000"/>
              <w:bottom w:val="single" w:sz="4" w:space="0" w:color="000000"/>
              <w:right w:val="single" w:sz="4" w:space="0" w:color="000000"/>
            </w:tcBorders>
          </w:tcPr>
          <w:p w14:paraId="7C5425DF" w14:textId="77777777" w:rsidR="00973470" w:rsidRDefault="00000000">
            <w:pPr>
              <w:spacing w:line="240" w:lineRule="auto"/>
              <w:ind w:left="0" w:firstLine="0"/>
              <w:jc w:val="center"/>
              <w:rPr>
                <w:sz w:val="20"/>
                <w:szCs w:val="20"/>
                <w:lang w:val="en-ID"/>
              </w:rPr>
            </w:pPr>
            <w:r>
              <w:rPr>
                <w:sz w:val="20"/>
                <w:szCs w:val="20"/>
              </w:rPr>
              <w:t>Field exp.</w:t>
            </w:r>
          </w:p>
        </w:tc>
        <w:tc>
          <w:tcPr>
            <w:tcW w:w="1134" w:type="dxa"/>
            <w:tcBorders>
              <w:top w:val="single" w:sz="4" w:space="0" w:color="000000"/>
              <w:left w:val="single" w:sz="4" w:space="0" w:color="000000"/>
              <w:bottom w:val="single" w:sz="4" w:space="0" w:color="000000"/>
              <w:right w:val="single" w:sz="4" w:space="0" w:color="000000"/>
            </w:tcBorders>
          </w:tcPr>
          <w:p w14:paraId="433DE3C8" w14:textId="77777777" w:rsidR="00973470" w:rsidRDefault="00000000">
            <w:pPr>
              <w:spacing w:line="240" w:lineRule="auto"/>
              <w:ind w:left="0" w:firstLine="0"/>
              <w:jc w:val="center"/>
              <w:rPr>
                <w:sz w:val="20"/>
                <w:szCs w:val="20"/>
                <w:lang w:val="en-ID"/>
              </w:rPr>
            </w:pPr>
            <w:r>
              <w:rPr>
                <w:sz w:val="20"/>
                <w:szCs w:val="20"/>
              </w:rPr>
              <w:t>Natural</w:t>
            </w:r>
          </w:p>
        </w:tc>
        <w:tc>
          <w:tcPr>
            <w:tcW w:w="2410" w:type="dxa"/>
            <w:tcBorders>
              <w:top w:val="single" w:sz="4" w:space="0" w:color="000000"/>
              <w:left w:val="single" w:sz="4" w:space="0" w:color="000000"/>
              <w:bottom w:val="single" w:sz="4" w:space="0" w:color="000000"/>
              <w:right w:val="single" w:sz="4" w:space="0" w:color="000000"/>
            </w:tcBorders>
          </w:tcPr>
          <w:p w14:paraId="38584E97" w14:textId="77777777" w:rsidR="00973470" w:rsidRDefault="00000000">
            <w:pPr>
              <w:spacing w:line="240" w:lineRule="auto"/>
              <w:ind w:left="0" w:firstLine="0"/>
              <w:jc w:val="center"/>
              <w:rPr>
                <w:sz w:val="20"/>
                <w:szCs w:val="20"/>
                <w:lang w:val="en-ID"/>
              </w:rPr>
            </w:pPr>
            <w:r>
              <w:rPr>
                <w:sz w:val="20"/>
                <w:szCs w:val="20"/>
              </w:rPr>
              <w:t>Plant-derived odorants</w:t>
            </w:r>
          </w:p>
        </w:tc>
        <w:tc>
          <w:tcPr>
            <w:tcW w:w="850" w:type="dxa"/>
            <w:tcBorders>
              <w:top w:val="single" w:sz="4" w:space="0" w:color="000000"/>
              <w:left w:val="single" w:sz="4" w:space="0" w:color="000000"/>
              <w:bottom w:val="single" w:sz="4" w:space="0" w:color="000000"/>
              <w:right w:val="single" w:sz="4" w:space="0" w:color="000000"/>
            </w:tcBorders>
          </w:tcPr>
          <w:p w14:paraId="2ECBD604" w14:textId="77777777" w:rsidR="00973470" w:rsidRDefault="00000000">
            <w:pPr>
              <w:spacing w:line="240" w:lineRule="auto"/>
              <w:ind w:left="0" w:firstLine="0"/>
              <w:jc w:val="center"/>
              <w:rPr>
                <w:sz w:val="20"/>
                <w:szCs w:val="20"/>
                <w:lang w:val="en-ID"/>
              </w:rPr>
            </w:pPr>
            <w:r>
              <w:rPr>
                <w:sz w:val="20"/>
                <w:szCs w:val="20"/>
              </w:rPr>
              <w:t>Various</w:t>
            </w:r>
          </w:p>
        </w:tc>
        <w:tc>
          <w:tcPr>
            <w:tcW w:w="851" w:type="dxa"/>
            <w:tcBorders>
              <w:top w:val="single" w:sz="4" w:space="0" w:color="000000"/>
              <w:left w:val="single" w:sz="4" w:space="0" w:color="000000"/>
              <w:bottom w:val="single" w:sz="4" w:space="0" w:color="000000"/>
              <w:right w:val="single" w:sz="4" w:space="0" w:color="000000"/>
            </w:tcBorders>
          </w:tcPr>
          <w:p w14:paraId="5CDE2527" w14:textId="77777777" w:rsidR="00973470" w:rsidRDefault="00000000">
            <w:pPr>
              <w:spacing w:line="240" w:lineRule="auto"/>
              <w:ind w:left="0" w:firstLine="0"/>
              <w:jc w:val="center"/>
              <w:rPr>
                <w:sz w:val="20"/>
                <w:szCs w:val="20"/>
                <w:lang w:val="en-ID"/>
              </w:rPr>
            </w:pPr>
            <w:r>
              <w:rPr>
                <w:sz w:val="20"/>
                <w:szCs w:val="20"/>
              </w:rPr>
              <w:t>58.6</w:t>
            </w:r>
          </w:p>
        </w:tc>
        <w:tc>
          <w:tcPr>
            <w:tcW w:w="850" w:type="dxa"/>
            <w:tcBorders>
              <w:top w:val="single" w:sz="4" w:space="0" w:color="000000"/>
              <w:left w:val="single" w:sz="4" w:space="0" w:color="000000"/>
              <w:bottom w:val="single" w:sz="4" w:space="0" w:color="000000"/>
              <w:right w:val="single" w:sz="4" w:space="0" w:color="000000"/>
            </w:tcBorders>
          </w:tcPr>
          <w:p w14:paraId="514430DE" w14:textId="77777777" w:rsidR="00973470" w:rsidRDefault="00000000">
            <w:pPr>
              <w:spacing w:line="240" w:lineRule="auto"/>
              <w:ind w:left="0" w:firstLine="0"/>
              <w:jc w:val="center"/>
              <w:rPr>
                <w:sz w:val="20"/>
                <w:szCs w:val="20"/>
                <w:lang w:val="en-ID"/>
              </w:rPr>
            </w:pPr>
            <w:r>
              <w:rPr>
                <w:sz w:val="20"/>
                <w:szCs w:val="20"/>
              </w:rPr>
              <w:t>2.2</w:t>
            </w:r>
          </w:p>
        </w:tc>
        <w:tc>
          <w:tcPr>
            <w:tcW w:w="1843" w:type="dxa"/>
            <w:tcBorders>
              <w:top w:val="single" w:sz="4" w:space="0" w:color="000000"/>
              <w:left w:val="single" w:sz="4" w:space="0" w:color="000000"/>
              <w:bottom w:val="single" w:sz="4" w:space="0" w:color="000000"/>
              <w:right w:val="single" w:sz="4" w:space="0" w:color="000000"/>
            </w:tcBorders>
          </w:tcPr>
          <w:p w14:paraId="40139D79" w14:textId="77777777" w:rsidR="00973470" w:rsidRDefault="00000000">
            <w:pPr>
              <w:spacing w:line="240" w:lineRule="auto"/>
              <w:ind w:left="0" w:firstLine="0"/>
              <w:jc w:val="center"/>
              <w:rPr>
                <w:sz w:val="20"/>
                <w:szCs w:val="20"/>
                <w:lang w:val="en-ID"/>
              </w:rPr>
            </w:pPr>
            <w:r>
              <w:rPr>
                <w:sz w:val="20"/>
                <w:szCs w:val="20"/>
              </w:rPr>
              <w:t>80</w:t>
            </w:r>
          </w:p>
        </w:tc>
        <w:tc>
          <w:tcPr>
            <w:tcW w:w="1588" w:type="dxa"/>
            <w:tcBorders>
              <w:top w:val="single" w:sz="4" w:space="0" w:color="000000"/>
              <w:left w:val="single" w:sz="4" w:space="0" w:color="000000"/>
              <w:bottom w:val="single" w:sz="4" w:space="0" w:color="000000"/>
              <w:right w:val="single" w:sz="4" w:space="0" w:color="000000"/>
            </w:tcBorders>
          </w:tcPr>
          <w:p w14:paraId="4B8D0937" w14:textId="77777777" w:rsidR="00973470" w:rsidRDefault="00000000">
            <w:pPr>
              <w:spacing w:line="240" w:lineRule="auto"/>
              <w:ind w:left="0" w:firstLine="0"/>
              <w:jc w:val="center"/>
              <w:rPr>
                <w:sz w:val="20"/>
                <w:szCs w:val="20"/>
                <w:lang w:val="en-ID"/>
              </w:rPr>
            </w:pPr>
            <w:r>
              <w:rPr>
                <w:sz w:val="20"/>
                <w:szCs w:val="20"/>
              </w:rPr>
              <w:t>Some concerns</w:t>
            </w:r>
          </w:p>
        </w:tc>
      </w:tr>
      <w:tr w:rsidR="00973470" w14:paraId="4DAAC80A" w14:textId="77777777">
        <w:tc>
          <w:tcPr>
            <w:tcW w:w="1526" w:type="dxa"/>
            <w:tcBorders>
              <w:top w:val="single" w:sz="4" w:space="0" w:color="000000"/>
              <w:left w:val="single" w:sz="4" w:space="0" w:color="000000"/>
              <w:bottom w:val="single" w:sz="4" w:space="0" w:color="000000"/>
              <w:right w:val="single" w:sz="4" w:space="0" w:color="000000"/>
            </w:tcBorders>
          </w:tcPr>
          <w:p w14:paraId="3E865498" w14:textId="77777777" w:rsidR="00973470" w:rsidRDefault="00000000">
            <w:pPr>
              <w:spacing w:line="240" w:lineRule="auto"/>
              <w:ind w:left="0" w:firstLine="0"/>
              <w:jc w:val="center"/>
              <w:rPr>
                <w:sz w:val="20"/>
                <w:szCs w:val="20"/>
                <w:lang w:val="en-ID"/>
              </w:rPr>
            </w:pPr>
            <w:r>
              <w:rPr>
                <w:sz w:val="20"/>
                <w:szCs w:val="20"/>
              </w:rPr>
              <w:t>Kandel et al. (2019)</w:t>
            </w:r>
          </w:p>
        </w:tc>
        <w:tc>
          <w:tcPr>
            <w:tcW w:w="1134" w:type="dxa"/>
            <w:tcBorders>
              <w:top w:val="single" w:sz="4" w:space="0" w:color="000000"/>
              <w:left w:val="single" w:sz="4" w:space="0" w:color="000000"/>
              <w:bottom w:val="single" w:sz="4" w:space="0" w:color="000000"/>
              <w:right w:val="single" w:sz="4" w:space="0" w:color="000000"/>
            </w:tcBorders>
          </w:tcPr>
          <w:p w14:paraId="42682F8C" w14:textId="77777777" w:rsidR="00973470" w:rsidRDefault="00000000">
            <w:pPr>
              <w:spacing w:line="240" w:lineRule="auto"/>
              <w:ind w:left="0" w:firstLine="0"/>
              <w:jc w:val="center"/>
              <w:rPr>
                <w:sz w:val="20"/>
                <w:szCs w:val="20"/>
                <w:lang w:val="en-ID"/>
              </w:rPr>
            </w:pPr>
            <w:r>
              <w:rPr>
                <w:sz w:val="20"/>
                <w:szCs w:val="20"/>
              </w:rPr>
              <w:t>USA</w:t>
            </w:r>
          </w:p>
        </w:tc>
        <w:tc>
          <w:tcPr>
            <w:tcW w:w="1559" w:type="dxa"/>
            <w:tcBorders>
              <w:top w:val="single" w:sz="4" w:space="0" w:color="000000"/>
              <w:left w:val="single" w:sz="4" w:space="0" w:color="000000"/>
              <w:bottom w:val="single" w:sz="4" w:space="0" w:color="000000"/>
              <w:right w:val="single" w:sz="4" w:space="0" w:color="000000"/>
            </w:tcBorders>
          </w:tcPr>
          <w:p w14:paraId="31F4F004" w14:textId="77777777" w:rsidR="00973470" w:rsidRDefault="00000000">
            <w:pPr>
              <w:spacing w:line="240" w:lineRule="auto"/>
              <w:ind w:left="0" w:firstLine="0"/>
              <w:jc w:val="center"/>
              <w:rPr>
                <w:sz w:val="20"/>
                <w:szCs w:val="20"/>
                <w:lang w:val="en-ID"/>
              </w:rPr>
            </w:pPr>
            <w:r>
              <w:rPr>
                <w:sz w:val="20"/>
                <w:szCs w:val="20"/>
              </w:rPr>
              <w:t>Laboratory RCT</w:t>
            </w:r>
          </w:p>
        </w:tc>
        <w:tc>
          <w:tcPr>
            <w:tcW w:w="1134" w:type="dxa"/>
            <w:tcBorders>
              <w:top w:val="single" w:sz="4" w:space="0" w:color="000000"/>
              <w:left w:val="single" w:sz="4" w:space="0" w:color="000000"/>
              <w:bottom w:val="single" w:sz="4" w:space="0" w:color="000000"/>
              <w:right w:val="single" w:sz="4" w:space="0" w:color="000000"/>
            </w:tcBorders>
          </w:tcPr>
          <w:p w14:paraId="1CA8A159" w14:textId="77777777" w:rsidR="00973470" w:rsidRDefault="00000000">
            <w:pPr>
              <w:spacing w:line="240" w:lineRule="auto"/>
              <w:ind w:left="0" w:firstLine="0"/>
              <w:jc w:val="center"/>
              <w:rPr>
                <w:sz w:val="20"/>
                <w:szCs w:val="20"/>
                <w:lang w:val="en-ID"/>
              </w:rPr>
            </w:pPr>
            <w:r>
              <w:rPr>
                <w:sz w:val="20"/>
                <w:szCs w:val="20"/>
              </w:rPr>
              <w:t>Synthetic</w:t>
            </w:r>
          </w:p>
        </w:tc>
        <w:tc>
          <w:tcPr>
            <w:tcW w:w="2410" w:type="dxa"/>
            <w:tcBorders>
              <w:top w:val="single" w:sz="4" w:space="0" w:color="000000"/>
              <w:left w:val="single" w:sz="4" w:space="0" w:color="000000"/>
              <w:bottom w:val="single" w:sz="4" w:space="0" w:color="000000"/>
              <w:right w:val="single" w:sz="4" w:space="0" w:color="000000"/>
            </w:tcBorders>
          </w:tcPr>
          <w:p w14:paraId="0C428949" w14:textId="77777777" w:rsidR="00973470" w:rsidRDefault="00000000">
            <w:pPr>
              <w:spacing w:line="240" w:lineRule="auto"/>
              <w:ind w:left="0" w:firstLine="0"/>
              <w:jc w:val="center"/>
              <w:rPr>
                <w:sz w:val="20"/>
                <w:szCs w:val="20"/>
                <w:lang w:val="en-ID"/>
              </w:rPr>
            </w:pPr>
            <w:r>
              <w:rPr>
                <w:sz w:val="20"/>
                <w:szCs w:val="20"/>
              </w:rPr>
              <w:t>DEET (resistant population)</w:t>
            </w:r>
          </w:p>
        </w:tc>
        <w:tc>
          <w:tcPr>
            <w:tcW w:w="850" w:type="dxa"/>
            <w:tcBorders>
              <w:top w:val="single" w:sz="4" w:space="0" w:color="000000"/>
              <w:left w:val="single" w:sz="4" w:space="0" w:color="000000"/>
              <w:bottom w:val="single" w:sz="4" w:space="0" w:color="000000"/>
              <w:right w:val="single" w:sz="4" w:space="0" w:color="000000"/>
            </w:tcBorders>
          </w:tcPr>
          <w:p w14:paraId="6F99609A" w14:textId="77777777" w:rsidR="00973470" w:rsidRDefault="00000000">
            <w:pPr>
              <w:spacing w:line="240" w:lineRule="auto"/>
              <w:ind w:left="0" w:firstLine="0"/>
              <w:jc w:val="center"/>
              <w:rPr>
                <w:sz w:val="20"/>
                <w:szCs w:val="20"/>
                <w:lang w:val="en-ID"/>
              </w:rPr>
            </w:pPr>
            <w:r>
              <w:rPr>
                <w:sz w:val="20"/>
                <w:szCs w:val="20"/>
              </w:rPr>
              <w:t>20</w:t>
            </w:r>
          </w:p>
        </w:tc>
        <w:tc>
          <w:tcPr>
            <w:tcW w:w="851" w:type="dxa"/>
            <w:tcBorders>
              <w:top w:val="single" w:sz="4" w:space="0" w:color="000000"/>
              <w:left w:val="single" w:sz="4" w:space="0" w:color="000000"/>
              <w:bottom w:val="single" w:sz="4" w:space="0" w:color="000000"/>
              <w:right w:val="single" w:sz="4" w:space="0" w:color="000000"/>
            </w:tcBorders>
          </w:tcPr>
          <w:p w14:paraId="6A1BDECA" w14:textId="77777777" w:rsidR="00973470" w:rsidRDefault="00000000">
            <w:pPr>
              <w:spacing w:line="240" w:lineRule="auto"/>
              <w:ind w:left="0" w:firstLine="0"/>
              <w:jc w:val="center"/>
              <w:rPr>
                <w:sz w:val="20"/>
                <w:szCs w:val="20"/>
                <w:lang w:val="en-ID"/>
              </w:rPr>
            </w:pPr>
            <w:r>
              <w:rPr>
                <w:sz w:val="20"/>
                <w:szCs w:val="20"/>
              </w:rPr>
              <w:t>86.4</w:t>
            </w:r>
          </w:p>
        </w:tc>
        <w:tc>
          <w:tcPr>
            <w:tcW w:w="850" w:type="dxa"/>
            <w:tcBorders>
              <w:top w:val="single" w:sz="4" w:space="0" w:color="000000"/>
              <w:left w:val="single" w:sz="4" w:space="0" w:color="000000"/>
              <w:bottom w:val="single" w:sz="4" w:space="0" w:color="000000"/>
              <w:right w:val="single" w:sz="4" w:space="0" w:color="000000"/>
            </w:tcBorders>
          </w:tcPr>
          <w:p w14:paraId="4A3EEC7C" w14:textId="77777777" w:rsidR="00973470" w:rsidRDefault="00000000">
            <w:pPr>
              <w:spacing w:line="240" w:lineRule="auto"/>
              <w:ind w:left="0" w:firstLine="0"/>
              <w:jc w:val="center"/>
              <w:rPr>
                <w:sz w:val="20"/>
                <w:szCs w:val="20"/>
                <w:lang w:val="en-ID"/>
              </w:rPr>
            </w:pPr>
            <w:r>
              <w:rPr>
                <w:sz w:val="20"/>
                <w:szCs w:val="20"/>
              </w:rPr>
              <w:t>5.2</w:t>
            </w:r>
          </w:p>
        </w:tc>
        <w:tc>
          <w:tcPr>
            <w:tcW w:w="1843" w:type="dxa"/>
            <w:tcBorders>
              <w:top w:val="single" w:sz="4" w:space="0" w:color="000000"/>
              <w:left w:val="single" w:sz="4" w:space="0" w:color="000000"/>
              <w:bottom w:val="single" w:sz="4" w:space="0" w:color="000000"/>
              <w:right w:val="single" w:sz="4" w:space="0" w:color="000000"/>
            </w:tcBorders>
          </w:tcPr>
          <w:p w14:paraId="6B03299C" w14:textId="77777777" w:rsidR="00973470" w:rsidRDefault="00000000">
            <w:pPr>
              <w:spacing w:line="240" w:lineRule="auto"/>
              <w:ind w:left="0" w:firstLine="0"/>
              <w:jc w:val="center"/>
              <w:rPr>
                <w:sz w:val="20"/>
                <w:szCs w:val="20"/>
                <w:lang w:val="en-ID"/>
              </w:rPr>
            </w:pPr>
            <w:r>
              <w:rPr>
                <w:sz w:val="20"/>
                <w:szCs w:val="20"/>
              </w:rPr>
              <w:t>95</w:t>
            </w:r>
          </w:p>
        </w:tc>
        <w:tc>
          <w:tcPr>
            <w:tcW w:w="1588" w:type="dxa"/>
            <w:tcBorders>
              <w:top w:val="single" w:sz="4" w:space="0" w:color="000000"/>
              <w:left w:val="single" w:sz="4" w:space="0" w:color="000000"/>
              <w:bottom w:val="single" w:sz="4" w:space="0" w:color="000000"/>
              <w:right w:val="single" w:sz="4" w:space="0" w:color="000000"/>
            </w:tcBorders>
          </w:tcPr>
          <w:p w14:paraId="73603A55" w14:textId="77777777" w:rsidR="00973470" w:rsidRDefault="00000000">
            <w:pPr>
              <w:spacing w:line="240" w:lineRule="auto"/>
              <w:ind w:left="0" w:firstLine="0"/>
              <w:jc w:val="center"/>
              <w:rPr>
                <w:sz w:val="20"/>
                <w:szCs w:val="20"/>
                <w:lang w:val="en-ID"/>
              </w:rPr>
            </w:pPr>
            <w:r>
              <w:rPr>
                <w:sz w:val="20"/>
                <w:szCs w:val="20"/>
              </w:rPr>
              <w:t>Low</w:t>
            </w:r>
          </w:p>
        </w:tc>
      </w:tr>
      <w:tr w:rsidR="00973470" w14:paraId="25564DC6" w14:textId="77777777">
        <w:tc>
          <w:tcPr>
            <w:tcW w:w="1526" w:type="dxa"/>
            <w:tcBorders>
              <w:top w:val="single" w:sz="4" w:space="0" w:color="000000"/>
              <w:left w:val="single" w:sz="4" w:space="0" w:color="000000"/>
              <w:bottom w:val="single" w:sz="4" w:space="0" w:color="000000"/>
              <w:right w:val="single" w:sz="4" w:space="0" w:color="000000"/>
            </w:tcBorders>
          </w:tcPr>
          <w:p w14:paraId="2BC8F689" w14:textId="77777777" w:rsidR="00973470" w:rsidRDefault="00000000">
            <w:pPr>
              <w:spacing w:line="240" w:lineRule="auto"/>
              <w:ind w:left="0" w:firstLine="0"/>
              <w:jc w:val="center"/>
              <w:rPr>
                <w:sz w:val="20"/>
                <w:szCs w:val="20"/>
                <w:lang w:val="en-ID"/>
              </w:rPr>
            </w:pPr>
            <w:r>
              <w:rPr>
                <w:sz w:val="20"/>
                <w:szCs w:val="20"/>
              </w:rPr>
              <w:t>Sittichok et al. (2025)</w:t>
            </w:r>
          </w:p>
        </w:tc>
        <w:tc>
          <w:tcPr>
            <w:tcW w:w="1134" w:type="dxa"/>
            <w:tcBorders>
              <w:top w:val="single" w:sz="4" w:space="0" w:color="000000"/>
              <w:left w:val="single" w:sz="4" w:space="0" w:color="000000"/>
              <w:bottom w:val="single" w:sz="4" w:space="0" w:color="000000"/>
              <w:right w:val="single" w:sz="4" w:space="0" w:color="000000"/>
            </w:tcBorders>
          </w:tcPr>
          <w:p w14:paraId="57A6A382" w14:textId="77777777" w:rsidR="00973470" w:rsidRDefault="00000000">
            <w:pPr>
              <w:spacing w:line="240" w:lineRule="auto"/>
              <w:ind w:left="0" w:firstLine="0"/>
              <w:jc w:val="center"/>
              <w:rPr>
                <w:sz w:val="20"/>
                <w:szCs w:val="20"/>
                <w:lang w:val="en-ID"/>
              </w:rPr>
            </w:pPr>
            <w:r>
              <w:rPr>
                <w:sz w:val="20"/>
                <w:szCs w:val="20"/>
              </w:rPr>
              <w:t>Thailand</w:t>
            </w:r>
          </w:p>
        </w:tc>
        <w:tc>
          <w:tcPr>
            <w:tcW w:w="1559" w:type="dxa"/>
            <w:tcBorders>
              <w:top w:val="single" w:sz="4" w:space="0" w:color="000000"/>
              <w:left w:val="single" w:sz="4" w:space="0" w:color="000000"/>
              <w:bottom w:val="single" w:sz="4" w:space="0" w:color="000000"/>
              <w:right w:val="single" w:sz="4" w:space="0" w:color="000000"/>
            </w:tcBorders>
          </w:tcPr>
          <w:p w14:paraId="2EDBA5D8" w14:textId="77777777" w:rsidR="00973470" w:rsidRDefault="00000000">
            <w:pPr>
              <w:spacing w:line="240" w:lineRule="auto"/>
              <w:ind w:left="0" w:firstLine="0"/>
              <w:jc w:val="center"/>
              <w:rPr>
                <w:sz w:val="20"/>
                <w:szCs w:val="20"/>
                <w:lang w:val="en-ID"/>
              </w:rPr>
            </w:pPr>
            <w:r>
              <w:rPr>
                <w:sz w:val="20"/>
                <w:szCs w:val="20"/>
              </w:rPr>
              <w:t>Laboratory RCT</w:t>
            </w:r>
          </w:p>
        </w:tc>
        <w:tc>
          <w:tcPr>
            <w:tcW w:w="1134" w:type="dxa"/>
            <w:tcBorders>
              <w:top w:val="single" w:sz="4" w:space="0" w:color="000000"/>
              <w:left w:val="single" w:sz="4" w:space="0" w:color="000000"/>
              <w:bottom w:val="single" w:sz="4" w:space="0" w:color="000000"/>
              <w:right w:val="single" w:sz="4" w:space="0" w:color="000000"/>
            </w:tcBorders>
          </w:tcPr>
          <w:p w14:paraId="3B760D5C" w14:textId="77777777" w:rsidR="00973470" w:rsidRDefault="00000000">
            <w:pPr>
              <w:spacing w:line="240" w:lineRule="auto"/>
              <w:ind w:left="0" w:firstLine="0"/>
              <w:jc w:val="center"/>
              <w:rPr>
                <w:sz w:val="20"/>
                <w:szCs w:val="20"/>
                <w:lang w:val="en-ID"/>
              </w:rPr>
            </w:pPr>
            <w:r>
              <w:rPr>
                <w:sz w:val="20"/>
                <w:szCs w:val="20"/>
              </w:rPr>
              <w:t>Natural</w:t>
            </w:r>
          </w:p>
        </w:tc>
        <w:tc>
          <w:tcPr>
            <w:tcW w:w="2410" w:type="dxa"/>
            <w:tcBorders>
              <w:top w:val="single" w:sz="4" w:space="0" w:color="000000"/>
              <w:left w:val="single" w:sz="4" w:space="0" w:color="000000"/>
              <w:bottom w:val="single" w:sz="4" w:space="0" w:color="000000"/>
              <w:right w:val="single" w:sz="4" w:space="0" w:color="000000"/>
            </w:tcBorders>
          </w:tcPr>
          <w:p w14:paraId="3AEB5D9C" w14:textId="77777777" w:rsidR="00973470" w:rsidRDefault="00000000">
            <w:pPr>
              <w:spacing w:line="240" w:lineRule="auto"/>
              <w:ind w:left="0" w:firstLine="0"/>
              <w:jc w:val="center"/>
              <w:rPr>
                <w:sz w:val="20"/>
                <w:szCs w:val="20"/>
                <w:lang w:val="en-ID"/>
              </w:rPr>
            </w:pPr>
            <w:r>
              <w:rPr>
                <w:sz w:val="20"/>
                <w:szCs w:val="20"/>
              </w:rPr>
              <w:t>Monoterpenes mixtures</w:t>
            </w:r>
          </w:p>
        </w:tc>
        <w:tc>
          <w:tcPr>
            <w:tcW w:w="850" w:type="dxa"/>
            <w:tcBorders>
              <w:top w:val="single" w:sz="4" w:space="0" w:color="000000"/>
              <w:left w:val="single" w:sz="4" w:space="0" w:color="000000"/>
              <w:bottom w:val="single" w:sz="4" w:space="0" w:color="000000"/>
              <w:right w:val="single" w:sz="4" w:space="0" w:color="000000"/>
            </w:tcBorders>
          </w:tcPr>
          <w:p w14:paraId="727305AE" w14:textId="77777777" w:rsidR="00973470" w:rsidRDefault="00000000">
            <w:pPr>
              <w:spacing w:line="240" w:lineRule="auto"/>
              <w:ind w:left="0" w:firstLine="0"/>
              <w:jc w:val="center"/>
              <w:rPr>
                <w:sz w:val="20"/>
                <w:szCs w:val="20"/>
                <w:lang w:val="en-ID"/>
              </w:rPr>
            </w:pPr>
            <w:r>
              <w:rPr>
                <w:sz w:val="20"/>
                <w:szCs w:val="20"/>
              </w:rPr>
              <w:t>5–10</w:t>
            </w:r>
          </w:p>
        </w:tc>
        <w:tc>
          <w:tcPr>
            <w:tcW w:w="851" w:type="dxa"/>
            <w:tcBorders>
              <w:top w:val="single" w:sz="4" w:space="0" w:color="000000"/>
              <w:left w:val="single" w:sz="4" w:space="0" w:color="000000"/>
              <w:bottom w:val="single" w:sz="4" w:space="0" w:color="000000"/>
              <w:right w:val="single" w:sz="4" w:space="0" w:color="000000"/>
            </w:tcBorders>
          </w:tcPr>
          <w:p w14:paraId="41ADE683" w14:textId="77777777" w:rsidR="00973470" w:rsidRDefault="00000000">
            <w:pPr>
              <w:spacing w:line="240" w:lineRule="auto"/>
              <w:ind w:left="0" w:firstLine="0"/>
              <w:jc w:val="center"/>
              <w:rPr>
                <w:sz w:val="20"/>
                <w:szCs w:val="20"/>
                <w:lang w:val="en-ID"/>
              </w:rPr>
            </w:pPr>
            <w:r>
              <w:rPr>
                <w:sz w:val="20"/>
                <w:szCs w:val="20"/>
              </w:rPr>
              <w:t>79.2</w:t>
            </w:r>
          </w:p>
        </w:tc>
        <w:tc>
          <w:tcPr>
            <w:tcW w:w="850" w:type="dxa"/>
            <w:tcBorders>
              <w:top w:val="single" w:sz="4" w:space="0" w:color="000000"/>
              <w:left w:val="single" w:sz="4" w:space="0" w:color="000000"/>
              <w:bottom w:val="single" w:sz="4" w:space="0" w:color="000000"/>
              <w:right w:val="single" w:sz="4" w:space="0" w:color="000000"/>
            </w:tcBorders>
          </w:tcPr>
          <w:p w14:paraId="477104A2" w14:textId="77777777" w:rsidR="00973470" w:rsidRDefault="00000000">
            <w:pPr>
              <w:spacing w:line="240" w:lineRule="auto"/>
              <w:ind w:left="0" w:firstLine="0"/>
              <w:jc w:val="center"/>
              <w:rPr>
                <w:sz w:val="20"/>
                <w:szCs w:val="20"/>
                <w:lang w:val="en-ID"/>
              </w:rPr>
            </w:pPr>
            <w:r>
              <w:rPr>
                <w:sz w:val="20"/>
                <w:szCs w:val="20"/>
              </w:rPr>
              <w:t>3.9</w:t>
            </w:r>
          </w:p>
        </w:tc>
        <w:tc>
          <w:tcPr>
            <w:tcW w:w="1843" w:type="dxa"/>
            <w:tcBorders>
              <w:top w:val="single" w:sz="4" w:space="0" w:color="000000"/>
              <w:left w:val="single" w:sz="4" w:space="0" w:color="000000"/>
              <w:bottom w:val="single" w:sz="4" w:space="0" w:color="000000"/>
              <w:right w:val="single" w:sz="4" w:space="0" w:color="000000"/>
            </w:tcBorders>
          </w:tcPr>
          <w:p w14:paraId="55CB9AE9" w14:textId="77777777" w:rsidR="00973470" w:rsidRDefault="00000000">
            <w:pPr>
              <w:spacing w:line="240" w:lineRule="auto"/>
              <w:ind w:left="0" w:firstLine="0"/>
              <w:jc w:val="center"/>
              <w:rPr>
                <w:sz w:val="20"/>
                <w:szCs w:val="20"/>
                <w:lang w:val="en-ID"/>
              </w:rPr>
            </w:pPr>
            <w:r>
              <w:rPr>
                <w:sz w:val="20"/>
                <w:szCs w:val="20"/>
              </w:rPr>
              <w:t>60</w:t>
            </w:r>
          </w:p>
        </w:tc>
        <w:tc>
          <w:tcPr>
            <w:tcW w:w="1588" w:type="dxa"/>
            <w:tcBorders>
              <w:top w:val="single" w:sz="4" w:space="0" w:color="000000"/>
              <w:left w:val="single" w:sz="4" w:space="0" w:color="000000"/>
              <w:bottom w:val="single" w:sz="4" w:space="0" w:color="000000"/>
              <w:right w:val="single" w:sz="4" w:space="0" w:color="000000"/>
            </w:tcBorders>
          </w:tcPr>
          <w:p w14:paraId="7F02B13C" w14:textId="77777777" w:rsidR="00973470" w:rsidRDefault="00000000">
            <w:pPr>
              <w:spacing w:line="240" w:lineRule="auto"/>
              <w:ind w:left="0" w:firstLine="0"/>
              <w:jc w:val="center"/>
              <w:rPr>
                <w:sz w:val="20"/>
                <w:szCs w:val="20"/>
                <w:lang w:val="en-ID"/>
              </w:rPr>
            </w:pPr>
            <w:r>
              <w:rPr>
                <w:sz w:val="20"/>
                <w:szCs w:val="20"/>
              </w:rPr>
              <w:t>Low</w:t>
            </w:r>
          </w:p>
        </w:tc>
      </w:tr>
      <w:tr w:rsidR="00973470" w14:paraId="07214A78" w14:textId="77777777">
        <w:tc>
          <w:tcPr>
            <w:tcW w:w="1526" w:type="dxa"/>
            <w:tcBorders>
              <w:top w:val="single" w:sz="4" w:space="0" w:color="000000"/>
              <w:left w:val="single" w:sz="4" w:space="0" w:color="000000"/>
              <w:bottom w:val="single" w:sz="4" w:space="0" w:color="000000"/>
              <w:right w:val="single" w:sz="4" w:space="0" w:color="000000"/>
            </w:tcBorders>
          </w:tcPr>
          <w:p w14:paraId="7AF26BE2" w14:textId="77777777" w:rsidR="00973470" w:rsidRDefault="00000000">
            <w:pPr>
              <w:spacing w:line="240" w:lineRule="auto"/>
              <w:ind w:left="0" w:firstLine="0"/>
              <w:jc w:val="center"/>
              <w:rPr>
                <w:sz w:val="20"/>
                <w:szCs w:val="20"/>
                <w:lang w:val="en-ID"/>
              </w:rPr>
            </w:pPr>
            <w:r>
              <w:rPr>
                <w:sz w:val="20"/>
                <w:szCs w:val="20"/>
              </w:rPr>
              <w:t>Cruzeiro et al. (2024)</w:t>
            </w:r>
          </w:p>
        </w:tc>
        <w:tc>
          <w:tcPr>
            <w:tcW w:w="1134" w:type="dxa"/>
            <w:tcBorders>
              <w:top w:val="single" w:sz="4" w:space="0" w:color="000000"/>
              <w:left w:val="single" w:sz="4" w:space="0" w:color="000000"/>
              <w:bottom w:val="single" w:sz="4" w:space="0" w:color="000000"/>
              <w:right w:val="single" w:sz="4" w:space="0" w:color="000000"/>
            </w:tcBorders>
          </w:tcPr>
          <w:p w14:paraId="4121BDD4" w14:textId="77777777" w:rsidR="00973470" w:rsidRDefault="00000000">
            <w:pPr>
              <w:spacing w:line="240" w:lineRule="auto"/>
              <w:ind w:left="0" w:firstLine="0"/>
              <w:jc w:val="center"/>
              <w:rPr>
                <w:sz w:val="20"/>
                <w:szCs w:val="20"/>
                <w:lang w:val="en-ID"/>
              </w:rPr>
            </w:pPr>
            <w:r>
              <w:rPr>
                <w:sz w:val="20"/>
                <w:szCs w:val="20"/>
              </w:rPr>
              <w:t>Brazil</w:t>
            </w:r>
          </w:p>
        </w:tc>
        <w:tc>
          <w:tcPr>
            <w:tcW w:w="1559" w:type="dxa"/>
            <w:tcBorders>
              <w:top w:val="single" w:sz="4" w:space="0" w:color="000000"/>
              <w:left w:val="single" w:sz="4" w:space="0" w:color="000000"/>
              <w:bottom w:val="single" w:sz="4" w:space="0" w:color="000000"/>
              <w:right w:val="single" w:sz="4" w:space="0" w:color="000000"/>
            </w:tcBorders>
          </w:tcPr>
          <w:p w14:paraId="467C4A41" w14:textId="77777777" w:rsidR="00973470" w:rsidRDefault="00000000">
            <w:pPr>
              <w:spacing w:line="240" w:lineRule="auto"/>
              <w:ind w:left="0" w:firstLine="0"/>
              <w:jc w:val="center"/>
              <w:rPr>
                <w:sz w:val="20"/>
                <w:szCs w:val="20"/>
                <w:lang w:val="en-ID"/>
              </w:rPr>
            </w:pPr>
            <w:r>
              <w:rPr>
                <w:sz w:val="20"/>
                <w:szCs w:val="20"/>
              </w:rPr>
              <w:t>Laboratory exp.</w:t>
            </w:r>
          </w:p>
        </w:tc>
        <w:tc>
          <w:tcPr>
            <w:tcW w:w="1134" w:type="dxa"/>
            <w:tcBorders>
              <w:top w:val="single" w:sz="4" w:space="0" w:color="000000"/>
              <w:left w:val="single" w:sz="4" w:space="0" w:color="000000"/>
              <w:bottom w:val="single" w:sz="4" w:space="0" w:color="000000"/>
              <w:right w:val="single" w:sz="4" w:space="0" w:color="000000"/>
            </w:tcBorders>
          </w:tcPr>
          <w:p w14:paraId="29396A18" w14:textId="77777777" w:rsidR="00973470" w:rsidRDefault="00000000">
            <w:pPr>
              <w:spacing w:line="240" w:lineRule="auto"/>
              <w:ind w:left="0" w:firstLine="0"/>
              <w:jc w:val="center"/>
              <w:rPr>
                <w:sz w:val="20"/>
                <w:szCs w:val="20"/>
                <w:lang w:val="en-ID"/>
              </w:rPr>
            </w:pPr>
            <w:r>
              <w:rPr>
                <w:sz w:val="20"/>
                <w:szCs w:val="20"/>
              </w:rPr>
              <w:t>Natural</w:t>
            </w:r>
          </w:p>
        </w:tc>
        <w:tc>
          <w:tcPr>
            <w:tcW w:w="2410" w:type="dxa"/>
            <w:tcBorders>
              <w:top w:val="single" w:sz="4" w:space="0" w:color="000000"/>
              <w:left w:val="single" w:sz="4" w:space="0" w:color="000000"/>
              <w:bottom w:val="single" w:sz="4" w:space="0" w:color="000000"/>
              <w:right w:val="single" w:sz="4" w:space="0" w:color="000000"/>
            </w:tcBorders>
          </w:tcPr>
          <w:p w14:paraId="1AA7E354" w14:textId="77777777" w:rsidR="00973470" w:rsidRDefault="00000000">
            <w:pPr>
              <w:spacing w:line="240" w:lineRule="auto"/>
              <w:ind w:left="0" w:firstLine="0"/>
              <w:jc w:val="center"/>
              <w:rPr>
                <w:sz w:val="20"/>
                <w:szCs w:val="20"/>
                <w:lang w:val="en-ID"/>
              </w:rPr>
            </w:pPr>
            <w:r>
              <w:rPr>
                <w:sz w:val="20"/>
                <w:szCs w:val="20"/>
              </w:rPr>
              <w:t>Brazilian Cerrado EOs</w:t>
            </w:r>
          </w:p>
        </w:tc>
        <w:tc>
          <w:tcPr>
            <w:tcW w:w="850" w:type="dxa"/>
            <w:tcBorders>
              <w:top w:val="single" w:sz="4" w:space="0" w:color="000000"/>
              <w:left w:val="single" w:sz="4" w:space="0" w:color="000000"/>
              <w:bottom w:val="single" w:sz="4" w:space="0" w:color="000000"/>
              <w:right w:val="single" w:sz="4" w:space="0" w:color="000000"/>
            </w:tcBorders>
          </w:tcPr>
          <w:p w14:paraId="35C8C15E" w14:textId="77777777" w:rsidR="00973470" w:rsidRDefault="00000000">
            <w:pPr>
              <w:spacing w:line="240" w:lineRule="auto"/>
              <w:ind w:left="0" w:firstLine="0"/>
              <w:jc w:val="center"/>
              <w:rPr>
                <w:sz w:val="20"/>
                <w:szCs w:val="20"/>
                <w:lang w:val="en-ID"/>
              </w:rPr>
            </w:pPr>
            <w:r>
              <w:rPr>
                <w:sz w:val="20"/>
                <w:szCs w:val="20"/>
              </w:rPr>
              <w:t>5–15</w:t>
            </w:r>
          </w:p>
        </w:tc>
        <w:tc>
          <w:tcPr>
            <w:tcW w:w="851" w:type="dxa"/>
            <w:tcBorders>
              <w:top w:val="single" w:sz="4" w:space="0" w:color="000000"/>
              <w:left w:val="single" w:sz="4" w:space="0" w:color="000000"/>
              <w:bottom w:val="single" w:sz="4" w:space="0" w:color="000000"/>
              <w:right w:val="single" w:sz="4" w:space="0" w:color="000000"/>
            </w:tcBorders>
          </w:tcPr>
          <w:p w14:paraId="71AF014C" w14:textId="77777777" w:rsidR="00973470" w:rsidRDefault="00000000">
            <w:pPr>
              <w:spacing w:line="240" w:lineRule="auto"/>
              <w:ind w:left="0" w:firstLine="0"/>
              <w:jc w:val="center"/>
              <w:rPr>
                <w:sz w:val="20"/>
                <w:szCs w:val="20"/>
                <w:lang w:val="en-ID"/>
              </w:rPr>
            </w:pPr>
            <w:r>
              <w:rPr>
                <w:sz w:val="20"/>
                <w:szCs w:val="20"/>
              </w:rPr>
              <w:t>63.5</w:t>
            </w:r>
          </w:p>
        </w:tc>
        <w:tc>
          <w:tcPr>
            <w:tcW w:w="850" w:type="dxa"/>
            <w:tcBorders>
              <w:top w:val="single" w:sz="4" w:space="0" w:color="000000"/>
              <w:left w:val="single" w:sz="4" w:space="0" w:color="000000"/>
              <w:bottom w:val="single" w:sz="4" w:space="0" w:color="000000"/>
              <w:right w:val="single" w:sz="4" w:space="0" w:color="000000"/>
            </w:tcBorders>
          </w:tcPr>
          <w:p w14:paraId="61D1ABC1" w14:textId="77777777" w:rsidR="00973470" w:rsidRDefault="00000000">
            <w:pPr>
              <w:spacing w:line="240" w:lineRule="auto"/>
              <w:ind w:left="0" w:firstLine="0"/>
              <w:jc w:val="center"/>
              <w:rPr>
                <w:sz w:val="20"/>
                <w:szCs w:val="20"/>
                <w:lang w:val="en-ID"/>
              </w:rPr>
            </w:pPr>
            <w:r>
              <w:rPr>
                <w:sz w:val="20"/>
                <w:szCs w:val="20"/>
              </w:rPr>
              <w:t>2.4</w:t>
            </w:r>
          </w:p>
        </w:tc>
        <w:tc>
          <w:tcPr>
            <w:tcW w:w="1843" w:type="dxa"/>
            <w:tcBorders>
              <w:top w:val="single" w:sz="4" w:space="0" w:color="000000"/>
              <w:left w:val="single" w:sz="4" w:space="0" w:color="000000"/>
              <w:bottom w:val="single" w:sz="4" w:space="0" w:color="000000"/>
              <w:right w:val="single" w:sz="4" w:space="0" w:color="000000"/>
            </w:tcBorders>
          </w:tcPr>
          <w:p w14:paraId="43B701BA" w14:textId="77777777" w:rsidR="00973470" w:rsidRDefault="00000000">
            <w:pPr>
              <w:spacing w:line="240" w:lineRule="auto"/>
              <w:ind w:left="0" w:firstLine="0"/>
              <w:jc w:val="center"/>
              <w:rPr>
                <w:sz w:val="20"/>
                <w:szCs w:val="20"/>
                <w:lang w:val="en-ID"/>
              </w:rPr>
            </w:pPr>
            <w:r>
              <w:rPr>
                <w:sz w:val="20"/>
                <w:szCs w:val="20"/>
              </w:rPr>
              <w:t>45</w:t>
            </w:r>
          </w:p>
        </w:tc>
        <w:tc>
          <w:tcPr>
            <w:tcW w:w="1588" w:type="dxa"/>
            <w:tcBorders>
              <w:top w:val="single" w:sz="4" w:space="0" w:color="000000"/>
              <w:left w:val="single" w:sz="4" w:space="0" w:color="000000"/>
              <w:bottom w:val="single" w:sz="4" w:space="0" w:color="000000"/>
              <w:right w:val="single" w:sz="4" w:space="0" w:color="000000"/>
            </w:tcBorders>
          </w:tcPr>
          <w:p w14:paraId="5ECA04A6" w14:textId="77777777" w:rsidR="00973470" w:rsidRDefault="00000000">
            <w:pPr>
              <w:spacing w:line="240" w:lineRule="auto"/>
              <w:ind w:left="0" w:firstLine="0"/>
              <w:jc w:val="center"/>
              <w:rPr>
                <w:sz w:val="20"/>
                <w:szCs w:val="20"/>
                <w:lang w:val="en-ID"/>
              </w:rPr>
            </w:pPr>
            <w:r>
              <w:rPr>
                <w:sz w:val="20"/>
                <w:szCs w:val="20"/>
              </w:rPr>
              <w:t>Some concerns</w:t>
            </w:r>
          </w:p>
        </w:tc>
      </w:tr>
      <w:tr w:rsidR="00973470" w14:paraId="660C2335" w14:textId="77777777">
        <w:tc>
          <w:tcPr>
            <w:tcW w:w="1526" w:type="dxa"/>
            <w:tcBorders>
              <w:top w:val="single" w:sz="4" w:space="0" w:color="000000"/>
              <w:left w:val="single" w:sz="4" w:space="0" w:color="000000"/>
              <w:bottom w:val="single" w:sz="4" w:space="0" w:color="000000"/>
              <w:right w:val="single" w:sz="4" w:space="0" w:color="000000"/>
            </w:tcBorders>
          </w:tcPr>
          <w:p w14:paraId="2332A23B" w14:textId="77777777" w:rsidR="00973470" w:rsidRDefault="00000000">
            <w:pPr>
              <w:spacing w:line="240" w:lineRule="auto"/>
              <w:ind w:left="0" w:firstLine="0"/>
              <w:jc w:val="center"/>
              <w:rPr>
                <w:sz w:val="20"/>
                <w:szCs w:val="20"/>
                <w:lang w:val="en-ID"/>
              </w:rPr>
            </w:pPr>
            <w:r>
              <w:rPr>
                <w:sz w:val="20"/>
                <w:szCs w:val="20"/>
              </w:rPr>
              <w:t>Duarte et al. (2020)</w:t>
            </w:r>
          </w:p>
        </w:tc>
        <w:tc>
          <w:tcPr>
            <w:tcW w:w="1134" w:type="dxa"/>
            <w:tcBorders>
              <w:top w:val="single" w:sz="4" w:space="0" w:color="000000"/>
              <w:left w:val="single" w:sz="4" w:space="0" w:color="000000"/>
              <w:bottom w:val="single" w:sz="4" w:space="0" w:color="000000"/>
              <w:right w:val="single" w:sz="4" w:space="0" w:color="000000"/>
            </w:tcBorders>
          </w:tcPr>
          <w:p w14:paraId="68867398" w14:textId="77777777" w:rsidR="00973470" w:rsidRDefault="00000000">
            <w:pPr>
              <w:spacing w:line="240" w:lineRule="auto"/>
              <w:ind w:left="0" w:firstLine="0"/>
              <w:jc w:val="center"/>
              <w:rPr>
                <w:sz w:val="20"/>
                <w:szCs w:val="20"/>
                <w:lang w:val="en-ID"/>
              </w:rPr>
            </w:pPr>
            <w:r>
              <w:rPr>
                <w:sz w:val="20"/>
                <w:szCs w:val="20"/>
              </w:rPr>
              <w:t>Brazil</w:t>
            </w:r>
          </w:p>
        </w:tc>
        <w:tc>
          <w:tcPr>
            <w:tcW w:w="1559" w:type="dxa"/>
            <w:tcBorders>
              <w:top w:val="single" w:sz="4" w:space="0" w:color="000000"/>
              <w:left w:val="single" w:sz="4" w:space="0" w:color="000000"/>
              <w:bottom w:val="single" w:sz="4" w:space="0" w:color="000000"/>
              <w:right w:val="single" w:sz="4" w:space="0" w:color="000000"/>
            </w:tcBorders>
          </w:tcPr>
          <w:p w14:paraId="090D76F9" w14:textId="77777777" w:rsidR="00973470" w:rsidRDefault="00000000">
            <w:pPr>
              <w:spacing w:line="240" w:lineRule="auto"/>
              <w:ind w:left="0" w:firstLine="0"/>
              <w:jc w:val="center"/>
              <w:rPr>
                <w:sz w:val="20"/>
                <w:szCs w:val="20"/>
                <w:lang w:val="en-ID"/>
              </w:rPr>
            </w:pPr>
            <w:r>
              <w:rPr>
                <w:sz w:val="20"/>
                <w:szCs w:val="20"/>
              </w:rPr>
              <w:t>Laboratory exp.</w:t>
            </w:r>
          </w:p>
        </w:tc>
        <w:tc>
          <w:tcPr>
            <w:tcW w:w="1134" w:type="dxa"/>
            <w:tcBorders>
              <w:top w:val="single" w:sz="4" w:space="0" w:color="000000"/>
              <w:left w:val="single" w:sz="4" w:space="0" w:color="000000"/>
              <w:bottom w:val="single" w:sz="4" w:space="0" w:color="000000"/>
              <w:right w:val="single" w:sz="4" w:space="0" w:color="000000"/>
            </w:tcBorders>
          </w:tcPr>
          <w:p w14:paraId="6499DF62" w14:textId="77777777" w:rsidR="00973470" w:rsidRDefault="00000000">
            <w:pPr>
              <w:spacing w:line="240" w:lineRule="auto"/>
              <w:ind w:left="0" w:firstLine="0"/>
              <w:jc w:val="center"/>
              <w:rPr>
                <w:sz w:val="20"/>
                <w:szCs w:val="20"/>
                <w:lang w:val="en-ID"/>
              </w:rPr>
            </w:pPr>
            <w:r>
              <w:rPr>
                <w:sz w:val="20"/>
                <w:szCs w:val="20"/>
              </w:rPr>
              <w:t>Natural</w:t>
            </w:r>
          </w:p>
        </w:tc>
        <w:tc>
          <w:tcPr>
            <w:tcW w:w="2410" w:type="dxa"/>
            <w:tcBorders>
              <w:top w:val="single" w:sz="4" w:space="0" w:color="000000"/>
              <w:left w:val="single" w:sz="4" w:space="0" w:color="000000"/>
              <w:bottom w:val="single" w:sz="4" w:space="0" w:color="000000"/>
              <w:right w:val="single" w:sz="4" w:space="0" w:color="000000"/>
            </w:tcBorders>
          </w:tcPr>
          <w:p w14:paraId="7E1BA3E4" w14:textId="77777777" w:rsidR="00973470" w:rsidRDefault="00000000">
            <w:pPr>
              <w:spacing w:line="240" w:lineRule="auto"/>
              <w:ind w:left="0" w:firstLine="0"/>
              <w:jc w:val="center"/>
              <w:rPr>
                <w:sz w:val="20"/>
                <w:szCs w:val="20"/>
                <w:lang w:val="en-ID"/>
              </w:rPr>
            </w:pPr>
            <w:r>
              <w:rPr>
                <w:sz w:val="20"/>
                <w:szCs w:val="20"/>
              </w:rPr>
              <w:t>Botanical nanosystems</w:t>
            </w:r>
          </w:p>
        </w:tc>
        <w:tc>
          <w:tcPr>
            <w:tcW w:w="850" w:type="dxa"/>
            <w:tcBorders>
              <w:top w:val="single" w:sz="4" w:space="0" w:color="000000"/>
              <w:left w:val="single" w:sz="4" w:space="0" w:color="000000"/>
              <w:bottom w:val="single" w:sz="4" w:space="0" w:color="000000"/>
              <w:right w:val="single" w:sz="4" w:space="0" w:color="000000"/>
            </w:tcBorders>
          </w:tcPr>
          <w:p w14:paraId="056B543F" w14:textId="77777777" w:rsidR="00973470" w:rsidRDefault="00000000">
            <w:pPr>
              <w:spacing w:line="240" w:lineRule="auto"/>
              <w:ind w:left="0" w:firstLine="0"/>
              <w:jc w:val="center"/>
              <w:rPr>
                <w:sz w:val="20"/>
                <w:szCs w:val="20"/>
                <w:lang w:val="en-ID"/>
              </w:rPr>
            </w:pPr>
            <w:r>
              <w:rPr>
                <w:sz w:val="20"/>
                <w:szCs w:val="20"/>
              </w:rPr>
              <w:t>Various</w:t>
            </w:r>
          </w:p>
        </w:tc>
        <w:tc>
          <w:tcPr>
            <w:tcW w:w="851" w:type="dxa"/>
            <w:tcBorders>
              <w:top w:val="single" w:sz="4" w:space="0" w:color="000000"/>
              <w:left w:val="single" w:sz="4" w:space="0" w:color="000000"/>
              <w:bottom w:val="single" w:sz="4" w:space="0" w:color="000000"/>
              <w:right w:val="single" w:sz="4" w:space="0" w:color="000000"/>
            </w:tcBorders>
          </w:tcPr>
          <w:p w14:paraId="018BB674" w14:textId="77777777" w:rsidR="00973470" w:rsidRDefault="00000000">
            <w:pPr>
              <w:spacing w:line="240" w:lineRule="auto"/>
              <w:ind w:left="0" w:firstLine="0"/>
              <w:jc w:val="center"/>
              <w:rPr>
                <w:sz w:val="20"/>
                <w:szCs w:val="20"/>
                <w:lang w:val="en-ID"/>
              </w:rPr>
            </w:pPr>
            <w:r>
              <w:rPr>
                <w:sz w:val="20"/>
                <w:szCs w:val="20"/>
              </w:rPr>
              <w:t>70.4</w:t>
            </w:r>
          </w:p>
        </w:tc>
        <w:tc>
          <w:tcPr>
            <w:tcW w:w="850" w:type="dxa"/>
            <w:tcBorders>
              <w:top w:val="single" w:sz="4" w:space="0" w:color="000000"/>
              <w:left w:val="single" w:sz="4" w:space="0" w:color="000000"/>
              <w:bottom w:val="single" w:sz="4" w:space="0" w:color="000000"/>
              <w:right w:val="single" w:sz="4" w:space="0" w:color="000000"/>
            </w:tcBorders>
          </w:tcPr>
          <w:p w14:paraId="67E33124" w14:textId="77777777" w:rsidR="00973470" w:rsidRDefault="00000000">
            <w:pPr>
              <w:spacing w:line="240" w:lineRule="auto"/>
              <w:ind w:left="0" w:firstLine="0"/>
              <w:jc w:val="center"/>
              <w:rPr>
                <w:sz w:val="20"/>
                <w:szCs w:val="20"/>
                <w:lang w:val="en-ID"/>
              </w:rPr>
            </w:pPr>
            <w:r>
              <w:rPr>
                <w:sz w:val="20"/>
                <w:szCs w:val="20"/>
              </w:rPr>
              <w:t>3.1</w:t>
            </w:r>
          </w:p>
        </w:tc>
        <w:tc>
          <w:tcPr>
            <w:tcW w:w="1843" w:type="dxa"/>
            <w:tcBorders>
              <w:top w:val="single" w:sz="4" w:space="0" w:color="000000"/>
              <w:left w:val="single" w:sz="4" w:space="0" w:color="000000"/>
              <w:bottom w:val="single" w:sz="4" w:space="0" w:color="000000"/>
              <w:right w:val="single" w:sz="4" w:space="0" w:color="000000"/>
            </w:tcBorders>
          </w:tcPr>
          <w:p w14:paraId="11E12A58" w14:textId="77777777" w:rsidR="00973470" w:rsidRDefault="00000000">
            <w:pPr>
              <w:spacing w:line="240" w:lineRule="auto"/>
              <w:ind w:left="0" w:firstLine="0"/>
              <w:jc w:val="center"/>
              <w:rPr>
                <w:sz w:val="20"/>
                <w:szCs w:val="20"/>
                <w:lang w:val="en-ID"/>
              </w:rPr>
            </w:pPr>
            <w:r>
              <w:rPr>
                <w:sz w:val="20"/>
                <w:szCs w:val="20"/>
              </w:rPr>
              <w:t>55</w:t>
            </w:r>
          </w:p>
        </w:tc>
        <w:tc>
          <w:tcPr>
            <w:tcW w:w="1588" w:type="dxa"/>
            <w:tcBorders>
              <w:top w:val="single" w:sz="4" w:space="0" w:color="000000"/>
              <w:left w:val="single" w:sz="4" w:space="0" w:color="000000"/>
              <w:bottom w:val="single" w:sz="4" w:space="0" w:color="000000"/>
              <w:right w:val="single" w:sz="4" w:space="0" w:color="000000"/>
            </w:tcBorders>
          </w:tcPr>
          <w:p w14:paraId="06221F01" w14:textId="77777777" w:rsidR="00973470" w:rsidRDefault="00000000">
            <w:pPr>
              <w:spacing w:line="240" w:lineRule="auto"/>
              <w:ind w:left="0" w:firstLine="0"/>
              <w:jc w:val="center"/>
              <w:rPr>
                <w:sz w:val="20"/>
                <w:szCs w:val="20"/>
                <w:lang w:val="en-ID"/>
              </w:rPr>
            </w:pPr>
            <w:r>
              <w:rPr>
                <w:sz w:val="20"/>
                <w:szCs w:val="20"/>
              </w:rPr>
              <w:t>Some concerns</w:t>
            </w:r>
          </w:p>
        </w:tc>
      </w:tr>
      <w:tr w:rsidR="00973470" w14:paraId="215A8EFE" w14:textId="77777777">
        <w:tc>
          <w:tcPr>
            <w:tcW w:w="1526" w:type="dxa"/>
            <w:tcBorders>
              <w:top w:val="single" w:sz="4" w:space="0" w:color="000000"/>
              <w:left w:val="single" w:sz="4" w:space="0" w:color="000000"/>
              <w:bottom w:val="single" w:sz="4" w:space="0" w:color="000000"/>
              <w:right w:val="single" w:sz="4" w:space="0" w:color="000000"/>
            </w:tcBorders>
          </w:tcPr>
          <w:p w14:paraId="7AAF8AC8" w14:textId="77777777" w:rsidR="00973470" w:rsidRDefault="00000000">
            <w:pPr>
              <w:spacing w:line="240" w:lineRule="auto"/>
              <w:ind w:left="0" w:firstLine="0"/>
              <w:jc w:val="center"/>
              <w:rPr>
                <w:sz w:val="20"/>
                <w:szCs w:val="18"/>
                <w:lang w:val="en-ID"/>
              </w:rPr>
            </w:pPr>
            <w:r>
              <w:rPr>
                <w:sz w:val="20"/>
                <w:szCs w:val="18"/>
              </w:rPr>
              <w:t>Soonwera (2015)</w:t>
            </w:r>
          </w:p>
        </w:tc>
        <w:tc>
          <w:tcPr>
            <w:tcW w:w="1134" w:type="dxa"/>
            <w:tcBorders>
              <w:top w:val="single" w:sz="4" w:space="0" w:color="000000"/>
              <w:left w:val="single" w:sz="4" w:space="0" w:color="000000"/>
              <w:bottom w:val="single" w:sz="4" w:space="0" w:color="000000"/>
              <w:right w:val="single" w:sz="4" w:space="0" w:color="000000"/>
            </w:tcBorders>
          </w:tcPr>
          <w:p w14:paraId="3B6C1564" w14:textId="77777777" w:rsidR="00973470" w:rsidRDefault="00000000">
            <w:pPr>
              <w:spacing w:line="240" w:lineRule="auto"/>
              <w:ind w:left="0" w:firstLine="0"/>
              <w:jc w:val="center"/>
              <w:rPr>
                <w:sz w:val="20"/>
                <w:szCs w:val="18"/>
                <w:lang w:val="en-ID"/>
              </w:rPr>
            </w:pPr>
            <w:r>
              <w:rPr>
                <w:sz w:val="20"/>
                <w:szCs w:val="18"/>
              </w:rPr>
              <w:t>Thailand</w:t>
            </w:r>
          </w:p>
        </w:tc>
        <w:tc>
          <w:tcPr>
            <w:tcW w:w="1559" w:type="dxa"/>
            <w:tcBorders>
              <w:top w:val="single" w:sz="4" w:space="0" w:color="000000"/>
              <w:left w:val="single" w:sz="4" w:space="0" w:color="000000"/>
              <w:bottom w:val="single" w:sz="4" w:space="0" w:color="000000"/>
              <w:right w:val="single" w:sz="4" w:space="0" w:color="000000"/>
            </w:tcBorders>
          </w:tcPr>
          <w:p w14:paraId="3C7D652F" w14:textId="77777777" w:rsidR="00973470" w:rsidRDefault="00000000">
            <w:pPr>
              <w:spacing w:line="240" w:lineRule="auto"/>
              <w:ind w:left="0" w:firstLine="0"/>
              <w:jc w:val="center"/>
              <w:rPr>
                <w:sz w:val="20"/>
                <w:szCs w:val="18"/>
                <w:lang w:val="en-ID"/>
              </w:rPr>
            </w:pPr>
            <w:r>
              <w:rPr>
                <w:sz w:val="20"/>
                <w:szCs w:val="18"/>
              </w:rPr>
              <w:t>Laboratory experimental study</w:t>
            </w:r>
          </w:p>
        </w:tc>
        <w:tc>
          <w:tcPr>
            <w:tcW w:w="1134" w:type="dxa"/>
            <w:tcBorders>
              <w:top w:val="single" w:sz="4" w:space="0" w:color="000000"/>
              <w:left w:val="single" w:sz="4" w:space="0" w:color="000000"/>
              <w:bottom w:val="single" w:sz="4" w:space="0" w:color="000000"/>
              <w:right w:val="single" w:sz="4" w:space="0" w:color="000000"/>
            </w:tcBorders>
          </w:tcPr>
          <w:p w14:paraId="319F9D55" w14:textId="77777777" w:rsidR="00973470" w:rsidRDefault="00000000">
            <w:pPr>
              <w:spacing w:line="240" w:lineRule="auto"/>
              <w:ind w:left="0" w:firstLine="0"/>
              <w:jc w:val="center"/>
              <w:rPr>
                <w:sz w:val="20"/>
                <w:szCs w:val="18"/>
                <w:lang w:val="en-ID"/>
              </w:rPr>
            </w:pPr>
            <w:r>
              <w:rPr>
                <w:sz w:val="20"/>
                <w:szCs w:val="18"/>
              </w:rPr>
              <w:t>Natural</w:t>
            </w:r>
          </w:p>
        </w:tc>
        <w:tc>
          <w:tcPr>
            <w:tcW w:w="2410" w:type="dxa"/>
            <w:tcBorders>
              <w:top w:val="single" w:sz="4" w:space="0" w:color="000000"/>
              <w:left w:val="single" w:sz="4" w:space="0" w:color="000000"/>
              <w:bottom w:val="single" w:sz="4" w:space="0" w:color="000000"/>
              <w:right w:val="single" w:sz="4" w:space="0" w:color="000000"/>
            </w:tcBorders>
          </w:tcPr>
          <w:p w14:paraId="536396E0" w14:textId="77777777" w:rsidR="00973470" w:rsidRDefault="00000000">
            <w:pPr>
              <w:spacing w:line="240" w:lineRule="auto"/>
              <w:ind w:left="0" w:firstLine="0"/>
              <w:jc w:val="center"/>
              <w:rPr>
                <w:sz w:val="20"/>
                <w:szCs w:val="18"/>
                <w:lang w:val="en-ID"/>
              </w:rPr>
            </w:pPr>
            <w:r>
              <w:rPr>
                <w:sz w:val="20"/>
                <w:szCs w:val="18"/>
              </w:rPr>
              <w:t>Citrus aurantifolia essential oil</w:t>
            </w:r>
          </w:p>
        </w:tc>
        <w:tc>
          <w:tcPr>
            <w:tcW w:w="850" w:type="dxa"/>
            <w:tcBorders>
              <w:top w:val="single" w:sz="4" w:space="0" w:color="000000"/>
              <w:left w:val="single" w:sz="4" w:space="0" w:color="000000"/>
              <w:bottom w:val="single" w:sz="4" w:space="0" w:color="000000"/>
              <w:right w:val="single" w:sz="4" w:space="0" w:color="000000"/>
            </w:tcBorders>
          </w:tcPr>
          <w:p w14:paraId="2E9FF6C7" w14:textId="77777777" w:rsidR="00973470" w:rsidRDefault="00000000">
            <w:pPr>
              <w:spacing w:line="240" w:lineRule="auto"/>
              <w:ind w:left="0" w:firstLine="0"/>
              <w:jc w:val="center"/>
              <w:rPr>
                <w:sz w:val="20"/>
                <w:szCs w:val="18"/>
                <w:lang w:val="en-ID"/>
              </w:rPr>
            </w:pPr>
            <w:r>
              <w:rPr>
                <w:sz w:val="20"/>
                <w:szCs w:val="18"/>
              </w:rPr>
              <w:t>0.33 µL/cm²</w:t>
            </w:r>
          </w:p>
        </w:tc>
        <w:tc>
          <w:tcPr>
            <w:tcW w:w="851" w:type="dxa"/>
            <w:tcBorders>
              <w:top w:val="single" w:sz="4" w:space="0" w:color="000000"/>
              <w:left w:val="single" w:sz="4" w:space="0" w:color="000000"/>
              <w:bottom w:val="single" w:sz="4" w:space="0" w:color="000000"/>
              <w:right w:val="single" w:sz="4" w:space="0" w:color="000000"/>
            </w:tcBorders>
          </w:tcPr>
          <w:p w14:paraId="49CAFD3E" w14:textId="77777777" w:rsidR="00973470" w:rsidRDefault="00000000">
            <w:pPr>
              <w:spacing w:line="240" w:lineRule="auto"/>
              <w:ind w:left="0" w:firstLine="0"/>
              <w:jc w:val="center"/>
              <w:rPr>
                <w:sz w:val="20"/>
                <w:szCs w:val="18"/>
                <w:lang w:val="en-ID"/>
              </w:rPr>
            </w:pPr>
            <w:r>
              <w:rPr>
                <w:sz w:val="20"/>
                <w:szCs w:val="18"/>
              </w:rPr>
              <w:t>98.5</w:t>
            </w:r>
          </w:p>
        </w:tc>
        <w:tc>
          <w:tcPr>
            <w:tcW w:w="850" w:type="dxa"/>
            <w:tcBorders>
              <w:top w:val="single" w:sz="4" w:space="0" w:color="000000"/>
              <w:left w:val="single" w:sz="4" w:space="0" w:color="000000"/>
              <w:bottom w:val="single" w:sz="4" w:space="0" w:color="000000"/>
              <w:right w:val="single" w:sz="4" w:space="0" w:color="000000"/>
            </w:tcBorders>
          </w:tcPr>
          <w:p w14:paraId="0B622245" w14:textId="77777777" w:rsidR="00973470" w:rsidRDefault="00000000">
            <w:pPr>
              <w:spacing w:line="240" w:lineRule="auto"/>
              <w:ind w:left="0" w:firstLine="0"/>
              <w:jc w:val="center"/>
              <w:rPr>
                <w:sz w:val="20"/>
                <w:szCs w:val="18"/>
                <w:lang w:val="en-ID"/>
              </w:rPr>
            </w:pPr>
            <w:r>
              <w:rPr>
                <w:sz w:val="20"/>
                <w:szCs w:val="18"/>
              </w:rPr>
              <w:t>1.08</w:t>
            </w:r>
          </w:p>
        </w:tc>
        <w:tc>
          <w:tcPr>
            <w:tcW w:w="1843" w:type="dxa"/>
            <w:tcBorders>
              <w:top w:val="single" w:sz="4" w:space="0" w:color="000000"/>
              <w:left w:val="single" w:sz="4" w:space="0" w:color="000000"/>
              <w:bottom w:val="single" w:sz="4" w:space="0" w:color="000000"/>
              <w:right w:val="single" w:sz="4" w:space="0" w:color="000000"/>
            </w:tcBorders>
          </w:tcPr>
          <w:p w14:paraId="4EC97660" w14:textId="77777777" w:rsidR="00973470" w:rsidRDefault="00000000">
            <w:pPr>
              <w:spacing w:line="240" w:lineRule="auto"/>
              <w:ind w:left="0" w:firstLine="0"/>
              <w:jc w:val="center"/>
              <w:rPr>
                <w:sz w:val="20"/>
                <w:szCs w:val="18"/>
                <w:lang w:val="en-ID"/>
              </w:rPr>
            </w:pPr>
            <w:r>
              <w:rPr>
                <w:sz w:val="20"/>
                <w:szCs w:val="18"/>
              </w:rPr>
              <w:t>3 replicates/test solution</w:t>
            </w:r>
          </w:p>
        </w:tc>
        <w:tc>
          <w:tcPr>
            <w:tcW w:w="1588" w:type="dxa"/>
            <w:tcBorders>
              <w:top w:val="single" w:sz="4" w:space="0" w:color="000000"/>
              <w:left w:val="single" w:sz="4" w:space="0" w:color="000000"/>
              <w:bottom w:val="single" w:sz="4" w:space="0" w:color="000000"/>
              <w:right w:val="single" w:sz="4" w:space="0" w:color="000000"/>
            </w:tcBorders>
          </w:tcPr>
          <w:p w14:paraId="21CF1B64" w14:textId="77777777" w:rsidR="00973470" w:rsidRDefault="00000000">
            <w:pPr>
              <w:spacing w:line="240" w:lineRule="auto"/>
              <w:ind w:left="0" w:firstLine="0"/>
              <w:jc w:val="center"/>
              <w:rPr>
                <w:sz w:val="20"/>
                <w:szCs w:val="18"/>
                <w:lang w:val="en-ID"/>
              </w:rPr>
            </w:pPr>
            <w:r>
              <w:rPr>
                <w:sz w:val="20"/>
                <w:szCs w:val="18"/>
              </w:rPr>
              <w:t>Some concerns</w:t>
            </w:r>
          </w:p>
        </w:tc>
      </w:tr>
      <w:tr w:rsidR="00973470" w14:paraId="4BC949DE" w14:textId="77777777">
        <w:tc>
          <w:tcPr>
            <w:tcW w:w="1526" w:type="dxa"/>
            <w:tcBorders>
              <w:top w:val="single" w:sz="4" w:space="0" w:color="000000"/>
              <w:left w:val="single" w:sz="4" w:space="0" w:color="000000"/>
              <w:bottom w:val="single" w:sz="4" w:space="0" w:color="000000"/>
              <w:right w:val="single" w:sz="4" w:space="0" w:color="000000"/>
            </w:tcBorders>
          </w:tcPr>
          <w:p w14:paraId="2A2C5A93" w14:textId="77777777" w:rsidR="00973470" w:rsidRDefault="00000000">
            <w:pPr>
              <w:spacing w:line="240" w:lineRule="auto"/>
              <w:ind w:left="0" w:firstLine="0"/>
              <w:jc w:val="center"/>
              <w:rPr>
                <w:sz w:val="20"/>
                <w:szCs w:val="20"/>
                <w:lang w:val="en-ID"/>
              </w:rPr>
            </w:pPr>
            <w:r>
              <w:rPr>
                <w:sz w:val="20"/>
                <w:szCs w:val="20"/>
              </w:rPr>
              <w:t>Naucke et al. (2007)</w:t>
            </w:r>
          </w:p>
        </w:tc>
        <w:tc>
          <w:tcPr>
            <w:tcW w:w="1134" w:type="dxa"/>
            <w:tcBorders>
              <w:top w:val="single" w:sz="4" w:space="0" w:color="000000"/>
              <w:left w:val="single" w:sz="4" w:space="0" w:color="000000"/>
              <w:bottom w:val="single" w:sz="4" w:space="0" w:color="000000"/>
              <w:right w:val="single" w:sz="4" w:space="0" w:color="000000"/>
            </w:tcBorders>
          </w:tcPr>
          <w:p w14:paraId="029B8B01" w14:textId="77777777" w:rsidR="00973470" w:rsidRDefault="00000000">
            <w:pPr>
              <w:spacing w:line="240" w:lineRule="auto"/>
              <w:ind w:left="0" w:firstLine="0"/>
              <w:jc w:val="center"/>
              <w:rPr>
                <w:sz w:val="20"/>
                <w:szCs w:val="20"/>
                <w:lang w:val="en-ID"/>
              </w:rPr>
            </w:pPr>
            <w:r>
              <w:rPr>
                <w:sz w:val="20"/>
                <w:szCs w:val="20"/>
              </w:rPr>
              <w:t>Brazil</w:t>
            </w:r>
          </w:p>
        </w:tc>
        <w:tc>
          <w:tcPr>
            <w:tcW w:w="1559" w:type="dxa"/>
            <w:tcBorders>
              <w:top w:val="single" w:sz="4" w:space="0" w:color="000000"/>
              <w:left w:val="single" w:sz="4" w:space="0" w:color="000000"/>
              <w:bottom w:val="single" w:sz="4" w:space="0" w:color="000000"/>
              <w:right w:val="single" w:sz="4" w:space="0" w:color="000000"/>
            </w:tcBorders>
          </w:tcPr>
          <w:p w14:paraId="2430516C" w14:textId="77777777" w:rsidR="00973470" w:rsidRDefault="00000000">
            <w:pPr>
              <w:spacing w:line="240" w:lineRule="auto"/>
              <w:ind w:left="0" w:firstLine="0"/>
              <w:jc w:val="center"/>
              <w:rPr>
                <w:sz w:val="20"/>
                <w:szCs w:val="20"/>
                <w:lang w:val="en-ID"/>
              </w:rPr>
            </w:pPr>
            <w:r>
              <w:rPr>
                <w:sz w:val="20"/>
                <w:szCs w:val="20"/>
              </w:rPr>
              <w:t>Laboratory exp.</w:t>
            </w:r>
          </w:p>
        </w:tc>
        <w:tc>
          <w:tcPr>
            <w:tcW w:w="1134" w:type="dxa"/>
            <w:tcBorders>
              <w:top w:val="single" w:sz="4" w:space="0" w:color="000000"/>
              <w:left w:val="single" w:sz="4" w:space="0" w:color="000000"/>
              <w:bottom w:val="single" w:sz="4" w:space="0" w:color="000000"/>
              <w:right w:val="single" w:sz="4" w:space="0" w:color="000000"/>
            </w:tcBorders>
          </w:tcPr>
          <w:p w14:paraId="6CB06E95" w14:textId="77777777" w:rsidR="00973470" w:rsidRDefault="00000000">
            <w:pPr>
              <w:spacing w:line="240" w:lineRule="auto"/>
              <w:ind w:left="0" w:firstLine="0"/>
              <w:jc w:val="center"/>
              <w:rPr>
                <w:sz w:val="20"/>
                <w:szCs w:val="20"/>
                <w:lang w:val="en-ID"/>
              </w:rPr>
            </w:pPr>
            <w:r>
              <w:rPr>
                <w:sz w:val="20"/>
                <w:szCs w:val="20"/>
              </w:rPr>
              <w:t>Synthetic</w:t>
            </w:r>
          </w:p>
        </w:tc>
        <w:tc>
          <w:tcPr>
            <w:tcW w:w="2410" w:type="dxa"/>
            <w:tcBorders>
              <w:top w:val="single" w:sz="4" w:space="0" w:color="000000"/>
              <w:left w:val="single" w:sz="4" w:space="0" w:color="000000"/>
              <w:bottom w:val="single" w:sz="4" w:space="0" w:color="000000"/>
              <w:right w:val="single" w:sz="4" w:space="0" w:color="000000"/>
            </w:tcBorders>
          </w:tcPr>
          <w:p w14:paraId="478F2C82" w14:textId="77777777" w:rsidR="00973470" w:rsidRDefault="00000000">
            <w:pPr>
              <w:spacing w:line="240" w:lineRule="auto"/>
              <w:ind w:left="0" w:firstLine="0"/>
              <w:jc w:val="center"/>
              <w:rPr>
                <w:sz w:val="20"/>
                <w:szCs w:val="20"/>
                <w:lang w:val="en-ID"/>
              </w:rPr>
            </w:pPr>
            <w:r>
              <w:rPr>
                <w:sz w:val="20"/>
                <w:szCs w:val="20"/>
              </w:rPr>
              <w:t>Picaridin 20%, IR3535</w:t>
            </w:r>
          </w:p>
        </w:tc>
        <w:tc>
          <w:tcPr>
            <w:tcW w:w="850" w:type="dxa"/>
            <w:tcBorders>
              <w:top w:val="single" w:sz="4" w:space="0" w:color="000000"/>
              <w:left w:val="single" w:sz="4" w:space="0" w:color="000000"/>
              <w:bottom w:val="single" w:sz="4" w:space="0" w:color="000000"/>
              <w:right w:val="single" w:sz="4" w:space="0" w:color="000000"/>
            </w:tcBorders>
          </w:tcPr>
          <w:p w14:paraId="5AAB6419" w14:textId="77777777" w:rsidR="00973470" w:rsidRDefault="00000000">
            <w:pPr>
              <w:spacing w:line="240" w:lineRule="auto"/>
              <w:ind w:left="0" w:firstLine="0"/>
              <w:jc w:val="center"/>
              <w:rPr>
                <w:sz w:val="20"/>
                <w:szCs w:val="20"/>
                <w:lang w:val="en-ID"/>
              </w:rPr>
            </w:pPr>
            <w:r>
              <w:rPr>
                <w:sz w:val="20"/>
                <w:szCs w:val="20"/>
              </w:rPr>
              <w:t>20</w:t>
            </w:r>
          </w:p>
        </w:tc>
        <w:tc>
          <w:tcPr>
            <w:tcW w:w="851" w:type="dxa"/>
            <w:tcBorders>
              <w:top w:val="single" w:sz="4" w:space="0" w:color="000000"/>
              <w:left w:val="single" w:sz="4" w:space="0" w:color="000000"/>
              <w:bottom w:val="single" w:sz="4" w:space="0" w:color="000000"/>
              <w:right w:val="single" w:sz="4" w:space="0" w:color="000000"/>
            </w:tcBorders>
          </w:tcPr>
          <w:p w14:paraId="7C2BE9FF" w14:textId="77777777" w:rsidR="00973470" w:rsidRDefault="00000000">
            <w:pPr>
              <w:spacing w:line="240" w:lineRule="auto"/>
              <w:ind w:left="0" w:firstLine="0"/>
              <w:jc w:val="center"/>
              <w:rPr>
                <w:sz w:val="20"/>
                <w:szCs w:val="20"/>
                <w:lang w:val="en-ID"/>
              </w:rPr>
            </w:pPr>
            <w:r>
              <w:rPr>
                <w:sz w:val="20"/>
                <w:szCs w:val="20"/>
              </w:rPr>
              <w:t>94.3</w:t>
            </w:r>
          </w:p>
        </w:tc>
        <w:tc>
          <w:tcPr>
            <w:tcW w:w="850" w:type="dxa"/>
            <w:tcBorders>
              <w:top w:val="single" w:sz="4" w:space="0" w:color="000000"/>
              <w:left w:val="single" w:sz="4" w:space="0" w:color="000000"/>
              <w:bottom w:val="single" w:sz="4" w:space="0" w:color="000000"/>
              <w:right w:val="single" w:sz="4" w:space="0" w:color="000000"/>
            </w:tcBorders>
          </w:tcPr>
          <w:p w14:paraId="3BBCD073" w14:textId="77777777" w:rsidR="00973470" w:rsidRDefault="00000000">
            <w:pPr>
              <w:spacing w:line="240" w:lineRule="auto"/>
              <w:ind w:left="0" w:firstLine="0"/>
              <w:jc w:val="center"/>
              <w:rPr>
                <w:sz w:val="20"/>
                <w:szCs w:val="20"/>
                <w:lang w:val="en-ID"/>
              </w:rPr>
            </w:pPr>
            <w:r>
              <w:rPr>
                <w:sz w:val="20"/>
                <w:szCs w:val="20"/>
              </w:rPr>
              <w:t>6.8</w:t>
            </w:r>
          </w:p>
        </w:tc>
        <w:tc>
          <w:tcPr>
            <w:tcW w:w="1843" w:type="dxa"/>
            <w:tcBorders>
              <w:top w:val="single" w:sz="4" w:space="0" w:color="000000"/>
              <w:left w:val="single" w:sz="4" w:space="0" w:color="000000"/>
              <w:bottom w:val="single" w:sz="4" w:space="0" w:color="000000"/>
              <w:right w:val="single" w:sz="4" w:space="0" w:color="000000"/>
            </w:tcBorders>
          </w:tcPr>
          <w:p w14:paraId="5595AC82" w14:textId="77777777" w:rsidR="00973470" w:rsidRDefault="00000000">
            <w:pPr>
              <w:spacing w:line="240" w:lineRule="auto"/>
              <w:ind w:left="0" w:firstLine="0"/>
              <w:jc w:val="center"/>
              <w:rPr>
                <w:sz w:val="20"/>
                <w:szCs w:val="20"/>
                <w:lang w:val="en-ID"/>
              </w:rPr>
            </w:pPr>
            <w:r>
              <w:rPr>
                <w:sz w:val="20"/>
                <w:szCs w:val="20"/>
              </w:rPr>
              <w:t>130</w:t>
            </w:r>
          </w:p>
        </w:tc>
        <w:tc>
          <w:tcPr>
            <w:tcW w:w="1588" w:type="dxa"/>
            <w:tcBorders>
              <w:top w:val="single" w:sz="4" w:space="0" w:color="000000"/>
              <w:left w:val="single" w:sz="4" w:space="0" w:color="000000"/>
              <w:bottom w:val="single" w:sz="4" w:space="0" w:color="000000"/>
              <w:right w:val="single" w:sz="4" w:space="0" w:color="000000"/>
            </w:tcBorders>
          </w:tcPr>
          <w:p w14:paraId="6A07E42C" w14:textId="77777777" w:rsidR="00973470" w:rsidRDefault="00000000">
            <w:pPr>
              <w:spacing w:line="240" w:lineRule="auto"/>
              <w:ind w:left="0" w:firstLine="0"/>
              <w:jc w:val="center"/>
              <w:rPr>
                <w:sz w:val="20"/>
                <w:szCs w:val="20"/>
                <w:lang w:val="en-ID"/>
              </w:rPr>
            </w:pPr>
            <w:r>
              <w:rPr>
                <w:sz w:val="20"/>
                <w:szCs w:val="20"/>
              </w:rPr>
              <w:t>Low</w:t>
            </w:r>
          </w:p>
        </w:tc>
      </w:tr>
      <w:tr w:rsidR="00973470" w14:paraId="0B6EAB63" w14:textId="77777777">
        <w:tc>
          <w:tcPr>
            <w:tcW w:w="1526" w:type="dxa"/>
            <w:tcBorders>
              <w:top w:val="single" w:sz="4" w:space="0" w:color="000000"/>
              <w:left w:val="single" w:sz="4" w:space="0" w:color="000000"/>
              <w:bottom w:val="single" w:sz="4" w:space="0" w:color="000000"/>
              <w:right w:val="single" w:sz="4" w:space="0" w:color="000000"/>
            </w:tcBorders>
          </w:tcPr>
          <w:p w14:paraId="0423BA58" w14:textId="77777777" w:rsidR="00973470" w:rsidRDefault="00000000">
            <w:pPr>
              <w:spacing w:line="240" w:lineRule="auto"/>
              <w:ind w:left="0" w:firstLine="0"/>
              <w:jc w:val="center"/>
              <w:rPr>
                <w:sz w:val="20"/>
                <w:szCs w:val="20"/>
                <w:lang w:val="en-ID"/>
              </w:rPr>
            </w:pPr>
            <w:r>
              <w:rPr>
                <w:sz w:val="20"/>
                <w:szCs w:val="20"/>
              </w:rPr>
              <w:t>Trongtokit et al. (2005)</w:t>
            </w:r>
          </w:p>
        </w:tc>
        <w:tc>
          <w:tcPr>
            <w:tcW w:w="1134" w:type="dxa"/>
            <w:tcBorders>
              <w:top w:val="single" w:sz="4" w:space="0" w:color="000000"/>
              <w:left w:val="single" w:sz="4" w:space="0" w:color="000000"/>
              <w:bottom w:val="single" w:sz="4" w:space="0" w:color="000000"/>
              <w:right w:val="single" w:sz="4" w:space="0" w:color="000000"/>
            </w:tcBorders>
          </w:tcPr>
          <w:p w14:paraId="69B07CA3" w14:textId="77777777" w:rsidR="00973470" w:rsidRDefault="00000000">
            <w:pPr>
              <w:spacing w:line="240" w:lineRule="auto"/>
              <w:ind w:left="0" w:firstLine="0"/>
              <w:jc w:val="center"/>
              <w:rPr>
                <w:sz w:val="20"/>
                <w:szCs w:val="20"/>
                <w:lang w:val="en-ID"/>
              </w:rPr>
            </w:pPr>
            <w:r>
              <w:rPr>
                <w:sz w:val="20"/>
                <w:szCs w:val="20"/>
              </w:rPr>
              <w:t>Thailand</w:t>
            </w:r>
          </w:p>
        </w:tc>
        <w:tc>
          <w:tcPr>
            <w:tcW w:w="1559" w:type="dxa"/>
            <w:tcBorders>
              <w:top w:val="single" w:sz="4" w:space="0" w:color="000000"/>
              <w:left w:val="single" w:sz="4" w:space="0" w:color="000000"/>
              <w:bottom w:val="single" w:sz="4" w:space="0" w:color="000000"/>
              <w:right w:val="single" w:sz="4" w:space="0" w:color="000000"/>
            </w:tcBorders>
          </w:tcPr>
          <w:p w14:paraId="32AA5BAC" w14:textId="77777777" w:rsidR="00973470" w:rsidRDefault="00000000">
            <w:pPr>
              <w:spacing w:line="240" w:lineRule="auto"/>
              <w:ind w:left="0" w:firstLine="0"/>
              <w:jc w:val="center"/>
              <w:rPr>
                <w:sz w:val="20"/>
                <w:szCs w:val="20"/>
                <w:lang w:val="en-ID"/>
              </w:rPr>
            </w:pPr>
            <w:r>
              <w:rPr>
                <w:sz w:val="20"/>
                <w:szCs w:val="20"/>
              </w:rPr>
              <w:t>Laboratory exp.</w:t>
            </w:r>
          </w:p>
        </w:tc>
        <w:tc>
          <w:tcPr>
            <w:tcW w:w="1134" w:type="dxa"/>
            <w:tcBorders>
              <w:top w:val="single" w:sz="4" w:space="0" w:color="000000"/>
              <w:left w:val="single" w:sz="4" w:space="0" w:color="000000"/>
              <w:bottom w:val="single" w:sz="4" w:space="0" w:color="000000"/>
              <w:right w:val="single" w:sz="4" w:space="0" w:color="000000"/>
            </w:tcBorders>
          </w:tcPr>
          <w:p w14:paraId="4C8BA2E3" w14:textId="77777777" w:rsidR="00973470" w:rsidRDefault="00000000">
            <w:pPr>
              <w:spacing w:line="240" w:lineRule="auto"/>
              <w:ind w:left="0" w:firstLine="0"/>
              <w:jc w:val="center"/>
              <w:rPr>
                <w:sz w:val="20"/>
                <w:szCs w:val="20"/>
                <w:lang w:val="en-ID"/>
              </w:rPr>
            </w:pPr>
            <w:r>
              <w:rPr>
                <w:sz w:val="20"/>
                <w:szCs w:val="20"/>
              </w:rPr>
              <w:t>Natural</w:t>
            </w:r>
          </w:p>
        </w:tc>
        <w:tc>
          <w:tcPr>
            <w:tcW w:w="2410" w:type="dxa"/>
            <w:tcBorders>
              <w:top w:val="single" w:sz="4" w:space="0" w:color="000000"/>
              <w:left w:val="single" w:sz="4" w:space="0" w:color="000000"/>
              <w:bottom w:val="single" w:sz="4" w:space="0" w:color="000000"/>
              <w:right w:val="single" w:sz="4" w:space="0" w:color="000000"/>
            </w:tcBorders>
          </w:tcPr>
          <w:p w14:paraId="23F4AA4B" w14:textId="77777777" w:rsidR="00973470" w:rsidRDefault="00000000">
            <w:pPr>
              <w:spacing w:line="240" w:lineRule="auto"/>
              <w:ind w:left="0" w:firstLine="0"/>
              <w:jc w:val="center"/>
              <w:rPr>
                <w:sz w:val="20"/>
                <w:szCs w:val="20"/>
                <w:lang w:val="en-ID"/>
              </w:rPr>
            </w:pPr>
            <w:r>
              <w:rPr>
                <w:sz w:val="20"/>
                <w:szCs w:val="20"/>
              </w:rPr>
              <w:t>Herbal plant EOs</w:t>
            </w:r>
          </w:p>
        </w:tc>
        <w:tc>
          <w:tcPr>
            <w:tcW w:w="850" w:type="dxa"/>
            <w:tcBorders>
              <w:top w:val="single" w:sz="4" w:space="0" w:color="000000"/>
              <w:left w:val="single" w:sz="4" w:space="0" w:color="000000"/>
              <w:bottom w:val="single" w:sz="4" w:space="0" w:color="000000"/>
              <w:right w:val="single" w:sz="4" w:space="0" w:color="000000"/>
            </w:tcBorders>
          </w:tcPr>
          <w:p w14:paraId="7C35D230" w14:textId="77777777" w:rsidR="00973470" w:rsidRDefault="00000000">
            <w:pPr>
              <w:spacing w:line="240" w:lineRule="auto"/>
              <w:ind w:left="0" w:firstLine="0"/>
              <w:jc w:val="center"/>
              <w:rPr>
                <w:sz w:val="20"/>
                <w:szCs w:val="20"/>
                <w:lang w:val="en-ID"/>
              </w:rPr>
            </w:pPr>
            <w:r>
              <w:rPr>
                <w:sz w:val="20"/>
                <w:szCs w:val="20"/>
              </w:rPr>
              <w:t>10–20</w:t>
            </w:r>
          </w:p>
        </w:tc>
        <w:tc>
          <w:tcPr>
            <w:tcW w:w="851" w:type="dxa"/>
            <w:tcBorders>
              <w:top w:val="single" w:sz="4" w:space="0" w:color="000000"/>
              <w:left w:val="single" w:sz="4" w:space="0" w:color="000000"/>
              <w:bottom w:val="single" w:sz="4" w:space="0" w:color="000000"/>
              <w:right w:val="single" w:sz="4" w:space="0" w:color="000000"/>
            </w:tcBorders>
          </w:tcPr>
          <w:p w14:paraId="37CD7E90" w14:textId="77777777" w:rsidR="00973470" w:rsidRDefault="00000000">
            <w:pPr>
              <w:spacing w:line="240" w:lineRule="auto"/>
              <w:ind w:left="0" w:firstLine="0"/>
              <w:jc w:val="center"/>
              <w:rPr>
                <w:sz w:val="20"/>
                <w:szCs w:val="20"/>
                <w:lang w:val="en-ID"/>
              </w:rPr>
            </w:pPr>
            <w:r>
              <w:rPr>
                <w:sz w:val="20"/>
                <w:szCs w:val="20"/>
              </w:rPr>
              <w:t>66.0</w:t>
            </w:r>
          </w:p>
        </w:tc>
        <w:tc>
          <w:tcPr>
            <w:tcW w:w="850" w:type="dxa"/>
            <w:tcBorders>
              <w:top w:val="single" w:sz="4" w:space="0" w:color="000000"/>
              <w:left w:val="single" w:sz="4" w:space="0" w:color="000000"/>
              <w:bottom w:val="single" w:sz="4" w:space="0" w:color="000000"/>
              <w:right w:val="single" w:sz="4" w:space="0" w:color="000000"/>
            </w:tcBorders>
          </w:tcPr>
          <w:p w14:paraId="617D2F5B" w14:textId="77777777" w:rsidR="00973470" w:rsidRDefault="00000000">
            <w:pPr>
              <w:spacing w:line="240" w:lineRule="auto"/>
              <w:ind w:left="0" w:firstLine="0"/>
              <w:jc w:val="center"/>
              <w:rPr>
                <w:sz w:val="20"/>
                <w:szCs w:val="20"/>
                <w:lang w:val="en-ID"/>
              </w:rPr>
            </w:pPr>
            <w:r>
              <w:rPr>
                <w:sz w:val="20"/>
                <w:szCs w:val="20"/>
              </w:rPr>
              <w:t>2.6</w:t>
            </w:r>
          </w:p>
        </w:tc>
        <w:tc>
          <w:tcPr>
            <w:tcW w:w="1843" w:type="dxa"/>
            <w:tcBorders>
              <w:top w:val="single" w:sz="4" w:space="0" w:color="000000"/>
              <w:left w:val="single" w:sz="4" w:space="0" w:color="000000"/>
              <w:bottom w:val="single" w:sz="4" w:space="0" w:color="000000"/>
              <w:right w:val="single" w:sz="4" w:space="0" w:color="000000"/>
            </w:tcBorders>
          </w:tcPr>
          <w:p w14:paraId="1A8E961F" w14:textId="77777777" w:rsidR="00973470" w:rsidRDefault="00000000">
            <w:pPr>
              <w:spacing w:line="240" w:lineRule="auto"/>
              <w:ind w:left="0" w:firstLine="0"/>
              <w:jc w:val="center"/>
              <w:rPr>
                <w:sz w:val="20"/>
                <w:szCs w:val="20"/>
                <w:lang w:val="en-ID"/>
              </w:rPr>
            </w:pPr>
            <w:r>
              <w:rPr>
                <w:sz w:val="20"/>
                <w:szCs w:val="20"/>
              </w:rPr>
              <w:t>50</w:t>
            </w:r>
          </w:p>
        </w:tc>
        <w:tc>
          <w:tcPr>
            <w:tcW w:w="1588" w:type="dxa"/>
            <w:tcBorders>
              <w:top w:val="single" w:sz="4" w:space="0" w:color="000000"/>
              <w:left w:val="single" w:sz="4" w:space="0" w:color="000000"/>
              <w:bottom w:val="single" w:sz="4" w:space="0" w:color="000000"/>
              <w:right w:val="single" w:sz="4" w:space="0" w:color="000000"/>
            </w:tcBorders>
          </w:tcPr>
          <w:p w14:paraId="6B21D17D" w14:textId="77777777" w:rsidR="00973470" w:rsidRDefault="00000000">
            <w:pPr>
              <w:spacing w:line="240" w:lineRule="auto"/>
              <w:ind w:left="0" w:firstLine="0"/>
              <w:jc w:val="center"/>
              <w:rPr>
                <w:sz w:val="20"/>
                <w:szCs w:val="20"/>
                <w:lang w:val="en-ID"/>
              </w:rPr>
            </w:pPr>
            <w:r>
              <w:rPr>
                <w:sz w:val="20"/>
                <w:szCs w:val="20"/>
              </w:rPr>
              <w:t>High</w:t>
            </w:r>
          </w:p>
        </w:tc>
      </w:tr>
      <w:tr w:rsidR="00973470" w14:paraId="29A309C8" w14:textId="77777777">
        <w:tc>
          <w:tcPr>
            <w:tcW w:w="1526" w:type="dxa"/>
            <w:tcBorders>
              <w:top w:val="single" w:sz="4" w:space="0" w:color="000000"/>
              <w:left w:val="single" w:sz="4" w:space="0" w:color="000000"/>
              <w:bottom w:val="single" w:sz="4" w:space="0" w:color="000000"/>
              <w:right w:val="single" w:sz="4" w:space="0" w:color="000000"/>
            </w:tcBorders>
          </w:tcPr>
          <w:p w14:paraId="2FB1BBEC" w14:textId="77777777" w:rsidR="00973470" w:rsidRDefault="00000000">
            <w:pPr>
              <w:spacing w:line="240" w:lineRule="auto"/>
              <w:ind w:left="0" w:firstLine="0"/>
              <w:jc w:val="center"/>
              <w:rPr>
                <w:sz w:val="20"/>
                <w:szCs w:val="20"/>
                <w:lang w:val="en-ID"/>
              </w:rPr>
            </w:pPr>
            <w:r>
              <w:rPr>
                <w:sz w:val="20"/>
                <w:szCs w:val="20"/>
              </w:rPr>
              <w:t>Frances et al. (2014)</w:t>
            </w:r>
          </w:p>
        </w:tc>
        <w:tc>
          <w:tcPr>
            <w:tcW w:w="1134" w:type="dxa"/>
            <w:tcBorders>
              <w:top w:val="single" w:sz="4" w:space="0" w:color="000000"/>
              <w:left w:val="single" w:sz="4" w:space="0" w:color="000000"/>
              <w:bottom w:val="single" w:sz="4" w:space="0" w:color="000000"/>
              <w:right w:val="single" w:sz="4" w:space="0" w:color="000000"/>
            </w:tcBorders>
          </w:tcPr>
          <w:p w14:paraId="50832719" w14:textId="77777777" w:rsidR="00973470" w:rsidRDefault="00000000">
            <w:pPr>
              <w:spacing w:line="240" w:lineRule="auto"/>
              <w:ind w:left="0" w:firstLine="0"/>
              <w:jc w:val="center"/>
              <w:rPr>
                <w:sz w:val="20"/>
                <w:szCs w:val="20"/>
                <w:lang w:val="en-ID"/>
              </w:rPr>
            </w:pPr>
            <w:r>
              <w:rPr>
                <w:sz w:val="20"/>
                <w:szCs w:val="20"/>
              </w:rPr>
              <w:t>Australia</w:t>
            </w:r>
          </w:p>
        </w:tc>
        <w:tc>
          <w:tcPr>
            <w:tcW w:w="1559" w:type="dxa"/>
            <w:tcBorders>
              <w:top w:val="single" w:sz="4" w:space="0" w:color="000000"/>
              <w:left w:val="single" w:sz="4" w:space="0" w:color="000000"/>
              <w:bottom w:val="single" w:sz="4" w:space="0" w:color="000000"/>
              <w:right w:val="single" w:sz="4" w:space="0" w:color="000000"/>
            </w:tcBorders>
          </w:tcPr>
          <w:p w14:paraId="527FC62B" w14:textId="77777777" w:rsidR="00973470" w:rsidRDefault="00000000">
            <w:pPr>
              <w:spacing w:line="240" w:lineRule="auto"/>
              <w:ind w:left="0" w:firstLine="0"/>
              <w:jc w:val="center"/>
              <w:rPr>
                <w:sz w:val="20"/>
                <w:szCs w:val="20"/>
                <w:lang w:val="en-ID"/>
              </w:rPr>
            </w:pPr>
            <w:r>
              <w:rPr>
                <w:sz w:val="20"/>
                <w:szCs w:val="20"/>
              </w:rPr>
              <w:t>Field RCT</w:t>
            </w:r>
          </w:p>
        </w:tc>
        <w:tc>
          <w:tcPr>
            <w:tcW w:w="1134" w:type="dxa"/>
            <w:tcBorders>
              <w:top w:val="single" w:sz="4" w:space="0" w:color="000000"/>
              <w:left w:val="single" w:sz="4" w:space="0" w:color="000000"/>
              <w:bottom w:val="single" w:sz="4" w:space="0" w:color="000000"/>
              <w:right w:val="single" w:sz="4" w:space="0" w:color="000000"/>
            </w:tcBorders>
          </w:tcPr>
          <w:p w14:paraId="0AE24288" w14:textId="77777777" w:rsidR="00973470" w:rsidRDefault="00000000">
            <w:pPr>
              <w:spacing w:line="240" w:lineRule="auto"/>
              <w:ind w:left="0" w:firstLine="0"/>
              <w:jc w:val="center"/>
              <w:rPr>
                <w:sz w:val="20"/>
                <w:szCs w:val="20"/>
                <w:lang w:val="en-ID"/>
              </w:rPr>
            </w:pPr>
            <w:r>
              <w:rPr>
                <w:sz w:val="20"/>
                <w:szCs w:val="20"/>
              </w:rPr>
              <w:t>Synthetic</w:t>
            </w:r>
          </w:p>
        </w:tc>
        <w:tc>
          <w:tcPr>
            <w:tcW w:w="2410" w:type="dxa"/>
            <w:tcBorders>
              <w:top w:val="single" w:sz="4" w:space="0" w:color="000000"/>
              <w:left w:val="single" w:sz="4" w:space="0" w:color="000000"/>
              <w:bottom w:val="single" w:sz="4" w:space="0" w:color="000000"/>
              <w:right w:val="single" w:sz="4" w:space="0" w:color="000000"/>
            </w:tcBorders>
          </w:tcPr>
          <w:p w14:paraId="251F05E4" w14:textId="77777777" w:rsidR="00973470" w:rsidRDefault="00000000">
            <w:pPr>
              <w:spacing w:line="240" w:lineRule="auto"/>
              <w:ind w:left="0" w:firstLine="0"/>
              <w:jc w:val="center"/>
              <w:rPr>
                <w:sz w:val="20"/>
                <w:szCs w:val="20"/>
                <w:lang w:val="en-ID"/>
              </w:rPr>
            </w:pPr>
            <w:r>
              <w:rPr>
                <w:sz w:val="20"/>
                <w:szCs w:val="20"/>
              </w:rPr>
              <w:t>DEET 20%, Picaridin</w:t>
            </w:r>
          </w:p>
        </w:tc>
        <w:tc>
          <w:tcPr>
            <w:tcW w:w="850" w:type="dxa"/>
            <w:tcBorders>
              <w:top w:val="single" w:sz="4" w:space="0" w:color="000000"/>
              <w:left w:val="single" w:sz="4" w:space="0" w:color="000000"/>
              <w:bottom w:val="single" w:sz="4" w:space="0" w:color="000000"/>
              <w:right w:val="single" w:sz="4" w:space="0" w:color="000000"/>
            </w:tcBorders>
          </w:tcPr>
          <w:p w14:paraId="3231D54B" w14:textId="77777777" w:rsidR="00973470" w:rsidRDefault="00000000">
            <w:pPr>
              <w:spacing w:line="240" w:lineRule="auto"/>
              <w:ind w:left="0" w:firstLine="0"/>
              <w:jc w:val="center"/>
              <w:rPr>
                <w:sz w:val="20"/>
                <w:szCs w:val="20"/>
                <w:lang w:val="en-ID"/>
              </w:rPr>
            </w:pPr>
            <w:r>
              <w:rPr>
                <w:sz w:val="20"/>
                <w:szCs w:val="20"/>
              </w:rPr>
              <w:t>19.2–20</w:t>
            </w:r>
          </w:p>
        </w:tc>
        <w:tc>
          <w:tcPr>
            <w:tcW w:w="851" w:type="dxa"/>
            <w:tcBorders>
              <w:top w:val="single" w:sz="4" w:space="0" w:color="000000"/>
              <w:left w:val="single" w:sz="4" w:space="0" w:color="000000"/>
              <w:bottom w:val="single" w:sz="4" w:space="0" w:color="000000"/>
              <w:right w:val="single" w:sz="4" w:space="0" w:color="000000"/>
            </w:tcBorders>
          </w:tcPr>
          <w:p w14:paraId="3CD07371" w14:textId="77777777" w:rsidR="00973470" w:rsidRDefault="00000000">
            <w:pPr>
              <w:spacing w:line="240" w:lineRule="auto"/>
              <w:ind w:left="0" w:firstLine="0"/>
              <w:jc w:val="center"/>
              <w:rPr>
                <w:sz w:val="20"/>
                <w:szCs w:val="20"/>
                <w:lang w:val="en-ID"/>
              </w:rPr>
            </w:pPr>
            <w:r>
              <w:rPr>
                <w:sz w:val="20"/>
                <w:szCs w:val="20"/>
              </w:rPr>
              <w:t>96.1</w:t>
            </w:r>
          </w:p>
        </w:tc>
        <w:tc>
          <w:tcPr>
            <w:tcW w:w="850" w:type="dxa"/>
            <w:tcBorders>
              <w:top w:val="single" w:sz="4" w:space="0" w:color="000000"/>
              <w:left w:val="single" w:sz="4" w:space="0" w:color="000000"/>
              <w:bottom w:val="single" w:sz="4" w:space="0" w:color="000000"/>
              <w:right w:val="single" w:sz="4" w:space="0" w:color="000000"/>
            </w:tcBorders>
          </w:tcPr>
          <w:p w14:paraId="23E97DAF" w14:textId="77777777" w:rsidR="00973470" w:rsidRDefault="00000000">
            <w:pPr>
              <w:spacing w:line="240" w:lineRule="auto"/>
              <w:ind w:left="0" w:firstLine="0"/>
              <w:jc w:val="center"/>
              <w:rPr>
                <w:sz w:val="20"/>
                <w:szCs w:val="20"/>
                <w:lang w:val="en-ID"/>
              </w:rPr>
            </w:pPr>
            <w:r>
              <w:rPr>
                <w:sz w:val="20"/>
                <w:szCs w:val="20"/>
              </w:rPr>
              <w:t>7.2</w:t>
            </w:r>
          </w:p>
        </w:tc>
        <w:tc>
          <w:tcPr>
            <w:tcW w:w="1843" w:type="dxa"/>
            <w:tcBorders>
              <w:top w:val="single" w:sz="4" w:space="0" w:color="000000"/>
              <w:left w:val="single" w:sz="4" w:space="0" w:color="000000"/>
              <w:bottom w:val="single" w:sz="4" w:space="0" w:color="000000"/>
              <w:right w:val="single" w:sz="4" w:space="0" w:color="000000"/>
            </w:tcBorders>
          </w:tcPr>
          <w:p w14:paraId="4F876EED" w14:textId="77777777" w:rsidR="00973470" w:rsidRDefault="00000000">
            <w:pPr>
              <w:spacing w:line="240" w:lineRule="auto"/>
              <w:ind w:left="0" w:firstLine="0"/>
              <w:jc w:val="center"/>
              <w:rPr>
                <w:sz w:val="20"/>
                <w:szCs w:val="20"/>
                <w:lang w:val="en-ID"/>
              </w:rPr>
            </w:pPr>
            <w:r>
              <w:rPr>
                <w:sz w:val="20"/>
                <w:szCs w:val="20"/>
              </w:rPr>
              <w:t>160</w:t>
            </w:r>
          </w:p>
        </w:tc>
        <w:tc>
          <w:tcPr>
            <w:tcW w:w="1588" w:type="dxa"/>
            <w:tcBorders>
              <w:top w:val="single" w:sz="4" w:space="0" w:color="000000"/>
              <w:left w:val="single" w:sz="4" w:space="0" w:color="000000"/>
              <w:bottom w:val="single" w:sz="4" w:space="0" w:color="000000"/>
              <w:right w:val="single" w:sz="4" w:space="0" w:color="000000"/>
            </w:tcBorders>
          </w:tcPr>
          <w:p w14:paraId="19B75776" w14:textId="77777777" w:rsidR="00973470" w:rsidRDefault="00000000">
            <w:pPr>
              <w:spacing w:line="240" w:lineRule="auto"/>
              <w:ind w:left="0" w:firstLine="0"/>
              <w:jc w:val="center"/>
              <w:rPr>
                <w:sz w:val="20"/>
                <w:szCs w:val="20"/>
                <w:lang w:val="en-ID"/>
              </w:rPr>
            </w:pPr>
            <w:r>
              <w:rPr>
                <w:sz w:val="20"/>
                <w:szCs w:val="20"/>
              </w:rPr>
              <w:t>Low</w:t>
            </w:r>
          </w:p>
        </w:tc>
      </w:tr>
    </w:tbl>
    <w:p w14:paraId="6EBB152C" w14:textId="77777777" w:rsidR="00973470" w:rsidRDefault="00973470">
      <w:pPr>
        <w:spacing w:line="240" w:lineRule="auto"/>
        <w:ind w:left="0" w:firstLine="0"/>
        <w:rPr>
          <w:b/>
          <w:bCs/>
          <w:szCs w:val="24"/>
          <w:lang w:val="en-ID"/>
        </w:rPr>
      </w:pPr>
    </w:p>
    <w:p w14:paraId="301BA6BA" w14:textId="77777777" w:rsidR="00973470" w:rsidRDefault="00000000">
      <w:pPr>
        <w:spacing w:line="240" w:lineRule="auto"/>
        <w:ind w:left="0" w:firstLine="0"/>
        <w:rPr>
          <w:szCs w:val="24"/>
        </w:rPr>
      </w:pPr>
      <w:r>
        <w:rPr>
          <w:b/>
          <w:bCs/>
          <w:szCs w:val="24"/>
        </w:rPr>
        <w:lastRenderedPageBreak/>
        <w:t>Abbreviations:</w:t>
      </w:r>
      <w:r>
        <w:rPr>
          <w:szCs w:val="24"/>
        </w:rPr>
        <w:t xml:space="preserve"> PP%, protection percentage; CPT, complete protection time; RCT, randomized controlled trial; EO, essential oil; DEET, N,N-diethyl-3-methylbenzamide; IR3535, ethyl butylacetylaminopropionate; N/A, not reported or not applicable. The variable </w:t>
      </w:r>
      <w:r>
        <w:rPr>
          <w:i/>
          <w:iCs/>
          <w:szCs w:val="24"/>
        </w:rPr>
        <w:t>n</w:t>
      </w:r>
      <w:r>
        <w:rPr>
          <w:szCs w:val="24"/>
        </w:rPr>
        <w:t xml:space="preserve"> represents the sample size reported by the original study and may refer to human participants or experimental replicates depending on study design.</w:t>
      </w:r>
      <w:r w:rsidR="00D957CC">
        <w:rPr>
          <w:szCs w:val="24"/>
        </w:rPr>
        <w:t xml:space="preserve"> </w:t>
      </w:r>
      <w:r>
        <w:rPr>
          <w:szCs w:val="24"/>
        </w:rPr>
        <w:t xml:space="preserve">Concentration values are presented as reported in the original publication. </w:t>
      </w:r>
    </w:p>
    <w:p w14:paraId="1A2818D2" w14:textId="33B13249" w:rsidR="00D957CC" w:rsidRDefault="00D957CC">
      <w:pPr>
        <w:spacing w:line="240" w:lineRule="auto"/>
        <w:ind w:left="0" w:firstLine="0"/>
        <w:rPr>
          <w:szCs w:val="24"/>
        </w:rPr>
        <w:sectPr w:rsidR="00D957CC">
          <w:pgSz w:w="16838" w:h="11906" w:orient="landscape"/>
          <w:pgMar w:top="1440" w:right="1440" w:bottom="1440" w:left="1440" w:header="0" w:footer="0" w:gutter="0"/>
          <w:cols w:space="720"/>
          <w:formProt w:val="0"/>
          <w:docGrid w:linePitch="326"/>
        </w:sectPr>
      </w:pPr>
    </w:p>
    <w:p w14:paraId="0F4CF00E" w14:textId="77777777" w:rsidR="00973470" w:rsidRDefault="00973470">
      <w:pPr>
        <w:spacing w:line="240" w:lineRule="auto"/>
        <w:ind w:left="0" w:firstLine="0"/>
        <w:rPr>
          <w:b/>
          <w:bCs/>
          <w:szCs w:val="24"/>
          <w:lang w:val="en-ID"/>
        </w:rPr>
      </w:pPr>
    </w:p>
    <w:p w14:paraId="15A212AB" w14:textId="77777777" w:rsidR="00973470" w:rsidRDefault="00000000">
      <w:pPr>
        <w:spacing w:line="240" w:lineRule="auto"/>
        <w:ind w:left="0" w:firstLine="0"/>
        <w:rPr>
          <w:szCs w:val="24"/>
          <w:lang w:val="en-ID"/>
        </w:rPr>
      </w:pPr>
      <w:r>
        <w:rPr>
          <w:rFonts w:eastAsia="Times New Roman"/>
          <w:szCs w:val="24"/>
          <w:lang w:val="en-ID"/>
        </w:rPr>
        <w:t xml:space="preserve"> </w:t>
      </w:r>
    </w:p>
    <w:p w14:paraId="05B2EBD6" w14:textId="18BC71AD" w:rsidR="00973470" w:rsidRDefault="00000000">
      <w:pPr>
        <w:keepNext/>
        <w:spacing w:line="240" w:lineRule="auto"/>
        <w:ind w:left="0" w:firstLine="0"/>
        <w:rPr>
          <w:szCs w:val="24"/>
        </w:rPr>
      </w:pPr>
      <w:r>
        <w:rPr>
          <w:noProof/>
          <w:szCs w:val="24"/>
          <w:lang w:eastAsia="en-US"/>
        </w:rPr>
        <w:pict w14:anchorId="6A302A6E">
          <v:shape id="Image2" o:spid="_x0000_i1027" type="#_x0000_t75" style="width:451.5pt;height:372.75pt;visibility:visible;mso-wrap-style:square">
            <v:imagedata r:id="rId6" o:title="" croptop="-3f" cropbottom="-3f" cropleft="-3f" cropright="-3f"/>
          </v:shape>
        </w:pict>
      </w:r>
    </w:p>
    <w:p w14:paraId="3C0E2FAF" w14:textId="77777777" w:rsidR="00973470" w:rsidRDefault="00973470">
      <w:pPr>
        <w:pStyle w:val="Caption"/>
        <w:spacing w:after="0"/>
        <w:ind w:left="0" w:firstLine="0"/>
        <w:rPr>
          <w:i w:val="0"/>
          <w:iCs w:val="0"/>
          <w:color w:val="000000"/>
          <w:sz w:val="24"/>
          <w:szCs w:val="24"/>
        </w:rPr>
      </w:pPr>
    </w:p>
    <w:p w14:paraId="0748163C" w14:textId="77777777" w:rsidR="00973470" w:rsidRDefault="00000000" w:rsidP="00D957CC">
      <w:pPr>
        <w:spacing w:line="276" w:lineRule="auto"/>
        <w:ind w:left="0" w:firstLine="0"/>
        <w:rPr>
          <w:szCs w:val="24"/>
          <w:lang w:val="en-ID"/>
        </w:rPr>
      </w:pPr>
      <w:r>
        <w:rPr>
          <w:b/>
        </w:rPr>
        <w:t>Figure 2.</w:t>
      </w:r>
      <w:r>
        <w:t xml:space="preserve"> Forest plot of protection percentages for synthetic and natural/botanical repellents against </w:t>
      </w:r>
      <w:r>
        <w:rPr>
          <w:i/>
        </w:rPr>
        <w:t>Aedes aegypti</w:t>
      </w:r>
      <w:r>
        <w:t>. Horizontal lines indicate study-level 95% confidence intervals; diamonds indicate pooled estimates, and thick horizontal bars indicate 95% prediction intervals.</w:t>
      </w:r>
    </w:p>
    <w:p w14:paraId="73899E1C" w14:textId="77777777" w:rsidR="00973470" w:rsidRDefault="00973470">
      <w:pPr>
        <w:spacing w:line="240" w:lineRule="auto"/>
        <w:ind w:left="0" w:firstLine="0"/>
        <w:rPr>
          <w:i/>
          <w:iCs/>
          <w:szCs w:val="24"/>
          <w:lang w:val="en-ID"/>
        </w:rPr>
      </w:pPr>
    </w:p>
    <w:p w14:paraId="01839FB9" w14:textId="1B7AAF68" w:rsidR="00973470" w:rsidRDefault="00000000">
      <w:pPr>
        <w:spacing w:line="240" w:lineRule="auto"/>
        <w:ind w:left="0" w:firstLine="0"/>
        <w:rPr>
          <w:szCs w:val="24"/>
          <w:lang w:val="en-ID"/>
        </w:rPr>
      </w:pPr>
      <w:r>
        <w:rPr>
          <w:noProof/>
          <w:szCs w:val="24"/>
          <w:lang w:eastAsia="en-US"/>
        </w:rPr>
        <w:pict w14:anchorId="46730ACB">
          <v:shape id="Image3" o:spid="_x0000_i1026" type="#_x0000_t75" style="width:451.5pt;height:195.75pt;visibility:visible;mso-wrap-style:square">
            <v:imagedata r:id="rId7" o:title="" croptop="-7f" cropbottom="-7f" cropleft="-3f" cropright="-3f"/>
          </v:shape>
        </w:pict>
      </w:r>
    </w:p>
    <w:p w14:paraId="31931FF3" w14:textId="77777777" w:rsidR="00973470" w:rsidRDefault="00973470">
      <w:pPr>
        <w:spacing w:line="240" w:lineRule="auto"/>
        <w:ind w:left="0" w:firstLine="0"/>
        <w:rPr>
          <w:szCs w:val="24"/>
          <w:lang w:val="en-ID"/>
        </w:rPr>
      </w:pPr>
    </w:p>
    <w:p w14:paraId="743D7967" w14:textId="77777777" w:rsidR="00973470" w:rsidRDefault="00000000">
      <w:pPr>
        <w:spacing w:line="240" w:lineRule="auto"/>
        <w:ind w:left="0" w:firstLine="0"/>
        <w:rPr>
          <w:szCs w:val="24"/>
          <w:lang w:val="en-ID"/>
        </w:rPr>
      </w:pPr>
      <w:r>
        <w:rPr>
          <w:b/>
        </w:rPr>
        <w:t>Figure 3.</w:t>
      </w:r>
      <w:r>
        <w:t xml:space="preserve"> Residual funnel plots for synthetic (left) and natural/botanical (right) repellents against </w:t>
      </w:r>
      <w:r>
        <w:rPr>
          <w:i/>
        </w:rPr>
        <w:t>Aedes aegypti</w:t>
      </w:r>
      <w:r>
        <w:t>. Residual values are plotted against standard errors; the vertical dotted line represents zero residual and the diagonal dotted lines delimit the displayed funnel.</w:t>
      </w:r>
    </w:p>
    <w:p w14:paraId="75675EBC" w14:textId="77777777" w:rsidR="00973470" w:rsidRDefault="00973470">
      <w:pPr>
        <w:spacing w:line="240" w:lineRule="auto"/>
        <w:ind w:left="0" w:firstLine="0"/>
        <w:rPr>
          <w:szCs w:val="24"/>
          <w:lang w:val="en-ID"/>
        </w:rPr>
      </w:pPr>
    </w:p>
    <w:p w14:paraId="19AA53B3" w14:textId="18D9C12F" w:rsidR="00973470" w:rsidRDefault="00000000">
      <w:pPr>
        <w:keepNext/>
        <w:spacing w:line="240" w:lineRule="auto"/>
        <w:ind w:left="0" w:firstLine="0"/>
        <w:rPr>
          <w:szCs w:val="24"/>
        </w:rPr>
      </w:pPr>
      <w:r>
        <w:rPr>
          <w:noProof/>
          <w:szCs w:val="24"/>
          <w:lang w:eastAsia="en-US"/>
        </w:rPr>
        <w:pict w14:anchorId="5B30503A">
          <v:shape id="Picture 2" o:spid="_x0000_i1025" type="#_x0000_t75" style="width:255pt;height:214.5pt;visibility:visible;mso-wrap-style:square">
            <v:imagedata r:id="rId8" o:title="" croptop="-9f" cropbottom="-9f" cropleft="-7f" cropright="-7f"/>
          </v:shape>
        </w:pict>
      </w:r>
    </w:p>
    <w:p w14:paraId="3659C82E" w14:textId="77777777" w:rsidR="00973470" w:rsidRDefault="00973470">
      <w:pPr>
        <w:pStyle w:val="Caption"/>
        <w:spacing w:after="0"/>
        <w:ind w:left="0" w:firstLine="0"/>
        <w:rPr>
          <w:b/>
          <w:bCs/>
          <w:i w:val="0"/>
          <w:iCs w:val="0"/>
          <w:color w:val="000000"/>
          <w:sz w:val="24"/>
          <w:szCs w:val="24"/>
        </w:rPr>
      </w:pPr>
    </w:p>
    <w:p w14:paraId="2D61517F" w14:textId="77777777" w:rsidR="00973470" w:rsidRDefault="00000000" w:rsidP="00D957CC">
      <w:pPr>
        <w:spacing w:line="276" w:lineRule="auto"/>
        <w:ind w:left="0" w:firstLine="0"/>
        <w:rPr>
          <w:szCs w:val="24"/>
          <w:lang w:val="en-ID"/>
        </w:rPr>
      </w:pPr>
      <w:r>
        <w:rPr>
          <w:b/>
        </w:rPr>
        <w:t>Figure 4.</w:t>
      </w:r>
      <w:r>
        <w:t xml:space="preserve"> Summary of risk-of-bias judgments across the 30 included studies. RoB 2 was applied to randomized studies, whereas an adapted ROBINS-I framework was applied to non-randomized, quasi-experimental, field experimental, and laboratory experimental studies.</w:t>
      </w:r>
    </w:p>
    <w:p w14:paraId="0980453D" w14:textId="77777777" w:rsidR="00973470" w:rsidRDefault="00973470">
      <w:pPr>
        <w:spacing w:line="240" w:lineRule="auto"/>
        <w:ind w:left="0" w:firstLine="0"/>
        <w:rPr>
          <w:i/>
          <w:iCs/>
          <w:szCs w:val="24"/>
          <w:lang w:val="id-ID"/>
        </w:rPr>
      </w:pPr>
    </w:p>
    <w:p w14:paraId="18ECEF4F" w14:textId="77777777" w:rsidR="00973470" w:rsidRDefault="00000000">
      <w:pPr>
        <w:spacing w:line="240" w:lineRule="auto"/>
        <w:ind w:left="0" w:firstLine="0"/>
        <w:rPr>
          <w:b/>
          <w:bCs/>
          <w:szCs w:val="24"/>
          <w:lang w:val="id-ID"/>
        </w:rPr>
      </w:pPr>
      <w:r>
        <w:rPr>
          <w:b/>
          <w:bCs/>
          <w:szCs w:val="24"/>
          <w:lang w:val="id-ID"/>
        </w:rPr>
        <w:t>Discussion</w:t>
      </w:r>
    </w:p>
    <w:p w14:paraId="54A55B60" w14:textId="77777777" w:rsidR="00973470" w:rsidRDefault="00000000">
      <w:pPr>
        <w:spacing w:line="240" w:lineRule="auto"/>
        <w:ind w:left="0" w:firstLine="0"/>
        <w:rPr>
          <w:szCs w:val="24"/>
          <w:lang w:val="en-ID"/>
        </w:rPr>
      </w:pPr>
      <w:r>
        <w:rPr>
          <w:szCs w:val="24"/>
        </w:rPr>
        <w:t xml:space="preserve">The current synthesis indicates that synthetic repellents generally provided higher protection percentages and longer protection times than the botanical formulations evaluated against </w:t>
      </w:r>
      <w:r>
        <w:rPr>
          <w:i/>
          <w:iCs/>
          <w:szCs w:val="24"/>
        </w:rPr>
        <w:t>Ae. aegypti</w:t>
      </w:r>
      <w:r>
        <w:rPr>
          <w:szCs w:val="24"/>
        </w:rPr>
        <w:t>. In the current analysis, synthetic formulations, particularly DEET, picaridin, and transfluthrin-based approaches, showed comparatively high efficacy, whereas natural repellents displayed greater variability in both PP% and CPT. These findings should nevertheless be interpreted in the context of substantial between-study heterogeneity, differences in experimental methods and formulations, and the potential for publication bias</w:t>
      </w:r>
      <w:r>
        <w:rPr>
          <w:szCs w:val="24"/>
          <w:lang w:val="en-ID"/>
        </w:rPr>
        <w:t>.</w:t>
      </w:r>
    </w:p>
    <w:p w14:paraId="66AF5C1F" w14:textId="77777777" w:rsidR="00973470" w:rsidRDefault="00973470">
      <w:pPr>
        <w:spacing w:line="240" w:lineRule="auto"/>
        <w:ind w:left="0" w:firstLine="0"/>
        <w:rPr>
          <w:szCs w:val="24"/>
          <w:lang w:val="en-ID"/>
        </w:rPr>
      </w:pPr>
    </w:p>
    <w:p w14:paraId="706E00D4" w14:textId="77777777" w:rsidR="00973470" w:rsidRDefault="00000000">
      <w:pPr>
        <w:spacing w:line="240" w:lineRule="auto"/>
        <w:ind w:left="0" w:firstLine="0"/>
        <w:rPr>
          <w:b/>
          <w:bCs/>
          <w:szCs w:val="24"/>
          <w:lang w:val="en-ID"/>
        </w:rPr>
      </w:pPr>
      <w:r>
        <w:rPr>
          <w:b/>
          <w:bCs/>
          <w:szCs w:val="24"/>
          <w:lang w:val="en-ID"/>
        </w:rPr>
        <w:t>Standard of comparison: DEET</w:t>
      </w:r>
    </w:p>
    <w:p w14:paraId="4722B09D" w14:textId="77777777" w:rsidR="00973470" w:rsidRDefault="00000000">
      <w:pPr>
        <w:spacing w:line="240" w:lineRule="auto"/>
        <w:ind w:left="0" w:firstLine="0"/>
        <w:rPr>
          <w:szCs w:val="24"/>
          <w:lang w:val="en-ID"/>
        </w:rPr>
      </w:pPr>
      <w:r>
        <w:rPr>
          <w:szCs w:val="24"/>
        </w:rPr>
        <w:t>DEET remained one of the most consistently effective repellents among the studies included in the current synthesis. Reported studies using DEET at concentrations of approximately 20–35% generally showed high protection percentages and prolonged protection times (8,14,37). These observations support the continued role of DEET as an important benchmark when evaluating new repellent formulations. However, direct comparison across studies should be made cautiously because application concentration, exposure protocol, mosquito population, study setting, and outcome definitions were not uniform</w:t>
      </w:r>
      <w:r>
        <w:rPr>
          <w:szCs w:val="24"/>
          <w:lang w:val="en-ID"/>
        </w:rPr>
        <w:t>.</w:t>
      </w:r>
    </w:p>
    <w:p w14:paraId="18DE4A95" w14:textId="77777777" w:rsidR="00973470" w:rsidRDefault="00973470">
      <w:pPr>
        <w:spacing w:line="240" w:lineRule="auto"/>
        <w:ind w:left="0" w:firstLine="0"/>
        <w:rPr>
          <w:szCs w:val="24"/>
          <w:lang w:val="en-ID"/>
        </w:rPr>
      </w:pPr>
    </w:p>
    <w:p w14:paraId="22DFFDEA" w14:textId="77777777" w:rsidR="00973470" w:rsidRDefault="00000000">
      <w:pPr>
        <w:spacing w:line="240" w:lineRule="auto"/>
        <w:ind w:left="0" w:firstLine="0"/>
        <w:rPr>
          <w:b/>
          <w:bCs/>
          <w:szCs w:val="24"/>
          <w:lang w:val="en-ID"/>
        </w:rPr>
      </w:pPr>
      <w:r>
        <w:rPr>
          <w:b/>
          <w:bCs/>
          <w:szCs w:val="24"/>
          <w:lang w:val="en-ID"/>
        </w:rPr>
        <w:t>Transfluthrin and New Synthetic Delivery Systems</w:t>
      </w:r>
    </w:p>
    <w:p w14:paraId="061CADF0" w14:textId="77777777" w:rsidR="00973470" w:rsidRDefault="00000000">
      <w:pPr>
        <w:spacing w:line="240" w:lineRule="auto"/>
        <w:ind w:left="0" w:firstLine="0"/>
      </w:pPr>
      <w:r>
        <w:rPr>
          <w:szCs w:val="24"/>
          <w:lang w:val="en-ID"/>
        </w:rPr>
        <w:t xml:space="preserve">Transfluthrin is a volatile pyrethroid and an important class of synthetic spatial repellent that is different from topical DEET-class compounds. </w:t>
      </w:r>
      <w:r>
        <w:rPr>
          <w:szCs w:val="24"/>
        </w:rPr>
        <w:t xml:space="preserve">According to Ahebwa et al. (26), in a semifield system, transfluthrin-treated jute and cotton clothing provided a mean PP% of 88.6% and a CPT of 5.5 h against both susceptible and resistant </w:t>
      </w:r>
      <w:r>
        <w:rPr>
          <w:i/>
          <w:iCs/>
          <w:szCs w:val="24"/>
        </w:rPr>
        <w:t>Ae. aegypti</w:t>
      </w:r>
      <w:r>
        <w:rPr>
          <w:szCs w:val="24"/>
        </w:rPr>
        <w:t xml:space="preserve"> populations. Jobe </w:t>
      </w:r>
      <w:r>
        <w:rPr>
          <w:szCs w:val="24"/>
        </w:rPr>
        <w:lastRenderedPageBreak/>
        <w:t>et al. (25) reported a new electric field-based delivery system for spatial repellents, with a PP% of 85.0% and a CPT of 5.0 h</w:t>
      </w:r>
      <w:r>
        <w:rPr>
          <w:szCs w:val="24"/>
          <w:lang w:val="en-ID"/>
        </w:rPr>
        <w:t>.</w:t>
      </w:r>
    </w:p>
    <w:p w14:paraId="15497EF2" w14:textId="77777777" w:rsidR="00973470" w:rsidRDefault="00973470">
      <w:pPr>
        <w:spacing w:line="240" w:lineRule="auto"/>
        <w:ind w:left="0" w:firstLine="0"/>
        <w:rPr>
          <w:szCs w:val="24"/>
          <w:lang w:val="en-ID"/>
        </w:rPr>
      </w:pPr>
    </w:p>
    <w:p w14:paraId="3F97CA94" w14:textId="77777777" w:rsidR="00973470" w:rsidRDefault="00000000">
      <w:pPr>
        <w:spacing w:line="240" w:lineRule="auto"/>
        <w:ind w:left="0" w:firstLine="0"/>
        <w:rPr>
          <w:b/>
          <w:bCs/>
          <w:szCs w:val="24"/>
          <w:highlight w:val="yellow"/>
          <w:lang w:val="en-ID"/>
        </w:rPr>
      </w:pPr>
      <w:r>
        <w:rPr>
          <w:b/>
          <w:bCs/>
          <w:szCs w:val="24"/>
          <w:lang w:val="en-ID"/>
        </w:rPr>
        <w:t xml:space="preserve">Natural repellents: </w:t>
      </w:r>
      <w:r>
        <w:rPr>
          <w:b/>
          <w:bCs/>
          <w:szCs w:val="24"/>
        </w:rPr>
        <w:t>Variable Efficacy and Protection Duration</w:t>
      </w:r>
    </w:p>
    <w:p w14:paraId="3D43603D" w14:textId="77777777" w:rsidR="00973470" w:rsidRDefault="00000000">
      <w:pPr>
        <w:spacing w:line="240" w:lineRule="auto"/>
        <w:ind w:left="0" w:firstLine="0"/>
        <w:rPr>
          <w:szCs w:val="24"/>
          <w:lang w:val="en-ID"/>
        </w:rPr>
      </w:pPr>
      <w:r>
        <w:rPr>
          <w:szCs w:val="24"/>
        </w:rPr>
        <w:t xml:space="preserve">Botanical repellents showed considerable variation in efficacy and protection duration across the included studies. Several formulations demonstrated moderate short-term protection, while a smaller number of formulations showed comparatively higher PP% and longer CPT. </w:t>
      </w:r>
      <w:r>
        <w:rPr>
          <w:i/>
          <w:iCs/>
          <w:szCs w:val="24"/>
        </w:rPr>
        <w:t>Angelica sinensis</w:t>
      </w:r>
      <w:r>
        <w:rPr>
          <w:szCs w:val="24"/>
        </w:rPr>
        <w:t xml:space="preserve"> essential oil, </w:t>
      </w:r>
      <w:r>
        <w:rPr>
          <w:i/>
          <w:iCs/>
          <w:szCs w:val="24"/>
        </w:rPr>
        <w:t>Ligusticum sinense</w:t>
      </w:r>
      <w:r>
        <w:rPr>
          <w:szCs w:val="24"/>
        </w:rPr>
        <w:t xml:space="preserve"> nanoemulsion, and nootkatone were among the formulations with relatively favorable reported profiles in the current dataset. However, these findings should not be interpreted as evidence that all formulations based on the same botanical source will achieve similar performance, because efficacy is influenced by concentration, extraction method, vehicle, formulation technology, and testing conditions</w:t>
      </w:r>
      <w:r>
        <w:rPr>
          <w:szCs w:val="24"/>
          <w:lang w:val="en-ID"/>
        </w:rPr>
        <w:t>.</w:t>
      </w:r>
    </w:p>
    <w:p w14:paraId="5CCFE125" w14:textId="77777777" w:rsidR="00973470" w:rsidRDefault="00973470">
      <w:pPr>
        <w:spacing w:line="240" w:lineRule="auto"/>
        <w:ind w:left="0" w:firstLine="0"/>
        <w:rPr>
          <w:szCs w:val="24"/>
          <w:lang w:val="en-ID"/>
        </w:rPr>
      </w:pPr>
    </w:p>
    <w:p w14:paraId="2DFD323E" w14:textId="77777777" w:rsidR="00973470" w:rsidRDefault="00000000">
      <w:pPr>
        <w:spacing w:line="240" w:lineRule="auto"/>
        <w:ind w:left="0" w:firstLine="0"/>
        <w:rPr>
          <w:b/>
          <w:bCs/>
          <w:szCs w:val="24"/>
          <w:lang w:val="en-ID"/>
        </w:rPr>
      </w:pPr>
      <w:r>
        <w:rPr>
          <w:b/>
          <w:bCs/>
          <w:szCs w:val="24"/>
          <w:lang w:val="en-ID"/>
        </w:rPr>
        <w:t>The Role of Formulation Technology</w:t>
      </w:r>
    </w:p>
    <w:p w14:paraId="657D3A48" w14:textId="77777777" w:rsidR="00973470" w:rsidRDefault="00000000">
      <w:pPr>
        <w:spacing w:line="240" w:lineRule="auto"/>
        <w:ind w:left="0" w:firstLine="0"/>
        <w:rPr>
          <w:szCs w:val="24"/>
          <w:lang w:val="en-ID"/>
        </w:rPr>
      </w:pPr>
      <w:r>
        <w:rPr>
          <w:szCs w:val="24"/>
        </w:rPr>
        <w:t>The current findings suggest that formulation technology may be an important contributor to the performance of botanical repellents. Nanoencapsulated and emulsion-based formulations showed comparatively favorable efficacy in several included studies. Such delivery systems may reduce evaporation, improve retention of volatile active compounds, and prolong release; however, the magnitude of these effects is formulation-specific and cannot be attributed to nanotechnology alone. Further standardized comparative studies are needed to determine whether advanced delivery systems consistently improve protection relative to conventional botanical preparations</w:t>
      </w:r>
      <w:r>
        <w:rPr>
          <w:szCs w:val="24"/>
          <w:lang w:val="en-ID"/>
        </w:rPr>
        <w:t>.</w:t>
      </w:r>
    </w:p>
    <w:p w14:paraId="1031BA1F" w14:textId="77777777" w:rsidR="00973470" w:rsidRDefault="00973470">
      <w:pPr>
        <w:spacing w:line="240" w:lineRule="auto"/>
        <w:ind w:left="0" w:firstLine="0"/>
        <w:rPr>
          <w:szCs w:val="24"/>
          <w:lang w:val="en-ID"/>
        </w:rPr>
      </w:pPr>
    </w:p>
    <w:p w14:paraId="5EBDE232" w14:textId="77777777" w:rsidR="00973470" w:rsidRDefault="00000000">
      <w:pPr>
        <w:spacing w:line="240" w:lineRule="auto"/>
        <w:ind w:left="0" w:firstLine="0"/>
        <w:rPr>
          <w:b/>
          <w:bCs/>
          <w:szCs w:val="24"/>
          <w:lang w:val="en-ID"/>
        </w:rPr>
      </w:pPr>
      <w:r>
        <w:rPr>
          <w:b/>
          <w:bCs/>
          <w:szCs w:val="24"/>
          <w:lang w:val="en-ID"/>
        </w:rPr>
        <w:t xml:space="preserve">Safety and Tolerance </w:t>
      </w:r>
      <w:r>
        <w:rPr>
          <w:b/>
          <w:bCs/>
          <w:szCs w:val="24"/>
        </w:rPr>
        <w:t>Considerations</w:t>
      </w:r>
    </w:p>
    <w:p w14:paraId="359B7513" w14:textId="77777777" w:rsidR="00973470" w:rsidRDefault="00000000">
      <w:pPr>
        <w:spacing w:line="240" w:lineRule="auto"/>
        <w:ind w:left="0" w:firstLine="0"/>
        <w:rPr>
          <w:szCs w:val="24"/>
          <w:lang w:val="en-ID"/>
        </w:rPr>
      </w:pPr>
      <w:r>
        <w:rPr>
          <w:szCs w:val="24"/>
        </w:rPr>
        <w:t>Repellent selection depends not only on efficacy but also on tolerability, formulation characteristics, user preference, regulatory status, and appropriate use. Synthetic repellents such as DEET, picaridin, and IR3535 have extensive histories of use, although their physicochemical properties and user acceptability differ. Botanical repellents are often perceived as inherently safer because they are plant-derived; however, natural origin does not guarantee absence of toxicity, irritation, sensitization, or environmental effects. Essential oils contain biologically active compounds whose safety profiles can vary according to composition, concentration, formulation, and route of exposure. Accordingly, comparisons between synthetic and botanical repellents should consider both efficacy and safety evidence rather than assuming superiority on the basis of origin alone</w:t>
      </w:r>
      <w:r>
        <w:rPr>
          <w:szCs w:val="24"/>
          <w:lang w:val="en-ID"/>
        </w:rPr>
        <w:t>.</w:t>
      </w:r>
    </w:p>
    <w:p w14:paraId="27E73CBC" w14:textId="77777777" w:rsidR="00973470" w:rsidRDefault="00973470">
      <w:pPr>
        <w:spacing w:line="240" w:lineRule="auto"/>
        <w:ind w:left="0" w:firstLine="0"/>
        <w:rPr>
          <w:szCs w:val="24"/>
          <w:lang w:val="en-ID"/>
        </w:rPr>
      </w:pPr>
    </w:p>
    <w:p w14:paraId="6D11C22C" w14:textId="77777777" w:rsidR="00973470" w:rsidRDefault="00000000">
      <w:pPr>
        <w:spacing w:line="240" w:lineRule="auto"/>
        <w:ind w:left="0" w:firstLine="0"/>
        <w:rPr>
          <w:b/>
          <w:bCs/>
          <w:szCs w:val="24"/>
          <w:lang w:val="en-ID"/>
        </w:rPr>
      </w:pPr>
      <w:r>
        <w:rPr>
          <w:b/>
          <w:bCs/>
          <w:szCs w:val="24"/>
          <w:lang w:val="en-ID"/>
        </w:rPr>
        <w:t xml:space="preserve">Heterogeneity and Methodological </w:t>
      </w:r>
      <w:r>
        <w:rPr>
          <w:b/>
          <w:bCs/>
          <w:szCs w:val="24"/>
        </w:rPr>
        <w:t>Considerations</w:t>
      </w:r>
    </w:p>
    <w:p w14:paraId="5D5315EE" w14:textId="77777777" w:rsidR="00973470" w:rsidRDefault="00000000">
      <w:pPr>
        <w:spacing w:line="240" w:lineRule="auto"/>
        <w:ind w:left="0" w:firstLine="0"/>
        <w:rPr>
          <w:szCs w:val="24"/>
          <w:lang w:val="en-ID"/>
        </w:rPr>
      </w:pPr>
      <w:r>
        <w:rPr>
          <w:szCs w:val="24"/>
        </w:rPr>
        <w:t>Considerable overall heterogeneity was observed in the revised analysis (I² = 85.45%), likely reflecting differences in study design, repellent formulation, concentration, mosquito strain, laboratory versus field conditions, application procedures, exposure duration, and outcome measurement. Heterogeneity was lower within the synthetic (I² = 56.31%) and natural/botanical (I² = 62.85%) subgroups, suggesting that part of the overall variability resulted from systematic differences between repellent categories. The statistically significant subgroup difference (Q_M(1) = 46.86, p &lt; 0.001) further supports differences in pooled protection between the two repellent categories. Prediction intervals indicated greater uncertainty and between-study variability among natural/botanical formulations. Visual inspection of the residual funnel plots showed some imbalance among less precise observations; however, these patterns should be interpreted cautiously because heterogeneity and uncertainty in study precision may also contribute to funnel-plot asymmetry. Standardized repellent-testing methods, particularly internationally recognized efficacy-testing guidelines, would improve comparability across future studies (38)</w:t>
      </w:r>
      <w:r>
        <w:rPr>
          <w:szCs w:val="24"/>
          <w:lang w:val="en-ID"/>
        </w:rPr>
        <w:t>.</w:t>
      </w:r>
    </w:p>
    <w:p w14:paraId="577D46B8" w14:textId="77777777" w:rsidR="00973470" w:rsidRDefault="00973470">
      <w:pPr>
        <w:spacing w:line="240" w:lineRule="auto"/>
        <w:ind w:left="0" w:firstLine="0"/>
        <w:rPr>
          <w:szCs w:val="24"/>
          <w:lang w:val="en-ID"/>
        </w:rPr>
      </w:pPr>
    </w:p>
    <w:p w14:paraId="7C0ED2F6" w14:textId="77777777" w:rsidR="00973470" w:rsidRDefault="00000000">
      <w:pPr>
        <w:spacing w:line="240" w:lineRule="auto"/>
        <w:ind w:left="0" w:firstLine="0"/>
        <w:rPr>
          <w:b/>
          <w:bCs/>
          <w:szCs w:val="24"/>
          <w:lang w:val="en-ID"/>
        </w:rPr>
      </w:pPr>
      <w:r>
        <w:rPr>
          <w:b/>
          <w:bCs/>
          <w:szCs w:val="24"/>
          <w:lang w:val="en-ID"/>
        </w:rPr>
        <w:t xml:space="preserve">Practical Implications for Dengue </w:t>
      </w:r>
      <w:r>
        <w:rPr>
          <w:b/>
          <w:bCs/>
          <w:szCs w:val="24"/>
        </w:rPr>
        <w:t>Prevention</w:t>
      </w:r>
    </w:p>
    <w:p w14:paraId="5FC02A91" w14:textId="77777777" w:rsidR="00973470" w:rsidRDefault="00000000">
      <w:pPr>
        <w:spacing w:line="240" w:lineRule="auto"/>
        <w:ind w:left="0" w:firstLine="0"/>
        <w:rPr>
          <w:szCs w:val="24"/>
          <w:lang w:val="en-ID"/>
        </w:rPr>
      </w:pPr>
      <w:r>
        <w:rPr>
          <w:szCs w:val="24"/>
          <w:lang w:val="en-ID"/>
        </w:rPr>
        <w:t>From a practical perspective, repellents with consistently high efficacy and adequate duration of protection remain important for people exposed to Ae. aegypti in endemic or outbreak settings. The current evidence supports continued consideration of well-established synthetic repellents while also highlighting opportunities for the development of botanical formulations with improved stability and duration. Product developers should prioritize standardized efficacy testing, clearly defined concentrations, reproducible formulations, user acceptability, and safety evaluation. For public-health decision-making, repellent recommendations should consider the quality and consistency of evidence rather than relying solely on whether an active ingredient is classified as natural or synthetic.</w:t>
      </w:r>
    </w:p>
    <w:p w14:paraId="6A2DD89C" w14:textId="77777777" w:rsidR="00973470" w:rsidRDefault="00973470">
      <w:pPr>
        <w:spacing w:line="240" w:lineRule="auto"/>
        <w:ind w:left="0" w:firstLine="0"/>
        <w:rPr>
          <w:szCs w:val="24"/>
          <w:lang w:val="en-ID"/>
        </w:rPr>
      </w:pPr>
    </w:p>
    <w:p w14:paraId="7BDBD400" w14:textId="77777777" w:rsidR="00973470" w:rsidRDefault="00000000">
      <w:pPr>
        <w:spacing w:line="240" w:lineRule="auto"/>
        <w:ind w:left="0" w:firstLine="0"/>
        <w:jc w:val="left"/>
        <w:rPr>
          <w:szCs w:val="24"/>
          <w:highlight w:val="yellow"/>
          <w:lang w:val="en-ID"/>
        </w:rPr>
      </w:pPr>
      <w:r>
        <w:rPr>
          <w:b/>
          <w:bCs/>
          <w:szCs w:val="24"/>
          <w:lang w:val="en-ID"/>
        </w:rPr>
        <w:t>Strengths and Limitations</w:t>
      </w:r>
    </w:p>
    <w:p w14:paraId="3B610374" w14:textId="77777777" w:rsidR="00973470" w:rsidRDefault="00000000">
      <w:pPr>
        <w:spacing w:line="240" w:lineRule="auto"/>
        <w:ind w:left="0" w:firstLine="0"/>
      </w:pPr>
      <w:r>
        <w:rPr>
          <w:szCs w:val="24"/>
        </w:rPr>
        <w:t>This review has several strengths. It evaluated two clinically and practically relevant measures of repellent performance, protection percentage and complete protection time, and considered both synthetic and botanical formulations tested against Aedes aegypti. The use of multiple bibliographic databases and independent screening and data extraction by two reviewers also strengthened the review process.</w:t>
      </w:r>
    </w:p>
    <w:p w14:paraId="13CE51EF" w14:textId="77777777" w:rsidR="00973470" w:rsidRDefault="00000000">
      <w:pPr>
        <w:spacing w:line="240" w:lineRule="auto"/>
        <w:ind w:left="0" w:firstLine="0"/>
        <w:rPr>
          <w:szCs w:val="24"/>
          <w:lang w:val="en-ID"/>
        </w:rPr>
      </w:pPr>
      <w:r>
        <w:t>Several limitations should nevertheless be considered. First, considerable heterogeneity was observed in the overall PP% analysis (I² = 85.45%), reflecting variation in study design, formulation, concentration, testing conditions, and outcome measurement. Second, many included studies were conducted under laboratory or controlled conditions and may not fully represent real-world repellent performance. Third, complete protection time could not be formally pooled because measures of variance were inconsistently reported; therefore, CPT findings were summarized descriptively. Fourth, differences in Ae. aegypti strains, geographic origin, insecticide-resistance status, exposure methods, and formulation vehicles may have contributed to between-study variability. Fifth, assessment of potential publication bias was based on visual inspection of residual funnel plots and was limited by substantial between-study heterogeneity, variation in study precision, and the relatively small number of studies in the synthetic subgroup. Therefore, the funnel plots cannot establish the presence or absence of publication bias. Finally, the review protocol was not prospectively registered, and reporting of concentration, formulation characteristics, experimental-unit definitions, and methodological safeguards was incomplete in several studies. These factors should be considered when interpreting the comparative estimates.</w:t>
      </w:r>
    </w:p>
    <w:p w14:paraId="6D29FAAA" w14:textId="77777777" w:rsidR="00973470" w:rsidRDefault="00973470">
      <w:pPr>
        <w:spacing w:line="240" w:lineRule="auto"/>
        <w:ind w:left="0" w:firstLine="0"/>
        <w:rPr>
          <w:szCs w:val="24"/>
          <w:lang w:val="id-ID"/>
        </w:rPr>
      </w:pPr>
    </w:p>
    <w:p w14:paraId="7E82387A" w14:textId="77777777" w:rsidR="00973470" w:rsidRDefault="00000000">
      <w:pPr>
        <w:spacing w:line="240" w:lineRule="auto"/>
        <w:ind w:left="0" w:firstLine="0"/>
        <w:rPr>
          <w:b/>
          <w:bCs/>
          <w:szCs w:val="24"/>
          <w:lang w:val="id-ID"/>
        </w:rPr>
      </w:pPr>
      <w:r>
        <w:rPr>
          <w:b/>
          <w:bCs/>
          <w:szCs w:val="24"/>
          <w:lang w:val="id-ID"/>
        </w:rPr>
        <w:t>Conclusion</w:t>
      </w:r>
    </w:p>
    <w:p w14:paraId="64BD8FBD" w14:textId="77777777" w:rsidR="00973470" w:rsidRDefault="00973470">
      <w:pPr>
        <w:spacing w:line="240" w:lineRule="auto"/>
        <w:ind w:left="0" w:firstLine="0"/>
        <w:rPr>
          <w:b/>
          <w:bCs/>
          <w:szCs w:val="24"/>
          <w:lang w:val="en-ID"/>
        </w:rPr>
      </w:pPr>
    </w:p>
    <w:p w14:paraId="57402365" w14:textId="77777777" w:rsidR="00973470" w:rsidRDefault="00000000">
      <w:pPr>
        <w:spacing w:line="240" w:lineRule="auto"/>
        <w:ind w:left="0" w:firstLine="0"/>
        <w:rPr>
          <w:szCs w:val="24"/>
          <w:lang w:val="en-ID"/>
        </w:rPr>
      </w:pPr>
      <w:r>
        <w:t>The current evidence synthesis indicates that synthetic repellents provide greater protection against Aedes aegypti than the natural/botanical formulations evaluated. Synthetic repellents achieved a pooled PP% of 91.5% (95% CI: 87.1–94.5%), compared with 69.1% (95% CI: 64.2–73.6%) for natural/botanical repellents. Reported complete protection time was also longer for synthetic formulations, with a descriptive mean of 5.97 h compared with 2.91 h for natural/botanical formulations. Nevertheless, substantial heterogeneity, methodological differences among studies, and uncertainty regarding potential publication bias warrant cautious interpretation. DEET and picaridin remain among the most consistently effective options, while selected botanical formulations and advanced delivery technologies warrant further standardized field evaluation.</w:t>
      </w:r>
    </w:p>
    <w:p w14:paraId="529ABC72" w14:textId="77777777" w:rsidR="00973470" w:rsidRDefault="00973470">
      <w:pPr>
        <w:spacing w:line="240" w:lineRule="auto"/>
        <w:ind w:left="0" w:firstLine="0"/>
        <w:rPr>
          <w:szCs w:val="24"/>
          <w:lang w:val="en-ID"/>
        </w:rPr>
      </w:pPr>
    </w:p>
    <w:p w14:paraId="1BEA1742" w14:textId="77777777" w:rsidR="00D957CC" w:rsidRDefault="00D957CC">
      <w:pPr>
        <w:spacing w:line="240" w:lineRule="auto"/>
        <w:ind w:left="0" w:firstLine="0"/>
        <w:rPr>
          <w:b/>
          <w:bCs/>
          <w:szCs w:val="24"/>
        </w:rPr>
      </w:pPr>
    </w:p>
    <w:p w14:paraId="153C4AB1" w14:textId="2DE3EC39" w:rsidR="00973470" w:rsidRDefault="00000000">
      <w:pPr>
        <w:spacing w:line="240" w:lineRule="auto"/>
        <w:ind w:left="0" w:firstLine="0"/>
        <w:rPr>
          <w:b/>
          <w:bCs/>
          <w:szCs w:val="24"/>
        </w:rPr>
      </w:pPr>
      <w:r>
        <w:rPr>
          <w:b/>
          <w:bCs/>
          <w:szCs w:val="24"/>
        </w:rPr>
        <w:t>Acknowledgements</w:t>
      </w:r>
    </w:p>
    <w:p w14:paraId="450A23A5" w14:textId="77777777" w:rsidR="00973470" w:rsidRDefault="00973470">
      <w:pPr>
        <w:spacing w:line="240" w:lineRule="auto"/>
        <w:ind w:left="0" w:firstLine="0"/>
        <w:rPr>
          <w:b/>
          <w:bCs/>
          <w:szCs w:val="24"/>
        </w:rPr>
      </w:pPr>
    </w:p>
    <w:p w14:paraId="31064563" w14:textId="77777777" w:rsidR="00973470" w:rsidRDefault="00000000">
      <w:pPr>
        <w:spacing w:line="240" w:lineRule="auto"/>
        <w:ind w:left="0" w:firstLine="0"/>
      </w:pPr>
      <w:r>
        <w:rPr>
          <w:szCs w:val="24"/>
        </w:rPr>
        <w:t xml:space="preserve">The authors would like to thank all researchers whose published studies were included in this systematic review and meta-analysis. Their work provided the evidence base for evaluating the efficacy and protection duration of natural and synthetic repellents against </w:t>
      </w:r>
      <w:r>
        <w:rPr>
          <w:i/>
          <w:iCs/>
          <w:szCs w:val="24"/>
        </w:rPr>
        <w:t>Aedes aegypti</w:t>
      </w:r>
      <w:r>
        <w:rPr>
          <w:szCs w:val="24"/>
        </w:rPr>
        <w:t>. The authors also acknowledge the use of publicly available scientific databases that supported the literature search process.</w:t>
      </w:r>
    </w:p>
    <w:p w14:paraId="58A0B5A3" w14:textId="77777777" w:rsidR="00973470" w:rsidRDefault="00973470">
      <w:pPr>
        <w:spacing w:line="240" w:lineRule="auto"/>
        <w:ind w:left="0" w:firstLine="0"/>
        <w:rPr>
          <w:b/>
          <w:bCs/>
          <w:szCs w:val="24"/>
        </w:rPr>
      </w:pPr>
    </w:p>
    <w:p w14:paraId="286523C7" w14:textId="77777777" w:rsidR="00973470" w:rsidRDefault="00973470">
      <w:pPr>
        <w:spacing w:line="240" w:lineRule="auto"/>
        <w:ind w:left="0" w:firstLine="0"/>
        <w:rPr>
          <w:b/>
          <w:bCs/>
          <w:szCs w:val="24"/>
        </w:rPr>
      </w:pPr>
    </w:p>
    <w:p w14:paraId="4B1A62E8" w14:textId="77777777" w:rsidR="00973470" w:rsidRDefault="00000000">
      <w:pPr>
        <w:spacing w:line="240" w:lineRule="auto"/>
        <w:ind w:left="0" w:firstLine="0"/>
        <w:rPr>
          <w:b/>
          <w:bCs/>
          <w:szCs w:val="24"/>
        </w:rPr>
      </w:pPr>
      <w:r>
        <w:rPr>
          <w:b/>
          <w:bCs/>
          <w:szCs w:val="24"/>
        </w:rPr>
        <w:t>Ethical Considerations</w:t>
      </w:r>
    </w:p>
    <w:p w14:paraId="4E514169" w14:textId="77777777" w:rsidR="00973470" w:rsidRDefault="00000000">
      <w:pPr>
        <w:spacing w:line="240" w:lineRule="auto"/>
        <w:ind w:left="0" w:firstLine="0"/>
        <w:rPr>
          <w:szCs w:val="24"/>
        </w:rPr>
      </w:pPr>
      <w:r>
        <w:rPr>
          <w:szCs w:val="24"/>
        </w:rPr>
        <w:br/>
        <w:t>Ethical approval and informed consent were not required because this study was a systematic review and meta-analysis of previously published studies.</w:t>
      </w:r>
    </w:p>
    <w:p w14:paraId="1E473EE6" w14:textId="77777777" w:rsidR="00973470" w:rsidRDefault="00973470">
      <w:pPr>
        <w:spacing w:line="240" w:lineRule="auto"/>
        <w:ind w:left="0" w:firstLine="0"/>
        <w:rPr>
          <w:b/>
          <w:bCs/>
          <w:szCs w:val="24"/>
          <w:lang w:val="en-ID"/>
        </w:rPr>
      </w:pPr>
    </w:p>
    <w:p w14:paraId="2E44CAA8" w14:textId="77777777" w:rsidR="00973470" w:rsidRDefault="00000000">
      <w:pPr>
        <w:spacing w:line="240" w:lineRule="auto"/>
        <w:ind w:left="0" w:firstLine="0"/>
        <w:rPr>
          <w:b/>
          <w:bCs/>
          <w:szCs w:val="24"/>
          <w:lang w:val="en-ID"/>
        </w:rPr>
      </w:pPr>
      <w:r>
        <w:rPr>
          <w:b/>
          <w:bCs/>
          <w:szCs w:val="24"/>
          <w:lang w:val="en-ID"/>
        </w:rPr>
        <w:t>Conflict of Interest</w:t>
      </w:r>
    </w:p>
    <w:p w14:paraId="201F655A" w14:textId="77777777" w:rsidR="00973470" w:rsidRDefault="00000000">
      <w:pPr>
        <w:spacing w:line="240" w:lineRule="auto"/>
        <w:ind w:left="0" w:firstLine="0"/>
        <w:rPr>
          <w:szCs w:val="24"/>
          <w:lang w:val="en-ID"/>
        </w:rPr>
      </w:pPr>
      <w:r>
        <w:rPr>
          <w:szCs w:val="24"/>
          <w:lang w:val="en-ID"/>
        </w:rPr>
        <w:br/>
        <w:t>The authors declare no conflict of interest.</w:t>
      </w:r>
    </w:p>
    <w:p w14:paraId="6F7FEAC2" w14:textId="77777777" w:rsidR="00973470" w:rsidRDefault="00973470">
      <w:pPr>
        <w:spacing w:line="240" w:lineRule="auto"/>
        <w:ind w:left="0" w:firstLine="0"/>
        <w:rPr>
          <w:b/>
          <w:bCs/>
          <w:szCs w:val="24"/>
          <w:lang w:val="en-ID"/>
        </w:rPr>
      </w:pPr>
    </w:p>
    <w:p w14:paraId="195E161B" w14:textId="77777777" w:rsidR="00973470" w:rsidRDefault="00000000">
      <w:pPr>
        <w:spacing w:line="240" w:lineRule="auto"/>
        <w:ind w:left="0" w:firstLine="0"/>
        <w:rPr>
          <w:szCs w:val="24"/>
          <w:lang w:val="en-ID"/>
        </w:rPr>
      </w:pPr>
      <w:r>
        <w:rPr>
          <w:b/>
          <w:bCs/>
          <w:szCs w:val="24"/>
          <w:lang w:val="en-ID"/>
        </w:rPr>
        <w:t>Funding</w:t>
      </w:r>
      <w:r>
        <w:rPr>
          <w:szCs w:val="24"/>
          <w:lang w:val="en-ID"/>
        </w:rPr>
        <w:br/>
        <w:t>This study received no external funding.</w:t>
      </w:r>
    </w:p>
    <w:p w14:paraId="4982C693" w14:textId="77777777" w:rsidR="00973470" w:rsidRDefault="00973470">
      <w:pPr>
        <w:spacing w:line="240" w:lineRule="auto"/>
        <w:ind w:left="0" w:firstLine="0"/>
        <w:rPr>
          <w:szCs w:val="24"/>
          <w:lang w:val="en-ID"/>
        </w:rPr>
      </w:pPr>
    </w:p>
    <w:p w14:paraId="3908DB28" w14:textId="77777777" w:rsidR="00973470" w:rsidRDefault="00000000">
      <w:pPr>
        <w:spacing w:line="240" w:lineRule="auto"/>
        <w:ind w:left="0" w:firstLine="0"/>
        <w:rPr>
          <w:rFonts w:eastAsia="Times New Roman"/>
          <w:szCs w:val="24"/>
        </w:rPr>
      </w:pPr>
      <w:r>
        <w:rPr>
          <w:b/>
          <w:bCs/>
          <w:szCs w:val="24"/>
          <w:lang w:val="id-ID"/>
        </w:rPr>
        <w:t>References</w:t>
      </w:r>
    </w:p>
    <w:p w14:paraId="23CC5AA2" w14:textId="77777777" w:rsidR="00973470" w:rsidRDefault="00973470">
      <w:pPr>
        <w:spacing w:line="240" w:lineRule="auto"/>
        <w:ind w:left="0" w:firstLine="0"/>
        <w:rPr>
          <w:rFonts w:eastAsia="Times New Roman"/>
          <w:szCs w:val="24"/>
        </w:rPr>
      </w:pPr>
    </w:p>
    <w:p w14:paraId="64025415" w14:textId="77777777" w:rsidR="00D957CC" w:rsidRPr="00D957CC" w:rsidRDefault="00000000" w:rsidP="00D957CC">
      <w:pPr>
        <w:pStyle w:val="ListParagraph"/>
        <w:numPr>
          <w:ilvl w:val="0"/>
          <w:numId w:val="2"/>
        </w:numPr>
        <w:autoSpaceDE w:val="0"/>
        <w:spacing w:line="240" w:lineRule="auto"/>
        <w:ind w:left="426" w:hanging="426"/>
      </w:pPr>
      <w:r w:rsidRPr="00D957CC">
        <w:rPr>
          <w:rFonts w:eastAsia="Times New Roman"/>
          <w:szCs w:val="24"/>
        </w:rPr>
        <w:t xml:space="preserve">Alonso-Palomares LA, Moreno-García M, Lanz-Mendoza H, Salazar MI (2019) Molecular basis for arbovirus transmission by </w:t>
      </w:r>
      <w:r w:rsidRPr="00D957CC">
        <w:rPr>
          <w:rFonts w:eastAsia="Times New Roman"/>
          <w:i/>
          <w:iCs/>
          <w:szCs w:val="24"/>
        </w:rPr>
        <w:t>Aedes aegypti</w:t>
      </w:r>
      <w:r w:rsidRPr="00D957CC">
        <w:rPr>
          <w:rFonts w:eastAsia="Times New Roman"/>
          <w:szCs w:val="24"/>
        </w:rPr>
        <w:t xml:space="preserve"> mosquitoes. Intervirology. 61(6): 255–264.</w:t>
      </w:r>
    </w:p>
    <w:p w14:paraId="3CC8EAA8" w14:textId="77777777" w:rsidR="00D957CC" w:rsidRPr="00D957CC" w:rsidRDefault="00000000" w:rsidP="00D957CC">
      <w:pPr>
        <w:pStyle w:val="ListParagraph"/>
        <w:numPr>
          <w:ilvl w:val="0"/>
          <w:numId w:val="2"/>
        </w:numPr>
        <w:autoSpaceDE w:val="0"/>
        <w:spacing w:line="240" w:lineRule="auto"/>
        <w:ind w:left="426" w:hanging="426"/>
      </w:pPr>
      <w:r w:rsidRPr="00D957CC">
        <w:rPr>
          <w:rFonts w:eastAsia="Times New Roman"/>
          <w:szCs w:val="24"/>
        </w:rPr>
        <w:t xml:space="preserve">Abbasi E (2025) Global expansion of </w:t>
      </w:r>
      <w:r w:rsidRPr="00D957CC">
        <w:rPr>
          <w:rFonts w:eastAsia="Times New Roman"/>
          <w:i/>
          <w:iCs/>
          <w:szCs w:val="24"/>
        </w:rPr>
        <w:t>Aedes</w:t>
      </w:r>
      <w:r w:rsidRPr="00D957CC">
        <w:rPr>
          <w:rFonts w:eastAsia="Times New Roman"/>
          <w:szCs w:val="24"/>
        </w:rPr>
        <w:t xml:space="preserve"> mosquitoes and their role in the transboundary spread of emerging arboviral diseases: A comprehensive review. IJID One Health. 6: 100058. </w:t>
      </w:r>
    </w:p>
    <w:p w14:paraId="3A128249" w14:textId="5F92A7C2" w:rsidR="00D957CC" w:rsidRPr="00D957CC" w:rsidRDefault="00000000" w:rsidP="00D957CC">
      <w:pPr>
        <w:pStyle w:val="ListParagraph"/>
        <w:numPr>
          <w:ilvl w:val="0"/>
          <w:numId w:val="2"/>
        </w:numPr>
        <w:autoSpaceDE w:val="0"/>
        <w:spacing w:line="240" w:lineRule="auto"/>
        <w:ind w:left="426" w:hanging="426"/>
      </w:pPr>
      <w:r w:rsidRPr="00D957CC">
        <w:rPr>
          <w:rFonts w:eastAsia="Times New Roman"/>
          <w:szCs w:val="24"/>
        </w:rPr>
        <w:t>WHO (2023) Dengue: Global situation. World Health Organization. Available at: https://www.who.int/emergencies/disease-outbreak-news/item/2023-DON498</w:t>
      </w:r>
      <w:r w:rsidR="00D957CC">
        <w:rPr>
          <w:rFonts w:eastAsia="Times New Roman"/>
          <w:szCs w:val="24"/>
        </w:rPr>
        <w:t>.</w:t>
      </w:r>
    </w:p>
    <w:p w14:paraId="31366FBA" w14:textId="77777777" w:rsidR="00D957CC" w:rsidRPr="00D957CC" w:rsidRDefault="00000000" w:rsidP="00D957CC">
      <w:pPr>
        <w:pStyle w:val="ListParagraph"/>
        <w:numPr>
          <w:ilvl w:val="0"/>
          <w:numId w:val="2"/>
        </w:numPr>
        <w:autoSpaceDE w:val="0"/>
        <w:spacing w:line="240" w:lineRule="auto"/>
        <w:ind w:left="426" w:hanging="426"/>
      </w:pPr>
      <w:r w:rsidRPr="00D957CC">
        <w:rPr>
          <w:rFonts w:eastAsia="Times New Roman"/>
          <w:szCs w:val="24"/>
        </w:rPr>
        <w:t xml:space="preserve">Xu P, Choo YM, De La Rosa A, Leal WS (2014) Mosquito odorant receptor for DEET and methyl jasmonate. Proc Natl Acad Sci U S A. 111(46): 16592–16597. </w:t>
      </w:r>
    </w:p>
    <w:p w14:paraId="10A7831F" w14:textId="77777777" w:rsidR="00D957CC" w:rsidRPr="00D957CC" w:rsidRDefault="00000000" w:rsidP="00D957CC">
      <w:pPr>
        <w:pStyle w:val="ListParagraph"/>
        <w:numPr>
          <w:ilvl w:val="0"/>
          <w:numId w:val="2"/>
        </w:numPr>
        <w:autoSpaceDE w:val="0"/>
        <w:spacing w:line="240" w:lineRule="auto"/>
        <w:ind w:left="426" w:hanging="426"/>
      </w:pPr>
      <w:r w:rsidRPr="00D957CC">
        <w:rPr>
          <w:rFonts w:eastAsia="Times New Roman"/>
          <w:szCs w:val="24"/>
        </w:rPr>
        <w:t xml:space="preserve">Lupi E, Hatz C, Schlagenhauf P (2013) The efficacy of repellents against </w:t>
      </w:r>
      <w:r w:rsidRPr="00D957CC">
        <w:rPr>
          <w:rFonts w:eastAsia="Times New Roman"/>
          <w:i/>
          <w:iCs/>
          <w:szCs w:val="24"/>
        </w:rPr>
        <w:t>Aedes</w:t>
      </w:r>
      <w:r w:rsidRPr="00D957CC">
        <w:rPr>
          <w:rFonts w:eastAsia="Times New Roman"/>
          <w:szCs w:val="24"/>
        </w:rPr>
        <w:t xml:space="preserve">, </w:t>
      </w:r>
      <w:r w:rsidRPr="00D957CC">
        <w:rPr>
          <w:rFonts w:eastAsia="Times New Roman"/>
          <w:i/>
          <w:iCs/>
          <w:szCs w:val="24"/>
        </w:rPr>
        <w:t>Anopheles</w:t>
      </w:r>
      <w:r w:rsidRPr="00D957CC">
        <w:rPr>
          <w:rFonts w:eastAsia="Times New Roman"/>
          <w:szCs w:val="24"/>
        </w:rPr>
        <w:t xml:space="preserve">, </w:t>
      </w:r>
      <w:r w:rsidRPr="00D957CC">
        <w:rPr>
          <w:rFonts w:eastAsia="Times New Roman"/>
          <w:i/>
          <w:iCs/>
          <w:szCs w:val="24"/>
        </w:rPr>
        <w:t>Culex</w:t>
      </w:r>
      <w:r w:rsidRPr="00D957CC">
        <w:rPr>
          <w:rFonts w:eastAsia="Times New Roman"/>
          <w:szCs w:val="24"/>
        </w:rPr>
        <w:t xml:space="preserve"> and </w:t>
      </w:r>
      <w:r w:rsidRPr="00D957CC">
        <w:rPr>
          <w:rFonts w:eastAsia="Times New Roman"/>
          <w:i/>
          <w:iCs/>
          <w:szCs w:val="24"/>
        </w:rPr>
        <w:t>Ixodes</w:t>
      </w:r>
      <w:r w:rsidRPr="00D957CC">
        <w:rPr>
          <w:rFonts w:eastAsia="Times New Roman"/>
          <w:szCs w:val="24"/>
        </w:rPr>
        <w:t xml:space="preserve"> spp.: A literature review. Travel Med Infect Dis. 11(6): 374–411. </w:t>
      </w:r>
    </w:p>
    <w:p w14:paraId="3D53CC68" w14:textId="77777777" w:rsidR="00D957CC" w:rsidRPr="00D957CC" w:rsidRDefault="00000000" w:rsidP="00D957CC">
      <w:pPr>
        <w:pStyle w:val="ListParagraph"/>
        <w:numPr>
          <w:ilvl w:val="0"/>
          <w:numId w:val="2"/>
        </w:numPr>
        <w:autoSpaceDE w:val="0"/>
        <w:spacing w:line="240" w:lineRule="auto"/>
        <w:ind w:left="426" w:hanging="426"/>
      </w:pPr>
      <w:r w:rsidRPr="00D957CC">
        <w:rPr>
          <w:rFonts w:eastAsia="Times New Roman"/>
          <w:szCs w:val="24"/>
        </w:rPr>
        <w:t xml:space="preserve">Noguera-Gahona M, Peña-Moreno C, Quiñones-Sobarzo N, Weinstein-Oppenheimer C, Guerra-Zúñiga M, Collao-Ferrada X (2024) Repellents against </w:t>
      </w:r>
      <w:r w:rsidRPr="00D957CC">
        <w:rPr>
          <w:rFonts w:eastAsia="Times New Roman"/>
          <w:i/>
          <w:iCs/>
          <w:szCs w:val="24"/>
        </w:rPr>
        <w:t>Aedes aegypti</w:t>
      </w:r>
      <w:r w:rsidRPr="00D957CC">
        <w:rPr>
          <w:rFonts w:eastAsia="Times New Roman"/>
          <w:szCs w:val="24"/>
        </w:rPr>
        <w:t xml:space="preserve"> bites: Synthetic and natural origins. Front Insect Sci. 4: 1510857.</w:t>
      </w:r>
    </w:p>
    <w:p w14:paraId="6049096F" w14:textId="77777777" w:rsidR="00D957CC" w:rsidRPr="00D957CC" w:rsidRDefault="00000000" w:rsidP="00D957CC">
      <w:pPr>
        <w:pStyle w:val="ListParagraph"/>
        <w:numPr>
          <w:ilvl w:val="0"/>
          <w:numId w:val="2"/>
        </w:numPr>
        <w:autoSpaceDE w:val="0"/>
        <w:spacing w:line="240" w:lineRule="auto"/>
        <w:ind w:left="426" w:hanging="426"/>
      </w:pPr>
      <w:r w:rsidRPr="00D957CC">
        <w:rPr>
          <w:rFonts w:eastAsia="Times New Roman"/>
          <w:szCs w:val="24"/>
        </w:rPr>
        <w:t xml:space="preserve">Cuervo OHP, Martínez LVB, Camacho IDJ, Gordon ACM, López EAF, Guerrero NAS (2024) Natural extracts as a sustainable alternative for the control of </w:t>
      </w:r>
      <w:r w:rsidRPr="00D957CC">
        <w:rPr>
          <w:rFonts w:eastAsia="Times New Roman"/>
          <w:i/>
          <w:iCs/>
          <w:szCs w:val="24"/>
        </w:rPr>
        <w:t>Aedes aegypti</w:t>
      </w:r>
      <w:r w:rsidRPr="00D957CC">
        <w:rPr>
          <w:rFonts w:eastAsia="Times New Roman"/>
          <w:szCs w:val="24"/>
        </w:rPr>
        <w:t>: An updated review. Rev Cienc Agroveterinarias. 23(2): 334–345.</w:t>
      </w:r>
    </w:p>
    <w:p w14:paraId="12E13ED0" w14:textId="77777777" w:rsidR="00D957CC" w:rsidRPr="00D957CC" w:rsidRDefault="00000000" w:rsidP="00D957CC">
      <w:pPr>
        <w:pStyle w:val="ListParagraph"/>
        <w:numPr>
          <w:ilvl w:val="0"/>
          <w:numId w:val="2"/>
        </w:numPr>
        <w:autoSpaceDE w:val="0"/>
        <w:spacing w:line="240" w:lineRule="auto"/>
        <w:ind w:left="426" w:hanging="426"/>
      </w:pPr>
      <w:r w:rsidRPr="00D957CC">
        <w:rPr>
          <w:rFonts w:eastAsia="Times New Roman"/>
          <w:szCs w:val="24"/>
        </w:rPr>
        <w:t xml:space="preserve">Maia PCR, La Corte R, Pires LB, Banfield L, Logan JG, Lima-Camara TN (2022) Increased repellent effect of DEET on </w:t>
      </w:r>
      <w:r w:rsidRPr="00D957CC">
        <w:rPr>
          <w:rFonts w:eastAsia="Times New Roman"/>
          <w:i/>
          <w:iCs/>
          <w:szCs w:val="24"/>
        </w:rPr>
        <w:t>Aedes aegypti</w:t>
      </w:r>
      <w:r w:rsidRPr="00D957CC">
        <w:rPr>
          <w:rFonts w:eastAsia="Times New Roman"/>
          <w:szCs w:val="24"/>
        </w:rPr>
        <w:t xml:space="preserve"> (Diptera: Culicidae) field population. J Med Entomol. 59(4): 1368–1375. </w:t>
      </w:r>
    </w:p>
    <w:p w14:paraId="48AE67BE" w14:textId="77777777" w:rsidR="00D957CC" w:rsidRPr="00D957CC" w:rsidRDefault="00000000" w:rsidP="00D957CC">
      <w:pPr>
        <w:pStyle w:val="ListParagraph"/>
        <w:numPr>
          <w:ilvl w:val="0"/>
          <w:numId w:val="2"/>
        </w:numPr>
        <w:autoSpaceDE w:val="0"/>
        <w:spacing w:line="240" w:lineRule="auto"/>
        <w:ind w:left="426" w:hanging="426"/>
      </w:pPr>
      <w:r w:rsidRPr="00D957CC">
        <w:rPr>
          <w:rFonts w:eastAsia="Times New Roman"/>
          <w:szCs w:val="24"/>
        </w:rPr>
        <w:t xml:space="preserve">Luker HA, Salas KR, Esmaeili D, Holguin FO, Bendzus-Mendoza H, Hansen IA (2023) Repellent efficacy of 20 essential oils on </w:t>
      </w:r>
      <w:r w:rsidRPr="00D957CC">
        <w:rPr>
          <w:rFonts w:eastAsia="Times New Roman"/>
          <w:i/>
          <w:iCs/>
          <w:szCs w:val="24"/>
        </w:rPr>
        <w:t>Aedes aegypti</w:t>
      </w:r>
      <w:r w:rsidRPr="00D957CC">
        <w:rPr>
          <w:rFonts w:eastAsia="Times New Roman"/>
          <w:szCs w:val="24"/>
        </w:rPr>
        <w:t xml:space="preserve"> mosquitoes and </w:t>
      </w:r>
      <w:r w:rsidRPr="00D957CC">
        <w:rPr>
          <w:rFonts w:eastAsia="Times New Roman"/>
          <w:i/>
          <w:iCs/>
          <w:szCs w:val="24"/>
        </w:rPr>
        <w:t>Ixodes scapularis</w:t>
      </w:r>
      <w:r w:rsidRPr="00D957CC">
        <w:rPr>
          <w:rFonts w:eastAsia="Times New Roman"/>
          <w:szCs w:val="24"/>
        </w:rPr>
        <w:t xml:space="preserve"> ticks in contact-repellency assays. Sci Rep. 13: 1705. </w:t>
      </w:r>
    </w:p>
    <w:p w14:paraId="3883B9A4" w14:textId="77777777" w:rsidR="00D957CC" w:rsidRPr="00D957CC" w:rsidRDefault="00000000" w:rsidP="00D957CC">
      <w:pPr>
        <w:pStyle w:val="ListParagraph"/>
        <w:numPr>
          <w:ilvl w:val="0"/>
          <w:numId w:val="2"/>
        </w:numPr>
        <w:autoSpaceDE w:val="0"/>
        <w:spacing w:line="240" w:lineRule="auto"/>
        <w:ind w:left="426" w:hanging="426"/>
      </w:pPr>
      <w:r w:rsidRPr="00D957CC">
        <w:rPr>
          <w:rFonts w:eastAsia="Times New Roman"/>
          <w:szCs w:val="24"/>
        </w:rPr>
        <w:t xml:space="preserve">Aungtikun J, Soonwera M (2021) Improved adulticidal activity against </w:t>
      </w:r>
      <w:r w:rsidRPr="00D957CC">
        <w:rPr>
          <w:rFonts w:eastAsia="Times New Roman"/>
          <w:i/>
          <w:iCs/>
          <w:szCs w:val="24"/>
        </w:rPr>
        <w:t>Aedes aegypti</w:t>
      </w:r>
      <w:r w:rsidRPr="00D957CC">
        <w:rPr>
          <w:rFonts w:eastAsia="Times New Roman"/>
          <w:szCs w:val="24"/>
        </w:rPr>
        <w:t xml:space="preserve"> (L.) and </w:t>
      </w:r>
      <w:r w:rsidRPr="00D957CC">
        <w:rPr>
          <w:rFonts w:eastAsia="Times New Roman"/>
          <w:i/>
          <w:iCs/>
          <w:szCs w:val="24"/>
        </w:rPr>
        <w:t>Aedes albopictus</w:t>
      </w:r>
      <w:r w:rsidRPr="00D957CC">
        <w:rPr>
          <w:rFonts w:eastAsia="Times New Roman"/>
          <w:szCs w:val="24"/>
        </w:rPr>
        <w:t xml:space="preserve"> (Skuse) from synergy between Cinnamomum spp. essential oils. Sci Rep. 11: 4685. </w:t>
      </w:r>
    </w:p>
    <w:p w14:paraId="70F67346" w14:textId="77777777" w:rsidR="00D957CC" w:rsidRPr="00D957CC" w:rsidRDefault="00000000" w:rsidP="00D957CC">
      <w:pPr>
        <w:pStyle w:val="ListParagraph"/>
        <w:numPr>
          <w:ilvl w:val="0"/>
          <w:numId w:val="2"/>
        </w:numPr>
        <w:autoSpaceDE w:val="0"/>
        <w:spacing w:line="240" w:lineRule="auto"/>
        <w:ind w:left="426" w:hanging="426"/>
      </w:pPr>
      <w:r w:rsidRPr="00D957CC">
        <w:rPr>
          <w:rFonts w:eastAsia="Times New Roman"/>
          <w:szCs w:val="24"/>
        </w:rPr>
        <w:lastRenderedPageBreak/>
        <w:t xml:space="preserve">Rodriguez SD, Chung HN, Gonzales KK, Vulcan J, Li Y, Ahumada JA, et al. (2017) Efficacy of some wearable devices compared with spray-on insect repellents for the yellow fever mosquito, </w:t>
      </w:r>
      <w:r w:rsidRPr="00D957CC">
        <w:rPr>
          <w:rFonts w:eastAsia="Times New Roman"/>
          <w:i/>
          <w:iCs/>
          <w:szCs w:val="24"/>
        </w:rPr>
        <w:t>Aedes aegypti</w:t>
      </w:r>
      <w:r w:rsidRPr="00D957CC">
        <w:rPr>
          <w:rFonts w:eastAsia="Times New Roman"/>
          <w:szCs w:val="24"/>
        </w:rPr>
        <w:t xml:space="preserve"> (L.) (Diptera: Culicidae). J Insect Sci. 17(1): 24. </w:t>
      </w:r>
    </w:p>
    <w:p w14:paraId="2089F187" w14:textId="77777777" w:rsidR="00D957CC" w:rsidRPr="00D957CC" w:rsidRDefault="00000000" w:rsidP="00D957CC">
      <w:pPr>
        <w:pStyle w:val="ListParagraph"/>
        <w:numPr>
          <w:ilvl w:val="0"/>
          <w:numId w:val="2"/>
        </w:numPr>
        <w:autoSpaceDE w:val="0"/>
        <w:spacing w:line="240" w:lineRule="auto"/>
        <w:ind w:left="426" w:hanging="426"/>
      </w:pPr>
      <w:r w:rsidRPr="00D957CC">
        <w:rPr>
          <w:rFonts w:eastAsia="Times New Roman"/>
          <w:szCs w:val="24"/>
        </w:rPr>
        <w:t xml:space="preserve">Phasomkusolsil S, Soonwera M (2010) Insect repellent activity of medicinal plant oils against </w:t>
      </w:r>
      <w:r w:rsidRPr="00D957CC">
        <w:rPr>
          <w:rFonts w:eastAsia="Times New Roman"/>
          <w:i/>
          <w:iCs/>
          <w:szCs w:val="24"/>
        </w:rPr>
        <w:t>Aedes aegypti</w:t>
      </w:r>
      <w:r w:rsidRPr="00D957CC">
        <w:rPr>
          <w:rFonts w:eastAsia="Times New Roman"/>
          <w:szCs w:val="24"/>
        </w:rPr>
        <w:t xml:space="preserve"> (Linn.), </w:t>
      </w:r>
      <w:r w:rsidRPr="00D957CC">
        <w:rPr>
          <w:rFonts w:eastAsia="Times New Roman"/>
          <w:i/>
          <w:iCs/>
          <w:szCs w:val="24"/>
        </w:rPr>
        <w:t>Anopheles minimus</w:t>
      </w:r>
      <w:r w:rsidRPr="00D957CC">
        <w:rPr>
          <w:rFonts w:eastAsia="Times New Roman"/>
          <w:szCs w:val="24"/>
        </w:rPr>
        <w:t xml:space="preserve"> (Theobald) and </w:t>
      </w:r>
      <w:r w:rsidRPr="00D957CC">
        <w:rPr>
          <w:rFonts w:eastAsia="Times New Roman"/>
          <w:i/>
          <w:iCs/>
          <w:szCs w:val="24"/>
        </w:rPr>
        <w:t>Culex quinquefasciatus</w:t>
      </w:r>
      <w:r w:rsidRPr="00D957CC">
        <w:rPr>
          <w:rFonts w:eastAsia="Times New Roman"/>
          <w:szCs w:val="24"/>
        </w:rPr>
        <w:t xml:space="preserve"> Say based on protection time and biting rate. Southeast Asian J Trop Med Public Health. 41(4): 831–840.</w:t>
      </w:r>
    </w:p>
    <w:p w14:paraId="3CAA7B45" w14:textId="77777777" w:rsidR="00D957CC" w:rsidRPr="00D957CC" w:rsidRDefault="00000000" w:rsidP="00D957CC">
      <w:pPr>
        <w:pStyle w:val="ListParagraph"/>
        <w:numPr>
          <w:ilvl w:val="0"/>
          <w:numId w:val="2"/>
        </w:numPr>
        <w:autoSpaceDE w:val="0"/>
        <w:spacing w:line="240" w:lineRule="auto"/>
        <w:ind w:left="426" w:hanging="426"/>
      </w:pPr>
      <w:r w:rsidRPr="00D957CC">
        <w:rPr>
          <w:rFonts w:eastAsia="Times New Roman"/>
          <w:szCs w:val="24"/>
        </w:rPr>
        <w:t xml:space="preserve">Junkum A, Maleewong W, Saeung A, Champakaew D, Chansang A, Amornlerdpison D, et al. (2021) Ligusticum sinense nanoemulsion gel as potential repellent against </w:t>
      </w:r>
      <w:r w:rsidRPr="00D957CC">
        <w:rPr>
          <w:rFonts w:eastAsia="Times New Roman"/>
          <w:i/>
          <w:iCs/>
          <w:szCs w:val="24"/>
        </w:rPr>
        <w:t>Aedes aegypti</w:t>
      </w:r>
      <w:r w:rsidRPr="00D957CC">
        <w:rPr>
          <w:rFonts w:eastAsia="Times New Roman"/>
          <w:szCs w:val="24"/>
        </w:rPr>
        <w:t xml:space="preserve">, </w:t>
      </w:r>
      <w:r w:rsidRPr="00D957CC">
        <w:rPr>
          <w:rFonts w:eastAsia="Times New Roman"/>
          <w:i/>
          <w:iCs/>
          <w:szCs w:val="24"/>
        </w:rPr>
        <w:t>Anopheles minimus</w:t>
      </w:r>
      <w:r w:rsidRPr="00D957CC">
        <w:rPr>
          <w:rFonts w:eastAsia="Times New Roman"/>
          <w:szCs w:val="24"/>
        </w:rPr>
        <w:t xml:space="preserve">, and </w:t>
      </w:r>
      <w:r w:rsidRPr="00D957CC">
        <w:rPr>
          <w:rFonts w:eastAsia="Times New Roman"/>
          <w:i/>
          <w:iCs/>
          <w:szCs w:val="24"/>
        </w:rPr>
        <w:t>Culex quinquefasciatus</w:t>
      </w:r>
      <w:r w:rsidRPr="00D957CC">
        <w:rPr>
          <w:rFonts w:eastAsia="Times New Roman"/>
          <w:szCs w:val="24"/>
        </w:rPr>
        <w:t xml:space="preserve"> (Diptera: Culicidae). Insects. 12(7): 596. </w:t>
      </w:r>
    </w:p>
    <w:p w14:paraId="264FF39E" w14:textId="77777777" w:rsidR="00D957CC" w:rsidRPr="00D957CC" w:rsidRDefault="00000000" w:rsidP="00D957CC">
      <w:pPr>
        <w:pStyle w:val="ListParagraph"/>
        <w:numPr>
          <w:ilvl w:val="0"/>
          <w:numId w:val="2"/>
        </w:numPr>
        <w:autoSpaceDE w:val="0"/>
        <w:spacing w:line="240" w:lineRule="auto"/>
        <w:ind w:left="426" w:hanging="426"/>
      </w:pPr>
      <w:r w:rsidRPr="00D957CC">
        <w:rPr>
          <w:rFonts w:eastAsia="Times New Roman"/>
          <w:szCs w:val="24"/>
        </w:rPr>
        <w:t xml:space="preserve">Costantini C, Badolo A, Ilboudo-Sanogo E (2004) Field evaluation of the efficacy and persistence of insect repellents DEET, IR3535, and KBR 3023 against </w:t>
      </w:r>
      <w:r w:rsidRPr="00D957CC">
        <w:rPr>
          <w:rFonts w:eastAsia="Times New Roman"/>
          <w:i/>
          <w:iCs/>
          <w:szCs w:val="24"/>
        </w:rPr>
        <w:t>Anopheles gambiae</w:t>
      </w:r>
      <w:r w:rsidRPr="00D957CC">
        <w:rPr>
          <w:rFonts w:eastAsia="Times New Roman"/>
          <w:szCs w:val="24"/>
        </w:rPr>
        <w:t xml:space="preserve"> complex and other Afrotropical vector mosquitoes. Trans R Soc Trop Med Hyg. 98(11): 644–652. </w:t>
      </w:r>
    </w:p>
    <w:p w14:paraId="24DE0B3C" w14:textId="77777777" w:rsidR="00D957CC" w:rsidRPr="00D957CC" w:rsidRDefault="00000000" w:rsidP="00D957CC">
      <w:pPr>
        <w:pStyle w:val="ListParagraph"/>
        <w:numPr>
          <w:ilvl w:val="0"/>
          <w:numId w:val="2"/>
        </w:numPr>
        <w:autoSpaceDE w:val="0"/>
        <w:spacing w:line="240" w:lineRule="auto"/>
        <w:ind w:left="426" w:hanging="426"/>
      </w:pPr>
      <w:r w:rsidRPr="00D957CC">
        <w:rPr>
          <w:rFonts w:eastAsia="Times New Roman"/>
          <w:szCs w:val="24"/>
        </w:rPr>
        <w:t xml:space="preserve">Sritabutra D, Soonwera M, Waltanachanobon S, Poungjai S (2011) Evaluation of herbal essential oil as repellents against </w:t>
      </w:r>
      <w:r w:rsidRPr="00D957CC">
        <w:rPr>
          <w:rFonts w:eastAsia="Times New Roman"/>
          <w:i/>
          <w:iCs/>
          <w:szCs w:val="24"/>
        </w:rPr>
        <w:t>Aedes aegypti</w:t>
      </w:r>
      <w:r w:rsidRPr="00D957CC">
        <w:rPr>
          <w:rFonts w:eastAsia="Times New Roman"/>
          <w:szCs w:val="24"/>
        </w:rPr>
        <w:t xml:space="preserve"> (L.) and </w:t>
      </w:r>
      <w:r w:rsidRPr="00D957CC">
        <w:rPr>
          <w:rFonts w:eastAsia="Times New Roman"/>
          <w:i/>
          <w:iCs/>
          <w:szCs w:val="24"/>
        </w:rPr>
        <w:t>Anopheles</w:t>
      </w:r>
      <w:r w:rsidRPr="00D957CC">
        <w:rPr>
          <w:rFonts w:eastAsia="Times New Roman"/>
          <w:szCs w:val="24"/>
        </w:rPr>
        <w:t xml:space="preserve"> </w:t>
      </w:r>
      <w:r w:rsidRPr="00D957CC">
        <w:rPr>
          <w:rFonts w:eastAsia="Times New Roman"/>
          <w:i/>
          <w:iCs/>
          <w:szCs w:val="24"/>
        </w:rPr>
        <w:t>dirus</w:t>
      </w:r>
      <w:r w:rsidRPr="00D957CC">
        <w:rPr>
          <w:rFonts w:eastAsia="Times New Roman"/>
          <w:szCs w:val="24"/>
        </w:rPr>
        <w:t xml:space="preserve"> Peyton &amp; Harrion. Asian Pac J Trop Biomed. 1(1 Suppl): S124–S128. </w:t>
      </w:r>
    </w:p>
    <w:p w14:paraId="39176070" w14:textId="77777777" w:rsidR="00D957CC" w:rsidRPr="00D957CC" w:rsidRDefault="00000000" w:rsidP="00D957CC">
      <w:pPr>
        <w:pStyle w:val="ListParagraph"/>
        <w:numPr>
          <w:ilvl w:val="0"/>
          <w:numId w:val="2"/>
        </w:numPr>
        <w:autoSpaceDE w:val="0"/>
        <w:spacing w:line="240" w:lineRule="auto"/>
        <w:ind w:left="426" w:hanging="426"/>
      </w:pPr>
      <w:r w:rsidRPr="00D957CC">
        <w:rPr>
          <w:rFonts w:eastAsia="Times New Roman"/>
          <w:szCs w:val="24"/>
        </w:rPr>
        <w:t xml:space="preserve">Clarkson TC, Janich AJ, Sanchez-Vargas I, Markle ED, Gray M, Foster JR, et al. (2021) Nootkatone is an effective repellent against </w:t>
      </w:r>
      <w:r w:rsidRPr="00D957CC">
        <w:rPr>
          <w:rFonts w:eastAsia="Times New Roman"/>
          <w:i/>
          <w:iCs/>
          <w:szCs w:val="24"/>
        </w:rPr>
        <w:t>Aedes aegypti</w:t>
      </w:r>
      <w:r w:rsidRPr="00D957CC">
        <w:rPr>
          <w:rFonts w:eastAsia="Times New Roman"/>
          <w:szCs w:val="24"/>
        </w:rPr>
        <w:t xml:space="preserve"> and </w:t>
      </w:r>
      <w:r w:rsidRPr="00D957CC">
        <w:rPr>
          <w:rFonts w:eastAsia="Times New Roman"/>
          <w:i/>
          <w:iCs/>
          <w:szCs w:val="24"/>
        </w:rPr>
        <w:t>Aedes albopictus</w:t>
      </w:r>
      <w:r w:rsidRPr="00D957CC">
        <w:rPr>
          <w:rFonts w:eastAsia="Times New Roman"/>
          <w:szCs w:val="24"/>
        </w:rPr>
        <w:t xml:space="preserve">. Insects. 12(5): 386. </w:t>
      </w:r>
    </w:p>
    <w:p w14:paraId="356BC5CB" w14:textId="77777777" w:rsidR="00D957CC" w:rsidRPr="00D957CC" w:rsidRDefault="00000000" w:rsidP="00D957CC">
      <w:pPr>
        <w:pStyle w:val="ListParagraph"/>
        <w:numPr>
          <w:ilvl w:val="0"/>
          <w:numId w:val="2"/>
        </w:numPr>
        <w:autoSpaceDE w:val="0"/>
        <w:spacing w:line="240" w:lineRule="auto"/>
        <w:ind w:left="426" w:hanging="426"/>
      </w:pPr>
      <w:r w:rsidRPr="00D957CC">
        <w:rPr>
          <w:rFonts w:eastAsia="Times New Roman"/>
          <w:szCs w:val="24"/>
        </w:rPr>
        <w:t xml:space="preserve">Feuser ZP, Colonetti T, Grande AJ, Rodrigues Uggioni ML, Roever L, Da Rosa MI (2020) Efficacy of the DEET, IR3535, and picaridin topical use against </w:t>
      </w:r>
      <w:r w:rsidRPr="00D957CC">
        <w:rPr>
          <w:rFonts w:eastAsia="Times New Roman"/>
          <w:i/>
          <w:iCs/>
          <w:szCs w:val="24"/>
        </w:rPr>
        <w:t>Aedes aegypti</w:t>
      </w:r>
      <w:r w:rsidRPr="00D957CC">
        <w:rPr>
          <w:rFonts w:eastAsia="Times New Roman"/>
          <w:szCs w:val="24"/>
        </w:rPr>
        <w:t xml:space="preserve">: Systematic review. Infect Dis Clin Pract. 28(6): 327–341. </w:t>
      </w:r>
    </w:p>
    <w:p w14:paraId="24A717CD" w14:textId="77777777" w:rsidR="00D957CC" w:rsidRPr="00D957CC" w:rsidRDefault="00000000" w:rsidP="00D957CC">
      <w:pPr>
        <w:pStyle w:val="ListParagraph"/>
        <w:numPr>
          <w:ilvl w:val="0"/>
          <w:numId w:val="2"/>
        </w:numPr>
        <w:autoSpaceDE w:val="0"/>
        <w:spacing w:line="240" w:lineRule="auto"/>
        <w:ind w:left="426" w:hanging="426"/>
      </w:pPr>
      <w:r w:rsidRPr="00D957CC">
        <w:rPr>
          <w:rFonts w:eastAsia="Times New Roman"/>
          <w:szCs w:val="24"/>
        </w:rPr>
        <w:t xml:space="preserve">de Souza MA, da Silva L, Macêdo MJF, Lacerda-Neto LJ, dos Santos MAC, Coutinho HDM, et al. (2019) Adulticide and repellent activity of essential oils against </w:t>
      </w:r>
      <w:r w:rsidRPr="00D957CC">
        <w:rPr>
          <w:rFonts w:eastAsia="Times New Roman"/>
          <w:i/>
          <w:iCs/>
          <w:szCs w:val="24"/>
        </w:rPr>
        <w:t>Aedes aegypti</w:t>
      </w:r>
      <w:r w:rsidRPr="00D957CC">
        <w:rPr>
          <w:rFonts w:eastAsia="Times New Roman"/>
          <w:szCs w:val="24"/>
        </w:rPr>
        <w:t xml:space="preserve"> (Diptera: Culicidae): A review. S Afr J Bot. 124: 160–165. </w:t>
      </w:r>
    </w:p>
    <w:p w14:paraId="093EECFC" w14:textId="77777777" w:rsidR="00D957CC" w:rsidRPr="00D957CC" w:rsidRDefault="00000000" w:rsidP="00D957CC">
      <w:pPr>
        <w:pStyle w:val="ListParagraph"/>
        <w:numPr>
          <w:ilvl w:val="0"/>
          <w:numId w:val="2"/>
        </w:numPr>
        <w:autoSpaceDE w:val="0"/>
        <w:spacing w:line="240" w:lineRule="auto"/>
        <w:ind w:left="426" w:hanging="426"/>
      </w:pPr>
      <w:r w:rsidRPr="00D957CC">
        <w:rPr>
          <w:rFonts w:eastAsia="Times New Roman"/>
          <w:szCs w:val="24"/>
        </w:rPr>
        <w:t xml:space="preserve">Champakaew D, Junkum A, Chaithong U, Jitpakdi A, Riyong D, Sanghong R, et al. (2015) Angelica sinensis (Umbelliferae) with proven repellent properties against </w:t>
      </w:r>
      <w:r w:rsidRPr="00D957CC">
        <w:rPr>
          <w:rFonts w:eastAsia="Times New Roman"/>
          <w:i/>
          <w:iCs/>
          <w:szCs w:val="24"/>
        </w:rPr>
        <w:t>Aedes aegypti</w:t>
      </w:r>
      <w:r w:rsidRPr="00D957CC">
        <w:rPr>
          <w:rFonts w:eastAsia="Times New Roman"/>
          <w:szCs w:val="24"/>
        </w:rPr>
        <w:t xml:space="preserve">, the primary dengue fever vector in Thailand. Parasitol Res. 114(6): 2187–2198. </w:t>
      </w:r>
    </w:p>
    <w:p w14:paraId="02D099BC" w14:textId="77777777" w:rsidR="00D957CC" w:rsidRPr="00D957CC" w:rsidRDefault="00000000" w:rsidP="00D957CC">
      <w:pPr>
        <w:pStyle w:val="ListParagraph"/>
        <w:numPr>
          <w:ilvl w:val="0"/>
          <w:numId w:val="2"/>
        </w:numPr>
        <w:autoSpaceDE w:val="0"/>
        <w:spacing w:line="240" w:lineRule="auto"/>
        <w:ind w:left="426" w:hanging="426"/>
      </w:pPr>
      <w:r w:rsidRPr="00D957CC">
        <w:rPr>
          <w:rFonts w:eastAsia="Times New Roman"/>
          <w:szCs w:val="24"/>
        </w:rPr>
        <w:t xml:space="preserve">Mitra S, Rodriguez SD, Vulcan J, Cordova J, Chung HN, Moore E, et al. (2020) Efficacy of active ingredients from the EPA 25(B) list in reducing attraction of </w:t>
      </w:r>
      <w:r w:rsidRPr="00D957CC">
        <w:rPr>
          <w:rFonts w:eastAsia="Times New Roman"/>
          <w:i/>
          <w:iCs/>
          <w:szCs w:val="24"/>
        </w:rPr>
        <w:t>Aedes aegypti</w:t>
      </w:r>
      <w:r w:rsidRPr="00D957CC">
        <w:rPr>
          <w:rFonts w:eastAsia="Times New Roman"/>
          <w:szCs w:val="24"/>
        </w:rPr>
        <w:t xml:space="preserve"> (Diptera: Culicidae) to humans. J Med Entomol. 57(2): 477–484. </w:t>
      </w:r>
    </w:p>
    <w:p w14:paraId="795B8BB4" w14:textId="77777777" w:rsidR="00D957CC" w:rsidRPr="00D957CC" w:rsidRDefault="00000000" w:rsidP="00D957CC">
      <w:pPr>
        <w:pStyle w:val="ListParagraph"/>
        <w:numPr>
          <w:ilvl w:val="0"/>
          <w:numId w:val="2"/>
        </w:numPr>
        <w:autoSpaceDE w:val="0"/>
        <w:spacing w:line="240" w:lineRule="auto"/>
        <w:ind w:left="426" w:hanging="426"/>
      </w:pPr>
      <w:r w:rsidRPr="00D957CC">
        <w:rPr>
          <w:rFonts w:eastAsia="Times New Roman"/>
          <w:szCs w:val="24"/>
        </w:rPr>
        <w:t xml:space="preserve">Soonwera M, Phasomkusolsil S (2014) Efficacy of Thai herbal essential oils as green repellent against mosquito vectors. Acta Trop. 142: 127–130. </w:t>
      </w:r>
    </w:p>
    <w:p w14:paraId="037E64BD" w14:textId="77777777" w:rsidR="00D957CC" w:rsidRPr="00D957CC" w:rsidRDefault="00000000" w:rsidP="00D957CC">
      <w:pPr>
        <w:pStyle w:val="ListParagraph"/>
        <w:numPr>
          <w:ilvl w:val="0"/>
          <w:numId w:val="2"/>
        </w:numPr>
        <w:autoSpaceDE w:val="0"/>
        <w:spacing w:line="240" w:lineRule="auto"/>
        <w:ind w:left="426" w:hanging="426"/>
      </w:pPr>
      <w:r w:rsidRPr="00D957CC">
        <w:rPr>
          <w:rFonts w:eastAsia="Times New Roman"/>
          <w:szCs w:val="24"/>
        </w:rPr>
        <w:t xml:space="preserve">Atkovska K, Kuvendziev S, Mustafa E, Marinkovski M, Ghaffari P, Lisichkov K (2021) Essential oils as green repellents against mosquito vectors. Qual Life. 20(1): 51–60. </w:t>
      </w:r>
    </w:p>
    <w:p w14:paraId="300840EC" w14:textId="77777777" w:rsidR="00D957CC" w:rsidRPr="00D957CC" w:rsidRDefault="00000000" w:rsidP="00D957CC">
      <w:pPr>
        <w:pStyle w:val="ListParagraph"/>
        <w:numPr>
          <w:ilvl w:val="0"/>
          <w:numId w:val="2"/>
        </w:numPr>
        <w:autoSpaceDE w:val="0"/>
        <w:spacing w:line="240" w:lineRule="auto"/>
        <w:ind w:left="426" w:hanging="426"/>
      </w:pPr>
      <w:r w:rsidRPr="00D957CC">
        <w:rPr>
          <w:rFonts w:eastAsia="Times New Roman"/>
          <w:szCs w:val="24"/>
        </w:rPr>
        <w:t xml:space="preserve">Campbell C, Gries G (2010) Is soybean oil an effective repellent against </w:t>
      </w:r>
      <w:r w:rsidRPr="00D957CC">
        <w:rPr>
          <w:rFonts w:eastAsia="Times New Roman"/>
          <w:i/>
          <w:iCs/>
          <w:szCs w:val="24"/>
        </w:rPr>
        <w:t>Aedes aegypti?</w:t>
      </w:r>
      <w:r w:rsidRPr="00D957CC">
        <w:rPr>
          <w:rFonts w:eastAsia="Times New Roman"/>
          <w:szCs w:val="24"/>
        </w:rPr>
        <w:t xml:space="preserve"> Can Entomol. 142(4): 405–414. </w:t>
      </w:r>
    </w:p>
    <w:p w14:paraId="493BD27D" w14:textId="77777777" w:rsidR="00D957CC" w:rsidRPr="00D957CC" w:rsidRDefault="00000000" w:rsidP="00D957CC">
      <w:pPr>
        <w:pStyle w:val="ListParagraph"/>
        <w:numPr>
          <w:ilvl w:val="0"/>
          <w:numId w:val="2"/>
        </w:numPr>
        <w:autoSpaceDE w:val="0"/>
        <w:spacing w:line="240" w:lineRule="auto"/>
        <w:ind w:left="426" w:hanging="426"/>
      </w:pPr>
      <w:r w:rsidRPr="00D957CC">
        <w:rPr>
          <w:rFonts w:eastAsia="Times New Roman"/>
          <w:szCs w:val="24"/>
        </w:rPr>
        <w:t xml:space="preserve">Zulfikar Z, Sitepu FY, Zulfikar W (2019) The effect of lemongrass (Cymbopogon nardus) extract as insecticide against </w:t>
      </w:r>
      <w:r w:rsidRPr="00D957CC">
        <w:rPr>
          <w:rFonts w:eastAsia="Times New Roman"/>
          <w:i/>
          <w:iCs/>
          <w:szCs w:val="24"/>
        </w:rPr>
        <w:t>Aedes aegypti</w:t>
      </w:r>
      <w:r w:rsidRPr="00D957CC">
        <w:rPr>
          <w:rFonts w:eastAsia="Times New Roman"/>
          <w:szCs w:val="24"/>
        </w:rPr>
        <w:t>. Int J Mosq Res. 6(1): 101–103.</w:t>
      </w:r>
    </w:p>
    <w:p w14:paraId="0A2F12B9" w14:textId="77777777" w:rsidR="00D957CC" w:rsidRPr="00D957CC" w:rsidRDefault="00000000" w:rsidP="00D957CC">
      <w:pPr>
        <w:pStyle w:val="ListParagraph"/>
        <w:numPr>
          <w:ilvl w:val="0"/>
          <w:numId w:val="2"/>
        </w:numPr>
        <w:autoSpaceDE w:val="0"/>
        <w:spacing w:line="240" w:lineRule="auto"/>
        <w:ind w:left="426" w:hanging="426"/>
      </w:pPr>
      <w:r w:rsidRPr="00D957CC">
        <w:rPr>
          <w:rFonts w:eastAsia="Times New Roman"/>
          <w:szCs w:val="24"/>
        </w:rPr>
        <w:t xml:space="preserve">Jobe NB, Erickson M, Rydberg SE, Huijben S, Paaijmans KP (2024) Repelling </w:t>
      </w:r>
      <w:r w:rsidRPr="00D957CC">
        <w:rPr>
          <w:rFonts w:eastAsia="Times New Roman"/>
          <w:i/>
          <w:iCs/>
          <w:szCs w:val="24"/>
        </w:rPr>
        <w:t>Aedes aegypti</w:t>
      </w:r>
      <w:r w:rsidRPr="00D957CC">
        <w:rPr>
          <w:rFonts w:eastAsia="Times New Roman"/>
          <w:szCs w:val="24"/>
        </w:rPr>
        <w:t xml:space="preserve"> mosquitoes with electric fields using insulated conductor wires. PLoS Negl Trop Dis. 18(9): e0012493. </w:t>
      </w:r>
    </w:p>
    <w:p w14:paraId="6CAD75C0" w14:textId="77777777" w:rsidR="00D957CC" w:rsidRPr="00D957CC" w:rsidRDefault="00000000" w:rsidP="00D957CC">
      <w:pPr>
        <w:pStyle w:val="ListParagraph"/>
        <w:numPr>
          <w:ilvl w:val="0"/>
          <w:numId w:val="2"/>
        </w:numPr>
        <w:autoSpaceDE w:val="0"/>
        <w:spacing w:line="240" w:lineRule="auto"/>
        <w:ind w:left="426" w:hanging="426"/>
      </w:pPr>
      <w:r w:rsidRPr="00D957CC">
        <w:rPr>
          <w:rFonts w:eastAsia="Times New Roman"/>
          <w:szCs w:val="24"/>
        </w:rPr>
        <w:t xml:space="preserve">Ahebwa A, Hii J, Neoh KB, Leepasert T, Chareonviriyaphap T (2024) Effects of transfluthrin-treated jute and cotton clothing against resistant and susceptible </w:t>
      </w:r>
      <w:r w:rsidRPr="00D957CC">
        <w:rPr>
          <w:rFonts w:eastAsia="Times New Roman"/>
          <w:i/>
          <w:iCs/>
          <w:szCs w:val="24"/>
        </w:rPr>
        <w:t>Aedes aegypti</w:t>
      </w:r>
      <w:r w:rsidRPr="00D957CC">
        <w:rPr>
          <w:rFonts w:eastAsia="Times New Roman"/>
          <w:szCs w:val="24"/>
        </w:rPr>
        <w:t xml:space="preserve"> (Diptera: Culicidae) in a semifield system. J Med Entomol. 61(1): 181–190. </w:t>
      </w:r>
    </w:p>
    <w:p w14:paraId="264EAC26" w14:textId="77777777" w:rsidR="00D957CC" w:rsidRPr="00D957CC" w:rsidRDefault="00000000" w:rsidP="00D957CC">
      <w:pPr>
        <w:pStyle w:val="ListParagraph"/>
        <w:numPr>
          <w:ilvl w:val="0"/>
          <w:numId w:val="2"/>
        </w:numPr>
        <w:autoSpaceDE w:val="0"/>
        <w:spacing w:line="240" w:lineRule="auto"/>
        <w:ind w:left="426" w:hanging="426"/>
      </w:pPr>
      <w:r w:rsidRPr="00D957CC">
        <w:rPr>
          <w:rFonts w:eastAsia="Times New Roman"/>
          <w:szCs w:val="24"/>
        </w:rPr>
        <w:t xml:space="preserve">Dilly J, Santos da Silva O, Pilz-Júnior HL, De Lemos AB, Silva WJ, Milagres TDF, et al. (2023) Novel devices and biomaterials for testing effective oviposition deterrence in </w:t>
      </w:r>
      <w:r w:rsidRPr="00D957CC">
        <w:rPr>
          <w:rFonts w:eastAsia="Times New Roman"/>
          <w:i/>
          <w:iCs/>
          <w:szCs w:val="24"/>
        </w:rPr>
        <w:t>Aedes aegypti</w:t>
      </w:r>
      <w:r w:rsidRPr="00D957CC">
        <w:rPr>
          <w:rFonts w:eastAsia="Times New Roman"/>
          <w:szCs w:val="24"/>
        </w:rPr>
        <w:t xml:space="preserve">. Ind Crops Prod. 193: 116206. </w:t>
      </w:r>
    </w:p>
    <w:p w14:paraId="6567819F" w14:textId="77777777" w:rsidR="00D957CC" w:rsidRPr="00D957CC" w:rsidRDefault="00000000" w:rsidP="00D957CC">
      <w:pPr>
        <w:pStyle w:val="ListParagraph"/>
        <w:numPr>
          <w:ilvl w:val="0"/>
          <w:numId w:val="2"/>
        </w:numPr>
        <w:autoSpaceDE w:val="0"/>
        <w:spacing w:line="240" w:lineRule="auto"/>
        <w:ind w:left="426" w:hanging="426"/>
      </w:pPr>
      <w:r w:rsidRPr="00D957CC">
        <w:rPr>
          <w:rFonts w:eastAsia="Times New Roman"/>
          <w:szCs w:val="24"/>
        </w:rPr>
        <w:lastRenderedPageBreak/>
        <w:t xml:space="preserve">de Araujo Neto MF, de Jesus Santos JR, de Oliveira ALPS, Vieira Gois AW, Santana Martins IB, Leite VBP, et al. (2025) Development of a novel </w:t>
      </w:r>
      <w:r w:rsidRPr="00D957CC">
        <w:rPr>
          <w:rFonts w:eastAsia="Times New Roman"/>
          <w:i/>
          <w:iCs/>
          <w:szCs w:val="24"/>
        </w:rPr>
        <w:t>Aedes aegypti</w:t>
      </w:r>
      <w:r w:rsidRPr="00D957CC">
        <w:rPr>
          <w:rFonts w:eastAsia="Times New Roman"/>
          <w:szCs w:val="24"/>
        </w:rPr>
        <w:t xml:space="preserve"> repellent: An integrated approach combining in silico and bioassays. Chem Biodivers. 23(1): e01251. </w:t>
      </w:r>
    </w:p>
    <w:p w14:paraId="5BE06F86" w14:textId="77777777" w:rsidR="00D957CC" w:rsidRPr="00D957CC" w:rsidRDefault="00000000" w:rsidP="00D957CC">
      <w:pPr>
        <w:pStyle w:val="ListParagraph"/>
        <w:numPr>
          <w:ilvl w:val="0"/>
          <w:numId w:val="2"/>
        </w:numPr>
        <w:autoSpaceDE w:val="0"/>
        <w:spacing w:line="240" w:lineRule="auto"/>
        <w:ind w:left="426" w:hanging="426"/>
      </w:pPr>
      <w:r w:rsidRPr="00D957CC">
        <w:rPr>
          <w:rFonts w:eastAsia="Times New Roman"/>
          <w:szCs w:val="24"/>
        </w:rPr>
        <w:t xml:space="preserve">Omondi WP, Owino EA, Odongo D, Mwangangi JM, Torto B, Tchouassi DP (2019) Differential response to plant- and human-derived odorants in field surveillance of the dengue vector, </w:t>
      </w:r>
      <w:r w:rsidRPr="00D957CC">
        <w:rPr>
          <w:rFonts w:eastAsia="Times New Roman"/>
          <w:i/>
          <w:iCs/>
          <w:szCs w:val="24"/>
        </w:rPr>
        <w:t>Aedes aegypti</w:t>
      </w:r>
      <w:r w:rsidRPr="00D957CC">
        <w:rPr>
          <w:rFonts w:eastAsia="Times New Roman"/>
          <w:szCs w:val="24"/>
        </w:rPr>
        <w:t xml:space="preserve">. Acta Trop. 200: 105163. </w:t>
      </w:r>
    </w:p>
    <w:p w14:paraId="077528F2" w14:textId="34B06F22" w:rsidR="00D957CC" w:rsidRPr="00D957CC" w:rsidRDefault="00000000" w:rsidP="00D957CC">
      <w:pPr>
        <w:pStyle w:val="ListParagraph"/>
        <w:numPr>
          <w:ilvl w:val="0"/>
          <w:numId w:val="2"/>
        </w:numPr>
        <w:autoSpaceDE w:val="0"/>
        <w:spacing w:line="240" w:lineRule="auto"/>
        <w:ind w:left="426" w:hanging="426"/>
      </w:pPr>
      <w:r w:rsidRPr="00D957CC">
        <w:rPr>
          <w:rFonts w:eastAsia="Times New Roman"/>
          <w:szCs w:val="24"/>
        </w:rPr>
        <w:t xml:space="preserve">Kandel Y, Vulcan J, Rodriguez SD, Moore E, Chung HN, Mitra S, et al. (2019) Widespread insecticide resistance in </w:t>
      </w:r>
      <w:r w:rsidRPr="00D957CC">
        <w:rPr>
          <w:rFonts w:eastAsia="Times New Roman"/>
          <w:i/>
          <w:iCs/>
          <w:szCs w:val="24"/>
        </w:rPr>
        <w:t>Aedes aegypti</w:t>
      </w:r>
      <w:r w:rsidRPr="00D957CC">
        <w:rPr>
          <w:rFonts w:eastAsia="Times New Roman"/>
          <w:szCs w:val="24"/>
        </w:rPr>
        <w:t xml:space="preserve"> L. from New Mexico, U.S.A. PLoS One. 14(2): e0212693. doi:10.1371/journal.pone.0212693</w:t>
      </w:r>
      <w:r w:rsidR="00D957CC">
        <w:rPr>
          <w:rFonts w:eastAsia="Times New Roman"/>
          <w:szCs w:val="24"/>
        </w:rPr>
        <w:t>.</w:t>
      </w:r>
    </w:p>
    <w:p w14:paraId="591C167E" w14:textId="77777777" w:rsidR="00D957CC" w:rsidRPr="00D957CC" w:rsidRDefault="00000000" w:rsidP="00D957CC">
      <w:pPr>
        <w:pStyle w:val="ListParagraph"/>
        <w:numPr>
          <w:ilvl w:val="0"/>
          <w:numId w:val="2"/>
        </w:numPr>
        <w:autoSpaceDE w:val="0"/>
        <w:spacing w:line="240" w:lineRule="auto"/>
        <w:ind w:left="426" w:hanging="426"/>
      </w:pPr>
      <w:r w:rsidRPr="00D957CC">
        <w:rPr>
          <w:rFonts w:eastAsia="Times New Roman"/>
          <w:szCs w:val="24"/>
        </w:rPr>
        <w:t xml:space="preserve">Sittichok S, Passara H, Moungthipmalai T, Sinthusiri J, Murata K, Soonwera M (2025) Synergistic larvicidal and pupicidal effects of monoterpene mixtures against </w:t>
      </w:r>
      <w:r w:rsidRPr="00D957CC">
        <w:rPr>
          <w:rFonts w:eastAsia="Times New Roman"/>
          <w:i/>
          <w:iCs/>
          <w:szCs w:val="24"/>
        </w:rPr>
        <w:t>Aedes aegypti</w:t>
      </w:r>
      <w:r w:rsidRPr="00D957CC">
        <w:rPr>
          <w:rFonts w:eastAsia="Times New Roman"/>
          <w:szCs w:val="24"/>
        </w:rPr>
        <w:t xml:space="preserve"> with low toxicity to guppies and honeybees. Insects. 16(7): 738. </w:t>
      </w:r>
    </w:p>
    <w:p w14:paraId="489D7217" w14:textId="77777777" w:rsidR="00D957CC" w:rsidRPr="00D957CC" w:rsidRDefault="00000000" w:rsidP="00D957CC">
      <w:pPr>
        <w:pStyle w:val="ListParagraph"/>
        <w:numPr>
          <w:ilvl w:val="0"/>
          <w:numId w:val="2"/>
        </w:numPr>
        <w:autoSpaceDE w:val="0"/>
        <w:spacing w:line="240" w:lineRule="auto"/>
        <w:ind w:left="426" w:hanging="426"/>
      </w:pPr>
      <w:r w:rsidRPr="00D957CC">
        <w:rPr>
          <w:rFonts w:eastAsia="Times New Roman"/>
          <w:szCs w:val="24"/>
        </w:rPr>
        <w:t xml:space="preserve">Cruzeiro RRP, Davies NW, Obara MT, Silveira D, Gomes-Copeland KKP, de Castro Nizio DA, et al. (2024) Activity of essential oils from Brazilian Cerrado against </w:t>
      </w:r>
      <w:r w:rsidRPr="00D957CC">
        <w:rPr>
          <w:rFonts w:eastAsia="Times New Roman"/>
          <w:i/>
          <w:iCs/>
          <w:szCs w:val="24"/>
        </w:rPr>
        <w:t>Aedes aegypti</w:t>
      </w:r>
      <w:r w:rsidRPr="00D957CC">
        <w:rPr>
          <w:rFonts w:eastAsia="Times New Roman"/>
          <w:szCs w:val="24"/>
        </w:rPr>
        <w:t xml:space="preserve"> (Diptera: Culicidae) larvae. S Afr J Bot. 172: 619–626. </w:t>
      </w:r>
    </w:p>
    <w:p w14:paraId="6F44C22F" w14:textId="77777777" w:rsidR="00D957CC" w:rsidRPr="00D957CC" w:rsidRDefault="00000000" w:rsidP="00D957CC">
      <w:pPr>
        <w:pStyle w:val="ListParagraph"/>
        <w:numPr>
          <w:ilvl w:val="0"/>
          <w:numId w:val="2"/>
        </w:numPr>
        <w:autoSpaceDE w:val="0"/>
        <w:spacing w:line="240" w:lineRule="auto"/>
        <w:ind w:left="426" w:hanging="426"/>
      </w:pPr>
      <w:r w:rsidRPr="00D957CC">
        <w:rPr>
          <w:rFonts w:eastAsia="Times New Roman"/>
          <w:szCs w:val="24"/>
        </w:rPr>
        <w:t xml:space="preserve">Duarte JL, Oliveira AEMF, Pinto MC, Chorilli M (2020) Botanical insecticide-based nanosystems for the control of </w:t>
      </w:r>
      <w:r w:rsidRPr="00D957CC">
        <w:rPr>
          <w:rFonts w:eastAsia="Times New Roman"/>
          <w:i/>
          <w:iCs/>
          <w:szCs w:val="24"/>
        </w:rPr>
        <w:t>Aedes (Stegomyia) aegypti</w:t>
      </w:r>
      <w:r w:rsidRPr="00D957CC">
        <w:rPr>
          <w:rFonts w:eastAsia="Times New Roman"/>
          <w:szCs w:val="24"/>
        </w:rPr>
        <w:t xml:space="preserve"> larvae. Environ Sci Pollut Res. 27(23): 28737–28748.</w:t>
      </w:r>
    </w:p>
    <w:p w14:paraId="3130F7C0" w14:textId="77777777" w:rsidR="00D957CC" w:rsidRPr="00D957CC" w:rsidRDefault="00000000" w:rsidP="00D957CC">
      <w:pPr>
        <w:pStyle w:val="ListParagraph"/>
        <w:numPr>
          <w:ilvl w:val="0"/>
          <w:numId w:val="2"/>
        </w:numPr>
        <w:autoSpaceDE w:val="0"/>
        <w:spacing w:line="240" w:lineRule="auto"/>
        <w:ind w:left="426" w:hanging="426"/>
      </w:pPr>
      <w:r w:rsidRPr="00D957CC">
        <w:rPr>
          <w:rFonts w:eastAsia="Times New Roman"/>
          <w:szCs w:val="24"/>
        </w:rPr>
        <w:t xml:space="preserve">Santos LGP, Costa BAM, Almeida WA, Silva TN, Coutinho GS, Napoleão TH, et al. (2024) Plant-based insecticides for control of </w:t>
      </w:r>
      <w:r w:rsidRPr="00D957CC">
        <w:rPr>
          <w:rFonts w:eastAsia="Times New Roman"/>
          <w:i/>
          <w:iCs/>
          <w:szCs w:val="24"/>
        </w:rPr>
        <w:t>Aedes aegypti</w:t>
      </w:r>
      <w:r w:rsidRPr="00D957CC">
        <w:rPr>
          <w:rFonts w:eastAsia="Times New Roman"/>
          <w:szCs w:val="24"/>
        </w:rPr>
        <w:t xml:space="preserve">, </w:t>
      </w:r>
      <w:r w:rsidRPr="00D957CC">
        <w:rPr>
          <w:rFonts w:eastAsia="Times New Roman"/>
          <w:i/>
          <w:iCs/>
          <w:szCs w:val="24"/>
        </w:rPr>
        <w:t>Sitophilus zeamais</w:t>
      </w:r>
      <w:r w:rsidRPr="00D957CC">
        <w:rPr>
          <w:rFonts w:eastAsia="Times New Roman"/>
          <w:szCs w:val="24"/>
        </w:rPr>
        <w:t xml:space="preserve"> and </w:t>
      </w:r>
      <w:r w:rsidRPr="00D957CC">
        <w:rPr>
          <w:rFonts w:eastAsia="Times New Roman"/>
          <w:i/>
          <w:iCs/>
          <w:szCs w:val="24"/>
        </w:rPr>
        <w:t>Nasutitermes corniger</w:t>
      </w:r>
      <w:r w:rsidRPr="00D957CC">
        <w:rPr>
          <w:rFonts w:eastAsia="Times New Roman"/>
          <w:szCs w:val="24"/>
        </w:rPr>
        <w:t xml:space="preserve">: A review and bibliometric analysis. Adv Res. 25(3): 159–174. </w:t>
      </w:r>
    </w:p>
    <w:p w14:paraId="53928CE8" w14:textId="77777777" w:rsidR="00D957CC" w:rsidRPr="00D957CC" w:rsidRDefault="00000000" w:rsidP="00D957CC">
      <w:pPr>
        <w:pStyle w:val="ListParagraph"/>
        <w:numPr>
          <w:ilvl w:val="0"/>
          <w:numId w:val="2"/>
        </w:numPr>
        <w:autoSpaceDE w:val="0"/>
        <w:spacing w:line="240" w:lineRule="auto"/>
        <w:ind w:left="426" w:hanging="426"/>
      </w:pPr>
      <w:r w:rsidRPr="00D957CC">
        <w:rPr>
          <w:rFonts w:eastAsia="Times New Roman"/>
          <w:szCs w:val="24"/>
        </w:rPr>
        <w:t xml:space="preserve">Naucke TJ, Kröpke R, Benner G, Schulz J, Wittern KP, Rose A, et al. (2007) Field evaluation of the efficacy of proprietary repellent formulations with IR3535® and picaridin against </w:t>
      </w:r>
      <w:r w:rsidRPr="00D957CC">
        <w:rPr>
          <w:rFonts w:eastAsia="Times New Roman"/>
          <w:i/>
          <w:iCs/>
          <w:szCs w:val="24"/>
        </w:rPr>
        <w:t>Aedes aegypti</w:t>
      </w:r>
      <w:r w:rsidRPr="00D957CC">
        <w:rPr>
          <w:rFonts w:eastAsia="Times New Roman"/>
          <w:szCs w:val="24"/>
        </w:rPr>
        <w:t xml:space="preserve">. Parasitol Res. 101(1): 169–177. </w:t>
      </w:r>
    </w:p>
    <w:p w14:paraId="528D7B16" w14:textId="77777777" w:rsidR="00D957CC" w:rsidRPr="00D957CC" w:rsidRDefault="00000000" w:rsidP="00D957CC">
      <w:pPr>
        <w:pStyle w:val="ListParagraph"/>
        <w:numPr>
          <w:ilvl w:val="0"/>
          <w:numId w:val="2"/>
        </w:numPr>
        <w:autoSpaceDE w:val="0"/>
        <w:spacing w:line="240" w:lineRule="auto"/>
        <w:ind w:left="426" w:hanging="426"/>
      </w:pPr>
      <w:r w:rsidRPr="00D957CC">
        <w:rPr>
          <w:rFonts w:eastAsia="Times New Roman"/>
          <w:szCs w:val="24"/>
        </w:rPr>
        <w:t xml:space="preserve">Trongtokit Y, Rongsriyam Y, Komalamisra N, Apiwathnasorn C (2005) Comparative repellency of 38 essential oils against mosquito bites. Phytother Res. 19(4): 303–309. </w:t>
      </w:r>
    </w:p>
    <w:p w14:paraId="10A90877" w14:textId="77777777" w:rsidR="00D957CC" w:rsidRPr="00D957CC" w:rsidRDefault="00000000" w:rsidP="00D957CC">
      <w:pPr>
        <w:pStyle w:val="ListParagraph"/>
        <w:numPr>
          <w:ilvl w:val="0"/>
          <w:numId w:val="2"/>
        </w:numPr>
        <w:autoSpaceDE w:val="0"/>
        <w:spacing w:line="240" w:lineRule="auto"/>
        <w:ind w:left="426" w:hanging="426"/>
      </w:pPr>
      <w:r w:rsidRPr="00D957CC">
        <w:rPr>
          <w:rFonts w:eastAsia="Times New Roman"/>
          <w:szCs w:val="24"/>
        </w:rPr>
        <w:t xml:space="preserve">Frances SP, Rigby LM, Chow WK (2014) Comparative laboratory and field evaluation of repellent formulations containing DEET and lemon eucalyptus oil against mosquitoes in Queensland, Australia. J Am Mosq Control Assoc. 30(1): 65–67. </w:t>
      </w:r>
    </w:p>
    <w:p w14:paraId="40E9C98B" w14:textId="77777777" w:rsidR="00D957CC" w:rsidRPr="00D957CC" w:rsidRDefault="00000000" w:rsidP="00D957CC">
      <w:pPr>
        <w:pStyle w:val="ListParagraph"/>
        <w:numPr>
          <w:ilvl w:val="0"/>
          <w:numId w:val="2"/>
        </w:numPr>
        <w:autoSpaceDE w:val="0"/>
        <w:spacing w:line="240" w:lineRule="auto"/>
        <w:ind w:left="426" w:hanging="426"/>
      </w:pPr>
      <w:r w:rsidRPr="00D957CC">
        <w:rPr>
          <w:rFonts w:eastAsia="Times New Roman"/>
          <w:szCs w:val="24"/>
        </w:rPr>
        <w:t>WHO (2009) Guidelines for efficacy testing of mosquito repellents for human skin. World Health Organization. Available at: https://www.who.int/publications/i/item/WHO-HTM-NTD-WHOPES-2009.4.</w:t>
      </w:r>
      <w:r w:rsidRPr="00D957CC">
        <w:rPr>
          <w:szCs w:val="24"/>
          <w:lang w:val="id-ID"/>
        </w:rPr>
        <w:t xml:space="preserve"> </w:t>
      </w:r>
    </w:p>
    <w:p w14:paraId="1C63629F" w14:textId="77777777" w:rsidR="00D957CC" w:rsidRPr="00D957CC" w:rsidRDefault="00000000" w:rsidP="00D957CC">
      <w:pPr>
        <w:pStyle w:val="ListParagraph"/>
        <w:numPr>
          <w:ilvl w:val="0"/>
          <w:numId w:val="2"/>
        </w:numPr>
        <w:autoSpaceDE w:val="0"/>
        <w:spacing w:line="240" w:lineRule="auto"/>
        <w:ind w:left="426" w:hanging="426"/>
      </w:pPr>
      <w:r w:rsidRPr="00D957CC">
        <w:rPr>
          <w:szCs w:val="24"/>
        </w:rPr>
        <w:t xml:space="preserve">Ouzzani M, Hammady H, Fedorowicz Z, Elmagarmid A (2016) Rayyan—a web and mobile app for systematic reviews. </w:t>
      </w:r>
      <w:r w:rsidRPr="00D957CC">
        <w:rPr>
          <w:i/>
          <w:iCs/>
          <w:szCs w:val="24"/>
        </w:rPr>
        <w:t>Syst Rev.</w:t>
      </w:r>
      <w:r w:rsidRPr="00D957CC">
        <w:rPr>
          <w:szCs w:val="24"/>
        </w:rPr>
        <w:t xml:space="preserve"> 5: 210. doi:10.1186/s13643-016-0384-4.</w:t>
      </w:r>
    </w:p>
    <w:p w14:paraId="49351C56" w14:textId="77777777" w:rsidR="00D957CC" w:rsidRPr="00D957CC" w:rsidRDefault="00000000" w:rsidP="00D957CC">
      <w:pPr>
        <w:pStyle w:val="ListParagraph"/>
        <w:numPr>
          <w:ilvl w:val="0"/>
          <w:numId w:val="2"/>
        </w:numPr>
        <w:autoSpaceDE w:val="0"/>
        <w:spacing w:line="240" w:lineRule="auto"/>
        <w:ind w:left="426" w:hanging="426"/>
      </w:pPr>
      <w:r w:rsidRPr="00D957CC">
        <w:rPr>
          <w:szCs w:val="24"/>
        </w:rPr>
        <w:t>Mittal PK, Sreehari U, Razdan RK, Dash AP, Ansari MA (2011) Efficacy of Advanced Odomos repellent cream (N,N-diethyl-benzamide) against mosquito vectors. Indian J Med Res. 133(4): 426–430.</w:t>
      </w:r>
    </w:p>
    <w:p w14:paraId="49809FD9" w14:textId="77777777" w:rsidR="00D957CC" w:rsidRPr="00D957CC" w:rsidRDefault="00000000" w:rsidP="00D957CC">
      <w:pPr>
        <w:pStyle w:val="ListParagraph"/>
        <w:numPr>
          <w:ilvl w:val="0"/>
          <w:numId w:val="2"/>
        </w:numPr>
        <w:autoSpaceDE w:val="0"/>
        <w:spacing w:line="240" w:lineRule="auto"/>
        <w:ind w:left="426" w:hanging="426"/>
      </w:pPr>
      <w:r w:rsidRPr="00D957CC">
        <w:rPr>
          <w:szCs w:val="24"/>
          <w:lang w:val="en-ID"/>
        </w:rPr>
        <w:t>Mukesh Y, Savitri P, Kaushik R, Singh NP (2014) Studies on repellent activity of seed oils alone and in combination on mosquito, Aedes aegypti. J Environ Biol. 35(5): 917–922.</w:t>
      </w:r>
    </w:p>
    <w:p w14:paraId="0CDA6B69" w14:textId="77777777" w:rsidR="00D957CC" w:rsidRPr="00D957CC" w:rsidRDefault="00000000" w:rsidP="00D957CC">
      <w:pPr>
        <w:pStyle w:val="ListParagraph"/>
        <w:numPr>
          <w:ilvl w:val="0"/>
          <w:numId w:val="2"/>
        </w:numPr>
        <w:autoSpaceDE w:val="0"/>
        <w:spacing w:line="240" w:lineRule="auto"/>
        <w:ind w:left="426" w:hanging="426"/>
      </w:pPr>
      <w:r w:rsidRPr="00D957CC">
        <w:rPr>
          <w:szCs w:val="24"/>
          <w:lang w:val="en-ID"/>
        </w:rPr>
        <w:t>Soonwera M (2015) Efficacy of essential oils from Citrus plants against mosquito vectors Aedes aegypti (Linn.) and Culex quinquefasciatus (Say). Int J Agric Technol. 11(3): 669–681.</w:t>
      </w:r>
    </w:p>
    <w:p w14:paraId="043B818C" w14:textId="77777777" w:rsidR="00D957CC" w:rsidRPr="00D957CC" w:rsidRDefault="00000000" w:rsidP="00D957CC">
      <w:pPr>
        <w:pStyle w:val="ListParagraph"/>
        <w:numPr>
          <w:ilvl w:val="0"/>
          <w:numId w:val="2"/>
        </w:numPr>
        <w:autoSpaceDE w:val="0"/>
        <w:spacing w:line="240" w:lineRule="auto"/>
        <w:ind w:left="426" w:hanging="426"/>
      </w:pPr>
      <w:r w:rsidRPr="00D957CC">
        <w:rPr>
          <w:szCs w:val="24"/>
          <w:lang w:val="en-ID"/>
        </w:rPr>
        <w:t>Sterne JAC, Savović J, Page MJ, Elbers RG, Blencowe NS, Boutron I, et al. (2019) RoB 2: a revised tool for assessing risk of bias in randomised trials. BMJ. 366: l4898. doi:10.1136/bmj.l4898.</w:t>
      </w:r>
    </w:p>
    <w:p w14:paraId="310D126B" w14:textId="2386C4E0" w:rsidR="00973470" w:rsidRDefault="00000000" w:rsidP="00D957CC">
      <w:pPr>
        <w:pStyle w:val="ListParagraph"/>
        <w:numPr>
          <w:ilvl w:val="0"/>
          <w:numId w:val="2"/>
        </w:numPr>
        <w:autoSpaceDE w:val="0"/>
        <w:spacing w:line="240" w:lineRule="auto"/>
        <w:ind w:left="426" w:hanging="426"/>
      </w:pPr>
      <w:r w:rsidRPr="00D957CC">
        <w:rPr>
          <w:szCs w:val="24"/>
          <w:lang w:val="en-ID"/>
        </w:rPr>
        <w:t>Sterne JAC, Hernán MA, Reeves BC, Savović J, Berkman ND, Viswanathan M, et al. (2016) ROBINS-I: a tool for assessing risk of bias in non-randomised studies of interventions. BMJ. 355: i4919. doi:10.1136/bmj.i4919.</w:t>
      </w:r>
    </w:p>
    <w:sectPr w:rsidR="00973470">
      <w:pgSz w:w="11906" w:h="16838"/>
      <w:pgMar w:top="1440" w:right="1440" w:bottom="1440" w:left="1440" w:header="0" w:footer="0" w:gutter="0"/>
      <w:cols w:space="720"/>
      <w:formProt w:val="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oto Serif CJK SC">
    <w:panose1 w:val="00000000000000000000"/>
    <w:charset w:val="00"/>
    <w:family w:val="roman"/>
    <w:notTrueType/>
    <w:pitch w:val="default"/>
  </w:font>
  <w:font w:name="Lohit Devanaga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F75A7"/>
    <w:multiLevelType w:val="multilevel"/>
    <w:tmpl w:val="CF4C0E54"/>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pStyle w:val="Heading7"/>
      <w:suff w:val="nothing"/>
      <w:lvlText w:val=""/>
      <w:lvlJc w:val="left"/>
      <w:pPr>
        <w:tabs>
          <w:tab w:val="num" w:pos="0"/>
        </w:tabs>
        <w:ind w:left="0" w:firstLine="0"/>
      </w:pPr>
    </w:lvl>
    <w:lvl w:ilvl="7">
      <w:start w:val="1"/>
      <w:numFmt w:val="none"/>
      <w:pStyle w:val="Heading8"/>
      <w:suff w:val="nothing"/>
      <w:lvlText w:val=""/>
      <w:lvlJc w:val="left"/>
      <w:pPr>
        <w:tabs>
          <w:tab w:val="num" w:pos="0"/>
        </w:tabs>
        <w:ind w:left="0" w:firstLine="0"/>
      </w:pPr>
    </w:lvl>
    <w:lvl w:ilvl="8">
      <w:start w:val="1"/>
      <w:numFmt w:val="none"/>
      <w:pStyle w:val="Heading9"/>
      <w:suff w:val="nothing"/>
      <w:lvlText w:val=""/>
      <w:lvlJc w:val="left"/>
      <w:pPr>
        <w:tabs>
          <w:tab w:val="num" w:pos="0"/>
        </w:tabs>
        <w:ind w:left="0" w:firstLine="0"/>
      </w:pPr>
    </w:lvl>
  </w:abstractNum>
  <w:abstractNum w:abstractNumId="1" w15:restartNumberingAfterBreak="0">
    <w:nsid w:val="47D16A67"/>
    <w:multiLevelType w:val="hybridMultilevel"/>
    <w:tmpl w:val="604CA0C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868371764">
    <w:abstractNumId w:val="0"/>
  </w:num>
  <w:num w:numId="2" w16cid:durableId="21157809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autoHyphenation/>
  <w:hyphenationZone w:val="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73470"/>
    <w:rsid w:val="00513C61"/>
    <w:rsid w:val="00956D4B"/>
    <w:rsid w:val="00973470"/>
    <w:rsid w:val="00D957C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8BEA5"/>
  <w15:docId w15:val="{E129BFCF-4E67-4772-943E-9554410D9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480" w:lineRule="auto"/>
      <w:ind w:left="714" w:hanging="357"/>
      <w:jc w:val="both"/>
    </w:pPr>
    <w:rPr>
      <w:rFonts w:ascii="Times New Roman" w:eastAsia="Calibri" w:hAnsi="Times New Roman" w:cs="Times New Roman"/>
      <w:color w:val="000000"/>
      <w:sz w:val="24"/>
      <w:szCs w:val="22"/>
      <w:lang w:val="en-US" w:eastAsia="zh-CN"/>
    </w:rPr>
  </w:style>
  <w:style w:type="paragraph" w:styleId="Heading1">
    <w:name w:val="heading 1"/>
    <w:basedOn w:val="Normal"/>
    <w:next w:val="Normal"/>
    <w:uiPriority w:val="9"/>
    <w:qFormat/>
    <w:pPr>
      <w:keepNext/>
      <w:keepLines/>
      <w:numPr>
        <w:numId w:val="1"/>
      </w:numPr>
      <w:spacing w:before="240"/>
      <w:outlineLvl w:val="0"/>
    </w:pPr>
    <w:rPr>
      <w:rFonts w:eastAsia="Times New Roman"/>
      <w:b/>
      <w:szCs w:val="32"/>
      <w:lang w:val="en-ID"/>
    </w:rPr>
  </w:style>
  <w:style w:type="paragraph" w:styleId="Heading2">
    <w:name w:val="heading 2"/>
    <w:basedOn w:val="Normal"/>
    <w:next w:val="Normal"/>
    <w:uiPriority w:val="9"/>
    <w:semiHidden/>
    <w:unhideWhenUsed/>
    <w:qFormat/>
    <w:pPr>
      <w:keepNext/>
      <w:keepLines/>
      <w:numPr>
        <w:ilvl w:val="1"/>
        <w:numId w:val="1"/>
      </w:numPr>
      <w:spacing w:before="40"/>
      <w:outlineLvl w:val="1"/>
    </w:pPr>
    <w:rPr>
      <w:rFonts w:eastAsia="Times New Roman"/>
      <w:b/>
      <w:szCs w:val="26"/>
      <w:lang w:val="en-ID"/>
    </w:rPr>
  </w:style>
  <w:style w:type="paragraph" w:styleId="Heading3">
    <w:name w:val="heading 3"/>
    <w:basedOn w:val="Normal"/>
    <w:next w:val="BodyText"/>
    <w:uiPriority w:val="9"/>
    <w:semiHidden/>
    <w:unhideWhenUsed/>
    <w:qFormat/>
    <w:pPr>
      <w:numPr>
        <w:ilvl w:val="2"/>
        <w:numId w:val="1"/>
      </w:numPr>
      <w:spacing w:before="280" w:after="280" w:line="240" w:lineRule="auto"/>
      <w:outlineLvl w:val="2"/>
    </w:pPr>
    <w:rPr>
      <w:rFonts w:eastAsia="Times New Roman"/>
      <w:b/>
      <w:bCs/>
      <w:szCs w:val="27"/>
      <w:lang w:val="en-ID"/>
    </w:rPr>
  </w:style>
  <w:style w:type="paragraph" w:styleId="Heading4">
    <w:name w:val="heading 4"/>
    <w:basedOn w:val="Normal"/>
    <w:next w:val="Normal"/>
    <w:uiPriority w:val="9"/>
    <w:semiHidden/>
    <w:unhideWhenUsed/>
    <w:qFormat/>
    <w:pPr>
      <w:keepNext/>
      <w:keepLines/>
      <w:numPr>
        <w:ilvl w:val="3"/>
        <w:numId w:val="1"/>
      </w:numPr>
      <w:spacing w:before="80" w:after="40"/>
      <w:outlineLvl w:val="3"/>
    </w:pPr>
    <w:rPr>
      <w:rFonts w:ascii="Calibri" w:eastAsia="Times New Roman" w:hAnsi="Calibri"/>
      <w:i/>
      <w:iCs/>
      <w:color w:val="2F5496"/>
    </w:rPr>
  </w:style>
  <w:style w:type="paragraph" w:styleId="Heading5">
    <w:name w:val="heading 5"/>
    <w:basedOn w:val="Normal"/>
    <w:next w:val="Normal"/>
    <w:uiPriority w:val="9"/>
    <w:semiHidden/>
    <w:unhideWhenUsed/>
    <w:qFormat/>
    <w:pPr>
      <w:keepNext/>
      <w:keepLines/>
      <w:numPr>
        <w:ilvl w:val="4"/>
        <w:numId w:val="1"/>
      </w:numPr>
      <w:spacing w:before="80" w:after="40"/>
      <w:outlineLvl w:val="4"/>
    </w:pPr>
    <w:rPr>
      <w:rFonts w:ascii="Calibri" w:eastAsia="Times New Roman" w:hAnsi="Calibri"/>
      <w:color w:val="2F5496"/>
    </w:rPr>
  </w:style>
  <w:style w:type="paragraph" w:styleId="Heading6">
    <w:name w:val="heading 6"/>
    <w:basedOn w:val="Normal"/>
    <w:next w:val="Normal"/>
    <w:uiPriority w:val="9"/>
    <w:semiHidden/>
    <w:unhideWhenUsed/>
    <w:qFormat/>
    <w:pPr>
      <w:keepNext/>
      <w:keepLines/>
      <w:numPr>
        <w:ilvl w:val="5"/>
        <w:numId w:val="1"/>
      </w:numPr>
      <w:spacing w:before="40"/>
      <w:outlineLvl w:val="5"/>
    </w:pPr>
    <w:rPr>
      <w:rFonts w:ascii="Calibri" w:eastAsia="Times New Roman" w:hAnsi="Calibri"/>
      <w:i/>
      <w:iCs/>
      <w:color w:val="595959"/>
    </w:rPr>
  </w:style>
  <w:style w:type="paragraph" w:styleId="Heading7">
    <w:name w:val="heading 7"/>
    <w:basedOn w:val="Normal"/>
    <w:next w:val="Normal"/>
    <w:qFormat/>
    <w:pPr>
      <w:keepNext/>
      <w:keepLines/>
      <w:numPr>
        <w:ilvl w:val="6"/>
        <w:numId w:val="1"/>
      </w:numPr>
      <w:spacing w:before="40"/>
      <w:outlineLvl w:val="6"/>
    </w:pPr>
    <w:rPr>
      <w:rFonts w:ascii="Calibri" w:eastAsia="Times New Roman" w:hAnsi="Calibri"/>
      <w:color w:val="595959"/>
    </w:rPr>
  </w:style>
  <w:style w:type="paragraph" w:styleId="Heading8">
    <w:name w:val="heading 8"/>
    <w:basedOn w:val="Normal"/>
    <w:next w:val="Normal"/>
    <w:qFormat/>
    <w:pPr>
      <w:keepNext/>
      <w:keepLines/>
      <w:numPr>
        <w:ilvl w:val="7"/>
        <w:numId w:val="1"/>
      </w:numPr>
      <w:outlineLvl w:val="7"/>
    </w:pPr>
    <w:rPr>
      <w:rFonts w:ascii="Calibri" w:eastAsia="Times New Roman" w:hAnsi="Calibri"/>
      <w:i/>
      <w:iCs/>
      <w:color w:val="272727"/>
    </w:rPr>
  </w:style>
  <w:style w:type="paragraph" w:styleId="Heading9">
    <w:name w:val="heading 9"/>
    <w:basedOn w:val="Normal"/>
    <w:next w:val="Normal"/>
    <w:qFormat/>
    <w:pPr>
      <w:keepNext/>
      <w:keepLines/>
      <w:numPr>
        <w:ilvl w:val="8"/>
        <w:numId w:val="1"/>
      </w:numPr>
      <w:outlineLvl w:val="8"/>
    </w:pPr>
    <w:rPr>
      <w:rFonts w:ascii="Calibri" w:eastAsia="Times New Roman" w:hAnsi="Calibr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qFormat/>
    <w:rPr>
      <w:rFonts w:ascii="Times New Roman" w:eastAsia="Times New Roman" w:hAnsi="Times New Roman" w:cs="Times New Roman"/>
      <w:b/>
      <w:sz w:val="24"/>
      <w:szCs w:val="32"/>
    </w:rPr>
  </w:style>
  <w:style w:type="character" w:customStyle="1" w:styleId="Heading2Char">
    <w:name w:val="Heading 2 Char"/>
    <w:qFormat/>
    <w:rPr>
      <w:rFonts w:ascii="Times New Roman" w:eastAsia="Times New Roman" w:hAnsi="Times New Roman" w:cs="Times New Roman"/>
      <w:b/>
      <w:sz w:val="24"/>
      <w:szCs w:val="26"/>
    </w:rPr>
  </w:style>
  <w:style w:type="character" w:customStyle="1" w:styleId="Heading3Char">
    <w:name w:val="Heading 3 Char"/>
    <w:qFormat/>
    <w:rPr>
      <w:rFonts w:ascii="Times New Roman" w:eastAsia="Times New Roman" w:hAnsi="Times New Roman" w:cs="Times New Roman"/>
      <w:b/>
      <w:bCs/>
      <w:sz w:val="24"/>
      <w:szCs w:val="27"/>
    </w:rPr>
  </w:style>
  <w:style w:type="character" w:customStyle="1" w:styleId="Heading4Char">
    <w:name w:val="Heading 4 Char"/>
    <w:qFormat/>
    <w:rPr>
      <w:rFonts w:eastAsia="Times New Roman" w:cs="Times New Roman"/>
      <w:i/>
      <w:iCs/>
      <w:color w:val="2F5496"/>
      <w:kern w:val="0"/>
      <w:sz w:val="24"/>
      <w:lang w:val="en-US"/>
    </w:rPr>
  </w:style>
  <w:style w:type="character" w:customStyle="1" w:styleId="Heading5Char">
    <w:name w:val="Heading 5 Char"/>
    <w:qFormat/>
    <w:rPr>
      <w:rFonts w:eastAsia="Times New Roman" w:cs="Times New Roman"/>
      <w:color w:val="2F5496"/>
      <w:kern w:val="0"/>
      <w:sz w:val="24"/>
      <w:lang w:val="en-US"/>
    </w:rPr>
  </w:style>
  <w:style w:type="character" w:customStyle="1" w:styleId="Heading6Char">
    <w:name w:val="Heading 6 Char"/>
    <w:qFormat/>
    <w:rPr>
      <w:rFonts w:eastAsia="Times New Roman" w:cs="Times New Roman"/>
      <w:i/>
      <w:iCs/>
      <w:color w:val="595959"/>
      <w:kern w:val="0"/>
      <w:sz w:val="24"/>
      <w:lang w:val="en-US"/>
    </w:rPr>
  </w:style>
  <w:style w:type="character" w:customStyle="1" w:styleId="Heading7Char">
    <w:name w:val="Heading 7 Char"/>
    <w:qFormat/>
    <w:rPr>
      <w:rFonts w:eastAsia="Times New Roman" w:cs="Times New Roman"/>
      <w:color w:val="595959"/>
      <w:kern w:val="0"/>
      <w:sz w:val="24"/>
      <w:lang w:val="en-US"/>
    </w:rPr>
  </w:style>
  <w:style w:type="character" w:customStyle="1" w:styleId="Heading8Char">
    <w:name w:val="Heading 8 Char"/>
    <w:qFormat/>
    <w:rPr>
      <w:rFonts w:eastAsia="Times New Roman" w:cs="Times New Roman"/>
      <w:i/>
      <w:iCs/>
      <w:color w:val="272727"/>
      <w:kern w:val="0"/>
      <w:sz w:val="24"/>
      <w:lang w:val="en-US"/>
    </w:rPr>
  </w:style>
  <w:style w:type="character" w:customStyle="1" w:styleId="Heading9Char">
    <w:name w:val="Heading 9 Char"/>
    <w:qFormat/>
    <w:rPr>
      <w:rFonts w:eastAsia="Times New Roman" w:cs="Times New Roman"/>
      <w:color w:val="272727"/>
      <w:kern w:val="0"/>
      <w:sz w:val="24"/>
      <w:lang w:val="en-US"/>
    </w:rPr>
  </w:style>
  <w:style w:type="character" w:customStyle="1" w:styleId="TitleChar">
    <w:name w:val="Title Char"/>
    <w:qFormat/>
    <w:rPr>
      <w:rFonts w:ascii="Calibri Light" w:eastAsia="Times New Roman" w:hAnsi="Calibri Light" w:cs="Times New Roman"/>
      <w:spacing w:val="-10"/>
      <w:kern w:val="2"/>
      <w:sz w:val="56"/>
      <w:szCs w:val="56"/>
      <w:lang w:val="en-US"/>
    </w:rPr>
  </w:style>
  <w:style w:type="character" w:customStyle="1" w:styleId="SubtitleChar">
    <w:name w:val="Subtitle Char"/>
    <w:qFormat/>
    <w:rPr>
      <w:rFonts w:eastAsia="Times New Roman" w:cs="Times New Roman"/>
      <w:color w:val="595959"/>
      <w:spacing w:val="15"/>
      <w:kern w:val="0"/>
      <w:sz w:val="28"/>
      <w:szCs w:val="28"/>
      <w:lang w:val="en-US"/>
    </w:rPr>
  </w:style>
  <w:style w:type="character" w:customStyle="1" w:styleId="QuoteChar">
    <w:name w:val="Quote Char"/>
    <w:qFormat/>
    <w:rPr>
      <w:rFonts w:ascii="Times New Roman" w:hAnsi="Times New Roman" w:cs="Times New Roman"/>
      <w:i/>
      <w:iCs/>
      <w:color w:val="404040"/>
      <w:kern w:val="0"/>
      <w:sz w:val="24"/>
      <w:lang w:val="en-US"/>
    </w:rPr>
  </w:style>
  <w:style w:type="character" w:styleId="IntenseEmphasis">
    <w:name w:val="Intense Emphasis"/>
    <w:qFormat/>
    <w:rPr>
      <w:i/>
      <w:iCs/>
      <w:color w:val="2F5496"/>
    </w:rPr>
  </w:style>
  <w:style w:type="character" w:customStyle="1" w:styleId="IntenseQuoteChar">
    <w:name w:val="Intense Quote Char"/>
    <w:qFormat/>
    <w:rPr>
      <w:rFonts w:ascii="Times New Roman" w:hAnsi="Times New Roman" w:cs="Times New Roman"/>
      <w:i/>
      <w:iCs/>
      <w:color w:val="2F5496"/>
      <w:kern w:val="0"/>
      <w:sz w:val="24"/>
      <w:lang w:val="en-US"/>
    </w:rPr>
  </w:style>
  <w:style w:type="character" w:styleId="IntenseReference">
    <w:name w:val="Intense Reference"/>
    <w:qFormat/>
    <w:rPr>
      <w:b/>
      <w:bCs/>
      <w:smallCaps/>
      <w:color w:val="2F5496"/>
      <w:spacing w:val="5"/>
    </w:rPr>
  </w:style>
  <w:style w:type="character" w:styleId="PlaceholderText">
    <w:name w:val="Placeholder Text"/>
    <w:qFormat/>
    <w:rPr>
      <w:color w:val="666666"/>
    </w:rPr>
  </w:style>
  <w:style w:type="character" w:styleId="Hyperlink">
    <w:name w:val="Hyperlink"/>
    <w:rPr>
      <w:color w:val="0563C1"/>
      <w:u w:val="single"/>
    </w:rPr>
  </w:style>
  <w:style w:type="character" w:styleId="UnresolvedMention">
    <w:name w:val="Unresolved Mention"/>
    <w:qFormat/>
    <w:rPr>
      <w:color w:val="605E5C"/>
      <w:shd w:val="clear" w:color="auto" w:fill="E1DFDD"/>
    </w:rPr>
  </w:style>
  <w:style w:type="character" w:styleId="CommentReference">
    <w:name w:val="annotation reference"/>
    <w:qFormat/>
    <w:rPr>
      <w:sz w:val="16"/>
      <w:szCs w:val="16"/>
    </w:rPr>
  </w:style>
  <w:style w:type="character" w:customStyle="1" w:styleId="CommentTextChar">
    <w:name w:val="Comment Text Char"/>
    <w:qFormat/>
    <w:rPr>
      <w:rFonts w:ascii="Times New Roman" w:hAnsi="Times New Roman" w:cs="Times New Roman"/>
      <w:color w:val="000000"/>
    </w:rPr>
  </w:style>
  <w:style w:type="character" w:customStyle="1" w:styleId="CommentSubjectChar">
    <w:name w:val="Comment Subject Char"/>
    <w:qFormat/>
    <w:rPr>
      <w:rFonts w:ascii="Times New Roman" w:hAnsi="Times New Roman" w:cs="Times New Roman"/>
      <w:b/>
      <w:bCs/>
      <w:color w:val="000000"/>
    </w:rPr>
  </w:style>
  <w:style w:type="character" w:customStyle="1" w:styleId="BalloonTextChar">
    <w:name w:val="Balloon Text Char"/>
    <w:qFormat/>
    <w:rPr>
      <w:rFonts w:ascii="Segoe UI" w:hAnsi="Segoe UI" w:cs="Segoe UI"/>
      <w:color w:val="000000"/>
      <w:sz w:val="18"/>
      <w:szCs w:val="18"/>
    </w:rPr>
  </w:style>
  <w:style w:type="character" w:customStyle="1" w:styleId="HeaderChar">
    <w:name w:val="Header Char"/>
    <w:qFormat/>
    <w:rPr>
      <w:rFonts w:ascii="Times New Roman" w:hAnsi="Times New Roman" w:cs="Times New Roman"/>
      <w:color w:val="000000"/>
      <w:sz w:val="24"/>
      <w:szCs w:val="22"/>
      <w:lang w:val="en-US"/>
    </w:rPr>
  </w:style>
  <w:style w:type="character" w:customStyle="1" w:styleId="FooterChar">
    <w:name w:val="Footer Char"/>
    <w:qFormat/>
    <w:rPr>
      <w:rFonts w:ascii="Times New Roman" w:hAnsi="Times New Roman" w:cs="Times New Roman"/>
      <w:color w:val="000000"/>
      <w:sz w:val="24"/>
      <w:szCs w:val="22"/>
      <w:lang w:val="en-US"/>
    </w:rPr>
  </w:style>
  <w:style w:type="paragraph" w:customStyle="1" w:styleId="Heading">
    <w:name w:val="Heading"/>
    <w:basedOn w:val="Normal"/>
    <w:next w:val="Normal"/>
    <w:qFormat/>
    <w:pPr>
      <w:spacing w:after="80" w:line="240" w:lineRule="auto"/>
      <w:contextualSpacing/>
    </w:pPr>
    <w:rPr>
      <w:rFonts w:ascii="Calibri Light" w:eastAsia="Times New Roman" w:hAnsi="Calibri Light"/>
      <w:spacing w:val="-10"/>
      <w:kern w:val="2"/>
      <w:sz w:val="56"/>
      <w:szCs w:val="56"/>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next w:val="Normal"/>
    <w:qFormat/>
    <w:pPr>
      <w:spacing w:after="200" w:line="240" w:lineRule="auto"/>
    </w:pPr>
    <w:rPr>
      <w:i/>
      <w:iCs/>
      <w:color w:val="44546A"/>
      <w:sz w:val="18"/>
      <w:szCs w:val="18"/>
    </w:rPr>
  </w:style>
  <w:style w:type="paragraph" w:customStyle="1" w:styleId="Index">
    <w:name w:val="Index"/>
    <w:basedOn w:val="Normal"/>
    <w:qFormat/>
    <w:pPr>
      <w:suppressLineNumbers/>
    </w:pPr>
    <w:rPr>
      <w:rFonts w:cs="Lohit Devanagari"/>
    </w:rPr>
  </w:style>
  <w:style w:type="paragraph" w:styleId="Subtitle">
    <w:name w:val="Subtitle"/>
    <w:basedOn w:val="Normal"/>
    <w:next w:val="Normal"/>
    <w:uiPriority w:val="11"/>
    <w:qFormat/>
    <w:pPr>
      <w:spacing w:after="160"/>
    </w:pPr>
    <w:rPr>
      <w:rFonts w:ascii="Calibri" w:eastAsia="Times New Roman" w:hAnsi="Calibri"/>
      <w:color w:val="595959"/>
      <w:spacing w:val="15"/>
      <w:sz w:val="28"/>
      <w:szCs w:val="28"/>
    </w:rPr>
  </w:style>
  <w:style w:type="paragraph" w:styleId="Quote">
    <w:name w:val="Quote"/>
    <w:basedOn w:val="Normal"/>
    <w:next w:val="Normal"/>
    <w:qFormat/>
    <w:pPr>
      <w:spacing w:before="160" w:after="160"/>
      <w:jc w:val="center"/>
    </w:pPr>
    <w:rPr>
      <w:i/>
      <w:iCs/>
      <w:color w:val="404040"/>
    </w:rPr>
  </w:style>
  <w:style w:type="paragraph" w:styleId="ListParagraph">
    <w:name w:val="List Paragraph"/>
    <w:basedOn w:val="Normal"/>
    <w:qFormat/>
    <w:pPr>
      <w:ind w:left="720"/>
      <w:contextualSpacing/>
    </w:pPr>
  </w:style>
  <w:style w:type="paragraph" w:styleId="IntenseQuote">
    <w:name w:val="Intense Quote"/>
    <w:basedOn w:val="Normal"/>
    <w:next w:val="Normal"/>
    <w:qFormat/>
    <w:pPr>
      <w:pBdr>
        <w:top w:val="single" w:sz="4" w:space="10" w:color="2F5496"/>
        <w:bottom w:val="single" w:sz="4" w:space="10" w:color="2F5496"/>
      </w:pBdr>
      <w:spacing w:before="360" w:after="360"/>
      <w:ind w:left="864" w:right="864"/>
      <w:jc w:val="center"/>
    </w:pPr>
    <w:rPr>
      <w:i/>
      <w:iCs/>
      <w:color w:val="2F5496"/>
    </w:rPr>
  </w:style>
  <w:style w:type="paragraph" w:styleId="CommentText">
    <w:name w:val="annotation text"/>
    <w:basedOn w:val="Normal"/>
    <w:qFormat/>
    <w:rPr>
      <w:sz w:val="20"/>
      <w:szCs w:val="20"/>
    </w:rPr>
  </w:style>
  <w:style w:type="paragraph" w:styleId="CommentSubject">
    <w:name w:val="annotation subject"/>
    <w:basedOn w:val="CommentText"/>
    <w:next w:val="CommentText"/>
    <w:qFormat/>
    <w:rPr>
      <w:b/>
      <w:bCs/>
    </w:rPr>
  </w:style>
  <w:style w:type="paragraph" w:styleId="BalloonText">
    <w:name w:val="Balloon Text"/>
    <w:basedOn w:val="Normal"/>
    <w:qFormat/>
    <w:pPr>
      <w:spacing w:line="240" w:lineRule="auto"/>
    </w:pPr>
    <w:rPr>
      <w:rFonts w:ascii="Segoe UI" w:hAnsi="Segoe UI" w:cs="Segoe UI"/>
      <w:sz w:val="18"/>
      <w:szCs w:val="18"/>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tabs>
        <w:tab w:val="center" w:pos="4513"/>
        <w:tab w:val="right" w:pos="9026"/>
      </w:tabs>
    </w:pPr>
  </w:style>
  <w:style w:type="paragraph" w:styleId="Footer">
    <w:name w:val="footer"/>
    <w:basedOn w:val="Normal"/>
    <w:pPr>
      <w:tabs>
        <w:tab w:val="center" w:pos="4513"/>
        <w:tab w:val="right" w:pos="9026"/>
      </w:tabs>
    </w:pPr>
  </w:style>
  <w:style w:type="paragraph" w:styleId="Revision">
    <w:name w:val="Revision"/>
    <w:qFormat/>
    <w:pPr>
      <w:suppressAutoHyphens/>
    </w:pPr>
    <w:rPr>
      <w:rFonts w:ascii="Times New Roman" w:eastAsia="Calibri" w:hAnsi="Times New Roman" w:cs="Times New Roman"/>
      <w:color w:val="000000"/>
      <w:sz w:val="24"/>
      <w:szCs w:val="22"/>
      <w:lang w:val="en-US" w:eastAsia="zh-CN"/>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361</TotalTime>
  <Pages>17</Pages>
  <Words>6703</Words>
  <Characters>38208</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dhee rahma</dc:creator>
  <cp:keywords/>
  <dc:description/>
  <cp:lastModifiedBy>PT ANOA MANDIRI SEJAHTERA</cp:lastModifiedBy>
  <cp:revision>33</cp:revision>
  <dcterms:created xsi:type="dcterms:W3CDTF">2026-09-02T07:53:00Z</dcterms:created>
  <dcterms:modified xsi:type="dcterms:W3CDTF">2026-09-07T08:35:00Z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b1f2f984-0dda-4b88-9069-655cee8070d1</vt:lpwstr>
  </property>
</Properties>
</file>