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A6E6" w14:textId="77777777" w:rsidR="004275A0" w:rsidRDefault="00000000">
      <w:pPr>
        <w:jc w:val="center"/>
      </w:pPr>
      <w:r>
        <w:rPr>
          <w:rFonts w:eastAsia="Times New Roman" w:cs="Times New Roman"/>
          <w:b/>
        </w:rPr>
        <w:t>Stoma Outcomes: Systematic Review and Meta-Analysis</w:t>
      </w:r>
    </w:p>
    <w:p w14:paraId="0425968E" w14:textId="77777777" w:rsidR="004275A0" w:rsidRDefault="00000000">
      <w:r>
        <w:rPr>
          <w:rFonts w:eastAsia="Times New Roman" w:cs="Times New Roman"/>
        </w:rPr>
        <w:t>Running title: Intestinal Stoma Outcomes</w:t>
      </w:r>
    </w:p>
    <w:p w14:paraId="310D86A0" w14:textId="77777777" w:rsidR="004275A0" w:rsidRDefault="00000000">
      <w:r>
        <w:rPr>
          <w:rFonts w:eastAsia="Times New Roman" w:cs="Times New Roman"/>
        </w:rPr>
        <w:t>Manuscript type: Systematic Review and Meta-Analysis</w:t>
      </w:r>
    </w:p>
    <w:p w14:paraId="6EF27513" w14:textId="77777777" w:rsidR="004275A0" w:rsidRDefault="00000000">
      <w:pPr>
        <w:spacing w:before="120"/>
      </w:pPr>
      <w:r>
        <w:rPr>
          <w:rFonts w:eastAsia="Times New Roman" w:cs="Times New Roman"/>
          <w:b/>
        </w:rPr>
        <w:t>Abstract</w:t>
      </w:r>
    </w:p>
    <w:p w14:paraId="668248A5" w14:textId="77777777" w:rsidR="004275A0" w:rsidRDefault="00000000">
      <w:pPr>
        <w:jc w:val="both"/>
      </w:pPr>
      <w:r>
        <w:rPr>
          <w:rFonts w:eastAsia="Times New Roman" w:cs="Times New Roman"/>
          <w:b/>
        </w:rPr>
        <w:t xml:space="preserve">Objective: </w:t>
      </w:r>
      <w:r>
        <w:rPr>
          <w:rFonts w:eastAsia="Times New Roman" w:cs="Times New Roman"/>
        </w:rPr>
        <w:t>To synthesize evidence on postoperative complications, associated risk factors, and quality of life among patients with intestinal stomas.</w:t>
      </w:r>
    </w:p>
    <w:p w14:paraId="2F29CDC4" w14:textId="77777777" w:rsidR="004275A0" w:rsidRDefault="00000000">
      <w:pPr>
        <w:jc w:val="both"/>
      </w:pPr>
      <w:r>
        <w:rPr>
          <w:rFonts w:eastAsia="Times New Roman" w:cs="Times New Roman"/>
          <w:b/>
        </w:rPr>
        <w:t xml:space="preserve">Material and Methods: </w:t>
      </w:r>
      <w:r>
        <w:rPr>
          <w:rFonts w:eastAsia="Times New Roman" w:cs="Times New Roman"/>
        </w:rPr>
        <w:t>PubMed/MEDLINE, Scopus, and Web of Science were searched for peer-reviewed quantitative studies published from 2017 onward. Study selection followed the Preferred Reporting Items for Systematic Reviews and Meta-Analyses (PRISMA) 2020 statement. Eligible studies involved patients with intestinal stomas and reported postoperative or stoma-related complications, risk factors, quality-of-life outcomes, or effect estimates suitable for quantitative synthesis.</w:t>
      </w:r>
    </w:p>
    <w:p w14:paraId="71C79A4A" w14:textId="77777777" w:rsidR="004275A0" w:rsidRDefault="00000000">
      <w:pPr>
        <w:jc w:val="both"/>
      </w:pPr>
      <w:r>
        <w:rPr>
          <w:rFonts w:eastAsia="Times New Roman" w:cs="Times New Roman"/>
          <w:b/>
        </w:rPr>
        <w:t xml:space="preserve">Results: </w:t>
      </w:r>
      <w:r>
        <w:rPr>
          <w:rFonts w:eastAsia="Times New Roman" w:cs="Times New Roman"/>
        </w:rPr>
        <w:t>Of 295 records identified, 5 duplicates were removed, 290 records were screened, and 70 full-text articles were assessed. Twelve studies were included in the systematic review, of which 11 contributed to the quantitative meta-analysis; one quality-of-life study was synthesised narratively. The pooled effect estimate was 1.12 (95% confidence interval [CI] 0.60–1.65; t(10)=4.80, p &lt; 0.001). Heterogeneity was substantial (Q(10)=104.53, p &lt; 0.001; I²=86.98%), and the funnel plot was not fully symmetrical.</w:t>
      </w:r>
    </w:p>
    <w:p w14:paraId="1176EAAB" w14:textId="77777777" w:rsidR="004275A0" w:rsidRDefault="00000000">
      <w:pPr>
        <w:jc w:val="both"/>
      </w:pPr>
      <w:r>
        <w:rPr>
          <w:rFonts w:eastAsia="Times New Roman" w:cs="Times New Roman"/>
          <w:b/>
        </w:rPr>
        <w:t xml:space="preserve">Conclusion: </w:t>
      </w:r>
      <w:r>
        <w:rPr>
          <w:rFonts w:eastAsia="Times New Roman" w:cs="Times New Roman"/>
        </w:rPr>
        <w:t>Intestinal stoma outcomes vary according to patient characteristics, stoma type, clinical phase, and outcome definition. The quantitative synthesis indicated an overall positive pooled effect, but the substantial heterogeneity requires cautious interpretation alongside outcome-specific findings and patient-centred quality-of-life outcomes.</w:t>
      </w:r>
    </w:p>
    <w:p w14:paraId="1A15573F" w14:textId="77777777" w:rsidR="004275A0" w:rsidRDefault="00000000">
      <w:r>
        <w:rPr>
          <w:rFonts w:eastAsia="Times New Roman" w:cs="Times New Roman"/>
          <w:b/>
        </w:rPr>
        <w:lastRenderedPageBreak/>
        <w:t xml:space="preserve">Keywords: </w:t>
      </w:r>
      <w:r>
        <w:rPr>
          <w:rFonts w:eastAsia="Times New Roman" w:cs="Times New Roman"/>
        </w:rPr>
        <w:t>intestinal stoma; ileostomy; colostomy; postoperative complications; risk factors; quality of life</w:t>
      </w:r>
    </w:p>
    <w:p w14:paraId="3FC0DD69" w14:textId="77777777" w:rsidR="004275A0" w:rsidRDefault="00000000">
      <w:pPr>
        <w:spacing w:before="120"/>
      </w:pPr>
      <w:r>
        <w:rPr>
          <w:rFonts w:eastAsia="Times New Roman" w:cs="Times New Roman"/>
          <w:b/>
        </w:rPr>
        <w:t>Introduction</w:t>
      </w:r>
    </w:p>
    <w:p w14:paraId="64FAD098" w14:textId="77777777" w:rsidR="004275A0" w:rsidRDefault="00000000">
      <w:pPr>
        <w:jc w:val="both"/>
      </w:pPr>
      <w:r>
        <w:rPr>
          <w:rFonts w:eastAsia="Times New Roman" w:cs="Times New Roman"/>
        </w:rPr>
        <w:t>Intestinal stoma formation creates a connection between the intestinal lumen and the abdominal wall to divert fecal or intestinal contents, either temporarily or permanently. It is used in colorectal cancer, inflammatory bowel disease, abdominal trauma, obstruction, perforation, anal sphincter dysfunction, and other conditions requiring intestinal diversion. Although stoma formation may be life-saving, postoperative morbidity remains substantial. Reported complication rates vary widely and include skin irritation, infection, necrosis, stenosis, prolapse, retraction, parastomal hernia, and nutritional disturbances associated with high-output stoma.</w:t>
      </w:r>
      <w:r>
        <w:rPr>
          <w:rFonts w:eastAsia="Times New Roman" w:cs="Times New Roman"/>
          <w:vertAlign w:val="superscript"/>
        </w:rPr>
        <w:t>1,2</w:t>
      </w:r>
    </w:p>
    <w:p w14:paraId="0521540E" w14:textId="77777777" w:rsidR="004275A0" w:rsidRDefault="00000000">
      <w:pPr>
        <w:jc w:val="both"/>
      </w:pPr>
      <w:r>
        <w:rPr>
          <w:rFonts w:eastAsia="Times New Roman" w:cs="Times New Roman"/>
        </w:rPr>
        <w:t>Complications may occur from the early postoperative period through long-term stoma care and subsequent closure. Preoperative stoma-site marking has been associated with fewer stoma and peristomal complications, including in emergency surgery.</w:t>
      </w:r>
      <w:r>
        <w:rPr>
          <w:rFonts w:eastAsia="Times New Roman" w:cs="Times New Roman"/>
          <w:vertAlign w:val="superscript"/>
        </w:rPr>
        <w:t>3,4</w:t>
      </w:r>
      <w:r>
        <w:rPr>
          <w:rFonts w:eastAsia="Times New Roman" w:cs="Times New Roman"/>
        </w:rPr>
        <w:t xml:space="preserve"> Risk is also influenced by patient characteristics, stoma type and location, abdominal-wall anatomy, treatment exposure, and postoperative clinical conditions.</w:t>
      </w:r>
      <w:r>
        <w:rPr>
          <w:rFonts w:eastAsia="Times New Roman" w:cs="Times New Roman"/>
          <w:vertAlign w:val="superscript"/>
        </w:rPr>
        <w:t>5–8</w:t>
      </w:r>
    </w:p>
    <w:p w14:paraId="6AA241B9" w14:textId="77777777" w:rsidR="004275A0" w:rsidRDefault="00000000">
      <w:pPr>
        <w:jc w:val="both"/>
      </w:pPr>
      <w:r>
        <w:rPr>
          <w:rFonts w:eastAsia="Times New Roman" w:cs="Times New Roman"/>
        </w:rPr>
        <w:t>Peristomal skin disorders are particularly important because leakage, pain, odor, embarrassment, and impaired appliance adhesion can directly affect daily functioning. Evidence has linked loop stoma, low stoma height, chemotherapy, and diabetes mellitus with peristomal skin disorders or worsening skin conditions.</w:t>
      </w:r>
      <w:r>
        <w:rPr>
          <w:rFonts w:eastAsia="Times New Roman" w:cs="Times New Roman"/>
          <w:vertAlign w:val="superscript"/>
        </w:rPr>
        <w:t>9–11</w:t>
      </w:r>
      <w:r>
        <w:rPr>
          <w:rFonts w:eastAsia="Times New Roman" w:cs="Times New Roman"/>
        </w:rPr>
        <w:t xml:space="preserve"> Late complications, including parastomal hernia and morbidity around stoma closure, also affect clinical outcomes and health-related quality of life.</w:t>
      </w:r>
      <w:r>
        <w:rPr>
          <w:rFonts w:eastAsia="Times New Roman" w:cs="Times New Roman"/>
          <w:vertAlign w:val="superscript"/>
        </w:rPr>
        <w:t>12–14</w:t>
      </w:r>
    </w:p>
    <w:p w14:paraId="6DC04F97" w14:textId="77777777" w:rsidR="004275A0" w:rsidRDefault="00000000">
      <w:pPr>
        <w:jc w:val="both"/>
      </w:pPr>
      <w:r>
        <w:rPr>
          <w:rFonts w:eastAsia="Times New Roman" w:cs="Times New Roman"/>
        </w:rPr>
        <w:t xml:space="preserve">Quality of life is a patient-centred outcome because living with a stoma may alter body image, dietary habits, sleep, work, social participation, sexual relationships, and perceived safety during </w:t>
      </w:r>
      <w:r>
        <w:rPr>
          <w:rFonts w:eastAsia="Times New Roman" w:cs="Times New Roman"/>
        </w:rPr>
        <w:lastRenderedPageBreak/>
        <w:t>routine activities. Reported determinants include stoma type, age, permanence of the stoma, perceived stress, physical symptoms, and social or functional conditions.</w:t>
      </w:r>
      <w:r>
        <w:rPr>
          <w:rFonts w:eastAsia="Times New Roman" w:cs="Times New Roman"/>
          <w:vertAlign w:val="superscript"/>
        </w:rPr>
        <w:t>15–18</w:t>
      </w:r>
    </w:p>
    <w:p w14:paraId="05BA3797" w14:textId="77777777" w:rsidR="004275A0" w:rsidRDefault="00000000">
      <w:pPr>
        <w:jc w:val="both"/>
      </w:pPr>
      <w:r>
        <w:rPr>
          <w:rFonts w:eastAsia="Times New Roman" w:cs="Times New Roman"/>
        </w:rPr>
        <w:t>Existing syntheses have generally focused on individual preventive factors, specific complications, or quality-of-life outcomes rather than the broader continuum of postoperative morbidity.</w:t>
      </w:r>
      <w:r>
        <w:rPr>
          <w:rFonts w:eastAsia="Times New Roman" w:cs="Times New Roman"/>
          <w:vertAlign w:val="superscript"/>
        </w:rPr>
        <w:t>3,6,19,20</w:t>
      </w:r>
      <w:r>
        <w:rPr>
          <w:rFonts w:eastAsia="Times New Roman" w:cs="Times New Roman"/>
        </w:rPr>
        <w:t xml:space="preserve"> The present systematic review and meta-analysis therefore aimed to synthesize evidence on postoperative complications, associated risk factors, and quality of life among patients with intestinal stomas while interpreting clinically heterogeneous outcomes cautiously.</w:t>
      </w:r>
    </w:p>
    <w:p w14:paraId="53F34657" w14:textId="77777777" w:rsidR="004275A0" w:rsidRDefault="00000000">
      <w:pPr>
        <w:spacing w:before="120"/>
      </w:pPr>
      <w:r>
        <w:rPr>
          <w:rFonts w:eastAsia="Times New Roman" w:cs="Times New Roman"/>
          <w:b/>
        </w:rPr>
        <w:t>Material and Methods</w:t>
      </w:r>
    </w:p>
    <w:p w14:paraId="36DE5112" w14:textId="77777777" w:rsidR="004275A0" w:rsidRDefault="00000000">
      <w:pPr>
        <w:spacing w:before="60"/>
      </w:pPr>
      <w:r>
        <w:rPr>
          <w:rFonts w:eastAsia="Times New Roman" w:cs="Times New Roman"/>
          <w:b/>
        </w:rPr>
        <w:t>Study design and reporting</w:t>
      </w:r>
    </w:p>
    <w:p w14:paraId="09D8F4BC" w14:textId="77777777" w:rsidR="004275A0" w:rsidRDefault="00000000">
      <w:pPr>
        <w:jc w:val="both"/>
      </w:pPr>
      <w:r>
        <w:rPr>
          <w:rFonts w:eastAsia="Times New Roman" w:cs="Times New Roman"/>
        </w:rPr>
        <w:t>This systematic review and meta-analysis followed the Preferred Reporting Items for Systematic Reviews and Meta-Analyses (PRISMA) 2020 statement for identification, screening, eligibility assessment, and inclusion of studies.</w:t>
      </w:r>
      <w:r>
        <w:rPr>
          <w:rFonts w:eastAsia="Times New Roman" w:cs="Times New Roman"/>
          <w:vertAlign w:val="superscript"/>
        </w:rPr>
        <w:t>21</w:t>
      </w:r>
      <w:r>
        <w:rPr>
          <w:rFonts w:eastAsia="Times New Roman" w:cs="Times New Roman"/>
        </w:rPr>
        <w:t xml:space="preserve"> The review protocol was not registered in PROSPERO. Quantitative synthesis followed general principles of clinical meta-analysis described in the Cochrane Handbook.</w:t>
      </w:r>
      <w:r>
        <w:rPr>
          <w:rFonts w:eastAsia="Times New Roman" w:cs="Times New Roman"/>
          <w:vertAlign w:val="superscript"/>
        </w:rPr>
        <w:t>22</w:t>
      </w:r>
    </w:p>
    <w:p w14:paraId="633197ED" w14:textId="77777777" w:rsidR="004275A0" w:rsidRDefault="00000000">
      <w:pPr>
        <w:spacing w:before="60"/>
      </w:pPr>
      <w:r>
        <w:rPr>
          <w:rFonts w:eastAsia="Times New Roman" w:cs="Times New Roman"/>
          <w:b/>
        </w:rPr>
        <w:t>Review question and eligibility criteria</w:t>
      </w:r>
    </w:p>
    <w:p w14:paraId="43209EED" w14:textId="77777777" w:rsidR="006E53BF" w:rsidRDefault="00000000" w:rsidP="006E53BF">
      <w:pPr>
        <w:jc w:val="both"/>
        <w:rPr>
          <w:rFonts w:eastAsia="Times New Roman" w:cs="Times New Roman"/>
        </w:rPr>
      </w:pPr>
      <w:r>
        <w:rPr>
          <w:rFonts w:eastAsia="Times New Roman" w:cs="Times New Roman"/>
        </w:rPr>
        <w:t xml:space="preserve">The review question was structured using the Population, Intervention/Exposure, Comparison, and Outcome (PICO) framework. Patients with intestinal stomas were the population; clinical, technical, or treatment-related factors were the exposures; patients without the relevant risk factor or reference groups were comparators; and postoperative complications or quality-of-life outcomes were the outcomes of interest. Eligible designs included prospective cohort, retrospective cohort, case-control, analytical cross-sectional, registry-based, and observational comparative studies. Reviews, systematic reviews, scoping reviews, meta-analyses, narrative </w:t>
      </w:r>
      <w:r>
        <w:rPr>
          <w:rFonts w:eastAsia="Times New Roman" w:cs="Times New Roman"/>
        </w:rPr>
        <w:lastRenderedPageBreak/>
        <w:t>reviews, editorials, letters, protocols, case reports, and case series were excluded from the primary quantitative synthesis. The review framework is presented in Table 1.</w:t>
      </w:r>
    </w:p>
    <w:p w14:paraId="54B575EC" w14:textId="73529B66" w:rsidR="004275A0" w:rsidRDefault="00000000" w:rsidP="006E53BF">
      <w:pPr>
        <w:jc w:val="both"/>
      </w:pPr>
      <w:r>
        <w:rPr>
          <w:rFonts w:eastAsia="Times New Roman" w:cs="Times New Roman"/>
          <w:b/>
        </w:rPr>
        <w:t>Table 1. PICO framework of the review</w:t>
      </w:r>
    </w:p>
    <w:tbl>
      <w:tblPr>
        <w:tblStyle w:val="TableGrid"/>
        <w:tblW w:w="0" w:type="auto"/>
        <w:jc w:val="center"/>
        <w:tblLook w:val="04A0" w:firstRow="1" w:lastRow="0" w:firstColumn="1" w:lastColumn="0" w:noHBand="0" w:noVBand="1"/>
      </w:tblPr>
      <w:tblGrid>
        <w:gridCol w:w="1728"/>
        <w:gridCol w:w="7622"/>
      </w:tblGrid>
      <w:tr w:rsidR="004275A0" w14:paraId="7AB8755A" w14:textId="77777777">
        <w:trPr>
          <w:tblHeader/>
          <w:jc w:val="center"/>
        </w:trPr>
        <w:tc>
          <w:tcPr>
            <w:tcW w:w="1728" w:type="dxa"/>
            <w:shd w:val="clear" w:color="auto" w:fill="E7E6E6"/>
            <w:tcMar>
              <w:top w:w="70" w:type="dxa"/>
              <w:left w:w="70" w:type="dxa"/>
              <w:bottom w:w="70" w:type="dxa"/>
              <w:right w:w="70" w:type="dxa"/>
            </w:tcMar>
          </w:tcPr>
          <w:p w14:paraId="5079C503" w14:textId="77777777" w:rsidR="004275A0" w:rsidRDefault="00000000">
            <w:r>
              <w:rPr>
                <w:rFonts w:eastAsia="Times New Roman" w:cs="Times New Roman"/>
                <w:b/>
              </w:rPr>
              <w:t>Component</w:t>
            </w:r>
          </w:p>
        </w:tc>
        <w:tc>
          <w:tcPr>
            <w:tcW w:w="7632" w:type="dxa"/>
            <w:shd w:val="clear" w:color="auto" w:fill="E7E6E6"/>
            <w:tcMar>
              <w:top w:w="70" w:type="dxa"/>
              <w:left w:w="70" w:type="dxa"/>
              <w:bottom w:w="70" w:type="dxa"/>
              <w:right w:w="70" w:type="dxa"/>
            </w:tcMar>
          </w:tcPr>
          <w:p w14:paraId="6A87E711" w14:textId="77777777" w:rsidR="004275A0" w:rsidRDefault="00000000">
            <w:r>
              <w:rPr>
                <w:rFonts w:eastAsia="Times New Roman" w:cs="Times New Roman"/>
                <w:b/>
              </w:rPr>
              <w:t>Information</w:t>
            </w:r>
          </w:p>
        </w:tc>
      </w:tr>
      <w:tr w:rsidR="004275A0" w14:paraId="70F4C2E3" w14:textId="77777777">
        <w:trPr>
          <w:jc w:val="center"/>
        </w:trPr>
        <w:tc>
          <w:tcPr>
            <w:tcW w:w="1728" w:type="dxa"/>
            <w:tcMar>
              <w:top w:w="70" w:type="dxa"/>
              <w:left w:w="70" w:type="dxa"/>
              <w:bottom w:w="70" w:type="dxa"/>
              <w:right w:w="70" w:type="dxa"/>
            </w:tcMar>
          </w:tcPr>
          <w:p w14:paraId="117AF968" w14:textId="77777777" w:rsidR="004275A0" w:rsidRDefault="00000000">
            <w:r>
              <w:rPr>
                <w:rFonts w:eastAsia="Times New Roman" w:cs="Times New Roman"/>
              </w:rPr>
              <w:t>P (Population)</w:t>
            </w:r>
          </w:p>
        </w:tc>
        <w:tc>
          <w:tcPr>
            <w:tcW w:w="7632" w:type="dxa"/>
            <w:tcMar>
              <w:top w:w="70" w:type="dxa"/>
              <w:left w:w="70" w:type="dxa"/>
              <w:bottom w:w="70" w:type="dxa"/>
              <w:right w:w="70" w:type="dxa"/>
            </w:tcMar>
          </w:tcPr>
          <w:p w14:paraId="35BEBA10" w14:textId="77777777" w:rsidR="004275A0" w:rsidRDefault="00000000">
            <w:r>
              <w:rPr>
                <w:rFonts w:eastAsia="Times New Roman" w:cs="Times New Roman"/>
              </w:rPr>
              <w:t>Patients with intestinal stoma, including ileostomy, colostomy, jejunostomy, enterostomy, loop stoma, end stoma, temporary stoma, or permanent stoma.</w:t>
            </w:r>
          </w:p>
        </w:tc>
      </w:tr>
      <w:tr w:rsidR="004275A0" w14:paraId="65ADF3DC" w14:textId="77777777">
        <w:trPr>
          <w:jc w:val="center"/>
        </w:trPr>
        <w:tc>
          <w:tcPr>
            <w:tcW w:w="1728" w:type="dxa"/>
            <w:tcMar>
              <w:top w:w="70" w:type="dxa"/>
              <w:left w:w="70" w:type="dxa"/>
              <w:bottom w:w="70" w:type="dxa"/>
              <w:right w:w="70" w:type="dxa"/>
            </w:tcMar>
          </w:tcPr>
          <w:p w14:paraId="78E57ED0" w14:textId="77777777" w:rsidR="004275A0" w:rsidRDefault="00000000">
            <w:r>
              <w:rPr>
                <w:rFonts w:eastAsia="Times New Roman" w:cs="Times New Roman"/>
              </w:rPr>
              <w:t>I (Exposure)</w:t>
            </w:r>
          </w:p>
        </w:tc>
        <w:tc>
          <w:tcPr>
            <w:tcW w:w="7632" w:type="dxa"/>
            <w:tcMar>
              <w:top w:w="70" w:type="dxa"/>
              <w:left w:w="70" w:type="dxa"/>
              <w:bottom w:w="70" w:type="dxa"/>
              <w:right w:w="70" w:type="dxa"/>
            </w:tcMar>
          </w:tcPr>
          <w:p w14:paraId="173EF79D" w14:textId="77777777" w:rsidR="004275A0" w:rsidRDefault="00000000">
            <w:r>
              <w:rPr>
                <w:rFonts w:eastAsia="Times New Roman" w:cs="Times New Roman"/>
              </w:rPr>
              <w:t>Clinical, technical, and treatment-related factors, including stoma type, emergency/elective surgery, stoma-site marking, diabetes mellitus, obesity, American Society of Anesthesiologists (ASA) score, chemotherapy, radiotherapy, loop/end stoma, and stoma height.</w:t>
            </w:r>
          </w:p>
        </w:tc>
      </w:tr>
      <w:tr w:rsidR="004275A0" w14:paraId="70CB7AB2" w14:textId="77777777">
        <w:trPr>
          <w:jc w:val="center"/>
        </w:trPr>
        <w:tc>
          <w:tcPr>
            <w:tcW w:w="1728" w:type="dxa"/>
            <w:tcMar>
              <w:top w:w="70" w:type="dxa"/>
              <w:left w:w="70" w:type="dxa"/>
              <w:bottom w:w="70" w:type="dxa"/>
              <w:right w:w="70" w:type="dxa"/>
            </w:tcMar>
          </w:tcPr>
          <w:p w14:paraId="5D71371B" w14:textId="77777777" w:rsidR="004275A0" w:rsidRDefault="00000000">
            <w:r>
              <w:rPr>
                <w:rFonts w:eastAsia="Times New Roman" w:cs="Times New Roman"/>
              </w:rPr>
              <w:t>C (Comparison)</w:t>
            </w:r>
          </w:p>
        </w:tc>
        <w:tc>
          <w:tcPr>
            <w:tcW w:w="7632" w:type="dxa"/>
            <w:tcMar>
              <w:top w:w="70" w:type="dxa"/>
              <w:left w:w="70" w:type="dxa"/>
              <w:bottom w:w="70" w:type="dxa"/>
              <w:right w:w="70" w:type="dxa"/>
            </w:tcMar>
          </w:tcPr>
          <w:p w14:paraId="5B5BEE22" w14:textId="77777777" w:rsidR="004275A0" w:rsidRDefault="00000000">
            <w:r>
              <w:rPr>
                <w:rFonts w:eastAsia="Times New Roman" w:cs="Times New Roman"/>
              </w:rPr>
              <w:t>Patients without the relevant risk factor, reference groups, comparison stoma types, patients without complications, or patients with better quality-of-life outcomes.</w:t>
            </w:r>
          </w:p>
        </w:tc>
      </w:tr>
      <w:tr w:rsidR="004275A0" w14:paraId="4E93CE83" w14:textId="77777777">
        <w:trPr>
          <w:jc w:val="center"/>
        </w:trPr>
        <w:tc>
          <w:tcPr>
            <w:tcW w:w="1728" w:type="dxa"/>
            <w:tcMar>
              <w:top w:w="70" w:type="dxa"/>
              <w:left w:w="70" w:type="dxa"/>
              <w:bottom w:w="70" w:type="dxa"/>
              <w:right w:w="70" w:type="dxa"/>
            </w:tcMar>
          </w:tcPr>
          <w:p w14:paraId="492EF187" w14:textId="77777777" w:rsidR="004275A0" w:rsidRDefault="00000000">
            <w:r>
              <w:rPr>
                <w:rFonts w:eastAsia="Times New Roman" w:cs="Times New Roman"/>
              </w:rPr>
              <w:t>O (Outcome)</w:t>
            </w:r>
          </w:p>
        </w:tc>
        <w:tc>
          <w:tcPr>
            <w:tcW w:w="7632" w:type="dxa"/>
            <w:tcMar>
              <w:top w:w="70" w:type="dxa"/>
              <w:left w:w="70" w:type="dxa"/>
              <w:bottom w:w="70" w:type="dxa"/>
              <w:right w:w="70" w:type="dxa"/>
            </w:tcMar>
          </w:tcPr>
          <w:p w14:paraId="28F4B36B" w14:textId="77777777" w:rsidR="004275A0" w:rsidRDefault="00000000">
            <w:r>
              <w:rPr>
                <w:rFonts w:eastAsia="Times New Roman" w:cs="Times New Roman"/>
              </w:rPr>
              <w:t>Postoperative and stoma-related complications, peristomal skin complications, mucocutaneous separation, necrosis, retraction, prolapse, parastomal hernia, high-output stoma, stoma outlet obstruction, readmission, surgical-site infection, stoma closure/reversal complications, and quality of life.</w:t>
            </w:r>
          </w:p>
        </w:tc>
      </w:tr>
    </w:tbl>
    <w:p w14:paraId="17664BBD" w14:textId="77777777" w:rsidR="004275A0" w:rsidRDefault="00000000">
      <w:pPr>
        <w:pageBreakBefore/>
        <w:spacing w:before="60"/>
      </w:pPr>
      <w:r>
        <w:rPr>
          <w:rFonts w:eastAsia="Times New Roman" w:cs="Times New Roman"/>
          <w:b/>
        </w:rPr>
        <w:lastRenderedPageBreak/>
        <w:t>Information sources and search strategy</w:t>
      </w:r>
    </w:p>
    <w:p w14:paraId="485133A5" w14:textId="77777777" w:rsidR="006E53BF" w:rsidRDefault="00000000" w:rsidP="006E53BF">
      <w:pPr>
        <w:jc w:val="both"/>
      </w:pPr>
      <w:r>
        <w:rPr>
          <w:rFonts w:eastAsia="Times New Roman" w:cs="Times New Roman"/>
        </w:rPr>
        <w:t>PubMed/MEDLINE, Scopus, and Web of Science were searched for peer-reviewed articles published from 2017 onward in English and/or Indonesian. Search terms combined concepts for intestinal stoma and related procedures with postoperative or stoma-related complications, risk factors, predictors, odds ratios, confidence intervals, and quality of life using Boolean operators. The database-specific search strategies and records identified are presented in Table 2.</w:t>
      </w:r>
    </w:p>
    <w:p w14:paraId="6973428C" w14:textId="53964E93" w:rsidR="004275A0" w:rsidRDefault="00000000" w:rsidP="006E53BF">
      <w:pPr>
        <w:jc w:val="both"/>
      </w:pPr>
      <w:r>
        <w:rPr>
          <w:rFonts w:eastAsia="Times New Roman" w:cs="Times New Roman"/>
          <w:b/>
        </w:rPr>
        <w:t>Table 2. Database search strategies and records identified</w:t>
      </w:r>
    </w:p>
    <w:tbl>
      <w:tblPr>
        <w:tblStyle w:val="TableGrid"/>
        <w:tblW w:w="0" w:type="auto"/>
        <w:jc w:val="center"/>
        <w:tblLook w:val="04A0" w:firstRow="1" w:lastRow="0" w:firstColumn="1" w:lastColumn="0" w:noHBand="0" w:noVBand="1"/>
      </w:tblPr>
      <w:tblGrid>
        <w:gridCol w:w="2100"/>
        <w:gridCol w:w="6246"/>
        <w:gridCol w:w="1004"/>
      </w:tblGrid>
      <w:tr w:rsidR="004275A0" w14:paraId="02F75041" w14:textId="77777777">
        <w:trPr>
          <w:tblHeader/>
          <w:jc w:val="center"/>
        </w:trPr>
        <w:tc>
          <w:tcPr>
            <w:tcW w:w="1584" w:type="dxa"/>
            <w:shd w:val="clear" w:color="auto" w:fill="E7E6E6"/>
            <w:tcMar>
              <w:top w:w="70" w:type="dxa"/>
              <w:left w:w="70" w:type="dxa"/>
              <w:bottom w:w="70" w:type="dxa"/>
              <w:right w:w="70" w:type="dxa"/>
            </w:tcMar>
          </w:tcPr>
          <w:p w14:paraId="05CCF358" w14:textId="77777777" w:rsidR="004275A0" w:rsidRDefault="00000000">
            <w:r>
              <w:rPr>
                <w:rFonts w:eastAsia="Times New Roman" w:cs="Times New Roman"/>
                <w:b/>
              </w:rPr>
              <w:t>Database</w:t>
            </w:r>
          </w:p>
        </w:tc>
        <w:tc>
          <w:tcPr>
            <w:tcW w:w="6768" w:type="dxa"/>
            <w:shd w:val="clear" w:color="auto" w:fill="E7E6E6"/>
            <w:tcMar>
              <w:top w:w="70" w:type="dxa"/>
              <w:left w:w="70" w:type="dxa"/>
              <w:bottom w:w="70" w:type="dxa"/>
              <w:right w:w="70" w:type="dxa"/>
            </w:tcMar>
          </w:tcPr>
          <w:p w14:paraId="22A01B76" w14:textId="77777777" w:rsidR="004275A0" w:rsidRDefault="00000000">
            <w:r>
              <w:rPr>
                <w:rFonts w:eastAsia="Times New Roman" w:cs="Times New Roman"/>
                <w:b/>
              </w:rPr>
              <w:t>Search strategy</w:t>
            </w:r>
          </w:p>
        </w:tc>
        <w:tc>
          <w:tcPr>
            <w:tcW w:w="1007" w:type="dxa"/>
            <w:shd w:val="clear" w:color="auto" w:fill="E7E6E6"/>
            <w:tcMar>
              <w:top w:w="70" w:type="dxa"/>
              <w:left w:w="70" w:type="dxa"/>
              <w:bottom w:w="70" w:type="dxa"/>
              <w:right w:w="70" w:type="dxa"/>
            </w:tcMar>
          </w:tcPr>
          <w:p w14:paraId="734A42F3" w14:textId="77777777" w:rsidR="004275A0" w:rsidRDefault="00000000">
            <w:r>
              <w:rPr>
                <w:rFonts w:eastAsia="Times New Roman" w:cs="Times New Roman"/>
                <w:b/>
              </w:rPr>
              <w:t>Records</w:t>
            </w:r>
          </w:p>
        </w:tc>
      </w:tr>
      <w:tr w:rsidR="004275A0" w14:paraId="73B676FC" w14:textId="77777777">
        <w:trPr>
          <w:jc w:val="center"/>
        </w:trPr>
        <w:tc>
          <w:tcPr>
            <w:tcW w:w="1584" w:type="dxa"/>
            <w:tcMar>
              <w:top w:w="70" w:type="dxa"/>
              <w:left w:w="70" w:type="dxa"/>
              <w:bottom w:w="70" w:type="dxa"/>
              <w:right w:w="70" w:type="dxa"/>
            </w:tcMar>
          </w:tcPr>
          <w:p w14:paraId="64CE7759" w14:textId="77777777" w:rsidR="004275A0" w:rsidRDefault="00000000">
            <w:r>
              <w:rPr>
                <w:rFonts w:eastAsia="Times New Roman" w:cs="Times New Roman"/>
              </w:rPr>
              <w:t>PubMed/MEDLINE</w:t>
            </w:r>
          </w:p>
        </w:tc>
        <w:tc>
          <w:tcPr>
            <w:tcW w:w="6768" w:type="dxa"/>
            <w:tcMar>
              <w:top w:w="70" w:type="dxa"/>
              <w:left w:w="70" w:type="dxa"/>
              <w:bottom w:w="70" w:type="dxa"/>
              <w:right w:w="70" w:type="dxa"/>
            </w:tcMar>
          </w:tcPr>
          <w:p w14:paraId="5FC571D7" w14:textId="77777777" w:rsidR="004275A0" w:rsidRDefault="00000000">
            <w:r>
              <w:rPr>
                <w:rFonts w:eastAsia="Times New Roman" w:cs="Times New Roman"/>
              </w:rPr>
              <w:t>("intestinal stoma" OR ostomy OR stoma OR ileostomy OR colostomy OR enterostomy) AND ("postoperative complications" OR "stoma-related complications" OR "peristomal skin complications" OR "mucocutaneous separation" OR "parastomal hernia" OR "high-output stoma" OR readmission OR "surgical site infection") AND ("risk factors" OR predictor OR determinants OR "odds ratio" OR "confidence interval" OR "quality of life" OR HRQoL OR "Stoma-QOL")</w:t>
            </w:r>
          </w:p>
        </w:tc>
        <w:tc>
          <w:tcPr>
            <w:tcW w:w="1007" w:type="dxa"/>
            <w:tcMar>
              <w:top w:w="70" w:type="dxa"/>
              <w:left w:w="70" w:type="dxa"/>
              <w:bottom w:w="70" w:type="dxa"/>
              <w:right w:w="70" w:type="dxa"/>
            </w:tcMar>
          </w:tcPr>
          <w:p w14:paraId="34AD3426" w14:textId="77777777" w:rsidR="004275A0" w:rsidRDefault="00000000">
            <w:r>
              <w:rPr>
                <w:rFonts w:eastAsia="Times New Roman" w:cs="Times New Roman"/>
              </w:rPr>
              <w:t>92</w:t>
            </w:r>
          </w:p>
        </w:tc>
      </w:tr>
      <w:tr w:rsidR="004275A0" w14:paraId="47E34991" w14:textId="77777777">
        <w:trPr>
          <w:jc w:val="center"/>
        </w:trPr>
        <w:tc>
          <w:tcPr>
            <w:tcW w:w="1584" w:type="dxa"/>
            <w:tcMar>
              <w:top w:w="70" w:type="dxa"/>
              <w:left w:w="70" w:type="dxa"/>
              <w:bottom w:w="70" w:type="dxa"/>
              <w:right w:w="70" w:type="dxa"/>
            </w:tcMar>
          </w:tcPr>
          <w:p w14:paraId="39FF91F1" w14:textId="77777777" w:rsidR="004275A0" w:rsidRDefault="00000000">
            <w:r>
              <w:rPr>
                <w:rFonts w:eastAsia="Times New Roman" w:cs="Times New Roman"/>
              </w:rPr>
              <w:t>Scopus</w:t>
            </w:r>
          </w:p>
        </w:tc>
        <w:tc>
          <w:tcPr>
            <w:tcW w:w="6768" w:type="dxa"/>
            <w:tcMar>
              <w:top w:w="70" w:type="dxa"/>
              <w:left w:w="70" w:type="dxa"/>
              <w:bottom w:w="70" w:type="dxa"/>
              <w:right w:w="70" w:type="dxa"/>
            </w:tcMar>
          </w:tcPr>
          <w:p w14:paraId="1C8E8FB6" w14:textId="77777777" w:rsidR="004275A0" w:rsidRDefault="00000000">
            <w:r>
              <w:rPr>
                <w:rFonts w:eastAsia="Times New Roman" w:cs="Times New Roman"/>
              </w:rPr>
              <w:t xml:space="preserve">TITLE-ABS-KEY ("intestinal stoma" OR ostomy OR ileostomy OR colostomy OR enterostomy) AND TITLE-ABS-KEY ("postoperative complication" OR "stoma-related complication" OR "peristomal skin complication" OR "parastomal hernia" OR "high-output stoma" OR retraction OR </w:t>
            </w:r>
            <w:r>
              <w:rPr>
                <w:rFonts w:eastAsia="Times New Roman" w:cs="Times New Roman"/>
              </w:rPr>
              <w:lastRenderedPageBreak/>
              <w:t>prolapse OR necrosis OR readmission) AND TITLE-ABS-KEY ("risk factor" OR predictor OR determinant OR "quality of life" OR HRQoL OR "odds ratio" OR "confidence interval") AND PUBYEAR &gt; 2016</w:t>
            </w:r>
          </w:p>
        </w:tc>
        <w:tc>
          <w:tcPr>
            <w:tcW w:w="1007" w:type="dxa"/>
            <w:tcMar>
              <w:top w:w="70" w:type="dxa"/>
              <w:left w:w="70" w:type="dxa"/>
              <w:bottom w:w="70" w:type="dxa"/>
              <w:right w:w="70" w:type="dxa"/>
            </w:tcMar>
          </w:tcPr>
          <w:p w14:paraId="242C05B2" w14:textId="77777777" w:rsidR="004275A0" w:rsidRDefault="00000000">
            <w:r>
              <w:rPr>
                <w:rFonts w:eastAsia="Times New Roman" w:cs="Times New Roman"/>
              </w:rPr>
              <w:lastRenderedPageBreak/>
              <w:t>118</w:t>
            </w:r>
          </w:p>
        </w:tc>
      </w:tr>
      <w:tr w:rsidR="004275A0" w14:paraId="40EA0B41" w14:textId="77777777">
        <w:trPr>
          <w:jc w:val="center"/>
        </w:trPr>
        <w:tc>
          <w:tcPr>
            <w:tcW w:w="1584" w:type="dxa"/>
            <w:tcMar>
              <w:top w:w="70" w:type="dxa"/>
              <w:left w:w="70" w:type="dxa"/>
              <w:bottom w:w="70" w:type="dxa"/>
              <w:right w:w="70" w:type="dxa"/>
            </w:tcMar>
          </w:tcPr>
          <w:p w14:paraId="758A1996" w14:textId="77777777" w:rsidR="004275A0" w:rsidRDefault="00000000">
            <w:r>
              <w:rPr>
                <w:rFonts w:eastAsia="Times New Roman" w:cs="Times New Roman"/>
              </w:rPr>
              <w:t>Web of Science</w:t>
            </w:r>
          </w:p>
        </w:tc>
        <w:tc>
          <w:tcPr>
            <w:tcW w:w="6768" w:type="dxa"/>
            <w:tcMar>
              <w:top w:w="70" w:type="dxa"/>
              <w:left w:w="70" w:type="dxa"/>
              <w:bottom w:w="70" w:type="dxa"/>
              <w:right w:w="70" w:type="dxa"/>
            </w:tcMar>
          </w:tcPr>
          <w:p w14:paraId="4E048E7F" w14:textId="77777777" w:rsidR="004275A0" w:rsidRDefault="00000000">
            <w:r>
              <w:rPr>
                <w:rFonts w:eastAsia="Times New Roman" w:cs="Times New Roman"/>
              </w:rPr>
              <w:t>TS=("intestinal stoma" OR ostomy OR ileostomy OR colostomy OR enterostomy) AND TS=("postoperative complication" OR "stoma-related complication" OR "peristomal skin complication" OR "mucocutaneous separation" OR "parastomal hernia" OR "high-output stoma" OR readmission OR "surgical site infection") AND TS=("risk factor" OR predictor OR determinant OR "quality of life" OR HRQoL OR "Stoma-QOL")</w:t>
            </w:r>
          </w:p>
        </w:tc>
        <w:tc>
          <w:tcPr>
            <w:tcW w:w="1007" w:type="dxa"/>
            <w:tcMar>
              <w:top w:w="70" w:type="dxa"/>
              <w:left w:w="70" w:type="dxa"/>
              <w:bottom w:w="70" w:type="dxa"/>
              <w:right w:w="70" w:type="dxa"/>
            </w:tcMar>
          </w:tcPr>
          <w:p w14:paraId="1FDB737B" w14:textId="77777777" w:rsidR="004275A0" w:rsidRDefault="00000000">
            <w:r>
              <w:rPr>
                <w:rFonts w:eastAsia="Times New Roman" w:cs="Times New Roman"/>
              </w:rPr>
              <w:t>85</w:t>
            </w:r>
          </w:p>
        </w:tc>
      </w:tr>
      <w:tr w:rsidR="004275A0" w14:paraId="1599F111" w14:textId="77777777">
        <w:trPr>
          <w:jc w:val="center"/>
        </w:trPr>
        <w:tc>
          <w:tcPr>
            <w:tcW w:w="1584" w:type="dxa"/>
            <w:tcMar>
              <w:top w:w="70" w:type="dxa"/>
              <w:left w:w="70" w:type="dxa"/>
              <w:bottom w:w="70" w:type="dxa"/>
              <w:right w:w="70" w:type="dxa"/>
            </w:tcMar>
          </w:tcPr>
          <w:p w14:paraId="6DBE80B8" w14:textId="77777777" w:rsidR="004275A0" w:rsidRDefault="00000000">
            <w:r>
              <w:rPr>
                <w:rFonts w:eastAsia="Times New Roman" w:cs="Times New Roman"/>
              </w:rPr>
              <w:t>Total</w:t>
            </w:r>
          </w:p>
        </w:tc>
        <w:tc>
          <w:tcPr>
            <w:tcW w:w="6768" w:type="dxa"/>
            <w:tcMar>
              <w:top w:w="70" w:type="dxa"/>
              <w:left w:w="70" w:type="dxa"/>
              <w:bottom w:w="70" w:type="dxa"/>
              <w:right w:w="70" w:type="dxa"/>
            </w:tcMar>
          </w:tcPr>
          <w:p w14:paraId="405D1751" w14:textId="77777777" w:rsidR="004275A0" w:rsidRDefault="00000000">
            <w:r>
              <w:rPr>
                <w:rFonts w:eastAsia="Times New Roman" w:cs="Times New Roman"/>
              </w:rPr>
              <w:t>—</w:t>
            </w:r>
          </w:p>
        </w:tc>
        <w:tc>
          <w:tcPr>
            <w:tcW w:w="1007" w:type="dxa"/>
            <w:tcMar>
              <w:top w:w="70" w:type="dxa"/>
              <w:left w:w="70" w:type="dxa"/>
              <w:bottom w:w="70" w:type="dxa"/>
              <w:right w:w="70" w:type="dxa"/>
            </w:tcMar>
          </w:tcPr>
          <w:p w14:paraId="4E545DA9" w14:textId="77777777" w:rsidR="004275A0" w:rsidRDefault="00000000">
            <w:r>
              <w:rPr>
                <w:rFonts w:eastAsia="Times New Roman" w:cs="Times New Roman"/>
              </w:rPr>
              <w:t>295</w:t>
            </w:r>
          </w:p>
        </w:tc>
      </w:tr>
    </w:tbl>
    <w:p w14:paraId="7A8A5658" w14:textId="77777777" w:rsidR="006E53BF" w:rsidRDefault="006E53BF" w:rsidP="006E53BF">
      <w:pPr>
        <w:spacing w:before="60"/>
        <w:rPr>
          <w:rFonts w:eastAsia="Times New Roman" w:cs="Times New Roman"/>
          <w:b/>
        </w:rPr>
      </w:pPr>
    </w:p>
    <w:p w14:paraId="4DC1D664" w14:textId="012B7093" w:rsidR="004275A0" w:rsidRDefault="00000000" w:rsidP="006E53BF">
      <w:pPr>
        <w:spacing w:before="60"/>
      </w:pPr>
      <w:r>
        <w:rPr>
          <w:rFonts w:eastAsia="Times New Roman" w:cs="Times New Roman"/>
          <w:b/>
        </w:rPr>
        <w:t>Study selection</w:t>
      </w:r>
    </w:p>
    <w:p w14:paraId="204AA388" w14:textId="77777777" w:rsidR="004275A0" w:rsidRDefault="00000000">
      <w:pPr>
        <w:jc w:val="both"/>
      </w:pPr>
      <w:r>
        <w:rPr>
          <w:rFonts w:eastAsia="Times New Roman" w:cs="Times New Roman"/>
        </w:rPr>
        <w:t xml:space="preserve">The initial search yielded 295 records: 92 from PubMed/MEDLINE, 118 from Scopus, and 85 from Web of Science. After removal of 5 duplicate records, 290 records underwent title and abstract screening. During screening, 220 records were excluded. Seventy articles proceeded to full-text assessment. At the full-text stage, 58 articles were excluded: 18 did not report extractable odds ratios, p-values, and confidence intervals; 10 did not have a population specific to patients with intestinal stoma; 9 did not report analyzable risk factors; 7 did not clearly report complication </w:t>
      </w:r>
      <w:r>
        <w:rPr>
          <w:rFonts w:eastAsia="Times New Roman" w:cs="Times New Roman"/>
        </w:rPr>
        <w:lastRenderedPageBreak/>
        <w:t>or quality-of-life outcomes; 8 had inappropriate study designs; and 6 did not provide full-text access. Twelve studies were included in the systematic review. Eleven studies contributed to the quantitative meta-analysis, while the quality-of-life study was retained for narrative synthesis. The study-selection process is shown in Figure 1.</w:t>
      </w:r>
    </w:p>
    <w:p w14:paraId="6A704CC7" w14:textId="77777777" w:rsidR="004275A0" w:rsidRDefault="00000000">
      <w:r>
        <w:rPr>
          <w:rFonts w:eastAsia="Times New Roman" w:cs="Times New Roman"/>
          <w:b/>
        </w:rPr>
        <w:t>Figure 1. PRISMA 2020 flow diagram of study selection</w:t>
      </w:r>
    </w:p>
    <w:p w14:paraId="713E6D38" w14:textId="77777777" w:rsidR="004275A0" w:rsidRDefault="00000000">
      <w:pPr>
        <w:jc w:val="center"/>
      </w:pPr>
      <w:r>
        <w:rPr>
          <w:rFonts w:eastAsia="Times New Roman" w:cs="Times New Roman"/>
          <w:noProof/>
        </w:rPr>
        <w:drawing>
          <wp:inline distT="0" distB="0" distL="0" distR="0" wp14:anchorId="6821228D" wp14:editId="5A376EE9">
            <wp:extent cx="4572000" cy="63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HSMR_PRISMA_Flow_BW.png"/>
                    <pic:cNvPicPr/>
                  </pic:nvPicPr>
                  <pic:blipFill>
                    <a:blip r:embed="rId8"/>
                    <a:stretch>
                      <a:fillRect/>
                    </a:stretch>
                  </pic:blipFill>
                  <pic:spPr>
                    <a:xfrm>
                      <a:off x="0" y="0"/>
                      <a:ext cx="4572000" cy="6350000"/>
                    </a:xfrm>
                    <a:prstGeom prst="rect">
                      <a:avLst/>
                    </a:prstGeom>
                  </pic:spPr>
                </pic:pic>
              </a:graphicData>
            </a:graphic>
          </wp:inline>
        </w:drawing>
      </w:r>
    </w:p>
    <w:p w14:paraId="02F0F203" w14:textId="77777777" w:rsidR="004275A0" w:rsidRDefault="00000000">
      <w:pPr>
        <w:spacing w:before="60"/>
      </w:pPr>
      <w:r>
        <w:rPr>
          <w:rFonts w:eastAsia="Times New Roman" w:cs="Times New Roman"/>
          <w:b/>
        </w:rPr>
        <w:lastRenderedPageBreak/>
        <w:t>Data extraction and statistical analysis</w:t>
      </w:r>
    </w:p>
    <w:p w14:paraId="70810985" w14:textId="77777777" w:rsidR="004275A0" w:rsidRDefault="00000000">
      <w:pPr>
        <w:jc w:val="both"/>
      </w:pPr>
      <w:r>
        <w:rPr>
          <w:rFonts w:eastAsia="Times New Roman" w:cs="Times New Roman"/>
        </w:rPr>
        <w:t>Data were extracted into Microsoft Excel and included author, year, country, study design, sample size, stoma type, risk factors, complication or quality-of-life outcome, and statistical data including odds ratio (OR), p-value, confidence interval (CI), and I² when reported. Reported effect estimates and confidence intervals were entered into JASP to obtain the pooled effect estimate, confidence interval, study weights, and heterogeneity statistics. Between-study heterogeneity was evaluated using Cochran’s Q and I². Possible small-study effects or publication bias were explored visually using a funnel plot. Because the included studies evaluated clinically heterogeneous endpoints, the pooled estimate was treated as exploratory and interpreted together with outcome-specific narrative findings. A formal risk-of-bias assessment was not performed; therefore, the methodological quality of the included studies was not formally graded.</w:t>
      </w:r>
    </w:p>
    <w:p w14:paraId="21572882" w14:textId="77777777" w:rsidR="004275A0" w:rsidRDefault="00000000">
      <w:pPr>
        <w:spacing w:before="120"/>
      </w:pPr>
      <w:r>
        <w:rPr>
          <w:rFonts w:eastAsia="Times New Roman" w:cs="Times New Roman"/>
          <w:b/>
        </w:rPr>
        <w:t>Results</w:t>
      </w:r>
    </w:p>
    <w:p w14:paraId="27B9D114" w14:textId="77777777" w:rsidR="004275A0" w:rsidRDefault="00000000">
      <w:pPr>
        <w:spacing w:before="60"/>
      </w:pPr>
      <w:r>
        <w:rPr>
          <w:rFonts w:eastAsia="Times New Roman" w:cs="Times New Roman"/>
          <w:b/>
        </w:rPr>
        <w:t>Study characteristics</w:t>
      </w:r>
    </w:p>
    <w:p w14:paraId="1E96BB8B" w14:textId="6AF183E1" w:rsidR="004275A0" w:rsidRDefault="00000000">
      <w:pPr>
        <w:jc w:val="both"/>
      </w:pPr>
      <w:r>
        <w:rPr>
          <w:rFonts w:eastAsia="Times New Roman" w:cs="Times New Roman"/>
        </w:rPr>
        <w:t>Twelve studies were included in the systematic review.</w:t>
      </w:r>
      <w:r>
        <w:rPr>
          <w:rFonts w:eastAsia="Times New Roman" w:cs="Times New Roman"/>
          <w:vertAlign w:val="superscript"/>
        </w:rPr>
        <w:t>23–34</w:t>
      </w:r>
      <w:r>
        <w:rPr>
          <w:rFonts w:eastAsia="Times New Roman" w:cs="Times New Roman"/>
        </w:rPr>
        <w:t xml:space="preserve"> Eleven studies contributed to the quantitative meta-analysis, while the cross-sectional quality-of-life study by Liu et al. was </w:t>
      </w:r>
      <w:r w:rsidR="006E53BF">
        <w:rPr>
          <w:rFonts w:eastAsia="Times New Roman" w:cs="Times New Roman"/>
        </w:rPr>
        <w:pgNum/>
      </w:r>
      <w:proofErr w:type="spellStart"/>
      <w:r w:rsidR="006E53BF">
        <w:rPr>
          <w:rFonts w:eastAsia="Times New Roman" w:cs="Times New Roman"/>
        </w:rPr>
        <w:t>ummarized</w:t>
      </w:r>
      <w:proofErr w:type="spellEnd"/>
      <w:r w:rsidR="006E53BF">
        <w:rPr>
          <w:rFonts w:eastAsia="Times New Roman" w:cs="Times New Roman"/>
        </w:rPr>
        <w:pgNum/>
      </w:r>
      <w:r>
        <w:rPr>
          <w:rFonts w:eastAsia="Times New Roman" w:cs="Times New Roman"/>
        </w:rPr>
        <w:t xml:space="preserve"> narratively. The included studies covered emergency stoma formation, early ostomy complications, comparisons between ileostomy and colostomy, high-output stoma, postoperative ileus and readmission, stoma-related obstruction, morbidity after stoma closure, sigmoid stoma complications after abdominoperineal resection, prediction of early complications, and quality of life among patients with a stoma. Based on the publication years of the 12 included studies, 2021 and 2024 were the most frequent years, with four studies each. Retrospective designs predominated, and early or postoperative stoma complications were the most frequent outcome focus. The distribution of the included studies is </w:t>
      </w:r>
      <w:r w:rsidR="006E53BF">
        <w:rPr>
          <w:rFonts w:eastAsia="Times New Roman" w:cs="Times New Roman"/>
        </w:rPr>
        <w:pgNum/>
      </w:r>
      <w:proofErr w:type="spellStart"/>
      <w:r w:rsidR="006E53BF">
        <w:rPr>
          <w:rFonts w:eastAsia="Times New Roman" w:cs="Times New Roman"/>
        </w:rPr>
        <w:t>ummarized</w:t>
      </w:r>
      <w:proofErr w:type="spellEnd"/>
      <w:r>
        <w:rPr>
          <w:rFonts w:eastAsia="Times New Roman" w:cs="Times New Roman"/>
        </w:rPr>
        <w:t xml:space="preserve"> in Table 3.</w:t>
      </w:r>
    </w:p>
    <w:p w14:paraId="17A57DB8" w14:textId="77777777" w:rsidR="004275A0" w:rsidRDefault="00000000">
      <w:pPr>
        <w:keepNext/>
        <w:pageBreakBefore/>
      </w:pPr>
      <w:r>
        <w:rPr>
          <w:rFonts w:eastAsia="Times New Roman" w:cs="Times New Roman"/>
          <w:b/>
        </w:rPr>
        <w:lastRenderedPageBreak/>
        <w:t>Table 3. Distribution of included studies by characteristics</w:t>
      </w:r>
    </w:p>
    <w:tbl>
      <w:tblPr>
        <w:tblStyle w:val="TableGrid"/>
        <w:tblW w:w="0" w:type="auto"/>
        <w:jc w:val="center"/>
        <w:tblLook w:val="04A0" w:firstRow="1" w:lastRow="0" w:firstColumn="1" w:lastColumn="0" w:noHBand="0" w:noVBand="1"/>
      </w:tblPr>
      <w:tblGrid>
        <w:gridCol w:w="1799"/>
        <w:gridCol w:w="4888"/>
        <w:gridCol w:w="1295"/>
        <w:gridCol w:w="1368"/>
      </w:tblGrid>
      <w:tr w:rsidR="004275A0" w14:paraId="4F213AEB" w14:textId="77777777">
        <w:trPr>
          <w:tblHeader/>
          <w:jc w:val="center"/>
        </w:trPr>
        <w:tc>
          <w:tcPr>
            <w:tcW w:w="1800" w:type="dxa"/>
            <w:shd w:val="clear" w:color="auto" w:fill="E7E6E6"/>
            <w:tcMar>
              <w:top w:w="70" w:type="dxa"/>
              <w:left w:w="70" w:type="dxa"/>
              <w:bottom w:w="70" w:type="dxa"/>
              <w:right w:w="70" w:type="dxa"/>
            </w:tcMar>
          </w:tcPr>
          <w:p w14:paraId="42D4B47D" w14:textId="77777777" w:rsidR="004275A0" w:rsidRDefault="00000000">
            <w:r>
              <w:rPr>
                <w:rFonts w:eastAsia="Times New Roman" w:cs="Times New Roman"/>
                <w:b/>
              </w:rPr>
              <w:t>Characteristic</w:t>
            </w:r>
          </w:p>
        </w:tc>
        <w:tc>
          <w:tcPr>
            <w:tcW w:w="4896" w:type="dxa"/>
            <w:shd w:val="clear" w:color="auto" w:fill="E7E6E6"/>
            <w:tcMar>
              <w:top w:w="70" w:type="dxa"/>
              <w:left w:w="70" w:type="dxa"/>
              <w:bottom w:w="70" w:type="dxa"/>
              <w:right w:w="70" w:type="dxa"/>
            </w:tcMar>
          </w:tcPr>
          <w:p w14:paraId="751D0589" w14:textId="77777777" w:rsidR="004275A0" w:rsidRDefault="00000000">
            <w:r>
              <w:rPr>
                <w:rFonts w:eastAsia="Times New Roman" w:cs="Times New Roman"/>
                <w:b/>
              </w:rPr>
              <w:t>Category</w:t>
            </w:r>
          </w:p>
        </w:tc>
        <w:tc>
          <w:tcPr>
            <w:tcW w:w="1296" w:type="dxa"/>
            <w:shd w:val="clear" w:color="auto" w:fill="E7E6E6"/>
            <w:tcMar>
              <w:top w:w="70" w:type="dxa"/>
              <w:left w:w="70" w:type="dxa"/>
              <w:bottom w:w="70" w:type="dxa"/>
              <w:right w:w="70" w:type="dxa"/>
            </w:tcMar>
          </w:tcPr>
          <w:p w14:paraId="756A48B6" w14:textId="77777777" w:rsidR="004275A0" w:rsidRDefault="00000000">
            <w:r>
              <w:rPr>
                <w:rFonts w:eastAsia="Times New Roman" w:cs="Times New Roman"/>
                <w:b/>
              </w:rPr>
              <w:t>No. of studies</w:t>
            </w:r>
          </w:p>
        </w:tc>
        <w:tc>
          <w:tcPr>
            <w:tcW w:w="1368" w:type="dxa"/>
            <w:shd w:val="clear" w:color="auto" w:fill="E7E6E6"/>
            <w:tcMar>
              <w:top w:w="70" w:type="dxa"/>
              <w:left w:w="70" w:type="dxa"/>
              <w:bottom w:w="70" w:type="dxa"/>
              <w:right w:w="70" w:type="dxa"/>
            </w:tcMar>
          </w:tcPr>
          <w:p w14:paraId="09745659" w14:textId="77777777" w:rsidR="004275A0" w:rsidRDefault="00000000">
            <w:r>
              <w:rPr>
                <w:rFonts w:eastAsia="Times New Roman" w:cs="Times New Roman"/>
                <w:b/>
              </w:rPr>
              <w:t>Percentage</w:t>
            </w:r>
          </w:p>
        </w:tc>
      </w:tr>
      <w:tr w:rsidR="004275A0" w14:paraId="48E47FBC" w14:textId="77777777">
        <w:trPr>
          <w:jc w:val="center"/>
        </w:trPr>
        <w:tc>
          <w:tcPr>
            <w:tcW w:w="1800" w:type="dxa"/>
            <w:tcMar>
              <w:top w:w="70" w:type="dxa"/>
              <w:left w:w="70" w:type="dxa"/>
              <w:bottom w:w="70" w:type="dxa"/>
              <w:right w:w="70" w:type="dxa"/>
            </w:tcMar>
          </w:tcPr>
          <w:p w14:paraId="48DE381D" w14:textId="77777777" w:rsidR="004275A0" w:rsidRDefault="00000000">
            <w:r>
              <w:rPr>
                <w:rFonts w:eastAsia="Times New Roman" w:cs="Times New Roman"/>
              </w:rPr>
              <w:t>Publication year</w:t>
            </w:r>
          </w:p>
        </w:tc>
        <w:tc>
          <w:tcPr>
            <w:tcW w:w="4896" w:type="dxa"/>
            <w:tcMar>
              <w:top w:w="70" w:type="dxa"/>
              <w:left w:w="70" w:type="dxa"/>
              <w:bottom w:w="70" w:type="dxa"/>
              <w:right w:w="70" w:type="dxa"/>
            </w:tcMar>
          </w:tcPr>
          <w:p w14:paraId="101B9C36" w14:textId="77777777" w:rsidR="004275A0" w:rsidRDefault="00000000">
            <w:r>
              <w:rPr>
                <w:rFonts w:eastAsia="Times New Roman" w:cs="Times New Roman"/>
              </w:rPr>
              <w:t>2019</w:t>
            </w:r>
          </w:p>
        </w:tc>
        <w:tc>
          <w:tcPr>
            <w:tcW w:w="1296" w:type="dxa"/>
            <w:tcMar>
              <w:top w:w="70" w:type="dxa"/>
              <w:left w:w="70" w:type="dxa"/>
              <w:bottom w:w="70" w:type="dxa"/>
              <w:right w:w="70" w:type="dxa"/>
            </w:tcMar>
          </w:tcPr>
          <w:p w14:paraId="0E4477C5" w14:textId="77777777" w:rsidR="004275A0" w:rsidRDefault="00000000">
            <w:r>
              <w:rPr>
                <w:rFonts w:eastAsia="Times New Roman" w:cs="Times New Roman"/>
              </w:rPr>
              <w:t>2</w:t>
            </w:r>
          </w:p>
        </w:tc>
        <w:tc>
          <w:tcPr>
            <w:tcW w:w="1368" w:type="dxa"/>
            <w:tcMar>
              <w:top w:w="70" w:type="dxa"/>
              <w:left w:w="70" w:type="dxa"/>
              <w:bottom w:w="70" w:type="dxa"/>
              <w:right w:w="70" w:type="dxa"/>
            </w:tcMar>
          </w:tcPr>
          <w:p w14:paraId="73B38439" w14:textId="77777777" w:rsidR="004275A0" w:rsidRDefault="00000000">
            <w:r>
              <w:rPr>
                <w:rFonts w:eastAsia="Times New Roman" w:cs="Times New Roman"/>
              </w:rPr>
              <w:t>16.67%</w:t>
            </w:r>
          </w:p>
        </w:tc>
      </w:tr>
      <w:tr w:rsidR="004275A0" w14:paraId="3CD4E9A2" w14:textId="77777777">
        <w:trPr>
          <w:jc w:val="center"/>
        </w:trPr>
        <w:tc>
          <w:tcPr>
            <w:tcW w:w="1800" w:type="dxa"/>
            <w:tcMar>
              <w:top w:w="70" w:type="dxa"/>
              <w:left w:w="70" w:type="dxa"/>
              <w:bottom w:w="70" w:type="dxa"/>
              <w:right w:w="70" w:type="dxa"/>
            </w:tcMar>
          </w:tcPr>
          <w:p w14:paraId="0105210C" w14:textId="77777777" w:rsidR="004275A0" w:rsidRDefault="00000000">
            <w:r>
              <w:rPr>
                <w:rFonts w:eastAsia="Times New Roman" w:cs="Times New Roman"/>
              </w:rPr>
              <w:t>Publication year</w:t>
            </w:r>
          </w:p>
        </w:tc>
        <w:tc>
          <w:tcPr>
            <w:tcW w:w="4896" w:type="dxa"/>
            <w:tcMar>
              <w:top w:w="70" w:type="dxa"/>
              <w:left w:w="70" w:type="dxa"/>
              <w:bottom w:w="70" w:type="dxa"/>
              <w:right w:w="70" w:type="dxa"/>
            </w:tcMar>
          </w:tcPr>
          <w:p w14:paraId="3CD1835B" w14:textId="77777777" w:rsidR="004275A0" w:rsidRDefault="00000000">
            <w:r>
              <w:rPr>
                <w:rFonts w:eastAsia="Times New Roman" w:cs="Times New Roman"/>
              </w:rPr>
              <w:t>2020</w:t>
            </w:r>
          </w:p>
        </w:tc>
        <w:tc>
          <w:tcPr>
            <w:tcW w:w="1296" w:type="dxa"/>
            <w:tcMar>
              <w:top w:w="70" w:type="dxa"/>
              <w:left w:w="70" w:type="dxa"/>
              <w:bottom w:w="70" w:type="dxa"/>
              <w:right w:w="70" w:type="dxa"/>
            </w:tcMar>
          </w:tcPr>
          <w:p w14:paraId="4CA9042A"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0B1196DA" w14:textId="77777777" w:rsidR="004275A0" w:rsidRDefault="00000000">
            <w:r>
              <w:rPr>
                <w:rFonts w:eastAsia="Times New Roman" w:cs="Times New Roman"/>
              </w:rPr>
              <w:t>8.33%</w:t>
            </w:r>
          </w:p>
        </w:tc>
      </w:tr>
      <w:tr w:rsidR="004275A0" w14:paraId="167DC70E" w14:textId="77777777">
        <w:trPr>
          <w:jc w:val="center"/>
        </w:trPr>
        <w:tc>
          <w:tcPr>
            <w:tcW w:w="1800" w:type="dxa"/>
            <w:tcMar>
              <w:top w:w="70" w:type="dxa"/>
              <w:left w:w="70" w:type="dxa"/>
              <w:bottom w:w="70" w:type="dxa"/>
              <w:right w:w="70" w:type="dxa"/>
            </w:tcMar>
          </w:tcPr>
          <w:p w14:paraId="4F13CDC8" w14:textId="77777777" w:rsidR="004275A0" w:rsidRDefault="00000000">
            <w:r>
              <w:rPr>
                <w:rFonts w:eastAsia="Times New Roman" w:cs="Times New Roman"/>
              </w:rPr>
              <w:t>Publication year</w:t>
            </w:r>
          </w:p>
        </w:tc>
        <w:tc>
          <w:tcPr>
            <w:tcW w:w="4896" w:type="dxa"/>
            <w:tcMar>
              <w:top w:w="70" w:type="dxa"/>
              <w:left w:w="70" w:type="dxa"/>
              <w:bottom w:w="70" w:type="dxa"/>
              <w:right w:w="70" w:type="dxa"/>
            </w:tcMar>
          </w:tcPr>
          <w:p w14:paraId="45CA5B01" w14:textId="77777777" w:rsidR="004275A0" w:rsidRDefault="00000000">
            <w:r>
              <w:rPr>
                <w:rFonts w:eastAsia="Times New Roman" w:cs="Times New Roman"/>
              </w:rPr>
              <w:t>2021</w:t>
            </w:r>
          </w:p>
        </w:tc>
        <w:tc>
          <w:tcPr>
            <w:tcW w:w="1296" w:type="dxa"/>
            <w:tcMar>
              <w:top w:w="70" w:type="dxa"/>
              <w:left w:w="70" w:type="dxa"/>
              <w:bottom w:w="70" w:type="dxa"/>
              <w:right w:w="70" w:type="dxa"/>
            </w:tcMar>
          </w:tcPr>
          <w:p w14:paraId="7F121E09" w14:textId="77777777" w:rsidR="004275A0" w:rsidRDefault="00000000">
            <w:r>
              <w:rPr>
                <w:rFonts w:eastAsia="Times New Roman" w:cs="Times New Roman"/>
              </w:rPr>
              <w:t>4</w:t>
            </w:r>
          </w:p>
        </w:tc>
        <w:tc>
          <w:tcPr>
            <w:tcW w:w="1368" w:type="dxa"/>
            <w:tcMar>
              <w:top w:w="70" w:type="dxa"/>
              <w:left w:w="70" w:type="dxa"/>
              <w:bottom w:w="70" w:type="dxa"/>
              <w:right w:w="70" w:type="dxa"/>
            </w:tcMar>
          </w:tcPr>
          <w:p w14:paraId="751735F4" w14:textId="77777777" w:rsidR="004275A0" w:rsidRDefault="00000000">
            <w:r>
              <w:rPr>
                <w:rFonts w:eastAsia="Times New Roman" w:cs="Times New Roman"/>
              </w:rPr>
              <w:t>33.33%</w:t>
            </w:r>
          </w:p>
        </w:tc>
      </w:tr>
      <w:tr w:rsidR="004275A0" w14:paraId="3869E299" w14:textId="77777777">
        <w:trPr>
          <w:jc w:val="center"/>
        </w:trPr>
        <w:tc>
          <w:tcPr>
            <w:tcW w:w="1800" w:type="dxa"/>
            <w:tcMar>
              <w:top w:w="70" w:type="dxa"/>
              <w:left w:w="70" w:type="dxa"/>
              <w:bottom w:w="70" w:type="dxa"/>
              <w:right w:w="70" w:type="dxa"/>
            </w:tcMar>
          </w:tcPr>
          <w:p w14:paraId="724A2FD6" w14:textId="77777777" w:rsidR="004275A0" w:rsidRDefault="00000000">
            <w:r>
              <w:rPr>
                <w:rFonts w:eastAsia="Times New Roman" w:cs="Times New Roman"/>
              </w:rPr>
              <w:t>Publication year</w:t>
            </w:r>
          </w:p>
        </w:tc>
        <w:tc>
          <w:tcPr>
            <w:tcW w:w="4896" w:type="dxa"/>
            <w:tcMar>
              <w:top w:w="70" w:type="dxa"/>
              <w:left w:w="70" w:type="dxa"/>
              <w:bottom w:w="70" w:type="dxa"/>
              <w:right w:w="70" w:type="dxa"/>
            </w:tcMar>
          </w:tcPr>
          <w:p w14:paraId="231A1716" w14:textId="77777777" w:rsidR="004275A0" w:rsidRDefault="00000000">
            <w:r>
              <w:rPr>
                <w:rFonts w:eastAsia="Times New Roman" w:cs="Times New Roman"/>
              </w:rPr>
              <w:t>2024</w:t>
            </w:r>
          </w:p>
        </w:tc>
        <w:tc>
          <w:tcPr>
            <w:tcW w:w="1296" w:type="dxa"/>
            <w:tcMar>
              <w:top w:w="70" w:type="dxa"/>
              <w:left w:w="70" w:type="dxa"/>
              <w:bottom w:w="70" w:type="dxa"/>
              <w:right w:w="70" w:type="dxa"/>
            </w:tcMar>
          </w:tcPr>
          <w:p w14:paraId="3AF461A9" w14:textId="77777777" w:rsidR="004275A0" w:rsidRDefault="00000000">
            <w:r>
              <w:rPr>
                <w:rFonts w:eastAsia="Times New Roman" w:cs="Times New Roman"/>
              </w:rPr>
              <w:t>4</w:t>
            </w:r>
          </w:p>
        </w:tc>
        <w:tc>
          <w:tcPr>
            <w:tcW w:w="1368" w:type="dxa"/>
            <w:tcMar>
              <w:top w:w="70" w:type="dxa"/>
              <w:left w:w="70" w:type="dxa"/>
              <w:bottom w:w="70" w:type="dxa"/>
              <w:right w:w="70" w:type="dxa"/>
            </w:tcMar>
          </w:tcPr>
          <w:p w14:paraId="4C5372DA" w14:textId="77777777" w:rsidR="004275A0" w:rsidRDefault="00000000">
            <w:r>
              <w:rPr>
                <w:rFonts w:eastAsia="Times New Roman" w:cs="Times New Roman"/>
              </w:rPr>
              <w:t>33.33%</w:t>
            </w:r>
          </w:p>
        </w:tc>
      </w:tr>
      <w:tr w:rsidR="004275A0" w14:paraId="31C779F2" w14:textId="77777777">
        <w:trPr>
          <w:jc w:val="center"/>
        </w:trPr>
        <w:tc>
          <w:tcPr>
            <w:tcW w:w="1800" w:type="dxa"/>
            <w:tcMar>
              <w:top w:w="70" w:type="dxa"/>
              <w:left w:w="70" w:type="dxa"/>
              <w:bottom w:w="70" w:type="dxa"/>
              <w:right w:w="70" w:type="dxa"/>
            </w:tcMar>
          </w:tcPr>
          <w:p w14:paraId="5126D369" w14:textId="77777777" w:rsidR="004275A0" w:rsidRDefault="00000000">
            <w:r>
              <w:rPr>
                <w:rFonts w:eastAsia="Times New Roman" w:cs="Times New Roman"/>
              </w:rPr>
              <w:t>Publication year</w:t>
            </w:r>
          </w:p>
        </w:tc>
        <w:tc>
          <w:tcPr>
            <w:tcW w:w="4896" w:type="dxa"/>
            <w:tcMar>
              <w:top w:w="70" w:type="dxa"/>
              <w:left w:w="70" w:type="dxa"/>
              <w:bottom w:w="70" w:type="dxa"/>
              <w:right w:w="70" w:type="dxa"/>
            </w:tcMar>
          </w:tcPr>
          <w:p w14:paraId="59893617" w14:textId="77777777" w:rsidR="004275A0" w:rsidRDefault="00000000">
            <w:r>
              <w:rPr>
                <w:rFonts w:eastAsia="Times New Roman" w:cs="Times New Roman"/>
              </w:rPr>
              <w:t>2025</w:t>
            </w:r>
          </w:p>
        </w:tc>
        <w:tc>
          <w:tcPr>
            <w:tcW w:w="1296" w:type="dxa"/>
            <w:tcMar>
              <w:top w:w="70" w:type="dxa"/>
              <w:left w:w="70" w:type="dxa"/>
              <w:bottom w:w="70" w:type="dxa"/>
              <w:right w:w="70" w:type="dxa"/>
            </w:tcMar>
          </w:tcPr>
          <w:p w14:paraId="7FECED1D"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3F516CCB" w14:textId="77777777" w:rsidR="004275A0" w:rsidRDefault="00000000">
            <w:r>
              <w:rPr>
                <w:rFonts w:eastAsia="Times New Roman" w:cs="Times New Roman"/>
              </w:rPr>
              <w:t>8.33%</w:t>
            </w:r>
          </w:p>
        </w:tc>
      </w:tr>
      <w:tr w:rsidR="004275A0" w14:paraId="476E6C6A" w14:textId="77777777">
        <w:trPr>
          <w:jc w:val="center"/>
        </w:trPr>
        <w:tc>
          <w:tcPr>
            <w:tcW w:w="1800" w:type="dxa"/>
            <w:tcMar>
              <w:top w:w="70" w:type="dxa"/>
              <w:left w:w="70" w:type="dxa"/>
              <w:bottom w:w="70" w:type="dxa"/>
              <w:right w:w="70" w:type="dxa"/>
            </w:tcMar>
          </w:tcPr>
          <w:p w14:paraId="4C9DF65B" w14:textId="77777777" w:rsidR="004275A0" w:rsidRDefault="00000000">
            <w:r>
              <w:rPr>
                <w:rFonts w:eastAsia="Times New Roman" w:cs="Times New Roman"/>
              </w:rPr>
              <w:t>Study design</w:t>
            </w:r>
          </w:p>
        </w:tc>
        <w:tc>
          <w:tcPr>
            <w:tcW w:w="4896" w:type="dxa"/>
            <w:tcMar>
              <w:top w:w="70" w:type="dxa"/>
              <w:left w:w="70" w:type="dxa"/>
              <w:bottom w:w="70" w:type="dxa"/>
              <w:right w:w="70" w:type="dxa"/>
            </w:tcMar>
          </w:tcPr>
          <w:p w14:paraId="6300D8CC" w14:textId="77777777" w:rsidR="004275A0" w:rsidRDefault="00000000">
            <w:r>
              <w:rPr>
                <w:rFonts w:eastAsia="Times New Roman" w:cs="Times New Roman"/>
              </w:rPr>
              <w:t>Retrospective cohort/study</w:t>
            </w:r>
          </w:p>
        </w:tc>
        <w:tc>
          <w:tcPr>
            <w:tcW w:w="1296" w:type="dxa"/>
            <w:tcMar>
              <w:top w:w="70" w:type="dxa"/>
              <w:left w:w="70" w:type="dxa"/>
              <w:bottom w:w="70" w:type="dxa"/>
              <w:right w:w="70" w:type="dxa"/>
            </w:tcMar>
          </w:tcPr>
          <w:p w14:paraId="3289FED9" w14:textId="77777777" w:rsidR="004275A0" w:rsidRDefault="00000000">
            <w:r>
              <w:rPr>
                <w:rFonts w:eastAsia="Times New Roman" w:cs="Times New Roman"/>
              </w:rPr>
              <w:t>9</w:t>
            </w:r>
          </w:p>
        </w:tc>
        <w:tc>
          <w:tcPr>
            <w:tcW w:w="1368" w:type="dxa"/>
            <w:tcMar>
              <w:top w:w="70" w:type="dxa"/>
              <w:left w:w="70" w:type="dxa"/>
              <w:bottom w:w="70" w:type="dxa"/>
              <w:right w:w="70" w:type="dxa"/>
            </w:tcMar>
          </w:tcPr>
          <w:p w14:paraId="7302A485" w14:textId="77777777" w:rsidR="004275A0" w:rsidRDefault="00000000">
            <w:r>
              <w:rPr>
                <w:rFonts w:eastAsia="Times New Roman" w:cs="Times New Roman"/>
              </w:rPr>
              <w:t>75.00%</w:t>
            </w:r>
          </w:p>
        </w:tc>
      </w:tr>
      <w:tr w:rsidR="004275A0" w14:paraId="10A03085" w14:textId="77777777">
        <w:trPr>
          <w:jc w:val="center"/>
        </w:trPr>
        <w:tc>
          <w:tcPr>
            <w:tcW w:w="1800" w:type="dxa"/>
            <w:tcMar>
              <w:top w:w="70" w:type="dxa"/>
              <w:left w:w="70" w:type="dxa"/>
              <w:bottom w:w="70" w:type="dxa"/>
              <w:right w:w="70" w:type="dxa"/>
            </w:tcMar>
          </w:tcPr>
          <w:p w14:paraId="72420023" w14:textId="77777777" w:rsidR="004275A0" w:rsidRDefault="00000000">
            <w:r>
              <w:rPr>
                <w:rFonts w:eastAsia="Times New Roman" w:cs="Times New Roman"/>
              </w:rPr>
              <w:t>Study design</w:t>
            </w:r>
          </w:p>
        </w:tc>
        <w:tc>
          <w:tcPr>
            <w:tcW w:w="4896" w:type="dxa"/>
            <w:tcMar>
              <w:top w:w="70" w:type="dxa"/>
              <w:left w:w="70" w:type="dxa"/>
              <w:bottom w:w="70" w:type="dxa"/>
              <w:right w:w="70" w:type="dxa"/>
            </w:tcMar>
          </w:tcPr>
          <w:p w14:paraId="690C328D" w14:textId="77777777" w:rsidR="004275A0" w:rsidRDefault="00000000">
            <w:r>
              <w:rPr>
                <w:rFonts w:eastAsia="Times New Roman" w:cs="Times New Roman"/>
              </w:rPr>
              <w:t>Retrospective descriptive study</w:t>
            </w:r>
          </w:p>
        </w:tc>
        <w:tc>
          <w:tcPr>
            <w:tcW w:w="1296" w:type="dxa"/>
            <w:tcMar>
              <w:top w:w="70" w:type="dxa"/>
              <w:left w:w="70" w:type="dxa"/>
              <w:bottom w:w="70" w:type="dxa"/>
              <w:right w:w="70" w:type="dxa"/>
            </w:tcMar>
          </w:tcPr>
          <w:p w14:paraId="13FC4489"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4FDDF22B" w14:textId="77777777" w:rsidR="004275A0" w:rsidRDefault="00000000">
            <w:r>
              <w:rPr>
                <w:rFonts w:eastAsia="Times New Roman" w:cs="Times New Roman"/>
              </w:rPr>
              <w:t>8.33%</w:t>
            </w:r>
          </w:p>
        </w:tc>
      </w:tr>
      <w:tr w:rsidR="004275A0" w14:paraId="7910252E" w14:textId="77777777">
        <w:trPr>
          <w:jc w:val="center"/>
        </w:trPr>
        <w:tc>
          <w:tcPr>
            <w:tcW w:w="1800" w:type="dxa"/>
            <w:tcMar>
              <w:top w:w="70" w:type="dxa"/>
              <w:left w:w="70" w:type="dxa"/>
              <w:bottom w:w="70" w:type="dxa"/>
              <w:right w:w="70" w:type="dxa"/>
            </w:tcMar>
          </w:tcPr>
          <w:p w14:paraId="6C720A12" w14:textId="77777777" w:rsidR="004275A0" w:rsidRDefault="00000000">
            <w:r>
              <w:rPr>
                <w:rFonts w:eastAsia="Times New Roman" w:cs="Times New Roman"/>
              </w:rPr>
              <w:t>Study design</w:t>
            </w:r>
          </w:p>
        </w:tc>
        <w:tc>
          <w:tcPr>
            <w:tcW w:w="4896" w:type="dxa"/>
            <w:tcMar>
              <w:top w:w="70" w:type="dxa"/>
              <w:left w:w="70" w:type="dxa"/>
              <w:bottom w:w="70" w:type="dxa"/>
              <w:right w:w="70" w:type="dxa"/>
            </w:tcMar>
          </w:tcPr>
          <w:p w14:paraId="6DF957BC" w14:textId="77777777" w:rsidR="004275A0" w:rsidRDefault="00000000">
            <w:r>
              <w:rPr>
                <w:rFonts w:eastAsia="Times New Roman" w:cs="Times New Roman"/>
              </w:rPr>
              <w:t>Prediction model study</w:t>
            </w:r>
          </w:p>
        </w:tc>
        <w:tc>
          <w:tcPr>
            <w:tcW w:w="1296" w:type="dxa"/>
            <w:tcMar>
              <w:top w:w="70" w:type="dxa"/>
              <w:left w:w="70" w:type="dxa"/>
              <w:bottom w:w="70" w:type="dxa"/>
              <w:right w:w="70" w:type="dxa"/>
            </w:tcMar>
          </w:tcPr>
          <w:p w14:paraId="11A7C99A"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6CEDC7A0" w14:textId="77777777" w:rsidR="004275A0" w:rsidRDefault="00000000">
            <w:r>
              <w:rPr>
                <w:rFonts w:eastAsia="Times New Roman" w:cs="Times New Roman"/>
              </w:rPr>
              <w:t>8.33%</w:t>
            </w:r>
          </w:p>
        </w:tc>
      </w:tr>
      <w:tr w:rsidR="004275A0" w14:paraId="02E6FD9D" w14:textId="77777777">
        <w:trPr>
          <w:jc w:val="center"/>
        </w:trPr>
        <w:tc>
          <w:tcPr>
            <w:tcW w:w="1800" w:type="dxa"/>
            <w:tcMar>
              <w:top w:w="70" w:type="dxa"/>
              <w:left w:w="70" w:type="dxa"/>
              <w:bottom w:w="70" w:type="dxa"/>
              <w:right w:w="70" w:type="dxa"/>
            </w:tcMar>
          </w:tcPr>
          <w:p w14:paraId="7B6F50D1" w14:textId="77777777" w:rsidR="004275A0" w:rsidRDefault="00000000">
            <w:r>
              <w:rPr>
                <w:rFonts w:eastAsia="Times New Roman" w:cs="Times New Roman"/>
              </w:rPr>
              <w:t>Study design</w:t>
            </w:r>
          </w:p>
        </w:tc>
        <w:tc>
          <w:tcPr>
            <w:tcW w:w="4896" w:type="dxa"/>
            <w:tcMar>
              <w:top w:w="70" w:type="dxa"/>
              <w:left w:w="70" w:type="dxa"/>
              <w:bottom w:w="70" w:type="dxa"/>
              <w:right w:w="70" w:type="dxa"/>
            </w:tcMar>
          </w:tcPr>
          <w:p w14:paraId="787C4C8C" w14:textId="77777777" w:rsidR="004275A0" w:rsidRDefault="00000000">
            <w:r>
              <w:rPr>
                <w:rFonts w:eastAsia="Times New Roman" w:cs="Times New Roman"/>
              </w:rPr>
              <w:t>Cross-sectional study</w:t>
            </w:r>
          </w:p>
        </w:tc>
        <w:tc>
          <w:tcPr>
            <w:tcW w:w="1296" w:type="dxa"/>
            <w:tcMar>
              <w:top w:w="70" w:type="dxa"/>
              <w:left w:w="70" w:type="dxa"/>
              <w:bottom w:w="70" w:type="dxa"/>
              <w:right w:w="70" w:type="dxa"/>
            </w:tcMar>
          </w:tcPr>
          <w:p w14:paraId="539182FB"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105AB539" w14:textId="77777777" w:rsidR="004275A0" w:rsidRDefault="00000000">
            <w:r>
              <w:rPr>
                <w:rFonts w:eastAsia="Times New Roman" w:cs="Times New Roman"/>
              </w:rPr>
              <w:t>8.33%</w:t>
            </w:r>
          </w:p>
        </w:tc>
      </w:tr>
      <w:tr w:rsidR="004275A0" w14:paraId="4DE580AD" w14:textId="77777777">
        <w:trPr>
          <w:jc w:val="center"/>
        </w:trPr>
        <w:tc>
          <w:tcPr>
            <w:tcW w:w="1800" w:type="dxa"/>
            <w:tcMar>
              <w:top w:w="70" w:type="dxa"/>
              <w:left w:w="70" w:type="dxa"/>
              <w:bottom w:w="70" w:type="dxa"/>
              <w:right w:w="70" w:type="dxa"/>
            </w:tcMar>
          </w:tcPr>
          <w:p w14:paraId="729C2276" w14:textId="77777777" w:rsidR="004275A0" w:rsidRDefault="00000000">
            <w:r>
              <w:rPr>
                <w:rFonts w:eastAsia="Times New Roman" w:cs="Times New Roman"/>
              </w:rPr>
              <w:t>Outcome focus</w:t>
            </w:r>
          </w:p>
        </w:tc>
        <w:tc>
          <w:tcPr>
            <w:tcW w:w="4896" w:type="dxa"/>
            <w:tcMar>
              <w:top w:w="70" w:type="dxa"/>
              <w:left w:w="70" w:type="dxa"/>
              <w:bottom w:w="70" w:type="dxa"/>
              <w:right w:w="70" w:type="dxa"/>
            </w:tcMar>
          </w:tcPr>
          <w:p w14:paraId="6AE2EC13" w14:textId="77777777" w:rsidR="004275A0" w:rsidRDefault="00000000">
            <w:r>
              <w:rPr>
                <w:rFonts w:eastAsia="Times New Roman" w:cs="Times New Roman"/>
              </w:rPr>
              <w:t>Early/postoperative stoma complications</w:t>
            </w:r>
          </w:p>
        </w:tc>
        <w:tc>
          <w:tcPr>
            <w:tcW w:w="1296" w:type="dxa"/>
            <w:tcMar>
              <w:top w:w="70" w:type="dxa"/>
              <w:left w:w="70" w:type="dxa"/>
              <w:bottom w:w="70" w:type="dxa"/>
              <w:right w:w="70" w:type="dxa"/>
            </w:tcMar>
          </w:tcPr>
          <w:p w14:paraId="1E877257" w14:textId="77777777" w:rsidR="004275A0" w:rsidRDefault="00000000">
            <w:r>
              <w:rPr>
                <w:rFonts w:eastAsia="Times New Roman" w:cs="Times New Roman"/>
              </w:rPr>
              <w:t>5</w:t>
            </w:r>
          </w:p>
        </w:tc>
        <w:tc>
          <w:tcPr>
            <w:tcW w:w="1368" w:type="dxa"/>
            <w:tcMar>
              <w:top w:w="70" w:type="dxa"/>
              <w:left w:w="70" w:type="dxa"/>
              <w:bottom w:w="70" w:type="dxa"/>
              <w:right w:w="70" w:type="dxa"/>
            </w:tcMar>
          </w:tcPr>
          <w:p w14:paraId="4D3A3A90" w14:textId="77777777" w:rsidR="004275A0" w:rsidRDefault="00000000">
            <w:r>
              <w:rPr>
                <w:rFonts w:eastAsia="Times New Roman" w:cs="Times New Roman"/>
              </w:rPr>
              <w:t>41.67%</w:t>
            </w:r>
          </w:p>
        </w:tc>
      </w:tr>
      <w:tr w:rsidR="004275A0" w14:paraId="013E1176" w14:textId="77777777">
        <w:trPr>
          <w:jc w:val="center"/>
        </w:trPr>
        <w:tc>
          <w:tcPr>
            <w:tcW w:w="1800" w:type="dxa"/>
            <w:tcMar>
              <w:top w:w="70" w:type="dxa"/>
              <w:left w:w="70" w:type="dxa"/>
              <w:bottom w:w="70" w:type="dxa"/>
              <w:right w:w="70" w:type="dxa"/>
            </w:tcMar>
          </w:tcPr>
          <w:p w14:paraId="788648EE" w14:textId="77777777" w:rsidR="004275A0" w:rsidRDefault="00000000">
            <w:r>
              <w:rPr>
                <w:rFonts w:eastAsia="Times New Roman" w:cs="Times New Roman"/>
              </w:rPr>
              <w:t>Outcome focus</w:t>
            </w:r>
          </w:p>
        </w:tc>
        <w:tc>
          <w:tcPr>
            <w:tcW w:w="4896" w:type="dxa"/>
            <w:tcMar>
              <w:top w:w="70" w:type="dxa"/>
              <w:left w:w="70" w:type="dxa"/>
              <w:bottom w:w="70" w:type="dxa"/>
              <w:right w:w="70" w:type="dxa"/>
            </w:tcMar>
          </w:tcPr>
          <w:p w14:paraId="52A8DBBB" w14:textId="77777777" w:rsidR="004275A0" w:rsidRDefault="00000000">
            <w:r>
              <w:rPr>
                <w:rFonts w:eastAsia="Times New Roman" w:cs="Times New Roman"/>
              </w:rPr>
              <w:t>High-output stoma/postoperative ileus/readmission</w:t>
            </w:r>
          </w:p>
        </w:tc>
        <w:tc>
          <w:tcPr>
            <w:tcW w:w="1296" w:type="dxa"/>
            <w:tcMar>
              <w:top w:w="70" w:type="dxa"/>
              <w:left w:w="70" w:type="dxa"/>
              <w:bottom w:w="70" w:type="dxa"/>
              <w:right w:w="70" w:type="dxa"/>
            </w:tcMar>
          </w:tcPr>
          <w:p w14:paraId="330265C8" w14:textId="77777777" w:rsidR="004275A0" w:rsidRDefault="00000000">
            <w:r>
              <w:rPr>
                <w:rFonts w:eastAsia="Times New Roman" w:cs="Times New Roman"/>
              </w:rPr>
              <w:t>2</w:t>
            </w:r>
          </w:p>
        </w:tc>
        <w:tc>
          <w:tcPr>
            <w:tcW w:w="1368" w:type="dxa"/>
            <w:tcMar>
              <w:top w:w="70" w:type="dxa"/>
              <w:left w:w="70" w:type="dxa"/>
              <w:bottom w:w="70" w:type="dxa"/>
              <w:right w:w="70" w:type="dxa"/>
            </w:tcMar>
          </w:tcPr>
          <w:p w14:paraId="7E07831E" w14:textId="77777777" w:rsidR="004275A0" w:rsidRDefault="00000000">
            <w:r>
              <w:rPr>
                <w:rFonts w:eastAsia="Times New Roman" w:cs="Times New Roman"/>
              </w:rPr>
              <w:t>16.67%</w:t>
            </w:r>
          </w:p>
        </w:tc>
      </w:tr>
      <w:tr w:rsidR="004275A0" w14:paraId="21AF6F98" w14:textId="77777777">
        <w:trPr>
          <w:jc w:val="center"/>
        </w:trPr>
        <w:tc>
          <w:tcPr>
            <w:tcW w:w="1800" w:type="dxa"/>
            <w:tcMar>
              <w:top w:w="70" w:type="dxa"/>
              <w:left w:w="70" w:type="dxa"/>
              <w:bottom w:w="70" w:type="dxa"/>
              <w:right w:w="70" w:type="dxa"/>
            </w:tcMar>
          </w:tcPr>
          <w:p w14:paraId="45307D36" w14:textId="77777777" w:rsidR="004275A0" w:rsidRDefault="00000000">
            <w:r>
              <w:rPr>
                <w:rFonts w:eastAsia="Times New Roman" w:cs="Times New Roman"/>
              </w:rPr>
              <w:t>Outcome focus</w:t>
            </w:r>
          </w:p>
        </w:tc>
        <w:tc>
          <w:tcPr>
            <w:tcW w:w="4896" w:type="dxa"/>
            <w:tcMar>
              <w:top w:w="70" w:type="dxa"/>
              <w:left w:w="70" w:type="dxa"/>
              <w:bottom w:w="70" w:type="dxa"/>
              <w:right w:w="70" w:type="dxa"/>
            </w:tcMar>
          </w:tcPr>
          <w:p w14:paraId="704053F0" w14:textId="77777777" w:rsidR="004275A0" w:rsidRDefault="00000000">
            <w:r>
              <w:rPr>
                <w:rFonts w:eastAsia="Times New Roman" w:cs="Times New Roman"/>
              </w:rPr>
              <w:t>Stoma-related obstruction</w:t>
            </w:r>
          </w:p>
        </w:tc>
        <w:tc>
          <w:tcPr>
            <w:tcW w:w="1296" w:type="dxa"/>
            <w:tcMar>
              <w:top w:w="70" w:type="dxa"/>
              <w:left w:w="70" w:type="dxa"/>
              <w:bottom w:w="70" w:type="dxa"/>
              <w:right w:w="70" w:type="dxa"/>
            </w:tcMar>
          </w:tcPr>
          <w:p w14:paraId="6EE102E3"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4938C376" w14:textId="77777777" w:rsidR="004275A0" w:rsidRDefault="00000000">
            <w:r>
              <w:rPr>
                <w:rFonts w:eastAsia="Times New Roman" w:cs="Times New Roman"/>
              </w:rPr>
              <w:t>8.33%</w:t>
            </w:r>
          </w:p>
        </w:tc>
      </w:tr>
      <w:tr w:rsidR="004275A0" w14:paraId="4DB5E3BC" w14:textId="77777777">
        <w:trPr>
          <w:jc w:val="center"/>
        </w:trPr>
        <w:tc>
          <w:tcPr>
            <w:tcW w:w="1800" w:type="dxa"/>
            <w:tcMar>
              <w:top w:w="70" w:type="dxa"/>
              <w:left w:w="70" w:type="dxa"/>
              <w:bottom w:w="70" w:type="dxa"/>
              <w:right w:w="70" w:type="dxa"/>
            </w:tcMar>
          </w:tcPr>
          <w:p w14:paraId="6258D902" w14:textId="77777777" w:rsidR="004275A0" w:rsidRDefault="00000000">
            <w:r>
              <w:rPr>
                <w:rFonts w:eastAsia="Times New Roman" w:cs="Times New Roman"/>
              </w:rPr>
              <w:t>Outcome focus</w:t>
            </w:r>
          </w:p>
        </w:tc>
        <w:tc>
          <w:tcPr>
            <w:tcW w:w="4896" w:type="dxa"/>
            <w:tcMar>
              <w:top w:w="70" w:type="dxa"/>
              <w:left w:w="70" w:type="dxa"/>
              <w:bottom w:w="70" w:type="dxa"/>
              <w:right w:w="70" w:type="dxa"/>
            </w:tcMar>
          </w:tcPr>
          <w:p w14:paraId="058A03D0" w14:textId="77777777" w:rsidR="004275A0" w:rsidRDefault="00000000">
            <w:r>
              <w:rPr>
                <w:rFonts w:eastAsia="Times New Roman" w:cs="Times New Roman"/>
              </w:rPr>
              <w:t>Complications after stoma closure</w:t>
            </w:r>
          </w:p>
        </w:tc>
        <w:tc>
          <w:tcPr>
            <w:tcW w:w="1296" w:type="dxa"/>
            <w:tcMar>
              <w:top w:w="70" w:type="dxa"/>
              <w:left w:w="70" w:type="dxa"/>
              <w:bottom w:w="70" w:type="dxa"/>
              <w:right w:w="70" w:type="dxa"/>
            </w:tcMar>
          </w:tcPr>
          <w:p w14:paraId="1AC0ED20" w14:textId="77777777" w:rsidR="004275A0" w:rsidRDefault="00000000">
            <w:r>
              <w:rPr>
                <w:rFonts w:eastAsia="Times New Roman" w:cs="Times New Roman"/>
              </w:rPr>
              <w:t>2</w:t>
            </w:r>
          </w:p>
        </w:tc>
        <w:tc>
          <w:tcPr>
            <w:tcW w:w="1368" w:type="dxa"/>
            <w:tcMar>
              <w:top w:w="70" w:type="dxa"/>
              <w:left w:w="70" w:type="dxa"/>
              <w:bottom w:w="70" w:type="dxa"/>
              <w:right w:w="70" w:type="dxa"/>
            </w:tcMar>
          </w:tcPr>
          <w:p w14:paraId="76559EB1" w14:textId="77777777" w:rsidR="004275A0" w:rsidRDefault="00000000">
            <w:r>
              <w:rPr>
                <w:rFonts w:eastAsia="Times New Roman" w:cs="Times New Roman"/>
              </w:rPr>
              <w:t>16.67%</w:t>
            </w:r>
          </w:p>
        </w:tc>
      </w:tr>
      <w:tr w:rsidR="004275A0" w14:paraId="5FA9BF1D" w14:textId="77777777">
        <w:trPr>
          <w:jc w:val="center"/>
        </w:trPr>
        <w:tc>
          <w:tcPr>
            <w:tcW w:w="1800" w:type="dxa"/>
            <w:tcMar>
              <w:top w:w="70" w:type="dxa"/>
              <w:left w:w="70" w:type="dxa"/>
              <w:bottom w:w="70" w:type="dxa"/>
              <w:right w:w="70" w:type="dxa"/>
            </w:tcMar>
          </w:tcPr>
          <w:p w14:paraId="55EE91D1" w14:textId="77777777" w:rsidR="004275A0" w:rsidRDefault="00000000">
            <w:r>
              <w:rPr>
                <w:rFonts w:eastAsia="Times New Roman" w:cs="Times New Roman"/>
              </w:rPr>
              <w:t>Outcome focus</w:t>
            </w:r>
          </w:p>
        </w:tc>
        <w:tc>
          <w:tcPr>
            <w:tcW w:w="4896" w:type="dxa"/>
            <w:tcMar>
              <w:top w:w="70" w:type="dxa"/>
              <w:left w:w="70" w:type="dxa"/>
              <w:bottom w:w="70" w:type="dxa"/>
              <w:right w:w="70" w:type="dxa"/>
            </w:tcMar>
          </w:tcPr>
          <w:p w14:paraId="3C5CD5B1" w14:textId="77777777" w:rsidR="004275A0" w:rsidRDefault="00000000">
            <w:r>
              <w:rPr>
                <w:rFonts w:eastAsia="Times New Roman" w:cs="Times New Roman"/>
              </w:rPr>
              <w:t>Sigmoid stoma complications after abdominoperineal resection</w:t>
            </w:r>
          </w:p>
        </w:tc>
        <w:tc>
          <w:tcPr>
            <w:tcW w:w="1296" w:type="dxa"/>
            <w:tcMar>
              <w:top w:w="70" w:type="dxa"/>
              <w:left w:w="70" w:type="dxa"/>
              <w:bottom w:w="70" w:type="dxa"/>
              <w:right w:w="70" w:type="dxa"/>
            </w:tcMar>
          </w:tcPr>
          <w:p w14:paraId="507ECE2D"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2BB87D40" w14:textId="77777777" w:rsidR="004275A0" w:rsidRDefault="00000000">
            <w:r>
              <w:rPr>
                <w:rFonts w:eastAsia="Times New Roman" w:cs="Times New Roman"/>
              </w:rPr>
              <w:t>8.33%</w:t>
            </w:r>
          </w:p>
        </w:tc>
      </w:tr>
      <w:tr w:rsidR="004275A0" w14:paraId="6C97A9FA" w14:textId="77777777">
        <w:trPr>
          <w:jc w:val="center"/>
        </w:trPr>
        <w:tc>
          <w:tcPr>
            <w:tcW w:w="1800" w:type="dxa"/>
            <w:tcMar>
              <w:top w:w="70" w:type="dxa"/>
              <w:left w:w="70" w:type="dxa"/>
              <w:bottom w:w="70" w:type="dxa"/>
              <w:right w:w="70" w:type="dxa"/>
            </w:tcMar>
          </w:tcPr>
          <w:p w14:paraId="0E15A497" w14:textId="77777777" w:rsidR="004275A0" w:rsidRDefault="00000000">
            <w:r>
              <w:rPr>
                <w:rFonts w:eastAsia="Times New Roman" w:cs="Times New Roman"/>
              </w:rPr>
              <w:lastRenderedPageBreak/>
              <w:t>Outcome focus</w:t>
            </w:r>
          </w:p>
        </w:tc>
        <w:tc>
          <w:tcPr>
            <w:tcW w:w="4896" w:type="dxa"/>
            <w:tcMar>
              <w:top w:w="70" w:type="dxa"/>
              <w:left w:w="70" w:type="dxa"/>
              <w:bottom w:w="70" w:type="dxa"/>
              <w:right w:w="70" w:type="dxa"/>
            </w:tcMar>
          </w:tcPr>
          <w:p w14:paraId="6F57DB4B" w14:textId="77777777" w:rsidR="004275A0" w:rsidRDefault="00000000">
            <w:r>
              <w:rPr>
                <w:rFonts w:eastAsia="Times New Roman" w:cs="Times New Roman"/>
              </w:rPr>
              <w:t>Quality of life</w:t>
            </w:r>
          </w:p>
        </w:tc>
        <w:tc>
          <w:tcPr>
            <w:tcW w:w="1296" w:type="dxa"/>
            <w:tcMar>
              <w:top w:w="70" w:type="dxa"/>
              <w:left w:w="70" w:type="dxa"/>
              <w:bottom w:w="70" w:type="dxa"/>
              <w:right w:w="70" w:type="dxa"/>
            </w:tcMar>
          </w:tcPr>
          <w:p w14:paraId="1884AD0E" w14:textId="77777777" w:rsidR="004275A0" w:rsidRDefault="00000000">
            <w:r>
              <w:rPr>
                <w:rFonts w:eastAsia="Times New Roman" w:cs="Times New Roman"/>
              </w:rPr>
              <w:t>1</w:t>
            </w:r>
          </w:p>
        </w:tc>
        <w:tc>
          <w:tcPr>
            <w:tcW w:w="1368" w:type="dxa"/>
            <w:tcMar>
              <w:top w:w="70" w:type="dxa"/>
              <w:left w:w="70" w:type="dxa"/>
              <w:bottom w:w="70" w:type="dxa"/>
              <w:right w:w="70" w:type="dxa"/>
            </w:tcMar>
          </w:tcPr>
          <w:p w14:paraId="34EFBFA3" w14:textId="77777777" w:rsidR="004275A0" w:rsidRDefault="00000000">
            <w:r>
              <w:rPr>
                <w:rFonts w:eastAsia="Times New Roman" w:cs="Times New Roman"/>
              </w:rPr>
              <w:t>8.33%</w:t>
            </w:r>
          </w:p>
        </w:tc>
      </w:tr>
    </w:tbl>
    <w:p w14:paraId="5DD2393F" w14:textId="77777777" w:rsidR="006E53BF" w:rsidRDefault="006E53BF" w:rsidP="006E53BF">
      <w:pPr>
        <w:jc w:val="both"/>
        <w:rPr>
          <w:rFonts w:eastAsia="Times New Roman" w:cs="Times New Roman"/>
        </w:rPr>
      </w:pPr>
    </w:p>
    <w:p w14:paraId="1160CCE4" w14:textId="105D13EE" w:rsidR="004275A0" w:rsidRDefault="00000000" w:rsidP="006E53BF">
      <w:pPr>
        <w:jc w:val="both"/>
      </w:pPr>
      <w:r>
        <w:rPr>
          <w:rFonts w:eastAsia="Times New Roman" w:cs="Times New Roman"/>
        </w:rPr>
        <w:t>The included studies were conducted in England/Scotland, Turkey, Taiwan, South Korea, Japan, Mexico, and China. Their clinical focus varied considerably. Emergency stoma formation and early ostomy complications were examined in the studies by MacDonald et al. and Ayik et al.</w:t>
      </w:r>
      <w:r>
        <w:rPr>
          <w:rFonts w:eastAsia="Times New Roman" w:cs="Times New Roman"/>
          <w:vertAlign w:val="superscript"/>
        </w:rPr>
        <w:t>23–25</w:t>
      </w:r>
      <w:r>
        <w:rPr>
          <w:rFonts w:eastAsia="Times New Roman" w:cs="Times New Roman"/>
        </w:rPr>
        <w:t xml:space="preserve"> Yang et al. compared common complications of protective loop ileostomy and colostomy, whereas Lee et al. and Takeda et al. evaluated high-output stoma, postoperative ileus, readmission, and predictive factors.</w:t>
      </w:r>
      <w:r>
        <w:rPr>
          <w:rFonts w:eastAsia="Times New Roman" w:cs="Times New Roman"/>
          <w:vertAlign w:val="superscript"/>
        </w:rPr>
        <w:t>26–28</w:t>
      </w:r>
      <w:r>
        <w:rPr>
          <w:rFonts w:eastAsia="Times New Roman" w:cs="Times New Roman"/>
        </w:rPr>
        <w:t xml:space="preserve"> Maemoto et al. focused on stoma-related obstruction; Kilinc et al. and Vergara-Fernández et al. assessed morbidity after stoma closure; Lv et al. examined sigmoid stoma complications; Ba et al. developed a prediction model for early complications; and Liu et al. evaluated quality of life among colorectal cancer patients with a stoma.</w:t>
      </w:r>
      <w:r>
        <w:rPr>
          <w:rFonts w:eastAsia="Times New Roman" w:cs="Times New Roman"/>
          <w:vertAlign w:val="superscript"/>
        </w:rPr>
        <w:t>29–34</w:t>
      </w:r>
      <w:r>
        <w:rPr>
          <w:rFonts w:eastAsia="Times New Roman" w:cs="Times New Roman"/>
        </w:rPr>
        <w:t xml:space="preserve"> Detailed characteristics of the 12 included studies are presented in Table 4.</w:t>
      </w:r>
    </w:p>
    <w:p w14:paraId="49A0FE0D" w14:textId="77777777" w:rsidR="004275A0" w:rsidRDefault="00000000">
      <w:pPr>
        <w:keepNext/>
        <w:pageBreakBefore/>
      </w:pPr>
      <w:r>
        <w:rPr>
          <w:rFonts w:eastAsia="Times New Roman" w:cs="Times New Roman"/>
          <w:b/>
        </w:rPr>
        <w:lastRenderedPageBreak/>
        <w:t>Table 4. Characteristics of the 12 included studies</w:t>
      </w:r>
    </w:p>
    <w:tbl>
      <w:tblPr>
        <w:tblStyle w:val="TableGrid"/>
        <w:tblW w:w="0" w:type="auto"/>
        <w:jc w:val="center"/>
        <w:tblLook w:val="04A0" w:firstRow="1" w:lastRow="0" w:firstColumn="1" w:lastColumn="0" w:noHBand="0" w:noVBand="1"/>
      </w:tblPr>
      <w:tblGrid>
        <w:gridCol w:w="1281"/>
        <w:gridCol w:w="1847"/>
        <w:gridCol w:w="2793"/>
        <w:gridCol w:w="1492"/>
        <w:gridCol w:w="1937"/>
      </w:tblGrid>
      <w:tr w:rsidR="004275A0" w14:paraId="647E6195" w14:textId="77777777">
        <w:trPr>
          <w:tblHeader/>
          <w:jc w:val="center"/>
        </w:trPr>
        <w:tc>
          <w:tcPr>
            <w:tcW w:w="1800" w:type="dxa"/>
            <w:shd w:val="clear" w:color="auto" w:fill="E7E6E6"/>
            <w:tcMar>
              <w:top w:w="70" w:type="dxa"/>
              <w:left w:w="70" w:type="dxa"/>
              <w:bottom w:w="70" w:type="dxa"/>
              <w:right w:w="70" w:type="dxa"/>
            </w:tcMar>
          </w:tcPr>
          <w:p w14:paraId="403F0D8B" w14:textId="77777777" w:rsidR="004275A0" w:rsidRDefault="00000000">
            <w:r>
              <w:rPr>
                <w:rFonts w:eastAsia="Times New Roman" w:cs="Times New Roman"/>
                <w:b/>
              </w:rPr>
              <w:t>Study</w:t>
            </w:r>
          </w:p>
        </w:tc>
        <w:tc>
          <w:tcPr>
            <w:tcW w:w="1080" w:type="dxa"/>
            <w:shd w:val="clear" w:color="auto" w:fill="E7E6E6"/>
            <w:tcMar>
              <w:top w:w="70" w:type="dxa"/>
              <w:left w:w="70" w:type="dxa"/>
              <w:bottom w:w="70" w:type="dxa"/>
              <w:right w:w="70" w:type="dxa"/>
            </w:tcMar>
          </w:tcPr>
          <w:p w14:paraId="4DF758A6" w14:textId="77777777" w:rsidR="004275A0" w:rsidRDefault="00000000">
            <w:r>
              <w:rPr>
                <w:rFonts w:eastAsia="Times New Roman" w:cs="Times New Roman"/>
                <w:b/>
              </w:rPr>
              <w:t>Country</w:t>
            </w:r>
          </w:p>
        </w:tc>
        <w:tc>
          <w:tcPr>
            <w:tcW w:w="2088" w:type="dxa"/>
            <w:shd w:val="clear" w:color="auto" w:fill="E7E6E6"/>
            <w:tcMar>
              <w:top w:w="70" w:type="dxa"/>
              <w:left w:w="70" w:type="dxa"/>
              <w:bottom w:w="70" w:type="dxa"/>
              <w:right w:w="70" w:type="dxa"/>
            </w:tcMar>
          </w:tcPr>
          <w:p w14:paraId="2510B944" w14:textId="77777777" w:rsidR="004275A0" w:rsidRDefault="00000000">
            <w:r>
              <w:rPr>
                <w:rFonts w:eastAsia="Times New Roman" w:cs="Times New Roman"/>
                <w:b/>
              </w:rPr>
              <w:t>Design/sample</w:t>
            </w:r>
          </w:p>
        </w:tc>
        <w:tc>
          <w:tcPr>
            <w:tcW w:w="1800" w:type="dxa"/>
            <w:shd w:val="clear" w:color="auto" w:fill="E7E6E6"/>
            <w:tcMar>
              <w:top w:w="70" w:type="dxa"/>
              <w:left w:w="70" w:type="dxa"/>
              <w:bottom w:w="70" w:type="dxa"/>
              <w:right w:w="70" w:type="dxa"/>
            </w:tcMar>
          </w:tcPr>
          <w:p w14:paraId="0DA01AD5" w14:textId="77777777" w:rsidR="004275A0" w:rsidRDefault="00000000">
            <w:r>
              <w:rPr>
                <w:rFonts w:eastAsia="Times New Roman" w:cs="Times New Roman"/>
                <w:b/>
              </w:rPr>
              <w:t>Focus</w:t>
            </w:r>
          </w:p>
        </w:tc>
        <w:tc>
          <w:tcPr>
            <w:tcW w:w="2592" w:type="dxa"/>
            <w:shd w:val="clear" w:color="auto" w:fill="E7E6E6"/>
            <w:tcMar>
              <w:top w:w="70" w:type="dxa"/>
              <w:left w:w="70" w:type="dxa"/>
              <w:bottom w:w="70" w:type="dxa"/>
              <w:right w:w="70" w:type="dxa"/>
            </w:tcMar>
          </w:tcPr>
          <w:p w14:paraId="52320889" w14:textId="77777777" w:rsidR="004275A0" w:rsidRDefault="00000000">
            <w:r>
              <w:rPr>
                <w:rFonts w:eastAsia="Times New Roman" w:cs="Times New Roman"/>
                <w:b/>
              </w:rPr>
              <w:t>Key findings</w:t>
            </w:r>
          </w:p>
        </w:tc>
      </w:tr>
      <w:tr w:rsidR="004275A0" w14:paraId="7FF329E7" w14:textId="77777777">
        <w:trPr>
          <w:jc w:val="center"/>
        </w:trPr>
        <w:tc>
          <w:tcPr>
            <w:tcW w:w="1800" w:type="dxa"/>
            <w:tcMar>
              <w:top w:w="70" w:type="dxa"/>
              <w:left w:w="70" w:type="dxa"/>
              <w:bottom w:w="70" w:type="dxa"/>
              <w:right w:w="70" w:type="dxa"/>
            </w:tcMar>
          </w:tcPr>
          <w:p w14:paraId="5F728DF5" w14:textId="77777777" w:rsidR="004275A0" w:rsidRDefault="00000000">
            <w:r>
              <w:rPr>
                <w:rFonts w:eastAsia="Times New Roman" w:cs="Times New Roman"/>
              </w:rPr>
              <w:t>MacDonald et al. (2024)</w:t>
            </w:r>
          </w:p>
        </w:tc>
        <w:tc>
          <w:tcPr>
            <w:tcW w:w="1080" w:type="dxa"/>
            <w:tcMar>
              <w:top w:w="70" w:type="dxa"/>
              <w:left w:w="70" w:type="dxa"/>
              <w:bottom w:w="70" w:type="dxa"/>
              <w:right w:w="70" w:type="dxa"/>
            </w:tcMar>
          </w:tcPr>
          <w:p w14:paraId="48BCE15F" w14:textId="77777777" w:rsidR="004275A0" w:rsidRDefault="00000000">
            <w:r>
              <w:rPr>
                <w:rFonts w:eastAsia="Times New Roman" w:cs="Times New Roman"/>
              </w:rPr>
              <w:t>England/Scotland</w:t>
            </w:r>
          </w:p>
        </w:tc>
        <w:tc>
          <w:tcPr>
            <w:tcW w:w="2088" w:type="dxa"/>
            <w:tcMar>
              <w:top w:w="70" w:type="dxa"/>
              <w:left w:w="70" w:type="dxa"/>
              <w:bottom w:w="70" w:type="dxa"/>
              <w:right w:w="70" w:type="dxa"/>
            </w:tcMar>
          </w:tcPr>
          <w:p w14:paraId="111ECC89" w14:textId="77777777" w:rsidR="004275A0" w:rsidRDefault="00000000">
            <w:r>
              <w:rPr>
                <w:rFonts w:eastAsia="Times New Roman" w:cs="Times New Roman"/>
              </w:rPr>
              <w:t>Multicentre retrospective; emergency stoma patients</w:t>
            </w:r>
          </w:p>
        </w:tc>
        <w:tc>
          <w:tcPr>
            <w:tcW w:w="1800" w:type="dxa"/>
            <w:tcMar>
              <w:top w:w="70" w:type="dxa"/>
              <w:left w:w="70" w:type="dxa"/>
              <w:bottom w:w="70" w:type="dxa"/>
              <w:right w:w="70" w:type="dxa"/>
            </w:tcMar>
          </w:tcPr>
          <w:p w14:paraId="65996122" w14:textId="77777777" w:rsidR="004275A0" w:rsidRDefault="00000000">
            <w:r>
              <w:rPr>
                <w:rFonts w:eastAsia="Times New Roman" w:cs="Times New Roman"/>
              </w:rPr>
              <w:t>Postoperative outcomes/risk factors</w:t>
            </w:r>
          </w:p>
        </w:tc>
        <w:tc>
          <w:tcPr>
            <w:tcW w:w="2592" w:type="dxa"/>
            <w:tcMar>
              <w:top w:w="70" w:type="dxa"/>
              <w:left w:w="70" w:type="dxa"/>
              <w:bottom w:w="70" w:type="dxa"/>
              <w:right w:w="70" w:type="dxa"/>
            </w:tcMar>
          </w:tcPr>
          <w:p w14:paraId="48304C7D" w14:textId="77777777" w:rsidR="004275A0" w:rsidRDefault="00000000">
            <w:r>
              <w:rPr>
                <w:rFonts w:eastAsia="Times New Roman" w:cs="Times New Roman"/>
              </w:rPr>
              <w:t>Relevant to complications after emergency stoma formation and postoperative clinical risk factors.</w:t>
            </w:r>
          </w:p>
        </w:tc>
      </w:tr>
      <w:tr w:rsidR="004275A0" w14:paraId="3AE5485C" w14:textId="77777777">
        <w:trPr>
          <w:jc w:val="center"/>
        </w:trPr>
        <w:tc>
          <w:tcPr>
            <w:tcW w:w="1800" w:type="dxa"/>
            <w:tcMar>
              <w:top w:w="70" w:type="dxa"/>
              <w:left w:w="70" w:type="dxa"/>
              <w:bottom w:w="70" w:type="dxa"/>
              <w:right w:w="70" w:type="dxa"/>
            </w:tcMar>
          </w:tcPr>
          <w:p w14:paraId="2E9B8299" w14:textId="77777777" w:rsidR="004275A0" w:rsidRDefault="00000000">
            <w:r>
              <w:rPr>
                <w:rFonts w:eastAsia="Times New Roman" w:cs="Times New Roman"/>
              </w:rPr>
              <w:t>Ayik et al. (2024)</w:t>
            </w:r>
          </w:p>
        </w:tc>
        <w:tc>
          <w:tcPr>
            <w:tcW w:w="1080" w:type="dxa"/>
            <w:tcMar>
              <w:top w:w="70" w:type="dxa"/>
              <w:left w:w="70" w:type="dxa"/>
              <w:bottom w:w="70" w:type="dxa"/>
              <w:right w:w="70" w:type="dxa"/>
            </w:tcMar>
          </w:tcPr>
          <w:p w14:paraId="1EEDEED7" w14:textId="77777777" w:rsidR="004275A0" w:rsidRDefault="00000000">
            <w:r>
              <w:rPr>
                <w:rFonts w:eastAsia="Times New Roman" w:cs="Times New Roman"/>
              </w:rPr>
              <w:t>Turkey</w:t>
            </w:r>
          </w:p>
        </w:tc>
        <w:tc>
          <w:tcPr>
            <w:tcW w:w="2088" w:type="dxa"/>
            <w:tcMar>
              <w:top w:w="70" w:type="dxa"/>
              <w:left w:w="70" w:type="dxa"/>
              <w:bottom w:w="70" w:type="dxa"/>
              <w:right w:w="70" w:type="dxa"/>
            </w:tcMar>
          </w:tcPr>
          <w:p w14:paraId="28F07DFB" w14:textId="77777777" w:rsidR="004275A0" w:rsidRDefault="00000000">
            <w:r>
              <w:rPr>
                <w:rFonts w:eastAsia="Times New Roman" w:cs="Times New Roman"/>
              </w:rPr>
              <w:t>Retrospective cohort; n=872</w:t>
            </w:r>
          </w:p>
        </w:tc>
        <w:tc>
          <w:tcPr>
            <w:tcW w:w="1800" w:type="dxa"/>
            <w:tcMar>
              <w:top w:w="70" w:type="dxa"/>
              <w:left w:w="70" w:type="dxa"/>
              <w:bottom w:w="70" w:type="dxa"/>
              <w:right w:w="70" w:type="dxa"/>
            </w:tcMar>
          </w:tcPr>
          <w:p w14:paraId="2D1DD1CA" w14:textId="77777777" w:rsidR="004275A0" w:rsidRDefault="00000000">
            <w:r>
              <w:rPr>
                <w:rFonts w:eastAsia="Times New Roman" w:cs="Times New Roman"/>
              </w:rPr>
              <w:t>Early ostomy complications</w:t>
            </w:r>
          </w:p>
        </w:tc>
        <w:tc>
          <w:tcPr>
            <w:tcW w:w="2592" w:type="dxa"/>
            <w:tcMar>
              <w:top w:w="70" w:type="dxa"/>
              <w:left w:w="70" w:type="dxa"/>
              <w:bottom w:w="70" w:type="dxa"/>
              <w:right w:w="70" w:type="dxa"/>
            </w:tcMar>
          </w:tcPr>
          <w:p w14:paraId="6C05F06C" w14:textId="77777777" w:rsidR="004275A0" w:rsidRDefault="00000000">
            <w:r>
              <w:rPr>
                <w:rFonts w:eastAsia="Times New Roman" w:cs="Times New Roman"/>
              </w:rPr>
              <w:t>At least one complication occurred in 573 patients; patterns differed between emergency and elective surgery.</w:t>
            </w:r>
          </w:p>
        </w:tc>
      </w:tr>
      <w:tr w:rsidR="004275A0" w14:paraId="52636D84" w14:textId="77777777">
        <w:trPr>
          <w:jc w:val="center"/>
        </w:trPr>
        <w:tc>
          <w:tcPr>
            <w:tcW w:w="1800" w:type="dxa"/>
            <w:tcMar>
              <w:top w:w="70" w:type="dxa"/>
              <w:left w:w="70" w:type="dxa"/>
              <w:bottom w:w="70" w:type="dxa"/>
              <w:right w:w="70" w:type="dxa"/>
            </w:tcMar>
          </w:tcPr>
          <w:p w14:paraId="0915C545" w14:textId="77777777" w:rsidR="004275A0" w:rsidRDefault="00000000">
            <w:r>
              <w:rPr>
                <w:rFonts w:eastAsia="Times New Roman" w:cs="Times New Roman"/>
              </w:rPr>
              <w:t>Ayik et al. (2020)</w:t>
            </w:r>
          </w:p>
        </w:tc>
        <w:tc>
          <w:tcPr>
            <w:tcW w:w="1080" w:type="dxa"/>
            <w:tcMar>
              <w:top w:w="70" w:type="dxa"/>
              <w:left w:w="70" w:type="dxa"/>
              <w:bottom w:w="70" w:type="dxa"/>
              <w:right w:w="70" w:type="dxa"/>
            </w:tcMar>
          </w:tcPr>
          <w:p w14:paraId="233DA55C" w14:textId="77777777" w:rsidR="004275A0" w:rsidRDefault="00000000">
            <w:r>
              <w:rPr>
                <w:rFonts w:eastAsia="Times New Roman" w:cs="Times New Roman"/>
              </w:rPr>
              <w:t>Turkey</w:t>
            </w:r>
          </w:p>
        </w:tc>
        <w:tc>
          <w:tcPr>
            <w:tcW w:w="2088" w:type="dxa"/>
            <w:tcMar>
              <w:top w:w="70" w:type="dxa"/>
              <w:left w:w="70" w:type="dxa"/>
              <w:bottom w:w="70" w:type="dxa"/>
              <w:right w:w="70" w:type="dxa"/>
            </w:tcMar>
          </w:tcPr>
          <w:p w14:paraId="0EFD843B" w14:textId="77777777" w:rsidR="004275A0" w:rsidRDefault="00000000">
            <w:r>
              <w:rPr>
                <w:rFonts w:eastAsia="Times New Roman" w:cs="Times New Roman"/>
              </w:rPr>
              <w:t>Retrospective descriptive; n=572</w:t>
            </w:r>
          </w:p>
        </w:tc>
        <w:tc>
          <w:tcPr>
            <w:tcW w:w="1800" w:type="dxa"/>
            <w:tcMar>
              <w:top w:w="70" w:type="dxa"/>
              <w:left w:w="70" w:type="dxa"/>
              <w:bottom w:w="70" w:type="dxa"/>
              <w:right w:w="70" w:type="dxa"/>
            </w:tcMar>
          </w:tcPr>
          <w:p w14:paraId="2EC67BB0" w14:textId="77777777" w:rsidR="004275A0" w:rsidRDefault="00000000">
            <w:r>
              <w:rPr>
                <w:rFonts w:eastAsia="Times New Roman" w:cs="Times New Roman"/>
              </w:rPr>
              <w:t>Ostomy complications and nursing care</w:t>
            </w:r>
          </w:p>
        </w:tc>
        <w:tc>
          <w:tcPr>
            <w:tcW w:w="2592" w:type="dxa"/>
            <w:tcMar>
              <w:top w:w="70" w:type="dxa"/>
              <w:left w:w="70" w:type="dxa"/>
              <w:bottom w:w="70" w:type="dxa"/>
              <w:right w:w="70" w:type="dxa"/>
            </w:tcMar>
          </w:tcPr>
          <w:p w14:paraId="0F83E7E1" w14:textId="77777777" w:rsidR="004275A0" w:rsidRDefault="00000000">
            <w:r>
              <w:rPr>
                <w:rFonts w:eastAsia="Times New Roman" w:cs="Times New Roman"/>
              </w:rPr>
              <w:t xml:space="preserve">Early complications occurred in 56.5%; common problems included peristomal irritant </w:t>
            </w:r>
            <w:r>
              <w:rPr>
                <w:rFonts w:eastAsia="Times New Roman" w:cs="Times New Roman"/>
              </w:rPr>
              <w:lastRenderedPageBreak/>
              <w:t>contact dermatitis and mucocutaneous separation.</w:t>
            </w:r>
          </w:p>
        </w:tc>
      </w:tr>
      <w:tr w:rsidR="004275A0" w14:paraId="125B93BB" w14:textId="77777777">
        <w:trPr>
          <w:jc w:val="center"/>
        </w:trPr>
        <w:tc>
          <w:tcPr>
            <w:tcW w:w="1800" w:type="dxa"/>
            <w:tcMar>
              <w:top w:w="70" w:type="dxa"/>
              <w:left w:w="70" w:type="dxa"/>
              <w:bottom w:w="70" w:type="dxa"/>
              <w:right w:w="70" w:type="dxa"/>
            </w:tcMar>
          </w:tcPr>
          <w:p w14:paraId="4B6D456E" w14:textId="77777777" w:rsidR="004275A0" w:rsidRDefault="00000000">
            <w:r>
              <w:rPr>
                <w:rFonts w:eastAsia="Times New Roman" w:cs="Times New Roman"/>
              </w:rPr>
              <w:t>Yang et al. (2024)</w:t>
            </w:r>
          </w:p>
        </w:tc>
        <w:tc>
          <w:tcPr>
            <w:tcW w:w="1080" w:type="dxa"/>
            <w:tcMar>
              <w:top w:w="70" w:type="dxa"/>
              <w:left w:w="70" w:type="dxa"/>
              <w:bottom w:w="70" w:type="dxa"/>
              <w:right w:w="70" w:type="dxa"/>
            </w:tcMar>
          </w:tcPr>
          <w:p w14:paraId="3A0D7D0E" w14:textId="77777777" w:rsidR="004275A0" w:rsidRDefault="00000000">
            <w:r>
              <w:rPr>
                <w:rFonts w:eastAsia="Times New Roman" w:cs="Times New Roman"/>
              </w:rPr>
              <w:t>Taiwan</w:t>
            </w:r>
          </w:p>
        </w:tc>
        <w:tc>
          <w:tcPr>
            <w:tcW w:w="2088" w:type="dxa"/>
            <w:tcMar>
              <w:top w:w="70" w:type="dxa"/>
              <w:left w:w="70" w:type="dxa"/>
              <w:bottom w:w="70" w:type="dxa"/>
              <w:right w:w="70" w:type="dxa"/>
            </w:tcMar>
          </w:tcPr>
          <w:p w14:paraId="328351BC" w14:textId="77777777" w:rsidR="004275A0" w:rsidRDefault="00000000">
            <w:r>
              <w:rPr>
                <w:rFonts w:eastAsia="Times New Roman" w:cs="Times New Roman"/>
              </w:rPr>
              <w:t>Retrospective cohort; n=410</w:t>
            </w:r>
          </w:p>
        </w:tc>
        <w:tc>
          <w:tcPr>
            <w:tcW w:w="1800" w:type="dxa"/>
            <w:tcMar>
              <w:top w:w="70" w:type="dxa"/>
              <w:left w:w="70" w:type="dxa"/>
              <w:bottom w:w="70" w:type="dxa"/>
              <w:right w:w="70" w:type="dxa"/>
            </w:tcMar>
          </w:tcPr>
          <w:p w14:paraId="72E3765B" w14:textId="77777777" w:rsidR="004275A0" w:rsidRDefault="00000000">
            <w:r>
              <w:rPr>
                <w:rFonts w:eastAsia="Times New Roman" w:cs="Times New Roman"/>
              </w:rPr>
              <w:t>Ileostomy vs colostomy</w:t>
            </w:r>
          </w:p>
        </w:tc>
        <w:tc>
          <w:tcPr>
            <w:tcW w:w="2592" w:type="dxa"/>
            <w:tcMar>
              <w:top w:w="70" w:type="dxa"/>
              <w:left w:w="70" w:type="dxa"/>
              <w:bottom w:w="70" w:type="dxa"/>
              <w:right w:w="70" w:type="dxa"/>
            </w:tcMar>
          </w:tcPr>
          <w:p w14:paraId="1B4071D4" w14:textId="77777777" w:rsidR="004275A0" w:rsidRDefault="00000000">
            <w:r>
              <w:rPr>
                <w:rFonts w:eastAsia="Times New Roman" w:cs="Times New Roman"/>
              </w:rPr>
              <w:t>Ileostomy was more often associated with high-output stoma, whereas colostomy was more often associated with stoma retraction.</w:t>
            </w:r>
          </w:p>
        </w:tc>
      </w:tr>
      <w:tr w:rsidR="004275A0" w14:paraId="6F160EE5" w14:textId="77777777">
        <w:trPr>
          <w:jc w:val="center"/>
        </w:trPr>
        <w:tc>
          <w:tcPr>
            <w:tcW w:w="1800" w:type="dxa"/>
            <w:tcMar>
              <w:top w:w="70" w:type="dxa"/>
              <w:left w:w="70" w:type="dxa"/>
              <w:bottom w:w="70" w:type="dxa"/>
              <w:right w:w="70" w:type="dxa"/>
            </w:tcMar>
          </w:tcPr>
          <w:p w14:paraId="5E3F2BDF" w14:textId="77777777" w:rsidR="004275A0" w:rsidRDefault="00000000">
            <w:r>
              <w:rPr>
                <w:rFonts w:eastAsia="Times New Roman" w:cs="Times New Roman"/>
              </w:rPr>
              <w:t>Lee et al. (2021)</w:t>
            </w:r>
          </w:p>
        </w:tc>
        <w:tc>
          <w:tcPr>
            <w:tcW w:w="1080" w:type="dxa"/>
            <w:tcMar>
              <w:top w:w="70" w:type="dxa"/>
              <w:left w:w="70" w:type="dxa"/>
              <w:bottom w:w="70" w:type="dxa"/>
              <w:right w:w="70" w:type="dxa"/>
            </w:tcMar>
          </w:tcPr>
          <w:p w14:paraId="3882FA08" w14:textId="77777777" w:rsidR="004275A0" w:rsidRDefault="00000000">
            <w:r>
              <w:rPr>
                <w:rFonts w:eastAsia="Times New Roman" w:cs="Times New Roman"/>
              </w:rPr>
              <w:t>South Korea</w:t>
            </w:r>
          </w:p>
        </w:tc>
        <w:tc>
          <w:tcPr>
            <w:tcW w:w="2088" w:type="dxa"/>
            <w:tcMar>
              <w:top w:w="70" w:type="dxa"/>
              <w:left w:w="70" w:type="dxa"/>
              <w:bottom w:w="70" w:type="dxa"/>
              <w:right w:w="70" w:type="dxa"/>
            </w:tcMar>
          </w:tcPr>
          <w:p w14:paraId="13BECD97" w14:textId="77777777" w:rsidR="004275A0" w:rsidRDefault="00000000">
            <w:r>
              <w:rPr>
                <w:rFonts w:eastAsia="Times New Roman" w:cs="Times New Roman"/>
              </w:rPr>
              <w:t>Retrospective cohort; n=302</w:t>
            </w:r>
          </w:p>
        </w:tc>
        <w:tc>
          <w:tcPr>
            <w:tcW w:w="1800" w:type="dxa"/>
            <w:tcMar>
              <w:top w:w="70" w:type="dxa"/>
              <w:left w:w="70" w:type="dxa"/>
              <w:bottom w:w="70" w:type="dxa"/>
              <w:right w:w="70" w:type="dxa"/>
            </w:tcMar>
          </w:tcPr>
          <w:p w14:paraId="19E1D4AD" w14:textId="77777777" w:rsidR="004275A0" w:rsidRDefault="00000000">
            <w:r>
              <w:rPr>
                <w:rFonts w:eastAsia="Times New Roman" w:cs="Times New Roman"/>
              </w:rPr>
              <w:t>High-output stoma, ileus, readmission</w:t>
            </w:r>
          </w:p>
        </w:tc>
        <w:tc>
          <w:tcPr>
            <w:tcW w:w="2592" w:type="dxa"/>
            <w:tcMar>
              <w:top w:w="70" w:type="dxa"/>
              <w:left w:w="70" w:type="dxa"/>
              <w:bottom w:w="70" w:type="dxa"/>
              <w:right w:w="70" w:type="dxa"/>
            </w:tcMar>
          </w:tcPr>
          <w:p w14:paraId="07A8BAE1" w14:textId="77777777" w:rsidR="004275A0" w:rsidRDefault="00000000">
            <w:r>
              <w:rPr>
                <w:rFonts w:eastAsia="Times New Roman" w:cs="Times New Roman"/>
              </w:rPr>
              <w:t>Postoperative ileus was an independent risk factor for all-cause and ileus-related readmission.</w:t>
            </w:r>
          </w:p>
        </w:tc>
      </w:tr>
      <w:tr w:rsidR="004275A0" w14:paraId="25383098" w14:textId="77777777">
        <w:trPr>
          <w:jc w:val="center"/>
        </w:trPr>
        <w:tc>
          <w:tcPr>
            <w:tcW w:w="1800" w:type="dxa"/>
            <w:tcMar>
              <w:top w:w="70" w:type="dxa"/>
              <w:left w:w="70" w:type="dxa"/>
              <w:bottom w:w="70" w:type="dxa"/>
              <w:right w:w="70" w:type="dxa"/>
            </w:tcMar>
          </w:tcPr>
          <w:p w14:paraId="3C465A22" w14:textId="77777777" w:rsidR="004275A0" w:rsidRDefault="00000000">
            <w:r>
              <w:rPr>
                <w:rFonts w:eastAsia="Times New Roman" w:cs="Times New Roman"/>
              </w:rPr>
              <w:lastRenderedPageBreak/>
              <w:t>Takeda et al. (2019)</w:t>
            </w:r>
          </w:p>
        </w:tc>
        <w:tc>
          <w:tcPr>
            <w:tcW w:w="1080" w:type="dxa"/>
            <w:tcMar>
              <w:top w:w="70" w:type="dxa"/>
              <w:left w:w="70" w:type="dxa"/>
              <w:bottom w:w="70" w:type="dxa"/>
              <w:right w:w="70" w:type="dxa"/>
            </w:tcMar>
          </w:tcPr>
          <w:p w14:paraId="71FC9667" w14:textId="77777777" w:rsidR="004275A0" w:rsidRDefault="00000000">
            <w:r>
              <w:rPr>
                <w:rFonts w:eastAsia="Times New Roman" w:cs="Times New Roman"/>
              </w:rPr>
              <w:t>Japan</w:t>
            </w:r>
          </w:p>
        </w:tc>
        <w:tc>
          <w:tcPr>
            <w:tcW w:w="2088" w:type="dxa"/>
            <w:tcMar>
              <w:top w:w="70" w:type="dxa"/>
              <w:left w:w="70" w:type="dxa"/>
              <w:bottom w:w="70" w:type="dxa"/>
              <w:right w:w="70" w:type="dxa"/>
            </w:tcMar>
          </w:tcPr>
          <w:p w14:paraId="0222D546" w14:textId="77777777" w:rsidR="004275A0" w:rsidRDefault="00000000">
            <w:r>
              <w:rPr>
                <w:rFonts w:eastAsia="Times New Roman" w:cs="Times New Roman"/>
              </w:rPr>
              <w:t>Retrospective comparative; 151 analysed</w:t>
            </w:r>
          </w:p>
        </w:tc>
        <w:tc>
          <w:tcPr>
            <w:tcW w:w="1800" w:type="dxa"/>
            <w:tcMar>
              <w:top w:w="70" w:type="dxa"/>
              <w:left w:w="70" w:type="dxa"/>
              <w:bottom w:w="70" w:type="dxa"/>
              <w:right w:w="70" w:type="dxa"/>
            </w:tcMar>
          </w:tcPr>
          <w:p w14:paraId="0D5C889E" w14:textId="77777777" w:rsidR="004275A0" w:rsidRDefault="00000000">
            <w:r>
              <w:rPr>
                <w:rFonts w:eastAsia="Times New Roman" w:cs="Times New Roman"/>
              </w:rPr>
              <w:t>High-output ileostomy</w:t>
            </w:r>
          </w:p>
        </w:tc>
        <w:tc>
          <w:tcPr>
            <w:tcW w:w="2592" w:type="dxa"/>
            <w:tcMar>
              <w:top w:w="70" w:type="dxa"/>
              <w:left w:w="70" w:type="dxa"/>
              <w:bottom w:w="70" w:type="dxa"/>
              <w:right w:w="70" w:type="dxa"/>
            </w:tcMar>
          </w:tcPr>
          <w:p w14:paraId="31F1D2FE" w14:textId="77777777" w:rsidR="004275A0" w:rsidRDefault="00000000">
            <w:r>
              <w:rPr>
                <w:rFonts w:eastAsia="Times New Roman" w:cs="Times New Roman"/>
              </w:rPr>
              <w:t>High-output syndrome occurred in 36 of 151 patients; predictive factors were assessed using logistic regression.</w:t>
            </w:r>
          </w:p>
        </w:tc>
      </w:tr>
      <w:tr w:rsidR="004275A0" w14:paraId="1582083A" w14:textId="77777777">
        <w:trPr>
          <w:jc w:val="center"/>
        </w:trPr>
        <w:tc>
          <w:tcPr>
            <w:tcW w:w="1800" w:type="dxa"/>
            <w:tcMar>
              <w:top w:w="70" w:type="dxa"/>
              <w:left w:w="70" w:type="dxa"/>
              <w:bottom w:w="70" w:type="dxa"/>
              <w:right w:w="70" w:type="dxa"/>
            </w:tcMar>
          </w:tcPr>
          <w:p w14:paraId="77ACF448" w14:textId="77777777" w:rsidR="004275A0" w:rsidRDefault="00000000">
            <w:r>
              <w:rPr>
                <w:rFonts w:eastAsia="Times New Roman" w:cs="Times New Roman"/>
              </w:rPr>
              <w:t>Maemoto et al. (2021)</w:t>
            </w:r>
          </w:p>
        </w:tc>
        <w:tc>
          <w:tcPr>
            <w:tcW w:w="1080" w:type="dxa"/>
            <w:tcMar>
              <w:top w:w="70" w:type="dxa"/>
              <w:left w:w="70" w:type="dxa"/>
              <w:bottom w:w="70" w:type="dxa"/>
              <w:right w:w="70" w:type="dxa"/>
            </w:tcMar>
          </w:tcPr>
          <w:p w14:paraId="41246FC8" w14:textId="77777777" w:rsidR="004275A0" w:rsidRDefault="00000000">
            <w:r>
              <w:rPr>
                <w:rFonts w:eastAsia="Times New Roman" w:cs="Times New Roman"/>
              </w:rPr>
              <w:t>Japan</w:t>
            </w:r>
          </w:p>
        </w:tc>
        <w:tc>
          <w:tcPr>
            <w:tcW w:w="2088" w:type="dxa"/>
            <w:tcMar>
              <w:top w:w="70" w:type="dxa"/>
              <w:left w:w="70" w:type="dxa"/>
              <w:bottom w:w="70" w:type="dxa"/>
              <w:right w:w="70" w:type="dxa"/>
            </w:tcMar>
          </w:tcPr>
          <w:p w14:paraId="2DE12ECA" w14:textId="77777777" w:rsidR="004275A0" w:rsidRDefault="00000000">
            <w:r>
              <w:rPr>
                <w:rFonts w:eastAsia="Times New Roman" w:cs="Times New Roman"/>
              </w:rPr>
              <w:t>Retrospective; n=155</w:t>
            </w:r>
          </w:p>
        </w:tc>
        <w:tc>
          <w:tcPr>
            <w:tcW w:w="1800" w:type="dxa"/>
            <w:tcMar>
              <w:top w:w="70" w:type="dxa"/>
              <w:left w:w="70" w:type="dxa"/>
              <w:bottom w:w="70" w:type="dxa"/>
              <w:right w:w="70" w:type="dxa"/>
            </w:tcMar>
          </w:tcPr>
          <w:p w14:paraId="32CCBAC6" w14:textId="77777777" w:rsidR="004275A0" w:rsidRDefault="00000000">
            <w:r>
              <w:rPr>
                <w:rFonts w:eastAsia="Times New Roman" w:cs="Times New Roman"/>
              </w:rPr>
              <w:t>Stoma-related obstruction</w:t>
            </w:r>
          </w:p>
        </w:tc>
        <w:tc>
          <w:tcPr>
            <w:tcW w:w="2592" w:type="dxa"/>
            <w:tcMar>
              <w:top w:w="70" w:type="dxa"/>
              <w:left w:w="70" w:type="dxa"/>
              <w:bottom w:w="70" w:type="dxa"/>
              <w:right w:w="70" w:type="dxa"/>
            </w:tcMar>
          </w:tcPr>
          <w:p w14:paraId="73260B07" w14:textId="77777777" w:rsidR="004275A0" w:rsidRDefault="00000000">
            <w:r>
              <w:rPr>
                <w:rFonts w:eastAsia="Times New Roman" w:cs="Times New Roman"/>
              </w:rPr>
              <w:t>Stoma-related obstruction occurred in 7.7%; ileal-pouch anal anastomosis was an independent risk factor.</w:t>
            </w:r>
          </w:p>
        </w:tc>
      </w:tr>
      <w:tr w:rsidR="004275A0" w14:paraId="12C38088" w14:textId="77777777">
        <w:trPr>
          <w:jc w:val="center"/>
        </w:trPr>
        <w:tc>
          <w:tcPr>
            <w:tcW w:w="1800" w:type="dxa"/>
            <w:tcMar>
              <w:top w:w="70" w:type="dxa"/>
              <w:left w:w="70" w:type="dxa"/>
              <w:bottom w:w="70" w:type="dxa"/>
              <w:right w:w="70" w:type="dxa"/>
            </w:tcMar>
          </w:tcPr>
          <w:p w14:paraId="38825623" w14:textId="77777777" w:rsidR="004275A0" w:rsidRDefault="00000000">
            <w:r>
              <w:rPr>
                <w:rFonts w:eastAsia="Times New Roman" w:cs="Times New Roman"/>
              </w:rPr>
              <w:t>Kilinc et al. (2021)</w:t>
            </w:r>
          </w:p>
        </w:tc>
        <w:tc>
          <w:tcPr>
            <w:tcW w:w="1080" w:type="dxa"/>
            <w:tcMar>
              <w:top w:w="70" w:type="dxa"/>
              <w:left w:w="70" w:type="dxa"/>
              <w:bottom w:w="70" w:type="dxa"/>
              <w:right w:w="70" w:type="dxa"/>
            </w:tcMar>
          </w:tcPr>
          <w:p w14:paraId="7B2F57F9" w14:textId="77777777" w:rsidR="004275A0" w:rsidRDefault="00000000">
            <w:r>
              <w:rPr>
                <w:rFonts w:eastAsia="Times New Roman" w:cs="Times New Roman"/>
              </w:rPr>
              <w:t>Turkey</w:t>
            </w:r>
          </w:p>
        </w:tc>
        <w:tc>
          <w:tcPr>
            <w:tcW w:w="2088" w:type="dxa"/>
            <w:tcMar>
              <w:top w:w="70" w:type="dxa"/>
              <w:left w:w="70" w:type="dxa"/>
              <w:bottom w:w="70" w:type="dxa"/>
              <w:right w:w="70" w:type="dxa"/>
            </w:tcMar>
          </w:tcPr>
          <w:p w14:paraId="624EF4CC" w14:textId="77777777" w:rsidR="004275A0" w:rsidRDefault="00000000">
            <w:r>
              <w:rPr>
                <w:rFonts w:eastAsia="Times New Roman" w:cs="Times New Roman"/>
              </w:rPr>
              <w:t>Retrospective descriptive; n=179</w:t>
            </w:r>
          </w:p>
        </w:tc>
        <w:tc>
          <w:tcPr>
            <w:tcW w:w="1800" w:type="dxa"/>
            <w:tcMar>
              <w:top w:w="70" w:type="dxa"/>
              <w:left w:w="70" w:type="dxa"/>
              <w:bottom w:w="70" w:type="dxa"/>
              <w:right w:w="70" w:type="dxa"/>
            </w:tcMar>
          </w:tcPr>
          <w:p w14:paraId="0A12345E" w14:textId="77777777" w:rsidR="004275A0" w:rsidRDefault="00000000">
            <w:r>
              <w:rPr>
                <w:rFonts w:eastAsia="Times New Roman" w:cs="Times New Roman"/>
              </w:rPr>
              <w:t>Stoma-closure morbidity</w:t>
            </w:r>
          </w:p>
        </w:tc>
        <w:tc>
          <w:tcPr>
            <w:tcW w:w="2592" w:type="dxa"/>
            <w:tcMar>
              <w:top w:w="70" w:type="dxa"/>
              <w:left w:w="70" w:type="dxa"/>
              <w:bottom w:w="70" w:type="dxa"/>
              <w:right w:w="70" w:type="dxa"/>
            </w:tcMar>
          </w:tcPr>
          <w:p w14:paraId="776FB018" w14:textId="77777777" w:rsidR="004275A0" w:rsidRDefault="00000000">
            <w:r>
              <w:rPr>
                <w:rFonts w:eastAsia="Times New Roman" w:cs="Times New Roman"/>
              </w:rPr>
              <w:t xml:space="preserve">ASA score and coronary artery disease were associated with complications; colostomy was </w:t>
            </w:r>
            <w:r>
              <w:rPr>
                <w:rFonts w:eastAsia="Times New Roman" w:cs="Times New Roman"/>
              </w:rPr>
              <w:lastRenderedPageBreak/>
              <w:t>reported as a risk factor for postoperative ileus.</w:t>
            </w:r>
          </w:p>
        </w:tc>
      </w:tr>
      <w:tr w:rsidR="004275A0" w14:paraId="76F86358" w14:textId="77777777">
        <w:trPr>
          <w:jc w:val="center"/>
        </w:trPr>
        <w:tc>
          <w:tcPr>
            <w:tcW w:w="1800" w:type="dxa"/>
            <w:tcMar>
              <w:top w:w="70" w:type="dxa"/>
              <w:left w:w="70" w:type="dxa"/>
              <w:bottom w:w="70" w:type="dxa"/>
              <w:right w:w="70" w:type="dxa"/>
            </w:tcMar>
          </w:tcPr>
          <w:p w14:paraId="7126A5F7" w14:textId="77777777" w:rsidR="004275A0" w:rsidRDefault="00000000">
            <w:r>
              <w:rPr>
                <w:rFonts w:eastAsia="Times New Roman" w:cs="Times New Roman"/>
              </w:rPr>
              <w:t>Vergara-Fernández et al. (2019)</w:t>
            </w:r>
          </w:p>
        </w:tc>
        <w:tc>
          <w:tcPr>
            <w:tcW w:w="1080" w:type="dxa"/>
            <w:tcMar>
              <w:top w:w="70" w:type="dxa"/>
              <w:left w:w="70" w:type="dxa"/>
              <w:bottom w:w="70" w:type="dxa"/>
              <w:right w:w="70" w:type="dxa"/>
            </w:tcMar>
          </w:tcPr>
          <w:p w14:paraId="72B9D649" w14:textId="77777777" w:rsidR="004275A0" w:rsidRDefault="00000000">
            <w:r>
              <w:rPr>
                <w:rFonts w:eastAsia="Times New Roman" w:cs="Times New Roman"/>
              </w:rPr>
              <w:t>Mexico</w:t>
            </w:r>
          </w:p>
        </w:tc>
        <w:tc>
          <w:tcPr>
            <w:tcW w:w="2088" w:type="dxa"/>
            <w:tcMar>
              <w:top w:w="70" w:type="dxa"/>
              <w:left w:w="70" w:type="dxa"/>
              <w:bottom w:w="70" w:type="dxa"/>
              <w:right w:w="70" w:type="dxa"/>
            </w:tcMar>
          </w:tcPr>
          <w:p w14:paraId="5E5E9B8A" w14:textId="77777777" w:rsidR="004275A0" w:rsidRDefault="00000000">
            <w:r>
              <w:rPr>
                <w:rFonts w:eastAsia="Times New Roman" w:cs="Times New Roman"/>
              </w:rPr>
              <w:t>Retrospective; n=136</w:t>
            </w:r>
          </w:p>
        </w:tc>
        <w:tc>
          <w:tcPr>
            <w:tcW w:w="1800" w:type="dxa"/>
            <w:tcMar>
              <w:top w:w="70" w:type="dxa"/>
              <w:left w:w="70" w:type="dxa"/>
              <w:bottom w:w="70" w:type="dxa"/>
              <w:right w:w="70" w:type="dxa"/>
            </w:tcMar>
          </w:tcPr>
          <w:p w14:paraId="6E81E20F" w14:textId="77777777" w:rsidR="004275A0" w:rsidRDefault="00000000">
            <w:r>
              <w:rPr>
                <w:rFonts w:eastAsia="Times New Roman" w:cs="Times New Roman"/>
              </w:rPr>
              <w:t>Loop ileostomy closure</w:t>
            </w:r>
          </w:p>
        </w:tc>
        <w:tc>
          <w:tcPr>
            <w:tcW w:w="2592" w:type="dxa"/>
            <w:tcMar>
              <w:top w:w="70" w:type="dxa"/>
              <w:left w:w="70" w:type="dxa"/>
              <w:bottom w:w="70" w:type="dxa"/>
              <w:right w:w="70" w:type="dxa"/>
            </w:tcMar>
          </w:tcPr>
          <w:p w14:paraId="07CA4CFE" w14:textId="77777777" w:rsidR="004275A0" w:rsidRDefault="00000000">
            <w:r>
              <w:rPr>
                <w:rFonts w:eastAsia="Times New Roman" w:cs="Times New Roman"/>
              </w:rPr>
              <w:t>Reported risk factors included midline laparotomy, immunomodulator use, familial adenomatous polyposis, age ≥65 years, closure &lt;3 months, and parastomal hernia.</w:t>
            </w:r>
          </w:p>
        </w:tc>
      </w:tr>
      <w:tr w:rsidR="004275A0" w14:paraId="5452EBEE" w14:textId="77777777">
        <w:trPr>
          <w:jc w:val="center"/>
        </w:trPr>
        <w:tc>
          <w:tcPr>
            <w:tcW w:w="1800" w:type="dxa"/>
            <w:tcMar>
              <w:top w:w="70" w:type="dxa"/>
              <w:left w:w="70" w:type="dxa"/>
              <w:bottom w:w="70" w:type="dxa"/>
              <w:right w:w="70" w:type="dxa"/>
            </w:tcMar>
          </w:tcPr>
          <w:p w14:paraId="32081437" w14:textId="77777777" w:rsidR="004275A0" w:rsidRDefault="00000000">
            <w:r>
              <w:rPr>
                <w:rFonts w:eastAsia="Times New Roman" w:cs="Times New Roman"/>
              </w:rPr>
              <w:t>Lv et al. (2024)</w:t>
            </w:r>
          </w:p>
        </w:tc>
        <w:tc>
          <w:tcPr>
            <w:tcW w:w="1080" w:type="dxa"/>
            <w:tcMar>
              <w:top w:w="70" w:type="dxa"/>
              <w:left w:w="70" w:type="dxa"/>
              <w:bottom w:w="70" w:type="dxa"/>
              <w:right w:w="70" w:type="dxa"/>
            </w:tcMar>
          </w:tcPr>
          <w:p w14:paraId="7AFC5586" w14:textId="77777777" w:rsidR="004275A0" w:rsidRDefault="00000000">
            <w:r>
              <w:rPr>
                <w:rFonts w:eastAsia="Times New Roman" w:cs="Times New Roman"/>
              </w:rPr>
              <w:t>China</w:t>
            </w:r>
          </w:p>
        </w:tc>
        <w:tc>
          <w:tcPr>
            <w:tcW w:w="2088" w:type="dxa"/>
            <w:tcMar>
              <w:top w:w="70" w:type="dxa"/>
              <w:left w:w="70" w:type="dxa"/>
              <w:bottom w:w="70" w:type="dxa"/>
              <w:right w:w="70" w:type="dxa"/>
            </w:tcMar>
          </w:tcPr>
          <w:p w14:paraId="3D69E3D3" w14:textId="77777777" w:rsidR="004275A0" w:rsidRDefault="00000000">
            <w:r>
              <w:rPr>
                <w:rFonts w:eastAsia="Times New Roman" w:cs="Times New Roman"/>
              </w:rPr>
              <w:t>Observational/retrospective</w:t>
            </w:r>
          </w:p>
        </w:tc>
        <w:tc>
          <w:tcPr>
            <w:tcW w:w="1800" w:type="dxa"/>
            <w:tcMar>
              <w:top w:w="70" w:type="dxa"/>
              <w:left w:w="70" w:type="dxa"/>
              <w:bottom w:w="70" w:type="dxa"/>
              <w:right w:w="70" w:type="dxa"/>
            </w:tcMar>
          </w:tcPr>
          <w:p w14:paraId="2255F018" w14:textId="77777777" w:rsidR="004275A0" w:rsidRDefault="00000000">
            <w:r>
              <w:rPr>
                <w:rFonts w:eastAsia="Times New Roman" w:cs="Times New Roman"/>
              </w:rPr>
              <w:t>Sigmoid stoma complications</w:t>
            </w:r>
          </w:p>
        </w:tc>
        <w:tc>
          <w:tcPr>
            <w:tcW w:w="2592" w:type="dxa"/>
            <w:tcMar>
              <w:top w:w="70" w:type="dxa"/>
              <w:left w:w="70" w:type="dxa"/>
              <w:bottom w:w="70" w:type="dxa"/>
              <w:right w:w="70" w:type="dxa"/>
            </w:tcMar>
          </w:tcPr>
          <w:p w14:paraId="55E88569" w14:textId="77777777" w:rsidR="004275A0" w:rsidRDefault="00000000">
            <w:r>
              <w:rPr>
                <w:rFonts w:eastAsia="Times New Roman" w:cs="Times New Roman"/>
              </w:rPr>
              <w:t xml:space="preserve">Evaluated risk factors for sigmoid stoma complications after </w:t>
            </w:r>
            <w:r>
              <w:rPr>
                <w:rFonts w:eastAsia="Times New Roman" w:cs="Times New Roman"/>
              </w:rPr>
              <w:lastRenderedPageBreak/>
              <w:t>abdominoperineal resection.</w:t>
            </w:r>
          </w:p>
        </w:tc>
      </w:tr>
      <w:tr w:rsidR="004275A0" w14:paraId="2C6AB4D5" w14:textId="77777777">
        <w:trPr>
          <w:jc w:val="center"/>
        </w:trPr>
        <w:tc>
          <w:tcPr>
            <w:tcW w:w="1800" w:type="dxa"/>
            <w:tcMar>
              <w:top w:w="70" w:type="dxa"/>
              <w:left w:w="70" w:type="dxa"/>
              <w:bottom w:w="70" w:type="dxa"/>
              <w:right w:w="70" w:type="dxa"/>
            </w:tcMar>
          </w:tcPr>
          <w:p w14:paraId="0C31DAB0" w14:textId="77777777" w:rsidR="004275A0" w:rsidRDefault="00000000">
            <w:r>
              <w:rPr>
                <w:rFonts w:eastAsia="Times New Roman" w:cs="Times New Roman"/>
              </w:rPr>
              <w:t>Ba et al. (2025)</w:t>
            </w:r>
          </w:p>
        </w:tc>
        <w:tc>
          <w:tcPr>
            <w:tcW w:w="1080" w:type="dxa"/>
            <w:tcMar>
              <w:top w:w="70" w:type="dxa"/>
              <w:left w:w="70" w:type="dxa"/>
              <w:bottom w:w="70" w:type="dxa"/>
              <w:right w:w="70" w:type="dxa"/>
            </w:tcMar>
          </w:tcPr>
          <w:p w14:paraId="6F9F4184" w14:textId="77777777" w:rsidR="004275A0" w:rsidRDefault="00000000">
            <w:r>
              <w:rPr>
                <w:rFonts w:eastAsia="Times New Roman" w:cs="Times New Roman"/>
              </w:rPr>
              <w:t>China</w:t>
            </w:r>
          </w:p>
        </w:tc>
        <w:tc>
          <w:tcPr>
            <w:tcW w:w="2088" w:type="dxa"/>
            <w:tcMar>
              <w:top w:w="70" w:type="dxa"/>
              <w:left w:w="70" w:type="dxa"/>
              <w:bottom w:w="70" w:type="dxa"/>
              <w:right w:w="70" w:type="dxa"/>
            </w:tcMar>
          </w:tcPr>
          <w:p w14:paraId="4BA14BE7" w14:textId="77777777" w:rsidR="004275A0" w:rsidRDefault="00000000">
            <w:r>
              <w:rPr>
                <w:rFonts w:eastAsia="Times New Roman" w:cs="Times New Roman"/>
              </w:rPr>
              <w:t>Retrospective prediction-model study</w:t>
            </w:r>
          </w:p>
        </w:tc>
        <w:tc>
          <w:tcPr>
            <w:tcW w:w="1800" w:type="dxa"/>
            <w:tcMar>
              <w:top w:w="70" w:type="dxa"/>
              <w:left w:w="70" w:type="dxa"/>
              <w:bottom w:w="70" w:type="dxa"/>
              <w:right w:w="70" w:type="dxa"/>
            </w:tcMar>
          </w:tcPr>
          <w:p w14:paraId="05E9CCF1" w14:textId="77777777" w:rsidR="004275A0" w:rsidRDefault="00000000">
            <w:r>
              <w:rPr>
                <w:rFonts w:eastAsia="Times New Roman" w:cs="Times New Roman"/>
              </w:rPr>
              <w:t>Early stoma complications</w:t>
            </w:r>
          </w:p>
        </w:tc>
        <w:tc>
          <w:tcPr>
            <w:tcW w:w="2592" w:type="dxa"/>
            <w:tcMar>
              <w:top w:w="70" w:type="dxa"/>
              <w:left w:w="70" w:type="dxa"/>
              <w:bottom w:w="70" w:type="dxa"/>
              <w:right w:w="70" w:type="dxa"/>
            </w:tcMar>
          </w:tcPr>
          <w:p w14:paraId="7567DBDD" w14:textId="77777777" w:rsidR="004275A0" w:rsidRDefault="00000000">
            <w:r>
              <w:rPr>
                <w:rFonts w:eastAsia="Times New Roman" w:cs="Times New Roman"/>
              </w:rPr>
              <w:t>Presented risk factors and a prediction model for early postoperative stoma complications in colorectal cancer.</w:t>
            </w:r>
          </w:p>
        </w:tc>
      </w:tr>
      <w:tr w:rsidR="004275A0" w14:paraId="537C5B7F" w14:textId="77777777">
        <w:trPr>
          <w:jc w:val="center"/>
        </w:trPr>
        <w:tc>
          <w:tcPr>
            <w:tcW w:w="1800" w:type="dxa"/>
            <w:tcMar>
              <w:top w:w="70" w:type="dxa"/>
              <w:left w:w="70" w:type="dxa"/>
              <w:bottom w:w="70" w:type="dxa"/>
              <w:right w:w="70" w:type="dxa"/>
            </w:tcMar>
          </w:tcPr>
          <w:p w14:paraId="14A8197C" w14:textId="77777777" w:rsidR="004275A0" w:rsidRDefault="00000000">
            <w:r>
              <w:rPr>
                <w:rFonts w:eastAsia="Times New Roman" w:cs="Times New Roman"/>
              </w:rPr>
              <w:t>Liu et al. (2021)</w:t>
            </w:r>
          </w:p>
        </w:tc>
        <w:tc>
          <w:tcPr>
            <w:tcW w:w="1080" w:type="dxa"/>
            <w:tcMar>
              <w:top w:w="70" w:type="dxa"/>
              <w:left w:w="70" w:type="dxa"/>
              <w:bottom w:w="70" w:type="dxa"/>
              <w:right w:w="70" w:type="dxa"/>
            </w:tcMar>
          </w:tcPr>
          <w:p w14:paraId="0FE6762D" w14:textId="77777777" w:rsidR="004275A0" w:rsidRDefault="00000000">
            <w:r>
              <w:rPr>
                <w:rFonts w:eastAsia="Times New Roman" w:cs="Times New Roman"/>
              </w:rPr>
              <w:t>China</w:t>
            </w:r>
          </w:p>
        </w:tc>
        <w:tc>
          <w:tcPr>
            <w:tcW w:w="2088" w:type="dxa"/>
            <w:tcMar>
              <w:top w:w="70" w:type="dxa"/>
              <w:left w:w="70" w:type="dxa"/>
              <w:bottom w:w="70" w:type="dxa"/>
              <w:right w:w="70" w:type="dxa"/>
            </w:tcMar>
          </w:tcPr>
          <w:p w14:paraId="175064CE" w14:textId="77777777" w:rsidR="004275A0" w:rsidRDefault="00000000">
            <w:r>
              <w:rPr>
                <w:rFonts w:eastAsia="Times New Roman" w:cs="Times New Roman"/>
              </w:rPr>
              <w:t>Cross-sectional; n=359</w:t>
            </w:r>
          </w:p>
        </w:tc>
        <w:tc>
          <w:tcPr>
            <w:tcW w:w="1800" w:type="dxa"/>
            <w:tcMar>
              <w:top w:w="70" w:type="dxa"/>
              <w:left w:w="70" w:type="dxa"/>
              <w:bottom w:w="70" w:type="dxa"/>
              <w:right w:w="70" w:type="dxa"/>
            </w:tcMar>
          </w:tcPr>
          <w:p w14:paraId="0237FF1E" w14:textId="77777777" w:rsidR="004275A0" w:rsidRDefault="00000000">
            <w:r>
              <w:rPr>
                <w:rFonts w:eastAsia="Times New Roman" w:cs="Times New Roman"/>
              </w:rPr>
              <w:t>Quality of life; narrative synthesis</w:t>
            </w:r>
          </w:p>
        </w:tc>
        <w:tc>
          <w:tcPr>
            <w:tcW w:w="2592" w:type="dxa"/>
            <w:tcMar>
              <w:top w:w="70" w:type="dxa"/>
              <w:left w:w="70" w:type="dxa"/>
              <w:bottom w:w="70" w:type="dxa"/>
              <w:right w:w="70" w:type="dxa"/>
            </w:tcMar>
          </w:tcPr>
          <w:p w14:paraId="3942D1EE" w14:textId="77777777" w:rsidR="004275A0" w:rsidRDefault="00000000">
            <w:r>
              <w:rPr>
                <w:rFonts w:eastAsia="Times New Roman" w:cs="Times New Roman"/>
              </w:rPr>
              <w:t xml:space="preserve">Quality of life was generally low; temporary stoma, complications, and receiving stoma care from others were associated with lower scores. This study was not included in the </w:t>
            </w:r>
            <w:r>
              <w:rPr>
                <w:rFonts w:eastAsia="Times New Roman" w:cs="Times New Roman"/>
              </w:rPr>
              <w:lastRenderedPageBreak/>
              <w:t>pooled meta-analysis.</w:t>
            </w:r>
          </w:p>
        </w:tc>
      </w:tr>
    </w:tbl>
    <w:p w14:paraId="2B835130" w14:textId="77777777" w:rsidR="006E53BF" w:rsidRDefault="006E53BF" w:rsidP="006E53BF">
      <w:pPr>
        <w:spacing w:before="60"/>
        <w:rPr>
          <w:rFonts w:eastAsia="Times New Roman" w:cs="Times New Roman"/>
          <w:b/>
        </w:rPr>
      </w:pPr>
    </w:p>
    <w:p w14:paraId="64CF0548" w14:textId="7F383CD9" w:rsidR="004275A0" w:rsidRDefault="00000000" w:rsidP="006E53BF">
      <w:pPr>
        <w:spacing w:before="60"/>
      </w:pPr>
      <w:r>
        <w:rPr>
          <w:rFonts w:eastAsia="Times New Roman" w:cs="Times New Roman"/>
          <w:b/>
        </w:rPr>
        <w:t>Exploratory meta-analysis</w:t>
      </w:r>
    </w:p>
    <w:p w14:paraId="750A7571" w14:textId="77777777" w:rsidR="004275A0" w:rsidRDefault="00000000">
      <w:pPr>
        <w:jc w:val="both"/>
      </w:pPr>
      <w:r>
        <w:rPr>
          <w:rFonts w:eastAsia="Times New Roman" w:cs="Times New Roman"/>
        </w:rPr>
        <w:t>Eleven studies contributed to the quantitative meta-analysis displayed in the forest plot. The pooled effect estimate was 1.12 (95% CI 0.60–1.65), with t(10)=4.80 and p&lt;0.001 in the JASP output. Between-study heterogeneity was substantial (Q(10)=104.53, p&lt;0.001; I²=86.98%), indicating marked variation across studies. The funnel plot was not fully symmetrical, with more estimates distributed to the right of the centre line and several points associated with larger standard errors. Because the included studies assessed different clinical phases, risk factors, and outcomes, the pooled estimate should be interpreted cautiously and together with the outcome-specific narrative synthesis. The quantitative meta-analysis is summarised in Table 5. The forest plot is shown in Figure 2, and the funnel plot is shown in Figure 3.</w:t>
      </w:r>
    </w:p>
    <w:p w14:paraId="2D486B89" w14:textId="77777777" w:rsidR="004275A0" w:rsidRDefault="00000000">
      <w:pPr>
        <w:keepNext/>
        <w:pageBreakBefore/>
      </w:pPr>
      <w:r>
        <w:rPr>
          <w:rFonts w:eastAsia="Times New Roman" w:cs="Times New Roman"/>
          <w:b/>
        </w:rPr>
        <w:lastRenderedPageBreak/>
        <w:t>Table 5. Summary of the exploratory meta-analysis</w:t>
      </w:r>
    </w:p>
    <w:tbl>
      <w:tblPr>
        <w:tblStyle w:val="TableGrid"/>
        <w:tblW w:w="0" w:type="auto"/>
        <w:jc w:val="center"/>
        <w:tblLook w:val="04A0" w:firstRow="1" w:lastRow="0" w:firstColumn="1" w:lastColumn="0" w:noHBand="0" w:noVBand="1"/>
      </w:tblPr>
      <w:tblGrid>
        <w:gridCol w:w="3165"/>
        <w:gridCol w:w="6185"/>
      </w:tblGrid>
      <w:tr w:rsidR="004275A0" w14:paraId="12157819" w14:textId="77777777">
        <w:trPr>
          <w:tblHeader/>
          <w:jc w:val="center"/>
        </w:trPr>
        <w:tc>
          <w:tcPr>
            <w:tcW w:w="3168" w:type="dxa"/>
            <w:shd w:val="clear" w:color="auto" w:fill="E7E6E6"/>
            <w:tcMar>
              <w:top w:w="70" w:type="dxa"/>
              <w:left w:w="70" w:type="dxa"/>
              <w:bottom w:w="70" w:type="dxa"/>
              <w:right w:w="70" w:type="dxa"/>
            </w:tcMar>
          </w:tcPr>
          <w:p w14:paraId="4E52276F" w14:textId="77777777" w:rsidR="004275A0" w:rsidRDefault="00000000">
            <w:r>
              <w:rPr>
                <w:rFonts w:eastAsia="Times New Roman" w:cs="Times New Roman"/>
                <w:b/>
              </w:rPr>
              <w:t>Parameter</w:t>
            </w:r>
          </w:p>
        </w:tc>
        <w:tc>
          <w:tcPr>
            <w:tcW w:w="6192" w:type="dxa"/>
            <w:shd w:val="clear" w:color="auto" w:fill="E7E6E6"/>
            <w:tcMar>
              <w:top w:w="70" w:type="dxa"/>
              <w:left w:w="70" w:type="dxa"/>
              <w:bottom w:w="70" w:type="dxa"/>
              <w:right w:w="70" w:type="dxa"/>
            </w:tcMar>
          </w:tcPr>
          <w:p w14:paraId="40BF9DCC" w14:textId="77777777" w:rsidR="004275A0" w:rsidRDefault="00000000">
            <w:r>
              <w:rPr>
                <w:rFonts w:eastAsia="Times New Roman" w:cs="Times New Roman"/>
                <w:b/>
              </w:rPr>
              <w:t>Result</w:t>
            </w:r>
          </w:p>
        </w:tc>
      </w:tr>
      <w:tr w:rsidR="004275A0" w14:paraId="46C484DD" w14:textId="77777777">
        <w:trPr>
          <w:jc w:val="center"/>
        </w:trPr>
        <w:tc>
          <w:tcPr>
            <w:tcW w:w="3168" w:type="dxa"/>
            <w:tcMar>
              <w:top w:w="70" w:type="dxa"/>
              <w:left w:w="70" w:type="dxa"/>
              <w:bottom w:w="70" w:type="dxa"/>
              <w:right w:w="70" w:type="dxa"/>
            </w:tcMar>
          </w:tcPr>
          <w:p w14:paraId="5CAD1A84" w14:textId="77777777" w:rsidR="004275A0" w:rsidRDefault="00000000">
            <w:r>
              <w:rPr>
                <w:rFonts w:eastAsia="Times New Roman" w:cs="Times New Roman"/>
              </w:rPr>
              <w:t>Studies in quantitative meta-analysis</w:t>
            </w:r>
          </w:p>
        </w:tc>
        <w:tc>
          <w:tcPr>
            <w:tcW w:w="6192" w:type="dxa"/>
            <w:tcMar>
              <w:top w:w="70" w:type="dxa"/>
              <w:left w:w="70" w:type="dxa"/>
              <w:bottom w:w="70" w:type="dxa"/>
              <w:right w:w="70" w:type="dxa"/>
            </w:tcMar>
          </w:tcPr>
          <w:p w14:paraId="77DF2612" w14:textId="77777777" w:rsidR="004275A0" w:rsidRDefault="00000000">
            <w:r>
              <w:rPr>
                <w:rFonts w:eastAsia="Times New Roman" w:cs="Times New Roman"/>
              </w:rPr>
              <w:t>11</w:t>
            </w:r>
          </w:p>
        </w:tc>
      </w:tr>
      <w:tr w:rsidR="004275A0" w14:paraId="53243E65" w14:textId="77777777">
        <w:trPr>
          <w:jc w:val="center"/>
        </w:trPr>
        <w:tc>
          <w:tcPr>
            <w:tcW w:w="3168" w:type="dxa"/>
            <w:tcMar>
              <w:top w:w="70" w:type="dxa"/>
              <w:left w:w="70" w:type="dxa"/>
              <w:bottom w:w="70" w:type="dxa"/>
              <w:right w:w="70" w:type="dxa"/>
            </w:tcMar>
          </w:tcPr>
          <w:p w14:paraId="7C29E3BB" w14:textId="77777777" w:rsidR="004275A0" w:rsidRDefault="00000000">
            <w:r>
              <w:rPr>
                <w:rFonts w:eastAsia="Times New Roman" w:cs="Times New Roman"/>
              </w:rPr>
              <w:t>Pooled effect estimate</w:t>
            </w:r>
          </w:p>
        </w:tc>
        <w:tc>
          <w:tcPr>
            <w:tcW w:w="6192" w:type="dxa"/>
            <w:tcMar>
              <w:top w:w="70" w:type="dxa"/>
              <w:left w:w="70" w:type="dxa"/>
              <w:bottom w:w="70" w:type="dxa"/>
              <w:right w:w="70" w:type="dxa"/>
            </w:tcMar>
          </w:tcPr>
          <w:p w14:paraId="6E1267C7" w14:textId="77777777" w:rsidR="004275A0" w:rsidRDefault="00000000">
            <w:r>
              <w:rPr>
                <w:rFonts w:eastAsia="Times New Roman" w:cs="Times New Roman"/>
              </w:rPr>
              <w:t>1.12 (95% CI 0.60–1.65)</w:t>
            </w:r>
          </w:p>
        </w:tc>
      </w:tr>
      <w:tr w:rsidR="004275A0" w14:paraId="7F74D367" w14:textId="77777777">
        <w:trPr>
          <w:jc w:val="center"/>
        </w:trPr>
        <w:tc>
          <w:tcPr>
            <w:tcW w:w="3168" w:type="dxa"/>
            <w:tcMar>
              <w:top w:w="70" w:type="dxa"/>
              <w:left w:w="70" w:type="dxa"/>
              <w:bottom w:w="70" w:type="dxa"/>
              <w:right w:w="70" w:type="dxa"/>
            </w:tcMar>
          </w:tcPr>
          <w:p w14:paraId="307A8155" w14:textId="77777777" w:rsidR="004275A0" w:rsidRDefault="00000000">
            <w:r>
              <w:rPr>
                <w:rFonts w:eastAsia="Times New Roman" w:cs="Times New Roman"/>
              </w:rPr>
              <w:t>Pooled-effect test</w:t>
            </w:r>
          </w:p>
        </w:tc>
        <w:tc>
          <w:tcPr>
            <w:tcW w:w="6192" w:type="dxa"/>
            <w:tcMar>
              <w:top w:w="70" w:type="dxa"/>
              <w:left w:w="70" w:type="dxa"/>
              <w:bottom w:w="70" w:type="dxa"/>
              <w:right w:w="70" w:type="dxa"/>
            </w:tcMar>
          </w:tcPr>
          <w:p w14:paraId="66C06F25" w14:textId="77777777" w:rsidR="004275A0" w:rsidRDefault="00000000">
            <w:r>
              <w:rPr>
                <w:rFonts w:eastAsia="Times New Roman" w:cs="Times New Roman"/>
              </w:rPr>
              <w:t>t(10)=4.80, p&lt;0.001</w:t>
            </w:r>
          </w:p>
        </w:tc>
      </w:tr>
      <w:tr w:rsidR="004275A0" w14:paraId="70AE7E68" w14:textId="77777777">
        <w:trPr>
          <w:jc w:val="center"/>
        </w:trPr>
        <w:tc>
          <w:tcPr>
            <w:tcW w:w="3168" w:type="dxa"/>
            <w:tcMar>
              <w:top w:w="70" w:type="dxa"/>
              <w:left w:w="70" w:type="dxa"/>
              <w:bottom w:w="70" w:type="dxa"/>
              <w:right w:w="70" w:type="dxa"/>
            </w:tcMar>
          </w:tcPr>
          <w:p w14:paraId="3FDF0503" w14:textId="77777777" w:rsidR="004275A0" w:rsidRDefault="00000000">
            <w:r>
              <w:rPr>
                <w:rFonts w:eastAsia="Times New Roman" w:cs="Times New Roman"/>
              </w:rPr>
              <w:t>Cochran’s Q</w:t>
            </w:r>
          </w:p>
        </w:tc>
        <w:tc>
          <w:tcPr>
            <w:tcW w:w="6192" w:type="dxa"/>
            <w:tcMar>
              <w:top w:w="70" w:type="dxa"/>
              <w:left w:w="70" w:type="dxa"/>
              <w:bottom w:w="70" w:type="dxa"/>
              <w:right w:w="70" w:type="dxa"/>
            </w:tcMar>
          </w:tcPr>
          <w:p w14:paraId="69D021D3" w14:textId="77777777" w:rsidR="004275A0" w:rsidRDefault="00000000">
            <w:r>
              <w:rPr>
                <w:rFonts w:eastAsia="Times New Roman" w:cs="Times New Roman"/>
              </w:rPr>
              <w:t>Q(10)=104.53, p&lt;0.001</w:t>
            </w:r>
          </w:p>
        </w:tc>
      </w:tr>
      <w:tr w:rsidR="004275A0" w14:paraId="1CB61F23" w14:textId="77777777">
        <w:trPr>
          <w:jc w:val="center"/>
        </w:trPr>
        <w:tc>
          <w:tcPr>
            <w:tcW w:w="3168" w:type="dxa"/>
            <w:tcMar>
              <w:top w:w="70" w:type="dxa"/>
              <w:left w:w="70" w:type="dxa"/>
              <w:bottom w:w="70" w:type="dxa"/>
              <w:right w:w="70" w:type="dxa"/>
            </w:tcMar>
          </w:tcPr>
          <w:p w14:paraId="7134450E" w14:textId="77777777" w:rsidR="004275A0" w:rsidRDefault="00000000">
            <w:r>
              <w:rPr>
                <w:rFonts w:eastAsia="Times New Roman" w:cs="Times New Roman"/>
              </w:rPr>
              <w:t>I²</w:t>
            </w:r>
          </w:p>
        </w:tc>
        <w:tc>
          <w:tcPr>
            <w:tcW w:w="6192" w:type="dxa"/>
            <w:tcMar>
              <w:top w:w="70" w:type="dxa"/>
              <w:left w:w="70" w:type="dxa"/>
              <w:bottom w:w="70" w:type="dxa"/>
              <w:right w:w="70" w:type="dxa"/>
            </w:tcMar>
          </w:tcPr>
          <w:p w14:paraId="7D4A0BDD" w14:textId="77777777" w:rsidR="004275A0" w:rsidRDefault="00000000">
            <w:r>
              <w:rPr>
                <w:rFonts w:eastAsia="Times New Roman" w:cs="Times New Roman"/>
              </w:rPr>
              <w:t>86.98%</w:t>
            </w:r>
          </w:p>
        </w:tc>
      </w:tr>
      <w:tr w:rsidR="004275A0" w14:paraId="0DA1C565" w14:textId="77777777">
        <w:trPr>
          <w:jc w:val="center"/>
        </w:trPr>
        <w:tc>
          <w:tcPr>
            <w:tcW w:w="3168" w:type="dxa"/>
            <w:tcMar>
              <w:top w:w="70" w:type="dxa"/>
              <w:left w:w="70" w:type="dxa"/>
              <w:bottom w:w="70" w:type="dxa"/>
              <w:right w:w="70" w:type="dxa"/>
            </w:tcMar>
          </w:tcPr>
          <w:p w14:paraId="11D55351" w14:textId="77777777" w:rsidR="004275A0" w:rsidRDefault="00000000">
            <w:r>
              <w:rPr>
                <w:rFonts w:eastAsia="Times New Roman" w:cs="Times New Roman"/>
              </w:rPr>
              <w:t>Funnel-plot observation</w:t>
            </w:r>
          </w:p>
        </w:tc>
        <w:tc>
          <w:tcPr>
            <w:tcW w:w="6192" w:type="dxa"/>
            <w:tcMar>
              <w:top w:w="70" w:type="dxa"/>
              <w:left w:w="70" w:type="dxa"/>
              <w:bottom w:w="70" w:type="dxa"/>
              <w:right w:w="70" w:type="dxa"/>
            </w:tcMar>
          </w:tcPr>
          <w:p w14:paraId="3FE9F67C" w14:textId="77777777" w:rsidR="004275A0" w:rsidRDefault="00000000">
            <w:r>
              <w:rPr>
                <w:rFonts w:eastAsia="Times New Roman" w:cs="Times New Roman"/>
              </w:rPr>
              <w:t>Not fully symmetrical</w:t>
            </w:r>
          </w:p>
        </w:tc>
      </w:tr>
      <w:tr w:rsidR="004275A0" w14:paraId="3BB13FC2" w14:textId="77777777">
        <w:trPr>
          <w:jc w:val="center"/>
        </w:trPr>
        <w:tc>
          <w:tcPr>
            <w:tcW w:w="3168" w:type="dxa"/>
            <w:tcMar>
              <w:top w:w="70" w:type="dxa"/>
              <w:left w:w="70" w:type="dxa"/>
              <w:bottom w:w="70" w:type="dxa"/>
              <w:right w:w="70" w:type="dxa"/>
            </w:tcMar>
          </w:tcPr>
          <w:p w14:paraId="121E7F13" w14:textId="77777777" w:rsidR="004275A0" w:rsidRDefault="00000000">
            <w:r>
              <w:rPr>
                <w:rFonts w:eastAsia="Times New Roman" w:cs="Times New Roman"/>
              </w:rPr>
              <w:t>Interpretation</w:t>
            </w:r>
          </w:p>
        </w:tc>
        <w:tc>
          <w:tcPr>
            <w:tcW w:w="6192" w:type="dxa"/>
            <w:tcMar>
              <w:top w:w="70" w:type="dxa"/>
              <w:left w:w="70" w:type="dxa"/>
              <w:bottom w:w="70" w:type="dxa"/>
              <w:right w:w="70" w:type="dxa"/>
            </w:tcMar>
          </w:tcPr>
          <w:p w14:paraId="36FDA50A" w14:textId="77777777" w:rsidR="004275A0" w:rsidRDefault="00000000">
            <w:r>
              <w:rPr>
                <w:rFonts w:eastAsia="Times New Roman" w:cs="Times New Roman"/>
              </w:rPr>
              <w:t>Exploratory pooled effect with substantial heterogeneity; interpret together with outcome-specific findings.</w:t>
            </w:r>
          </w:p>
        </w:tc>
      </w:tr>
    </w:tbl>
    <w:p w14:paraId="19E7C820" w14:textId="77777777" w:rsidR="004275A0" w:rsidRDefault="00000000">
      <w:pPr>
        <w:pageBreakBefore/>
        <w:spacing w:before="120"/>
        <w:jc w:val="center"/>
      </w:pPr>
      <w:r>
        <w:rPr>
          <w:rFonts w:eastAsia="Times New Roman" w:cs="Times New Roman"/>
          <w:noProof/>
        </w:rPr>
        <w:lastRenderedPageBreak/>
        <w:drawing>
          <wp:inline distT="0" distB="0" distL="0" distR="0" wp14:anchorId="386D6E93" wp14:editId="5937BD04">
            <wp:extent cx="5943600" cy="28207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HSMR_Figure2_Forest_Plot.png"/>
                    <pic:cNvPicPr/>
                  </pic:nvPicPr>
                  <pic:blipFill>
                    <a:blip r:embed="rId9"/>
                    <a:stretch>
                      <a:fillRect/>
                    </a:stretch>
                  </pic:blipFill>
                  <pic:spPr>
                    <a:xfrm>
                      <a:off x="0" y="0"/>
                      <a:ext cx="5943600" cy="2820734"/>
                    </a:xfrm>
                    <a:prstGeom prst="rect">
                      <a:avLst/>
                    </a:prstGeom>
                  </pic:spPr>
                </pic:pic>
              </a:graphicData>
            </a:graphic>
          </wp:inline>
        </w:drawing>
      </w:r>
    </w:p>
    <w:p w14:paraId="6BF53483" w14:textId="77777777" w:rsidR="004275A0" w:rsidRDefault="00000000">
      <w:pPr>
        <w:spacing w:before="60"/>
        <w:jc w:val="center"/>
      </w:pPr>
      <w:r>
        <w:rPr>
          <w:rFonts w:eastAsia="Times New Roman" w:cs="Times New Roman"/>
          <w:b/>
        </w:rPr>
        <w:t>Figure 2. Forest plot of risk factors for complications in patients with intestinal stoma</w:t>
      </w:r>
    </w:p>
    <w:p w14:paraId="38EC6AF8" w14:textId="77777777" w:rsidR="004275A0" w:rsidRDefault="00000000">
      <w:pPr>
        <w:spacing w:before="120"/>
        <w:jc w:val="center"/>
      </w:pPr>
      <w:r>
        <w:rPr>
          <w:rFonts w:eastAsia="Times New Roman" w:cs="Times New Roman"/>
          <w:noProof/>
        </w:rPr>
        <w:drawing>
          <wp:inline distT="0" distB="0" distL="0" distR="0" wp14:anchorId="4A5B2476" wp14:editId="25928CD3">
            <wp:extent cx="45720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HSMR_Figure3_Funnel_Plot.png"/>
                    <pic:cNvPicPr/>
                  </pic:nvPicPr>
                  <pic:blipFill>
                    <a:blip r:embed="rId10"/>
                    <a:stretch>
                      <a:fillRect/>
                    </a:stretch>
                  </pic:blipFill>
                  <pic:spPr>
                    <a:xfrm>
                      <a:off x="0" y="0"/>
                      <a:ext cx="4572000" cy="3086100"/>
                    </a:xfrm>
                    <a:prstGeom prst="rect">
                      <a:avLst/>
                    </a:prstGeom>
                  </pic:spPr>
                </pic:pic>
              </a:graphicData>
            </a:graphic>
          </wp:inline>
        </w:drawing>
      </w:r>
    </w:p>
    <w:p w14:paraId="60D07CCA" w14:textId="77777777" w:rsidR="004275A0" w:rsidRDefault="00000000">
      <w:pPr>
        <w:spacing w:before="60"/>
        <w:jc w:val="center"/>
      </w:pPr>
      <w:r>
        <w:rPr>
          <w:rFonts w:eastAsia="Times New Roman" w:cs="Times New Roman"/>
          <w:b/>
        </w:rPr>
        <w:t>Figure 3. Funnel plot of the quantitative meta-analysis</w:t>
      </w:r>
    </w:p>
    <w:p w14:paraId="39504346" w14:textId="77777777" w:rsidR="004275A0" w:rsidRDefault="00000000">
      <w:pPr>
        <w:spacing w:before="120"/>
      </w:pPr>
      <w:r>
        <w:rPr>
          <w:rFonts w:eastAsia="Times New Roman" w:cs="Times New Roman"/>
          <w:b/>
        </w:rPr>
        <w:t>Discussion</w:t>
      </w:r>
    </w:p>
    <w:p w14:paraId="5731B1DD" w14:textId="77777777" w:rsidR="004275A0" w:rsidRDefault="00000000">
      <w:pPr>
        <w:jc w:val="both"/>
      </w:pPr>
      <w:r>
        <w:rPr>
          <w:rFonts w:eastAsia="Times New Roman" w:cs="Times New Roman"/>
        </w:rPr>
        <w:t xml:space="preserve">The findings indicate that postoperative complications in patients with intestinal stoma should not be viewed as a single clinical outcome. The included studies addressed different complications </w:t>
      </w:r>
      <w:r>
        <w:rPr>
          <w:rFonts w:eastAsia="Times New Roman" w:cs="Times New Roman"/>
        </w:rPr>
        <w:lastRenderedPageBreak/>
        <w:t>and phases of care, ranging from emergency stoma formation and early postoperative morbidity to high-output stoma, obstruction, readmission, stoma closure, and quality of life.</w:t>
      </w:r>
      <w:r>
        <w:rPr>
          <w:rFonts w:eastAsia="Times New Roman" w:cs="Times New Roman"/>
          <w:vertAlign w:val="superscript"/>
        </w:rPr>
        <w:t>23–34</w:t>
      </w:r>
      <w:r>
        <w:rPr>
          <w:rFonts w:eastAsia="Times New Roman" w:cs="Times New Roman"/>
        </w:rPr>
        <w:t xml:space="preserve"> The substantial heterogeneity in the pooled analysis is therefore clinically plausible and limits interpretation of the summary effect as a uniform measure of risk.</w:t>
      </w:r>
    </w:p>
    <w:p w14:paraId="28815888" w14:textId="77777777" w:rsidR="004275A0" w:rsidRDefault="00000000">
      <w:pPr>
        <w:jc w:val="both"/>
      </w:pPr>
      <w:r>
        <w:rPr>
          <w:rFonts w:eastAsia="Times New Roman" w:cs="Times New Roman"/>
        </w:rPr>
        <w:t>Risk factors were distributed across patient-related, procedural, anatomical, and stoma-care domains. Malignant disease, comorbidity, loop ostomy, female sex, neoadjuvant therapy, ileostomy, low stoma height, obesity, and emergency surgery were associated with selected complications in the included literature.</w:t>
      </w:r>
      <w:r>
        <w:rPr>
          <w:rFonts w:eastAsia="Times New Roman" w:cs="Times New Roman"/>
          <w:vertAlign w:val="superscript"/>
        </w:rPr>
        <w:t>23,24</w:t>
      </w:r>
      <w:r>
        <w:rPr>
          <w:rFonts w:eastAsia="Times New Roman" w:cs="Times New Roman"/>
        </w:rPr>
        <w:t xml:space="preserve"> Broader systematic evidence has likewise identified multiple patient-level and procedural risk factors following stoma formation.</w:t>
      </w:r>
      <w:r>
        <w:rPr>
          <w:rFonts w:eastAsia="Times New Roman" w:cs="Times New Roman"/>
          <w:vertAlign w:val="superscript"/>
        </w:rPr>
        <w:t>36</w:t>
      </w:r>
    </w:p>
    <w:p w14:paraId="052E2CCE" w14:textId="77777777" w:rsidR="004275A0" w:rsidRDefault="00000000">
      <w:pPr>
        <w:jc w:val="both"/>
      </w:pPr>
      <w:r>
        <w:rPr>
          <w:rFonts w:eastAsia="Times New Roman" w:cs="Times New Roman"/>
        </w:rPr>
        <w:t>Ileostomy and colostomy showed different complication profiles. Protective colostomy was more strongly associated with stoma retraction in one included study, whereas ileostomy was linked to high-output stoma, fluid imbalance, postoperative ileus, and readmission in other studies.</w:t>
      </w:r>
      <w:r>
        <w:rPr>
          <w:rFonts w:eastAsia="Times New Roman" w:cs="Times New Roman"/>
          <w:vertAlign w:val="superscript"/>
        </w:rPr>
        <w:t>26–28</w:t>
      </w:r>
      <w:r>
        <w:rPr>
          <w:rFonts w:eastAsia="Times New Roman" w:cs="Times New Roman"/>
        </w:rPr>
        <w:t xml:space="preserve"> Evidence comparing preventive loop ileostomy and colostomy similarly suggests that individual complications differ by procedure rather than consistently favouring one stoma type across all outcomes.</w:t>
      </w:r>
      <w:r>
        <w:rPr>
          <w:rFonts w:eastAsia="Times New Roman" w:cs="Times New Roman"/>
          <w:vertAlign w:val="superscript"/>
        </w:rPr>
        <w:t>37</w:t>
      </w:r>
    </w:p>
    <w:p w14:paraId="577994AE" w14:textId="77777777" w:rsidR="004275A0" w:rsidRDefault="00000000">
      <w:pPr>
        <w:jc w:val="both"/>
      </w:pPr>
      <w:r>
        <w:rPr>
          <w:rFonts w:eastAsia="Times New Roman" w:cs="Times New Roman"/>
        </w:rPr>
        <w:t>Late and skin-related complications further broaden the clinical spectrum. Parastomal hernia has been associated with worse health-related quality of life, while peristomal Candida infection has been examined as a risk factor for surgical-site infection after stoma closure.</w:t>
      </w:r>
      <w:r>
        <w:rPr>
          <w:rFonts w:eastAsia="Times New Roman" w:cs="Times New Roman"/>
          <w:vertAlign w:val="superscript"/>
        </w:rPr>
        <w:t>12,13</w:t>
      </w:r>
      <w:r>
        <w:rPr>
          <w:rFonts w:eastAsia="Times New Roman" w:cs="Times New Roman"/>
        </w:rPr>
        <w:t xml:space="preserve"> In rectal cancer patients, loop stoma, stoma height below 10 mm, chemotherapy, and diabetes mellitus have been associated with peristomal skin disorders or worsening skin conditions.</w:t>
      </w:r>
      <w:r>
        <w:rPr>
          <w:rFonts w:eastAsia="Times New Roman" w:cs="Times New Roman"/>
          <w:vertAlign w:val="superscript"/>
        </w:rPr>
        <w:t>11</w:t>
      </w:r>
    </w:p>
    <w:p w14:paraId="6E49B9BD" w14:textId="77777777" w:rsidR="004275A0" w:rsidRDefault="00000000">
      <w:pPr>
        <w:jc w:val="both"/>
      </w:pPr>
      <w:r>
        <w:rPr>
          <w:rFonts w:eastAsia="Times New Roman" w:cs="Times New Roman"/>
        </w:rPr>
        <w:t>Quality of life represents a distinct but related dimension of stoma outcomes. The included cross-sectional study evaluated quality of life among colorectal cancer patients living with a stoma.</w:t>
      </w:r>
      <w:r>
        <w:rPr>
          <w:rFonts w:eastAsia="Times New Roman" w:cs="Times New Roman"/>
          <w:vertAlign w:val="superscript"/>
        </w:rPr>
        <w:t>34</w:t>
      </w:r>
      <w:r>
        <w:rPr>
          <w:rFonts w:eastAsia="Times New Roman" w:cs="Times New Roman"/>
        </w:rPr>
        <w:t xml:space="preserve"> Broader evidence indicates that peristomal skin problems, leakage, discomfort, and difficulties </w:t>
      </w:r>
      <w:r>
        <w:rPr>
          <w:rFonts w:eastAsia="Times New Roman" w:cs="Times New Roman"/>
        </w:rPr>
        <w:lastRenderedPageBreak/>
        <w:t>with self-care may extend into psychological, social, and functional limitations.</w:t>
      </w:r>
      <w:r>
        <w:rPr>
          <w:rFonts w:eastAsia="Times New Roman" w:cs="Times New Roman"/>
          <w:vertAlign w:val="superscript"/>
        </w:rPr>
        <w:t>38,39</w:t>
      </w:r>
      <w:r>
        <w:rPr>
          <w:rFonts w:eastAsia="Times New Roman" w:cs="Times New Roman"/>
        </w:rPr>
        <w:t xml:space="preserve"> Quality-of-life findings should therefore be interpreted as patient-centred outcomes that interact with postoperative morbidity rather than as direct equivalents of complication-risk estimates.</w:t>
      </w:r>
    </w:p>
    <w:p w14:paraId="1D678265" w14:textId="77777777" w:rsidR="004275A0" w:rsidRDefault="00000000">
      <w:pPr>
        <w:jc w:val="both"/>
      </w:pPr>
      <w:r>
        <w:rPr>
          <w:rFonts w:eastAsia="Times New Roman" w:cs="Times New Roman"/>
        </w:rPr>
        <w:t>The quantitative synthesis showed an overall positive pooled effect in the JASP output, but its clinical interpretation is limited by the very high heterogeneity and by differences in study design, stoma type, patient population, phase of care, risk factor, and outcome definition. The asymmetric funnel plot also warrants caution, particularly because funnel-plot patterns are difficult to interpret when studies address heterogeneous endpoints.</w:t>
      </w:r>
    </w:p>
    <w:p w14:paraId="2702248D" w14:textId="77777777" w:rsidR="004275A0" w:rsidRDefault="00000000">
      <w:pPr>
        <w:jc w:val="both"/>
      </w:pPr>
      <w:r>
        <w:rPr>
          <w:rFonts w:eastAsia="Times New Roman" w:cs="Times New Roman"/>
        </w:rPr>
        <w:t>This review has several limitations. PubMed/MEDLINE, Scopus, and Web of Science were searched, but Embase and the Cochrane Library were not included. Quality-of-life studies were fewer than studies of clinical complications. A formal risk-of-bias assessment was not performed, so the methodological quality of the included studies was not formally graded. Subgroup analysis, sensitivity analysis, and meta-regression were not undertaken because few studies were clinically comparable within individual outcome categories. The search was also restricted to English and/or Indonesian articles and required full-text availability. These limitations reduce confidence in the pooled estimate and reinforce the need to interpret outcome-specific findings alongside the quantitative summary.</w:t>
      </w:r>
    </w:p>
    <w:p w14:paraId="1840F01E" w14:textId="77777777" w:rsidR="004275A0" w:rsidRDefault="00000000">
      <w:pPr>
        <w:spacing w:before="120"/>
      </w:pPr>
      <w:r>
        <w:rPr>
          <w:rFonts w:eastAsia="Times New Roman" w:cs="Times New Roman"/>
          <w:b/>
        </w:rPr>
        <w:t>Conclusion</w:t>
      </w:r>
    </w:p>
    <w:p w14:paraId="0E487FE6" w14:textId="77777777" w:rsidR="004275A0" w:rsidRDefault="00000000">
      <w:pPr>
        <w:jc w:val="both"/>
      </w:pPr>
      <w:r>
        <w:rPr>
          <w:rFonts w:eastAsia="Times New Roman" w:cs="Times New Roman"/>
        </w:rPr>
        <w:t xml:space="preserve">Complications after intestinal stoma formation varied across the postoperative course and included early stoma complications, peristomal skin problems, high-output stoma, stoma-related obstruction, readmission, and morbidity after stoma closure. Twelve studies were included in the systematic review and 11 contributed to the quantitative meta-analysis. The pooled effect estimate was 1.12 (95% CI 0.60–1.65; t(10)=4.80, p&lt;0.001), while heterogeneity was substantial </w:t>
      </w:r>
      <w:r>
        <w:rPr>
          <w:rFonts w:eastAsia="Times New Roman" w:cs="Times New Roman"/>
        </w:rPr>
        <w:lastRenderedPageBreak/>
        <w:t>(I²=86.98%). Stoma outcomes differed according to patient characteristics, stoma type, clinical phase, and outcome definition. Prevention should therefore combine preoperative risk assessment, appropriate stoma-site and stoma-type planning, postoperative education, peristomal skin monitoring, and continued follow-up, while quality of life should be considered alongside clinical morbidity.</w:t>
      </w:r>
    </w:p>
    <w:p w14:paraId="0E5F5B99" w14:textId="77777777" w:rsidR="004275A0" w:rsidRDefault="00000000">
      <w:pPr>
        <w:spacing w:before="120"/>
      </w:pPr>
      <w:r>
        <w:rPr>
          <w:rFonts w:eastAsia="Times New Roman" w:cs="Times New Roman"/>
          <w:b/>
        </w:rPr>
        <w:t>Acknowledgements</w:t>
      </w:r>
    </w:p>
    <w:p w14:paraId="7B49A32B" w14:textId="6FDCDB22" w:rsidR="004275A0" w:rsidRDefault="00000000">
      <w:r>
        <w:rPr>
          <w:rFonts w:eastAsia="Times New Roman" w:cs="Times New Roman"/>
        </w:rPr>
        <w:t>None.</w:t>
      </w:r>
    </w:p>
    <w:p w14:paraId="5305975D" w14:textId="77777777" w:rsidR="004275A0" w:rsidRDefault="00000000">
      <w:pPr>
        <w:spacing w:before="120"/>
      </w:pPr>
      <w:r>
        <w:rPr>
          <w:rFonts w:eastAsia="Times New Roman" w:cs="Times New Roman"/>
          <w:b/>
        </w:rPr>
        <w:t>Funding Sources</w:t>
      </w:r>
    </w:p>
    <w:p w14:paraId="188CB69C" w14:textId="274F1A0D" w:rsidR="004275A0" w:rsidRDefault="00000000">
      <w:r>
        <w:rPr>
          <w:rFonts w:eastAsia="Times New Roman" w:cs="Times New Roman"/>
        </w:rPr>
        <w:t>This research received no specific grant from any funding agency in the public, commercial, or not-for-profit sectors.</w:t>
      </w:r>
    </w:p>
    <w:p w14:paraId="694640C2" w14:textId="77777777" w:rsidR="004275A0" w:rsidRDefault="00000000">
      <w:pPr>
        <w:spacing w:before="120"/>
      </w:pPr>
      <w:r>
        <w:rPr>
          <w:rFonts w:eastAsia="Times New Roman" w:cs="Times New Roman"/>
          <w:b/>
        </w:rPr>
        <w:t>Conflict of Interest</w:t>
      </w:r>
    </w:p>
    <w:p w14:paraId="472F3442" w14:textId="3857BD99" w:rsidR="004275A0" w:rsidRDefault="00000000">
      <w:r>
        <w:rPr>
          <w:rFonts w:eastAsia="Times New Roman" w:cs="Times New Roman"/>
        </w:rPr>
        <w:t>The authors declare no potential conflicts of interest.</w:t>
      </w:r>
    </w:p>
    <w:p w14:paraId="78F4A363" w14:textId="77777777" w:rsidR="004275A0" w:rsidRDefault="00000000">
      <w:pPr>
        <w:spacing w:before="120"/>
      </w:pPr>
      <w:r>
        <w:rPr>
          <w:rFonts w:eastAsia="Times New Roman" w:cs="Times New Roman"/>
          <w:b/>
        </w:rPr>
        <w:t>References</w:t>
      </w:r>
    </w:p>
    <w:p w14:paraId="5C2CFDE1" w14:textId="77777777" w:rsidR="004275A0" w:rsidRDefault="00000000">
      <w:pPr>
        <w:ind w:left="360" w:hanging="360"/>
        <w:jc w:val="both"/>
      </w:pPr>
      <w:r>
        <w:rPr>
          <w:rFonts w:eastAsia="Times New Roman" w:cs="Times New Roman"/>
        </w:rPr>
        <w:t>1. Qassim T, Saeed MF, Qassim A, Al-Rawi S, Al-Salmi S, Salman MT, et al. Intestinal stomas-Current practice and challenges: An institutional review. Euroasian J Hepatogastroenterol 2023;13:115-9. doi:10.5005/jp-journals-10018-1404.</w:t>
      </w:r>
    </w:p>
    <w:p w14:paraId="451496C0" w14:textId="77777777" w:rsidR="004275A0" w:rsidRDefault="00000000">
      <w:pPr>
        <w:ind w:left="360" w:hanging="360"/>
        <w:jc w:val="both"/>
      </w:pPr>
      <w:r>
        <w:rPr>
          <w:rFonts w:eastAsia="Times New Roman" w:cs="Times New Roman"/>
        </w:rPr>
        <w:t>2. Elnaim AL, Wong M, Sagap I. Intestinal stomas; basics, complications and controversy: systematic review. Acad Med Surg. Published online December 7, 2024. doi:10.62186/001c.127121.</w:t>
      </w:r>
    </w:p>
    <w:p w14:paraId="41E820D0" w14:textId="77777777" w:rsidR="004275A0" w:rsidRDefault="00000000">
      <w:pPr>
        <w:ind w:left="360" w:hanging="360"/>
        <w:jc w:val="both"/>
      </w:pPr>
      <w:r>
        <w:rPr>
          <w:rFonts w:eastAsia="Times New Roman" w:cs="Times New Roman"/>
        </w:rPr>
        <w:t>3. Ambe PC, Kugler CM, Breuing J, Grohmann E, Friedel J, Hess S, et al. The effect of preoperative stoma site marking on risk of stoma-related complications in patients with intestinal ostomy: a systematic review and meta-analysis. Colorectal Dis 2022;24:904-17. doi:10.1111/codi.16118.</w:t>
      </w:r>
    </w:p>
    <w:p w14:paraId="013F95F8" w14:textId="77777777" w:rsidR="004275A0" w:rsidRDefault="00000000">
      <w:pPr>
        <w:ind w:left="360" w:hanging="360"/>
        <w:jc w:val="both"/>
      </w:pPr>
      <w:r>
        <w:rPr>
          <w:rFonts w:eastAsia="Times New Roman" w:cs="Times New Roman"/>
        </w:rPr>
        <w:lastRenderedPageBreak/>
        <w:t>4. Nozawa H, Sasaki S, Hayashi C, Kawasaki A, Sasaki K, Murono K, et al. Preoperative stoma site marking reduces postoperative stoma-related complications in emergency surgery: a single center retrospective cohort study. Scand J Surg 2024;113:40-9. doi:10.1177/14574969231186282.</w:t>
      </w:r>
    </w:p>
    <w:p w14:paraId="7F690CBA" w14:textId="77777777" w:rsidR="004275A0" w:rsidRDefault="00000000">
      <w:pPr>
        <w:ind w:left="360" w:hanging="360"/>
        <w:jc w:val="both"/>
      </w:pPr>
      <w:r>
        <w:rPr>
          <w:rFonts w:eastAsia="Times New Roman" w:cs="Times New Roman"/>
        </w:rPr>
        <w:t>5. Dellafiore F, Caruso R, Bonavina L, Udugampolage NS, Villa G, Russo S, et al. Risk factors and pooled incidence of intestinal stoma complications: systematic review and meta-analysis. Curr Med Res Opin 2022;38:1103-13. doi:10.1080/03007995.2022.2081455.</w:t>
      </w:r>
    </w:p>
    <w:p w14:paraId="7C1A4044" w14:textId="77777777" w:rsidR="004275A0" w:rsidRDefault="00000000">
      <w:pPr>
        <w:ind w:left="360" w:hanging="360"/>
        <w:jc w:val="both"/>
      </w:pPr>
      <w:r>
        <w:rPr>
          <w:rFonts w:eastAsia="Times New Roman" w:cs="Times New Roman"/>
        </w:rPr>
        <w:t>6. Gan JX, Liu HP, Chen K. Prevalence and pooled risk factors of stoma outlet obstruction after colorectal surgery with diverting ileostomy: a systematic review and meta-analysis. Int J Colorectal Dis 2025;40:119. doi:10.1007/s00384-025-04862-5.</w:t>
      </w:r>
    </w:p>
    <w:p w14:paraId="16207075" w14:textId="77777777" w:rsidR="004275A0" w:rsidRDefault="00000000">
      <w:pPr>
        <w:ind w:left="360" w:hanging="360"/>
        <w:jc w:val="both"/>
      </w:pPr>
      <w:r>
        <w:rPr>
          <w:rFonts w:eastAsia="Times New Roman" w:cs="Times New Roman"/>
        </w:rPr>
        <w:t>7. Toffaha A, Badr A, Al-Dhaheri M, Aleter A, Latif E, Kurer M, et al. Risk factors for stoma outlet obstruction: systematic review and meta-analysis. Langenbecks Arch Surg 2025;410:317. doi:10.1007/s00423-025-03892-5.</w:t>
      </w:r>
    </w:p>
    <w:p w14:paraId="758706CD" w14:textId="77777777" w:rsidR="004275A0" w:rsidRDefault="00000000">
      <w:pPr>
        <w:ind w:left="360" w:hanging="360"/>
        <w:jc w:val="both"/>
      </w:pPr>
      <w:r>
        <w:rPr>
          <w:rFonts w:eastAsia="Times New Roman" w:cs="Times New Roman"/>
        </w:rPr>
        <w:t>8. Zhou L, Qin Z, Wang L. Risk factors and incidence of non-closure stoma in patients with anterior resection of rectal cancer with temporary stoma: a systematic review and meta-analysis. Eur J Surg Oncol 2023;49:107120. doi:10.1016/j.ejso.2023.107120.</w:t>
      </w:r>
    </w:p>
    <w:p w14:paraId="581CDF8E" w14:textId="77777777" w:rsidR="004275A0" w:rsidRDefault="00000000">
      <w:pPr>
        <w:ind w:left="360" w:hanging="360"/>
        <w:jc w:val="both"/>
      </w:pPr>
      <w:r>
        <w:rPr>
          <w:rFonts w:eastAsia="Times New Roman" w:cs="Times New Roman"/>
        </w:rPr>
        <w:t>9. Brady RRW, Sheard D, Howard K, Vestergaard M, Boisen EB, Mather R, et al. The prevalence of leakage, peristomal skin complications and impact on quality of life in the first year following stoma surgery. Nurs Rep 2025;15:107. doi:10.3390/nursrep15030107.</w:t>
      </w:r>
    </w:p>
    <w:p w14:paraId="66B938CE" w14:textId="77777777" w:rsidR="004275A0" w:rsidRDefault="00000000">
      <w:pPr>
        <w:ind w:left="360" w:hanging="360"/>
        <w:jc w:val="both"/>
      </w:pPr>
      <w:r>
        <w:rPr>
          <w:rFonts w:eastAsia="Times New Roman" w:cs="Times New Roman"/>
        </w:rPr>
        <w:t>10. Poliani A, Marcomini I, Butti P, Nedesca ED, Manara DF, Villa G. Stoma leakage: prevalence, associated factors, and assessment tools-a scoping review. Nurs Rep 2026;16:46. doi:10.3390/nursrep16020046.</w:t>
      </w:r>
    </w:p>
    <w:p w14:paraId="6AC51817" w14:textId="77777777" w:rsidR="004275A0" w:rsidRDefault="00000000">
      <w:pPr>
        <w:ind w:left="360" w:hanging="360"/>
        <w:jc w:val="both"/>
      </w:pPr>
      <w:r>
        <w:rPr>
          <w:rFonts w:eastAsia="Times New Roman" w:cs="Times New Roman"/>
        </w:rPr>
        <w:lastRenderedPageBreak/>
        <w:t>11. Shiraishi T, Ogawa H, Katayama C, Osone K, Okada T, Katoh R, et al. Association of chemotherapy and stoma features with peristomal skin disorders in rectal cancer patients. Sci Rep 2025;15:42214. doi:10.1038/s41598-025-26387-1.</w:t>
      </w:r>
    </w:p>
    <w:p w14:paraId="263A21B8" w14:textId="77777777" w:rsidR="004275A0" w:rsidRDefault="00000000">
      <w:pPr>
        <w:ind w:left="360" w:hanging="360"/>
        <w:jc w:val="both"/>
      </w:pPr>
      <w:r>
        <w:rPr>
          <w:rFonts w:eastAsia="Times New Roman" w:cs="Times New Roman"/>
        </w:rPr>
        <w:t>12. Glynn J, Hollingworth W, Harris J, Mohiuddin S, Ellis L, Reeves BC, et al. The impact of parastomal hernia on quality of life using data from the CIPHER prospective cohort study. Eur J Health Econ 2025;26:1209-18. doi:10.1007/s10198-025-01768-5.</w:t>
      </w:r>
    </w:p>
    <w:p w14:paraId="1F2C50F5" w14:textId="77777777" w:rsidR="004275A0" w:rsidRDefault="00000000">
      <w:pPr>
        <w:ind w:left="360" w:hanging="360"/>
        <w:jc w:val="both"/>
      </w:pPr>
      <w:r>
        <w:rPr>
          <w:rFonts w:eastAsia="Times New Roman" w:cs="Times New Roman"/>
        </w:rPr>
        <w:t>13. Jose A, Kothari R, Sharma DB, Sharma D. Incidence and impact of peristomal candidiasis on outcomes after intestinal stoma closure: a prospective study. Trop Doct 2025;55:121-3. doi:10.1177/00494755251329636.</w:t>
      </w:r>
    </w:p>
    <w:p w14:paraId="022A9AED" w14:textId="77777777" w:rsidR="004275A0" w:rsidRDefault="00000000">
      <w:pPr>
        <w:ind w:left="360" w:hanging="360"/>
        <w:jc w:val="both"/>
      </w:pPr>
      <w:r>
        <w:rPr>
          <w:rFonts w:eastAsia="Times New Roman" w:cs="Times New Roman"/>
        </w:rPr>
        <w:t>14. Zeng Z, Hu Y, Hou S, Yang R, Shi Z, Li X. Risk factors for complications after infantile enterostomy: development of a clinical prediction model. Front Public Health 2025;13:1566789. doi:10.3389/fpubh.2025.1566789.</w:t>
      </w:r>
    </w:p>
    <w:p w14:paraId="37863A5C" w14:textId="77777777" w:rsidR="004275A0" w:rsidRDefault="00000000">
      <w:pPr>
        <w:ind w:left="360" w:hanging="360"/>
        <w:jc w:val="both"/>
      </w:pPr>
      <w:r>
        <w:rPr>
          <w:rFonts w:eastAsia="Times New Roman" w:cs="Times New Roman"/>
        </w:rPr>
        <w:t>15. Zewude WC, Derese T, Suga Y, Teklewold B. Quality of life in patients living with stoma. Ethiop J Health Sci 2021;31:993-1000. doi:10.4314/ejhs.v31i5.11.</w:t>
      </w:r>
    </w:p>
    <w:p w14:paraId="3379A11C" w14:textId="77777777" w:rsidR="004275A0" w:rsidRDefault="00000000">
      <w:pPr>
        <w:ind w:left="360" w:hanging="360"/>
        <w:jc w:val="both"/>
      </w:pPr>
      <w:r>
        <w:rPr>
          <w:rFonts w:eastAsia="Times New Roman" w:cs="Times New Roman"/>
        </w:rPr>
        <w:t>16. Leite Junior VdO, Vieira GG, Lima KS, Costa SM, Carvalho ARBd, Soeiro VMdS, et al. Quality of life and its determinants in older adults with intestinal stomas: a cross-sectional study. Int J Environ Res Public Health 2025;22:375. doi:10.3390/ijerph22030375.</w:t>
      </w:r>
    </w:p>
    <w:p w14:paraId="5C2676CD" w14:textId="77777777" w:rsidR="004275A0" w:rsidRDefault="00000000">
      <w:pPr>
        <w:ind w:left="360" w:hanging="360"/>
        <w:jc w:val="both"/>
      </w:pPr>
      <w:r>
        <w:rPr>
          <w:rFonts w:eastAsia="Times New Roman" w:cs="Times New Roman"/>
        </w:rPr>
        <w:t>17. Lupo R, Rubbi I, Barletta A, Mele C, Lezzi A, Botrugno I, et al. Quality of life and psychophysical consequences in individuals with intestinal stoma: an observational study. Int J Environ Res Public Health 2025;22:1327. doi:10.3390/ijerph22091327.</w:t>
      </w:r>
    </w:p>
    <w:p w14:paraId="4AA88930" w14:textId="77777777" w:rsidR="004275A0" w:rsidRDefault="00000000">
      <w:pPr>
        <w:ind w:left="360" w:hanging="360"/>
        <w:jc w:val="both"/>
      </w:pPr>
      <w:r>
        <w:rPr>
          <w:rFonts w:eastAsia="Times New Roman" w:cs="Times New Roman"/>
        </w:rPr>
        <w:t>18. Açil HC, Yilmaz AÇ, Aygin D. The effect of recovery status and life conditions on the quality of life in colorectal cancer patients with stoma: a path analysis. Front Psychol 2025;16:1693626. doi:10.3389/fpsyg.2025.1693626.</w:t>
      </w:r>
    </w:p>
    <w:p w14:paraId="3EA3D3CC" w14:textId="77777777" w:rsidR="004275A0" w:rsidRDefault="00000000">
      <w:pPr>
        <w:ind w:left="360" w:hanging="360"/>
        <w:jc w:val="both"/>
      </w:pPr>
      <w:r>
        <w:rPr>
          <w:rFonts w:eastAsia="Times New Roman" w:cs="Times New Roman"/>
        </w:rPr>
        <w:lastRenderedPageBreak/>
        <w:t>19. Díaz-Sánchez C, Rodríguez-Muñoz PM, Navarro-López V, Carmona-Torres JM, Sánchez-Gil A, Sánchez-González JL, et al. Impact of ostomy on quality of life in patients with colorectal cancer: a systematic review and meta-analysis. Healthcare (Basel) 2026;14:444. doi:10.3390/healthcare14040444.</w:t>
      </w:r>
    </w:p>
    <w:p w14:paraId="2E011F63" w14:textId="77777777" w:rsidR="004275A0" w:rsidRDefault="00000000">
      <w:pPr>
        <w:ind w:left="360" w:hanging="360"/>
        <w:jc w:val="both"/>
      </w:pPr>
      <w:r>
        <w:rPr>
          <w:rFonts w:eastAsia="Times New Roman" w:cs="Times New Roman"/>
        </w:rPr>
        <w:t>20. Sritan S. Factors contributing to the quality of life among Thai patients diagnosed with colorectal cancer with a stoma: an integrative review. J Adv Nurs 2023;79:1-14. doi:10.1111/jan.15460.</w:t>
      </w:r>
    </w:p>
    <w:p w14:paraId="7C1DF07A" w14:textId="77777777" w:rsidR="004275A0" w:rsidRDefault="00000000">
      <w:pPr>
        <w:ind w:left="360" w:hanging="360"/>
        <w:jc w:val="both"/>
      </w:pPr>
      <w:r>
        <w:rPr>
          <w:rFonts w:eastAsia="Times New Roman" w:cs="Times New Roman"/>
        </w:rPr>
        <w:t>21. Page MJ, McKenzie JE, Bossuyt PM, Boutron I, Hoffmann TC, Mulrow CD, et al. The PRISMA 2020 statement: an updated guideline for reporting systematic reviews. BMJ 2021;372:n71. doi:10.1136/bmj.n71.</w:t>
      </w:r>
    </w:p>
    <w:p w14:paraId="239F7E85" w14:textId="77777777" w:rsidR="004275A0" w:rsidRDefault="00000000">
      <w:pPr>
        <w:ind w:left="360" w:hanging="360"/>
        <w:jc w:val="both"/>
      </w:pPr>
      <w:r>
        <w:rPr>
          <w:rFonts w:eastAsia="Times New Roman" w:cs="Times New Roman"/>
        </w:rPr>
        <w:t>22. Higgins JPT, Thomas J, Chandler J, Cumpston M, Li T, Page MJ, et al. Cochrane Handbook for Systematic Reviews of Interventions. Version 6.5. Cochrane; 2024. Available from: https://www.cochrane.org/authors/handbooks-and-manuals/handbook/current.</w:t>
      </w:r>
    </w:p>
    <w:p w14:paraId="38C57415" w14:textId="77777777" w:rsidR="004275A0" w:rsidRDefault="00000000">
      <w:pPr>
        <w:ind w:left="360" w:hanging="360"/>
        <w:jc w:val="both"/>
      </w:pPr>
      <w:r>
        <w:rPr>
          <w:rFonts w:eastAsia="Times New Roman" w:cs="Times New Roman"/>
        </w:rPr>
        <w:t>23. MacDonald S, Wong L-S, Ng HJ, Hastings C, Ross I, Quasim T, et al. Post-operative outcomes and identification of risk factors for complications after emergency intestinal stoma surgery: a multi-centre retrospective study. Colorectal Dis 2024;26:994-1003. doi:10.1111/codi.16947.</w:t>
      </w:r>
    </w:p>
    <w:p w14:paraId="0A031336" w14:textId="77777777" w:rsidR="004275A0" w:rsidRDefault="00000000">
      <w:pPr>
        <w:ind w:left="360" w:hanging="360"/>
        <w:jc w:val="both"/>
      </w:pPr>
      <w:r>
        <w:rPr>
          <w:rFonts w:eastAsia="Times New Roman" w:cs="Times New Roman"/>
        </w:rPr>
        <w:t>24. Ayik C, Bişgin T, Cenan D, Manoğlu B, Özden D, Sökmen S. Risk factors for early ostomy complications in emergency and elective colorectal surgery: a single-center retrospective cohort study. Scand J Surg 2024;113:50-9. doi:10.1177/14574969231190291.</w:t>
      </w:r>
    </w:p>
    <w:p w14:paraId="3304C055" w14:textId="77777777" w:rsidR="004275A0" w:rsidRDefault="00000000">
      <w:pPr>
        <w:ind w:left="360" w:hanging="360"/>
        <w:jc w:val="both"/>
      </w:pPr>
      <w:r>
        <w:rPr>
          <w:rFonts w:eastAsia="Times New Roman" w:cs="Times New Roman"/>
        </w:rPr>
        <w:t>25. Ayik C, Özden D, Cenan D. Ostomy complications, risk factors, and applied nursing care: a retrospective, descriptive study. Wound Manag Prev 2020;66:20-30. doi:10.25270/wmp.2020.9.2030.</w:t>
      </w:r>
    </w:p>
    <w:p w14:paraId="58533BD1" w14:textId="77777777" w:rsidR="004275A0" w:rsidRDefault="00000000">
      <w:pPr>
        <w:ind w:left="360" w:hanging="360"/>
        <w:jc w:val="both"/>
      </w:pPr>
      <w:r>
        <w:rPr>
          <w:rFonts w:eastAsia="Times New Roman" w:cs="Times New Roman"/>
        </w:rPr>
        <w:lastRenderedPageBreak/>
        <w:t>26. Yang Y-W, Huang S-C, Cheng H-H, Chang S-C, Jiang J-K, Wang H-S, et al. Protective loop ileostomy or colostomy? A risk evaluation of all common complications. Ann Coloproctol 2024;40:580-7. doi:10.3393/ac.2022.00710.0101.</w:t>
      </w:r>
    </w:p>
    <w:p w14:paraId="0C2AB0F2" w14:textId="77777777" w:rsidR="004275A0" w:rsidRDefault="00000000">
      <w:pPr>
        <w:ind w:left="360" w:hanging="360"/>
        <w:jc w:val="both"/>
      </w:pPr>
      <w:r>
        <w:rPr>
          <w:rFonts w:eastAsia="Times New Roman" w:cs="Times New Roman"/>
        </w:rPr>
        <w:t>27. Lee N, Lee SY, Kim CH, Kwak HD, Ju JK, Kim HR. The relationship between high-output stomas, postoperative ileus, and readmission after rectal cancer surgery with diverting ileostomy. Ann Coloproctol 2021;37:44-50. doi:10.3393/ac.2020.08.03.</w:t>
      </w:r>
    </w:p>
    <w:p w14:paraId="5CD2FC98" w14:textId="77777777" w:rsidR="004275A0" w:rsidRDefault="00000000">
      <w:pPr>
        <w:ind w:left="360" w:hanging="360"/>
        <w:jc w:val="both"/>
      </w:pPr>
      <w:r>
        <w:rPr>
          <w:rFonts w:eastAsia="Times New Roman" w:cs="Times New Roman"/>
        </w:rPr>
        <w:t>28. Takeda M, Takahashi H, Haraguchi N, Miyoshi N, Hata T, Yamamoto H, et al. Factors predictive of high-output ileostomy: a retrospective single-center comparative study. Surg Today 2019;49:482-7. doi:10.1007/s00595-018-1756-2.</w:t>
      </w:r>
    </w:p>
    <w:p w14:paraId="25313467" w14:textId="77777777" w:rsidR="004275A0" w:rsidRDefault="00000000">
      <w:pPr>
        <w:ind w:left="360" w:hanging="360"/>
        <w:jc w:val="both"/>
      </w:pPr>
      <w:r>
        <w:rPr>
          <w:rFonts w:eastAsia="Times New Roman" w:cs="Times New Roman"/>
        </w:rPr>
        <w:t>29. Maemoto R, Tsujinaka S, Miyakura Y, Fukuda R, Kakizawa N, Takenami T, et al. Risk factors and management of stoma-related obstruction after laparoscopic colorectal surgery with diverting ileostomy. Asian J Surg 2021;44:1037-42. doi:10.1016/j.asjsur.2021.01.002.</w:t>
      </w:r>
    </w:p>
    <w:p w14:paraId="6BB41D72" w14:textId="77777777" w:rsidR="004275A0" w:rsidRDefault="00000000">
      <w:pPr>
        <w:ind w:left="360" w:hanging="360"/>
        <w:jc w:val="both"/>
      </w:pPr>
      <w:r>
        <w:rPr>
          <w:rFonts w:eastAsia="Times New Roman" w:cs="Times New Roman"/>
        </w:rPr>
        <w:t>30. Kilinc G, Ustun M, Tuncer K, Sert I. Risk factors for the morbidity and mortality of stoma closure. J Coll Physicians Surg Pak 2021;31:1085-8. doi:10.29271/jcpsp.2021.09.1085.</w:t>
      </w:r>
    </w:p>
    <w:p w14:paraId="77DA89EF" w14:textId="77777777" w:rsidR="004275A0" w:rsidRDefault="00000000">
      <w:pPr>
        <w:ind w:left="360" w:hanging="360"/>
        <w:jc w:val="both"/>
      </w:pPr>
      <w:r>
        <w:rPr>
          <w:rFonts w:eastAsia="Times New Roman" w:cs="Times New Roman"/>
        </w:rPr>
        <w:t>31. Vergara-Fernández O, Trejo-Avila M, Salgado-Nesme N. Multivariate analysis of risk factors for complications after loop ileostomy closure. Cir Cir 2019;87:337-46. doi:10.24875/CIRU.18000611.</w:t>
      </w:r>
    </w:p>
    <w:p w14:paraId="15EA88D8" w14:textId="77777777" w:rsidR="004275A0" w:rsidRDefault="00000000">
      <w:pPr>
        <w:ind w:left="360" w:hanging="360"/>
        <w:jc w:val="both"/>
      </w:pPr>
      <w:r>
        <w:rPr>
          <w:rFonts w:eastAsia="Times New Roman" w:cs="Times New Roman"/>
        </w:rPr>
        <w:t>32. Lv Q, Yuan Y, Xiang Z. Analysis of risk factors for the sigmoid stoma complications in patients after abdominoperineal resection surgery: an observational study. Medicine (Baltimore) 2024;103:e38751. doi:10.1097/MD.0000000000038751.</w:t>
      </w:r>
    </w:p>
    <w:p w14:paraId="6190730D" w14:textId="77777777" w:rsidR="004275A0" w:rsidRDefault="00000000">
      <w:pPr>
        <w:ind w:left="360" w:hanging="360"/>
        <w:jc w:val="both"/>
      </w:pPr>
      <w:r>
        <w:rPr>
          <w:rFonts w:eastAsia="Times New Roman" w:cs="Times New Roman"/>
        </w:rPr>
        <w:t>33. Ba M-Q, Zheng W-L, Zhang Y-L, Zhang L-L, Chen J-J, Ma J, et al. Construction of a nomogram prediction model for early postoperative stoma complications of colorectal cancer. World J Gastrointest Surg 2025;17:100547. doi:10.4240/wjgs.v17.i1.100547.</w:t>
      </w:r>
    </w:p>
    <w:p w14:paraId="7D9A967B" w14:textId="77777777" w:rsidR="004275A0" w:rsidRDefault="00000000">
      <w:pPr>
        <w:ind w:left="360" w:hanging="360"/>
        <w:jc w:val="both"/>
      </w:pPr>
      <w:r>
        <w:rPr>
          <w:rFonts w:eastAsia="Times New Roman" w:cs="Times New Roman"/>
        </w:rPr>
        <w:lastRenderedPageBreak/>
        <w:t>34. Liu H, Zhu X, Yu J, He P, Shen B, Tang X, et al. The quality of life of patients with colorectal cancer and a stoma in China: a quantitative cross-sectional study. Adv Skin Wound Care 2021;34:302-9. doi:10.1097/01.ASW.0000744348.32773.b9.</w:t>
      </w:r>
    </w:p>
    <w:p w14:paraId="2E8BE7F1" w14:textId="77777777" w:rsidR="004275A0" w:rsidRDefault="00000000">
      <w:pPr>
        <w:ind w:left="360" w:hanging="360"/>
        <w:jc w:val="both"/>
      </w:pPr>
      <w:r>
        <w:rPr>
          <w:rFonts w:eastAsia="Times New Roman" w:cs="Times New Roman"/>
        </w:rPr>
        <w:t>35. Steinhagen E, Colwell J, Cannon LM. Intestinal stomas-postoperative stoma care and peristomal skin complications. Clin Colon Rectal Surg 2017;30:184-92. doi:10.1055/s-0037-1598159.</w:t>
      </w:r>
    </w:p>
    <w:p w14:paraId="484DDABF" w14:textId="77777777" w:rsidR="004275A0" w:rsidRDefault="00000000">
      <w:pPr>
        <w:ind w:left="360" w:hanging="360"/>
        <w:jc w:val="both"/>
      </w:pPr>
      <w:r>
        <w:rPr>
          <w:rFonts w:eastAsia="Times New Roman" w:cs="Times New Roman"/>
        </w:rPr>
        <w:t>36. Chan MS, Moore Z, Patton D, McNamara D, O’Connor T, Avsar P. A systematic review of patient risk factors for complications following stoma formation among adults undergoing colorectal surgery. Int J Colorectal Dis 2023;38:238. doi:10.1007/s00384-023-04523-5.</w:t>
      </w:r>
    </w:p>
    <w:p w14:paraId="6DCDB530" w14:textId="77777777" w:rsidR="004275A0" w:rsidRDefault="00000000">
      <w:pPr>
        <w:ind w:left="360" w:hanging="360"/>
        <w:jc w:val="both"/>
      </w:pPr>
      <w:r>
        <w:rPr>
          <w:rFonts w:eastAsia="Times New Roman" w:cs="Times New Roman"/>
        </w:rPr>
        <w:t>37. Ge Z, Zhao X, Liu Z, Yang G, Wu Q, Wang X, et al. Complications of preventive loop ileostomy versus colostomy: a meta-analysis, trial sequential analysis, and systematic review. BMC Surg 2023;23:235. doi:10.1186/s12893-023-02129-w.</w:t>
      </w:r>
    </w:p>
    <w:p w14:paraId="07ACF08C" w14:textId="77777777" w:rsidR="004275A0" w:rsidRDefault="00000000">
      <w:pPr>
        <w:ind w:left="360" w:hanging="360"/>
        <w:jc w:val="both"/>
      </w:pPr>
      <w:r>
        <w:rPr>
          <w:rFonts w:eastAsia="Times New Roman" w:cs="Times New Roman"/>
        </w:rPr>
        <w:t>38. D’Ambrosio F, Pappalardo C, Scardigno A, Maida A, Ricciardi R, Calabrò GE. Peristomal skin complications in ileostomy and colostomy patients: what we need to know from a public health perspective. Int J Environ Res Public Health 2022;20:79. doi:10.3390/ijerph20010079.</w:t>
      </w:r>
    </w:p>
    <w:p w14:paraId="1094D2F3" w14:textId="77777777" w:rsidR="004275A0" w:rsidRDefault="00000000">
      <w:pPr>
        <w:ind w:left="360" w:hanging="360"/>
        <w:jc w:val="both"/>
      </w:pPr>
      <w:r>
        <w:rPr>
          <w:rFonts w:eastAsia="Times New Roman" w:cs="Times New Roman"/>
        </w:rPr>
        <w:t>39. Guerra E, Denti FC, Di Pasquale C, Caroppo F, Angileri L, Cioni M, et al. Peristomal skin complications: detailed analysis of a web-based survey and predictive risk factors. Healthcare (Basel) 2023;11:1823. doi:10.3390/healthcare11131823.</w:t>
      </w:r>
    </w:p>
    <w:sectPr w:rsidR="004275A0">
      <w:footerReference w:type="default" r:id="rId11"/>
      <w:pgSz w:w="12240" w:h="15840"/>
      <w:pgMar w:top="1440" w:right="1440" w:bottom="1440" w:left="1440" w:header="504" w:footer="504" w:gutter="0"/>
      <w:lnNumType w:countBy="1" w:start="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C5F9" w14:textId="77777777" w:rsidR="00887B65" w:rsidRDefault="00887B65">
      <w:pPr>
        <w:spacing w:line="240" w:lineRule="auto"/>
      </w:pPr>
      <w:r>
        <w:separator/>
      </w:r>
    </w:p>
  </w:endnote>
  <w:endnote w:type="continuationSeparator" w:id="0">
    <w:p w14:paraId="37DFD77F" w14:textId="77777777" w:rsidR="00887B65" w:rsidRDefault="00887B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0843B" w14:textId="77777777" w:rsidR="004275A0" w:rsidRDefault="00000000">
    <w:pPr>
      <w:pStyle w:val="Foote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81C71" w14:textId="77777777" w:rsidR="00887B65" w:rsidRDefault="00887B65">
      <w:pPr>
        <w:spacing w:line="240" w:lineRule="auto"/>
      </w:pPr>
      <w:r>
        <w:separator/>
      </w:r>
    </w:p>
  </w:footnote>
  <w:footnote w:type="continuationSeparator" w:id="0">
    <w:p w14:paraId="65C4DC81" w14:textId="77777777" w:rsidR="00887B65" w:rsidRDefault="00887B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4890550">
    <w:abstractNumId w:val="8"/>
  </w:num>
  <w:num w:numId="2" w16cid:durableId="1522161450">
    <w:abstractNumId w:val="6"/>
  </w:num>
  <w:num w:numId="3" w16cid:durableId="1334258444">
    <w:abstractNumId w:val="5"/>
  </w:num>
  <w:num w:numId="4" w16cid:durableId="616840998">
    <w:abstractNumId w:val="4"/>
  </w:num>
  <w:num w:numId="5" w16cid:durableId="695349345">
    <w:abstractNumId w:val="7"/>
  </w:num>
  <w:num w:numId="6" w16cid:durableId="1896357792">
    <w:abstractNumId w:val="3"/>
  </w:num>
  <w:num w:numId="7" w16cid:durableId="358166583">
    <w:abstractNumId w:val="2"/>
  </w:num>
  <w:num w:numId="8" w16cid:durableId="2062164988">
    <w:abstractNumId w:val="1"/>
  </w:num>
  <w:num w:numId="9" w16cid:durableId="654646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31B"/>
    <w:rsid w:val="0029639D"/>
    <w:rsid w:val="00326F90"/>
    <w:rsid w:val="00355677"/>
    <w:rsid w:val="004275A0"/>
    <w:rsid w:val="00444B0B"/>
    <w:rsid w:val="006E53BF"/>
    <w:rsid w:val="007C49D3"/>
    <w:rsid w:val="00887B65"/>
    <w:rsid w:val="009052E9"/>
    <w:rsid w:val="00AA1D8D"/>
    <w:rsid w:val="00B2248A"/>
    <w:rsid w:val="00B47730"/>
    <w:rsid w:val="00BA008A"/>
    <w:rsid w:val="00CB0664"/>
    <w:rsid w:val="00CD7C4E"/>
    <w:rsid w:val="00F62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4846B"/>
  <w14:defaultImageDpi w14:val="300"/>
  <w15:docId w15:val="{3F4D3851-A6AE-4D0F-B720-82FEB7D49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355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26</Pages>
  <Words>4657</Words>
  <Characters>26545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Stoma Outcomes: Systematic Review and Meta-Analysis</dc:title>
  <dc:subject/>
  <dc:creator/>
  <cp:keywords/>
  <dc:description/>
  <cp:lastModifiedBy>PT ANOA MANDIRI SEJAHTERA</cp:lastModifiedBy>
  <cp:revision>3</cp:revision>
  <dcterms:created xsi:type="dcterms:W3CDTF">2026-08-29T06:01:00Z</dcterms:created>
  <dcterms:modified xsi:type="dcterms:W3CDTF">2026-08-29T07:34:00Z</dcterms:modified>
  <cp:category/>
</cp:coreProperties>
</file>