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6B48C" w14:textId="77777777" w:rsidR="00C9032D" w:rsidRPr="00C9032D" w:rsidRDefault="00C9032D" w:rsidP="00C9032D">
      <w:pPr>
        <w:pStyle w:val="Heading1"/>
        <w:spacing w:before="79"/>
        <w:jc w:val="both"/>
        <w:rPr>
          <w:rFonts w:ascii="Times New Roman" w:hAnsi="Times New Roman" w:cs="Times New Roman"/>
          <w:sz w:val="24"/>
          <w:szCs w:val="24"/>
        </w:rPr>
      </w:pPr>
      <w:r w:rsidRPr="00C9032D">
        <w:rPr>
          <w:rFonts w:ascii="Times New Roman" w:hAnsi="Times New Roman" w:cs="Times New Roman"/>
          <w:sz w:val="24"/>
          <w:szCs w:val="24"/>
        </w:rPr>
        <w:t>Effectiveness of Bodyweight Soleus Push-Up in Reducing Blood Glucose among Patients with Type II Diabetes Mellitus</w:t>
      </w:r>
    </w:p>
    <w:p w14:paraId="3C9B97A7" w14:textId="77777777" w:rsidR="00815AF5" w:rsidRPr="00A41EE4" w:rsidRDefault="00815AF5" w:rsidP="00C9032D">
      <w:pPr>
        <w:pStyle w:val="Heading1"/>
        <w:spacing w:before="79"/>
        <w:ind w:left="0"/>
        <w:jc w:val="both"/>
        <w:rPr>
          <w:rFonts w:ascii="Times New Roman" w:hAnsi="Times New Roman" w:cs="Times New Roman"/>
          <w:spacing w:val="-2"/>
          <w:sz w:val="24"/>
          <w:szCs w:val="24"/>
        </w:rPr>
      </w:pPr>
    </w:p>
    <w:p w14:paraId="61D44875" w14:textId="77777777" w:rsidR="00C9032D" w:rsidRPr="00C9032D" w:rsidRDefault="00C9032D" w:rsidP="00C9032D">
      <w:pPr>
        <w:pStyle w:val="Heading1"/>
        <w:spacing w:before="79"/>
        <w:jc w:val="both"/>
        <w:rPr>
          <w:rFonts w:ascii="Times New Roman" w:hAnsi="Times New Roman" w:cs="Times New Roman"/>
          <w:b w:val="0"/>
          <w:bCs w:val="0"/>
          <w:spacing w:val="-2"/>
          <w:sz w:val="24"/>
          <w:szCs w:val="24"/>
        </w:rPr>
      </w:pPr>
      <w:r w:rsidRPr="00C9032D">
        <w:rPr>
          <w:rFonts w:ascii="Times New Roman" w:hAnsi="Times New Roman" w:cs="Times New Roman"/>
          <w:b w:val="0"/>
          <w:bCs w:val="0"/>
          <w:spacing w:val="-2"/>
          <w:sz w:val="24"/>
          <w:szCs w:val="24"/>
        </w:rPr>
        <w:t xml:space="preserve">Type II diabetes mellitus remains a major public health concern due to its high prevalence and potential for chronic complications. Non-pharmacological strategies, particularly simple physical activity, are essential to support glycemic control. This study evaluated the effectiveness of bodyweight soleus push-up exercise in reducing blood glucose levels among patients with type II diabetes mellitus. A quasi-experimental design with a non-equivalent control group was applied. Thirty-six patients from </w:t>
      </w:r>
      <w:proofErr w:type="spellStart"/>
      <w:r w:rsidRPr="00C9032D">
        <w:rPr>
          <w:rFonts w:ascii="Times New Roman" w:hAnsi="Times New Roman" w:cs="Times New Roman"/>
          <w:b w:val="0"/>
          <w:bCs w:val="0"/>
          <w:spacing w:val="-2"/>
          <w:sz w:val="24"/>
          <w:szCs w:val="24"/>
        </w:rPr>
        <w:t>Poasia</w:t>
      </w:r>
      <w:proofErr w:type="spellEnd"/>
      <w:r w:rsidRPr="00C9032D">
        <w:rPr>
          <w:rFonts w:ascii="Times New Roman" w:hAnsi="Times New Roman" w:cs="Times New Roman"/>
          <w:b w:val="0"/>
          <w:bCs w:val="0"/>
          <w:spacing w:val="-2"/>
          <w:sz w:val="24"/>
          <w:szCs w:val="24"/>
        </w:rPr>
        <w:t xml:space="preserve"> Health Center were allocated into two groups: bodyweight soleus push-up (n=18) and soleus push-up without bodyweight (n=18). The intervention consisted of 15-minute sessions, three times weekly for three weeks. Blood glucose was assessed before and after the intervention using a standardized glucometer. Findings revealed significant reductions in both groups, with greater decreases observed in the bodyweight group. Statistical analysis showed a large effect size (2.36), with bodyweight exercise lowering glucose levels 1.7 times more effectively than exercise without bodyweight. These results highlight the potential of bodyweight soleus push-ups as an effective non-pharmacological approach that can complement pharmacological therapy and be incorporated into primary health care programs for diabetes management.</w:t>
      </w:r>
    </w:p>
    <w:p w14:paraId="7FB556B4" w14:textId="77777777" w:rsidR="00C9032D" w:rsidRDefault="00C9032D" w:rsidP="00C9032D">
      <w:pPr>
        <w:pStyle w:val="Heading1"/>
        <w:spacing w:before="79"/>
        <w:jc w:val="both"/>
        <w:rPr>
          <w:rFonts w:ascii="Times New Roman" w:hAnsi="Times New Roman" w:cs="Times New Roman"/>
          <w:b w:val="0"/>
          <w:bCs w:val="0"/>
          <w:spacing w:val="-2"/>
          <w:sz w:val="24"/>
          <w:szCs w:val="24"/>
        </w:rPr>
      </w:pPr>
    </w:p>
    <w:p w14:paraId="27ECA4DA" w14:textId="1B329CC8" w:rsidR="00C9032D" w:rsidRPr="00C9032D" w:rsidRDefault="00C9032D" w:rsidP="00C9032D">
      <w:pPr>
        <w:pStyle w:val="Heading1"/>
        <w:spacing w:before="79"/>
        <w:jc w:val="both"/>
        <w:rPr>
          <w:rFonts w:ascii="Times New Roman" w:hAnsi="Times New Roman" w:cs="Times New Roman"/>
          <w:b w:val="0"/>
          <w:bCs w:val="0"/>
          <w:spacing w:val="-2"/>
          <w:sz w:val="24"/>
          <w:szCs w:val="24"/>
        </w:rPr>
      </w:pPr>
      <w:r w:rsidRPr="00C9032D">
        <w:rPr>
          <w:rFonts w:ascii="Times New Roman" w:hAnsi="Times New Roman" w:cs="Times New Roman"/>
          <w:spacing w:val="-2"/>
          <w:sz w:val="24"/>
          <w:szCs w:val="24"/>
        </w:rPr>
        <w:t>Keywords:</w:t>
      </w:r>
      <w:r w:rsidRPr="00C9032D">
        <w:rPr>
          <w:rFonts w:ascii="Times New Roman" w:hAnsi="Times New Roman" w:cs="Times New Roman"/>
          <w:b w:val="0"/>
          <w:bCs w:val="0"/>
          <w:spacing w:val="-2"/>
          <w:sz w:val="24"/>
          <w:szCs w:val="24"/>
        </w:rPr>
        <w:t xml:space="preserve"> soleus push-up, bodyweight, blood glucose, type II diabetes mellitus, non-pharmacological intervention</w:t>
      </w:r>
    </w:p>
    <w:p w14:paraId="65D15F5B" w14:textId="77777777" w:rsidR="00FD483C" w:rsidRPr="00A41EE4" w:rsidRDefault="00FD483C" w:rsidP="00C9032D">
      <w:pPr>
        <w:pStyle w:val="Heading1"/>
        <w:spacing w:before="79"/>
        <w:ind w:left="0"/>
        <w:jc w:val="both"/>
        <w:rPr>
          <w:rFonts w:ascii="Times New Roman" w:hAnsi="Times New Roman" w:cs="Times New Roman"/>
          <w:b w:val="0"/>
          <w:bCs w:val="0"/>
          <w:sz w:val="24"/>
          <w:szCs w:val="24"/>
        </w:rPr>
      </w:pPr>
    </w:p>
    <w:p w14:paraId="48C56054" w14:textId="77777777" w:rsidR="00FD483C" w:rsidRPr="00A41EE4" w:rsidRDefault="00FD483C" w:rsidP="00C9032D">
      <w:pPr>
        <w:pStyle w:val="Heading1"/>
        <w:spacing w:before="79"/>
        <w:jc w:val="both"/>
        <w:rPr>
          <w:rFonts w:ascii="Times New Roman" w:hAnsi="Times New Roman" w:cs="Times New Roman"/>
          <w:spacing w:val="-2"/>
          <w:sz w:val="24"/>
          <w:szCs w:val="24"/>
        </w:rPr>
      </w:pPr>
      <w:r w:rsidRPr="00A41EE4">
        <w:rPr>
          <w:rFonts w:ascii="Times New Roman" w:hAnsi="Times New Roman" w:cs="Times New Roman"/>
          <w:spacing w:val="-2"/>
          <w:sz w:val="24"/>
          <w:szCs w:val="24"/>
        </w:rPr>
        <w:t>Introduction</w:t>
      </w:r>
    </w:p>
    <w:p w14:paraId="0F9BDBC0" w14:textId="17BE325A" w:rsidR="007D38EB" w:rsidRPr="00A41EE4" w:rsidRDefault="007D38EB" w:rsidP="00C9032D">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The global incidence of dengue has increased significantly. </w:t>
      </w:r>
      <w:r w:rsidR="00AB7E73" w:rsidRPr="00A41EE4">
        <w:rPr>
          <w:rFonts w:ascii="Times New Roman" w:hAnsi="Times New Roman" w:cs="Times New Roman"/>
          <w:b w:val="0"/>
          <w:bCs w:val="0"/>
          <w:sz w:val="24"/>
          <w:szCs w:val="24"/>
        </w:rPr>
        <w:t>As of 2024, WHO has reported more than 7.6 million dengue cases, including 3.4 million confirmed cases, more than 16,000 severe cases, and more than 3,000 deaths (1).</w:t>
      </w:r>
    </w:p>
    <w:p w14:paraId="6949FF3B" w14:textId="0E33A63F" w:rsidR="007D38EB" w:rsidRPr="00A41EE4" w:rsidRDefault="00C202E0" w:rsidP="00C9032D">
      <w:pPr>
        <w:pStyle w:val="Heading1"/>
        <w:ind w:left="289" w:firstLine="704"/>
        <w:jc w:val="both"/>
        <w:rPr>
          <w:rFonts w:ascii="Times New Roman" w:hAnsi="Times New Roman" w:cs="Times New Roman"/>
          <w:b w:val="0"/>
          <w:bCs w:val="0"/>
          <w:sz w:val="24"/>
          <w:szCs w:val="24"/>
        </w:rPr>
      </w:pPr>
      <w:r w:rsidRPr="00C202E0">
        <w:rPr>
          <w:rFonts w:ascii="Times New Roman" w:hAnsi="Times New Roman" w:cs="Times New Roman"/>
          <w:b w:val="0"/>
          <w:bCs w:val="0"/>
          <w:sz w:val="24"/>
          <w:szCs w:val="24"/>
        </w:rPr>
        <w:t>Over the past four years</w:t>
      </w:r>
      <w:r w:rsidR="00DB5F9D" w:rsidRPr="00A41EE4">
        <w:rPr>
          <w:rFonts w:ascii="Times New Roman" w:hAnsi="Times New Roman" w:cs="Times New Roman"/>
          <w:b w:val="0"/>
          <w:bCs w:val="0"/>
          <w:sz w:val="24"/>
          <w:szCs w:val="24"/>
        </w:rPr>
        <w:t xml:space="preserve">, </w:t>
      </w:r>
      <w:r w:rsidR="0044476B" w:rsidRPr="00A41EE4">
        <w:rPr>
          <w:rFonts w:ascii="Times New Roman" w:hAnsi="Times New Roman" w:cs="Times New Roman"/>
          <w:b w:val="0"/>
          <w:bCs w:val="0"/>
          <w:sz w:val="24"/>
          <w:szCs w:val="24"/>
        </w:rPr>
        <w:t>Indonesia reported 75,518 cases in 2021 with 705 deaths; 143,176 cases in 2022 with 1,236 deaths; 114,720 cases in 2023 with 894 deaths; and 186,324 cases with 1,120 deaths as of September 2024 (2).</w:t>
      </w:r>
      <w:r w:rsidR="007D38EB" w:rsidRPr="00A41EE4">
        <w:rPr>
          <w:rFonts w:ascii="Times New Roman" w:hAnsi="Times New Roman" w:cs="Times New Roman"/>
          <w:b w:val="0"/>
          <w:bCs w:val="0"/>
          <w:sz w:val="24"/>
          <w:szCs w:val="24"/>
        </w:rPr>
        <w:t xml:space="preserve"> </w:t>
      </w:r>
    </w:p>
    <w:p w14:paraId="56D17A43" w14:textId="0AA884BE" w:rsidR="007D38EB" w:rsidRPr="00A41EE4" w:rsidRDefault="007D38EB" w:rsidP="00C9032D">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According to data from the Kendari City Health Office during 2019 - 2023, the incidence of DHF began to decline from 450 patients to 253 patients. However, according to data until July 2024 there was a spike from 253 patients to 1663 patients. In 2024, the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 xml:space="preserve">ubdistrict was the sub-district with the highest number of DHF cases with 378 patients and 2 of them died, followed by the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 xml:space="preserve">ubdistrict with 341 patients and 5 of them died (3). </w:t>
      </w:r>
      <w:r w:rsidR="00AA11F5" w:rsidRPr="00AA11F5">
        <w:rPr>
          <w:rFonts w:ascii="Times New Roman" w:hAnsi="Times New Roman" w:cs="Times New Roman"/>
          <w:b w:val="0"/>
          <w:bCs w:val="0"/>
          <w:sz w:val="24"/>
          <w:szCs w:val="24"/>
        </w:rPr>
        <w:t>Vector-borne diseases can be effectively prevented</w:t>
      </w:r>
      <w:r w:rsidR="00AA11F5">
        <w:rPr>
          <w:rFonts w:ascii="Times New Roman" w:hAnsi="Times New Roman" w:cs="Times New Roman"/>
          <w:b w:val="0"/>
          <w:bCs w:val="0"/>
          <w:sz w:val="24"/>
          <w:szCs w:val="24"/>
        </w:rPr>
        <w:t xml:space="preserve">                  </w:t>
      </w:r>
      <w:r w:rsidRPr="00A41EE4">
        <w:rPr>
          <w:rFonts w:ascii="Times New Roman" w:hAnsi="Times New Roman" w:cs="Times New Roman"/>
          <w:b w:val="0"/>
          <w:bCs w:val="0"/>
          <w:sz w:val="24"/>
          <w:szCs w:val="24"/>
        </w:rPr>
        <w:t xml:space="preserve"> if the vector that transmits the disease is well controlled. One of the efforts to control vectors is by fogging. </w:t>
      </w:r>
      <w:r w:rsidR="00161656" w:rsidRPr="00161656">
        <w:rPr>
          <w:rFonts w:ascii="Times New Roman" w:hAnsi="Times New Roman" w:cs="Times New Roman"/>
          <w:b w:val="0"/>
          <w:bCs w:val="0"/>
          <w:sz w:val="24"/>
          <w:szCs w:val="24"/>
        </w:rPr>
        <w:t>Fogging is commonly used to control Aedes mosquitoes</w:t>
      </w:r>
      <w:r w:rsidR="00F82F6C" w:rsidRPr="00A41EE4">
        <w:rPr>
          <w:rFonts w:ascii="Times New Roman" w:hAnsi="Times New Roman" w:cs="Times New Roman"/>
          <w:b w:val="0"/>
          <w:bCs w:val="0"/>
          <w:sz w:val="24"/>
          <w:szCs w:val="24"/>
        </w:rPr>
        <w:t xml:space="preserve"> (vectors of dengue, chikungunya, and Zika), </w:t>
      </w:r>
      <w:r w:rsidR="00F82F6C" w:rsidRPr="00A41EE4">
        <w:rPr>
          <w:rFonts w:ascii="Times New Roman" w:hAnsi="Times New Roman" w:cs="Times New Roman"/>
          <w:b w:val="0"/>
          <w:bCs w:val="0"/>
          <w:i/>
          <w:iCs/>
          <w:sz w:val="24"/>
          <w:szCs w:val="24"/>
        </w:rPr>
        <w:t>Culex</w:t>
      </w:r>
      <w:r w:rsidR="00F82F6C" w:rsidRPr="00A41EE4">
        <w:rPr>
          <w:rFonts w:ascii="Times New Roman" w:hAnsi="Times New Roman" w:cs="Times New Roman"/>
          <w:b w:val="0"/>
          <w:bCs w:val="0"/>
          <w:sz w:val="24"/>
          <w:szCs w:val="24"/>
        </w:rPr>
        <w:t xml:space="preserve"> mosquitoes (vectors of Japanese encephalitis), and </w:t>
      </w:r>
      <w:r w:rsidR="00F82F6C" w:rsidRPr="00A41EE4">
        <w:rPr>
          <w:rFonts w:ascii="Times New Roman" w:hAnsi="Times New Roman" w:cs="Times New Roman"/>
          <w:b w:val="0"/>
          <w:bCs w:val="0"/>
          <w:i/>
          <w:iCs/>
          <w:sz w:val="24"/>
          <w:szCs w:val="24"/>
        </w:rPr>
        <w:t>Anopheles</w:t>
      </w:r>
      <w:r w:rsidR="00F82F6C" w:rsidRPr="00A41EE4">
        <w:rPr>
          <w:rFonts w:ascii="Times New Roman" w:hAnsi="Times New Roman" w:cs="Times New Roman"/>
          <w:b w:val="0"/>
          <w:bCs w:val="0"/>
          <w:sz w:val="24"/>
          <w:szCs w:val="24"/>
        </w:rPr>
        <w:t xml:space="preserve"> mosquitoes (vectors of malaria), provided that implementation criteria and appropriate insecticide use are followed </w:t>
      </w:r>
      <w:r w:rsidRPr="00A41EE4">
        <w:rPr>
          <w:rFonts w:ascii="Times New Roman" w:hAnsi="Times New Roman" w:cs="Times New Roman"/>
          <w:b w:val="0"/>
          <w:bCs w:val="0"/>
          <w:sz w:val="24"/>
          <w:szCs w:val="24"/>
        </w:rPr>
        <w:t xml:space="preserve">(2). </w:t>
      </w:r>
    </w:p>
    <w:p w14:paraId="3D4C3189" w14:textId="2FB69497" w:rsidR="007D38EB" w:rsidRPr="00A41EE4" w:rsidRDefault="007D38EB" w:rsidP="00C9032D">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Repeated application of insecticides over a long period in an ecosystem unit will lead to resistance. </w:t>
      </w:r>
      <w:r w:rsidR="005C5BEF" w:rsidRPr="00A41EE4">
        <w:rPr>
          <w:rFonts w:ascii="Times New Roman" w:hAnsi="Times New Roman" w:cs="Times New Roman"/>
          <w:b w:val="0"/>
          <w:bCs w:val="0"/>
          <w:sz w:val="24"/>
          <w:szCs w:val="24"/>
        </w:rPr>
        <w:t>Insecticides become ineffective when mosquito populations develop resistance.</w:t>
      </w:r>
      <w:r w:rsidRPr="00A41EE4">
        <w:rPr>
          <w:rFonts w:ascii="Times New Roman" w:hAnsi="Times New Roman" w:cs="Times New Roman"/>
          <w:b w:val="0"/>
          <w:bCs w:val="0"/>
          <w:sz w:val="24"/>
          <w:szCs w:val="24"/>
        </w:rPr>
        <w:t xml:space="preserve"> In chemical mosquito vector control efforts, the use of insecticides must be carried out rationally, effectively, efficiently, and acceptable to the community, under the supervision of personnel who have competence in the field of entomology, and is the last resort in vector </w:t>
      </w:r>
      <w:r w:rsidRPr="00A41EE4">
        <w:rPr>
          <w:rFonts w:ascii="Times New Roman" w:hAnsi="Times New Roman" w:cs="Times New Roman"/>
          <w:b w:val="0"/>
          <w:bCs w:val="0"/>
          <w:sz w:val="24"/>
          <w:szCs w:val="24"/>
        </w:rPr>
        <w:lastRenderedPageBreak/>
        <w:t>control (2).</w:t>
      </w:r>
    </w:p>
    <w:p w14:paraId="2F151C67" w14:textId="4B783E3B" w:rsidR="007D38EB" w:rsidRPr="00A41EE4" w:rsidRDefault="00DA426F" w:rsidP="00C9032D">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Insecticides should be selected from classes to which mosquito populations remain susceptible.</w:t>
      </w:r>
      <w:r w:rsidR="007D38EB" w:rsidRPr="00A41EE4">
        <w:rPr>
          <w:rFonts w:ascii="Times New Roman" w:hAnsi="Times New Roman" w:cs="Times New Roman"/>
          <w:b w:val="0"/>
          <w:bCs w:val="0"/>
          <w:sz w:val="24"/>
          <w:szCs w:val="24"/>
        </w:rPr>
        <w:t xml:space="preserve"> If there are no resistance test results, then the use of insecticides should be restored every 2-3 years, based on the class of insecticide that has been used (4). However, the continuous use of insecticides can accelerate the occurrence of resistance and can cause environmental residues that are harmful to humans and the environment. Operational resistance can occur due to errors in insecticide dosage during fogging. Dosage errors can be in the form of doses that are too low or doses that are too high. In addition, the occurrence of resistance or tolerance is also influenced by the use of insecticides for a long time (2).</w:t>
      </w:r>
    </w:p>
    <w:p w14:paraId="57EF67C5" w14:textId="6EFA0019" w:rsidR="007D38EB" w:rsidRPr="00A41EE4" w:rsidRDefault="007D38EB" w:rsidP="00C9032D">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In Kendari City, the use of malathion insecticides has been stopped since 2019 because it is classified as resistant. So</w:t>
      </w:r>
      <w:r w:rsidR="00637B47" w:rsidRPr="00A41EE4">
        <w:rPr>
          <w:rFonts w:ascii="Times New Roman" w:hAnsi="Times New Roman" w:cs="Times New Roman"/>
          <w:b w:val="0"/>
          <w:bCs w:val="0"/>
          <w:sz w:val="24"/>
          <w:szCs w:val="24"/>
        </w:rPr>
        <w:t xml:space="preserve"> </w:t>
      </w:r>
      <w:r w:rsidRPr="00A41EE4">
        <w:rPr>
          <w:rFonts w:ascii="Times New Roman" w:hAnsi="Times New Roman" w:cs="Times New Roman"/>
          <w:b w:val="0"/>
          <w:bCs w:val="0"/>
          <w:sz w:val="24"/>
          <w:szCs w:val="24"/>
        </w:rPr>
        <w:t xml:space="preserve">the pyrethroid group has been the choice for fogging in the last six years. Fogging is carried out routinely every year. However, the incidence of DHF has increased every year, especially in </w:t>
      </w:r>
      <w:proofErr w:type="spellStart"/>
      <w:r w:rsidRPr="00A41EE4">
        <w:rPr>
          <w:rFonts w:ascii="Times New Roman" w:hAnsi="Times New Roman" w:cs="Times New Roman"/>
          <w:b w:val="0"/>
          <w:bCs w:val="0"/>
          <w:sz w:val="24"/>
          <w:szCs w:val="24"/>
        </w:rPr>
        <w:t>Baruga</w:t>
      </w:r>
      <w:proofErr w:type="spellEnd"/>
      <w:r w:rsidRPr="00A41EE4">
        <w:rPr>
          <w:rFonts w:ascii="Times New Roman" w:hAnsi="Times New Roman" w:cs="Times New Roman"/>
          <w:b w:val="0"/>
          <w:bCs w:val="0"/>
          <w:sz w:val="24"/>
          <w:szCs w:val="24"/>
        </w:rPr>
        <w:t xml:space="preserve"> and </w:t>
      </w:r>
      <w:proofErr w:type="spellStart"/>
      <w:r w:rsidRPr="00A41EE4">
        <w:rPr>
          <w:rFonts w:ascii="Times New Roman" w:hAnsi="Times New Roman" w:cs="Times New Roman"/>
          <w:b w:val="0"/>
          <w:bCs w:val="0"/>
          <w:sz w:val="24"/>
          <w:szCs w:val="24"/>
        </w:rPr>
        <w:t>Poasia</w:t>
      </w:r>
      <w:proofErr w:type="spellEnd"/>
      <w:r w:rsidRPr="00A41EE4">
        <w:rPr>
          <w:rFonts w:ascii="Times New Roman" w:hAnsi="Times New Roman" w:cs="Times New Roman"/>
          <w:b w:val="0"/>
          <w:bCs w:val="0"/>
          <w:sz w:val="24"/>
          <w:szCs w:val="24"/>
        </w:rPr>
        <w:t xml:space="preserve"> </w:t>
      </w:r>
      <w:r w:rsidR="00A1089F" w:rsidRPr="00A41EE4">
        <w:rPr>
          <w:rFonts w:ascii="Times New Roman" w:hAnsi="Times New Roman" w:cs="Times New Roman"/>
          <w:b w:val="0"/>
          <w:bCs w:val="0"/>
          <w:sz w:val="24"/>
          <w:szCs w:val="24"/>
        </w:rPr>
        <w:t>S</w:t>
      </w:r>
      <w:r w:rsidRPr="00A41EE4">
        <w:rPr>
          <w:rFonts w:ascii="Times New Roman" w:hAnsi="Times New Roman" w:cs="Times New Roman"/>
          <w:b w:val="0"/>
          <w:bCs w:val="0"/>
          <w:sz w:val="24"/>
          <w:szCs w:val="24"/>
        </w:rPr>
        <w:t>ubdistricts (3).</w:t>
      </w:r>
    </w:p>
    <w:p w14:paraId="524FAD9F" w14:textId="0649856C" w:rsidR="00815AF5" w:rsidRPr="00A41EE4" w:rsidRDefault="00815AF5" w:rsidP="00C9032D">
      <w:pPr>
        <w:pStyle w:val="Heading1"/>
        <w:ind w:left="289" w:firstLine="704"/>
        <w:jc w:val="both"/>
        <w:rPr>
          <w:rFonts w:ascii="Times New Roman" w:hAnsi="Times New Roman" w:cs="Times New Roman"/>
          <w:b w:val="0"/>
          <w:bCs w:val="0"/>
          <w:sz w:val="24"/>
          <w:szCs w:val="24"/>
        </w:rPr>
      </w:pPr>
      <w:r w:rsidRPr="00A41EE4">
        <w:rPr>
          <w:rFonts w:ascii="Times New Roman" w:hAnsi="Times New Roman" w:cs="Times New Roman"/>
          <w:b w:val="0"/>
          <w:bCs w:val="0"/>
          <w:sz w:val="24"/>
          <w:szCs w:val="24"/>
        </w:rPr>
        <w:t xml:space="preserve">From a public health perspective, the effectiveness of dengue control programs largely depends on the continued susceptibility of mosquito vectors to insecticides used in fogging interventions. Failure to monitor susceptibility status may lead to reduced effectiveness of vector control strategies and increased disease transmission risk. Therefore, understanding the current susceptibility profile of </w:t>
      </w:r>
      <w:r w:rsidRPr="00A41EE4">
        <w:rPr>
          <w:rFonts w:ascii="Times New Roman" w:hAnsi="Times New Roman" w:cs="Times New Roman"/>
          <w:b w:val="0"/>
          <w:bCs w:val="0"/>
          <w:i/>
          <w:iCs/>
          <w:sz w:val="24"/>
          <w:szCs w:val="24"/>
        </w:rPr>
        <w:t>Aedes</w:t>
      </w:r>
      <w:r w:rsidRPr="00A41EE4">
        <w:rPr>
          <w:rFonts w:ascii="Times New Roman" w:hAnsi="Times New Roman" w:cs="Times New Roman"/>
          <w:b w:val="0"/>
          <w:bCs w:val="0"/>
          <w:sz w:val="24"/>
          <w:szCs w:val="24"/>
        </w:rPr>
        <w:t xml:space="preserve"> spp. mosquitoes is essential to support evidence-based policy decisions and optimize dengue prevention programs at the community level.</w:t>
      </w:r>
    </w:p>
    <w:p w14:paraId="132BE70C" w14:textId="77777777" w:rsidR="00393CDA" w:rsidRPr="00A41EE4" w:rsidRDefault="00393CDA" w:rsidP="00C9032D">
      <w:pPr>
        <w:pStyle w:val="Heading1"/>
        <w:spacing w:before="228"/>
        <w:jc w:val="both"/>
        <w:rPr>
          <w:rFonts w:ascii="Times New Roman" w:hAnsi="Times New Roman" w:cs="Times New Roman"/>
          <w:spacing w:val="-2"/>
          <w:sz w:val="24"/>
          <w:szCs w:val="24"/>
        </w:rPr>
      </w:pPr>
    </w:p>
    <w:p w14:paraId="0432A562" w14:textId="77777777" w:rsidR="00C9032D" w:rsidRPr="00C9032D" w:rsidRDefault="00C9032D" w:rsidP="00C9032D">
      <w:pPr>
        <w:pStyle w:val="BodyText"/>
        <w:ind w:left="284"/>
        <w:jc w:val="both"/>
        <w:rPr>
          <w:rFonts w:ascii="Times New Roman" w:hAnsi="Times New Roman" w:cs="Times New Roman"/>
          <w:b/>
          <w:bCs/>
          <w:spacing w:val="-2"/>
          <w:sz w:val="24"/>
          <w:szCs w:val="24"/>
        </w:rPr>
      </w:pPr>
      <w:r w:rsidRPr="00C9032D">
        <w:rPr>
          <w:rFonts w:ascii="Times New Roman" w:hAnsi="Times New Roman" w:cs="Times New Roman"/>
          <w:b/>
          <w:bCs/>
          <w:spacing w:val="-2"/>
          <w:sz w:val="24"/>
          <w:szCs w:val="24"/>
        </w:rPr>
        <w:t>Methods</w:t>
      </w:r>
    </w:p>
    <w:p w14:paraId="25FF5A60"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This study employed a quasi-experimental design with a non-equivalent control group. The study population comprised patients with type II diabetes mellitus registered at the </w:t>
      </w:r>
      <w:proofErr w:type="spellStart"/>
      <w:r w:rsidRPr="00C9032D">
        <w:rPr>
          <w:rFonts w:ascii="Times New Roman" w:hAnsi="Times New Roman" w:cs="Times New Roman"/>
          <w:spacing w:val="-2"/>
          <w:sz w:val="24"/>
          <w:szCs w:val="24"/>
        </w:rPr>
        <w:t>Poasia</w:t>
      </w:r>
      <w:proofErr w:type="spellEnd"/>
      <w:r w:rsidRPr="00C9032D">
        <w:rPr>
          <w:rFonts w:ascii="Times New Roman" w:hAnsi="Times New Roman" w:cs="Times New Roman"/>
          <w:spacing w:val="-2"/>
          <w:sz w:val="24"/>
          <w:szCs w:val="24"/>
        </w:rPr>
        <w:t xml:space="preserve"> Community Health Center, Kendari. The minimum sample size was determined using Federer’s formula. A total of 36 participants were purposively selected according to the following inclusion criteria: aged 30–65 years, clinically diagnosed with type II diabetes mellitus, physically capable of performing light exercise, and willing to provide informed consent. Participants were then allocated into two groups: the experimental group (n = 18), who performed soleus push-ups with body weight resistance, and the control group (n = 18), who performed soleus push-ups without additional weight.</w:t>
      </w:r>
    </w:p>
    <w:p w14:paraId="503ACA13"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Primary data were obtained through capillary blood glucose measurements using a glucometer licensed by the Indonesian Ministry of Health. The intervention was carried out in the morning before patients consumed their antidiabetic medication, three times per week for three consecutive weeks, with each session lasting 15 minutes.</w:t>
      </w:r>
    </w:p>
    <w:p w14:paraId="7A671364"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Data analysis was conducted using JAMOVI version 2.6.44, an open-source statistical software. Paired t-tests were applied to evaluate within-group differences between pre- and post-intervention measurements, while independent t-tests were employed to compare outcomes between groups. A p-value of less than 0.05 was considered the threshold for statistical significance. Effect size was calculated using Cohen’s </w:t>
      </w:r>
      <w:r w:rsidRPr="00C9032D">
        <w:rPr>
          <w:rFonts w:ascii="Times New Roman" w:hAnsi="Times New Roman" w:cs="Times New Roman"/>
          <w:i/>
          <w:iCs/>
          <w:spacing w:val="-2"/>
          <w:sz w:val="24"/>
          <w:szCs w:val="24"/>
        </w:rPr>
        <w:t>d</w:t>
      </w:r>
      <w:r w:rsidRPr="00C9032D">
        <w:rPr>
          <w:rFonts w:ascii="Times New Roman" w:hAnsi="Times New Roman" w:cs="Times New Roman"/>
          <w:spacing w:val="-2"/>
          <w:sz w:val="24"/>
          <w:szCs w:val="24"/>
        </w:rPr>
        <w:t xml:space="preserve"> to quantify the magnitude of the intervention effect, and 95% confidence intervals (CI) were reported to ensure the precision of the </w:t>
      </w:r>
      <w:proofErr w:type="spellStart"/>
      <w:r w:rsidRPr="00C9032D">
        <w:rPr>
          <w:rFonts w:ascii="Times New Roman" w:hAnsi="Times New Roman" w:cs="Times New Roman"/>
          <w:spacing w:val="-2"/>
          <w:sz w:val="24"/>
          <w:szCs w:val="24"/>
        </w:rPr>
        <w:t>estimates.This</w:t>
      </w:r>
      <w:proofErr w:type="spellEnd"/>
      <w:r w:rsidRPr="00C9032D">
        <w:rPr>
          <w:rFonts w:ascii="Times New Roman" w:hAnsi="Times New Roman" w:cs="Times New Roman"/>
          <w:spacing w:val="-2"/>
          <w:sz w:val="24"/>
          <w:szCs w:val="24"/>
        </w:rPr>
        <w:t xml:space="preserve"> study received ethical approval from the Health Research Ethics Committee of STIKes Karya Kesehatan Kendari (Approval Number: [insert approval number]). All participants provided written informed consent after receiving a complete explanation of the study.</w:t>
      </w:r>
    </w:p>
    <w:p w14:paraId="5F5FD106" w14:textId="77777777" w:rsidR="00C9032D" w:rsidRPr="00C9032D" w:rsidRDefault="00C9032D" w:rsidP="00C9032D">
      <w:pPr>
        <w:pStyle w:val="BodyText"/>
        <w:ind w:left="284"/>
        <w:jc w:val="both"/>
        <w:rPr>
          <w:rFonts w:ascii="Times New Roman" w:hAnsi="Times New Roman" w:cs="Times New Roman"/>
          <w:b/>
          <w:bCs/>
          <w:spacing w:val="-2"/>
          <w:sz w:val="24"/>
          <w:szCs w:val="24"/>
        </w:rPr>
      </w:pPr>
    </w:p>
    <w:p w14:paraId="79E2AA05" w14:textId="77777777" w:rsidR="00C9032D" w:rsidRPr="00C9032D" w:rsidRDefault="00C9032D" w:rsidP="00C9032D">
      <w:pPr>
        <w:pStyle w:val="BodyText"/>
        <w:ind w:left="284"/>
        <w:jc w:val="both"/>
        <w:rPr>
          <w:rFonts w:ascii="Times New Roman" w:hAnsi="Times New Roman" w:cs="Times New Roman"/>
          <w:b/>
          <w:bCs/>
          <w:spacing w:val="-2"/>
          <w:sz w:val="24"/>
          <w:szCs w:val="24"/>
        </w:rPr>
      </w:pPr>
      <w:r w:rsidRPr="00C9032D">
        <w:rPr>
          <w:rFonts w:ascii="Times New Roman" w:hAnsi="Times New Roman" w:cs="Times New Roman"/>
          <w:b/>
          <w:bCs/>
          <w:spacing w:val="-2"/>
          <w:sz w:val="24"/>
          <w:szCs w:val="24"/>
        </w:rPr>
        <w:t>Results</w:t>
      </w:r>
    </w:p>
    <w:p w14:paraId="07A16FAA"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lastRenderedPageBreak/>
        <w:t xml:space="preserve">       The characteristics of respondents in this study consisted of 36 patients with type II diabetes mellitus, equally divided into experimental and control groups, with 18 respondents in each group. The age distribution in the experimental group showed a mean of 54.2 ± 5.79 years, while in the control group the mean age was 55.1 ± 4.40 years. This indicates that both groups had relatively comparable age characteristics, thereby minimizing the potential bias of age in influencing the intervention outcomes.</w:t>
      </w:r>
    </w:p>
    <w:p w14:paraId="57458B52"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In terms of gender, both the experimental and control groups had the same composition, with 2 males and 16 females. This equal distribution demonstrates that gender factors were evenly balanced, allowing the influence of gender on the study outcomes to be disregarded.</w:t>
      </w:r>
    </w:p>
    <w:p w14:paraId="21FEBC55"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The mean duration of type II diabetes mellitus in the experimental group was 6.33 ± 2.43 years, compared to 6.28 ± 2.40 years in the control group. This difference is not clinically meaningful, suggesting that the respondents’ experiences in living with the disease were also relatively similar across the two groups.</w:t>
      </w:r>
    </w:p>
    <w:p w14:paraId="448BBFCD"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Overall, the descriptive analysis shows that the experimental and control groups shared homogeneous baseline characteristics in terms of age, gender, and duration of diabetes. This homogeneity is essential, as it strengthens the validity of comparing the intervention effects between the two groups in this study. Respondent characteristics are illustrated in Table 1</w:t>
      </w:r>
    </w:p>
    <w:p w14:paraId="4049FAC8"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Table 1. Characteristics of Patients with Type 2 Diabetes Mellitus (n=36)</w:t>
      </w:r>
    </w:p>
    <w:tbl>
      <w:tblPr>
        <w:tblW w:w="5954" w:type="dxa"/>
        <w:tblCellSpacing w:w="15" w:type="dxa"/>
        <w:tblLook w:val="04A0" w:firstRow="1" w:lastRow="0" w:firstColumn="1" w:lastColumn="0" w:noHBand="0" w:noVBand="1"/>
      </w:tblPr>
      <w:tblGrid>
        <w:gridCol w:w="1985"/>
        <w:gridCol w:w="2410"/>
        <w:gridCol w:w="1559"/>
      </w:tblGrid>
      <w:tr w:rsidR="00C9032D" w:rsidRPr="00C9032D" w14:paraId="144BEEC4" w14:textId="77777777">
        <w:trPr>
          <w:tblHeader/>
          <w:tblCellSpacing w:w="15" w:type="dxa"/>
        </w:trPr>
        <w:tc>
          <w:tcPr>
            <w:tcW w:w="194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7126A64A"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0" w:name="_Hlk208216216"/>
            <w:proofErr w:type="spellStart"/>
            <w:r w:rsidRPr="00C9032D">
              <w:rPr>
                <w:rFonts w:ascii="Times New Roman" w:hAnsi="Times New Roman" w:cs="Times New Roman"/>
                <w:spacing w:val="-2"/>
                <w:sz w:val="24"/>
                <w:szCs w:val="24"/>
              </w:rPr>
              <w:t>Variabel</w:t>
            </w:r>
            <w:proofErr w:type="spellEnd"/>
          </w:p>
        </w:tc>
        <w:tc>
          <w:tcPr>
            <w:tcW w:w="238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72C66AB4"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Eksperimen</w:t>
            </w:r>
            <w:proofErr w:type="spellEnd"/>
            <w:r w:rsidRPr="00C9032D">
              <w:rPr>
                <w:rFonts w:ascii="Times New Roman" w:hAnsi="Times New Roman" w:cs="Times New Roman"/>
                <w:spacing w:val="-2"/>
                <w:sz w:val="24"/>
                <w:szCs w:val="24"/>
              </w:rPr>
              <w:t xml:space="preserve"> (n=18)</w:t>
            </w:r>
          </w:p>
        </w:tc>
        <w:tc>
          <w:tcPr>
            <w:tcW w:w="1514"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40F8651D"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Kontrol</w:t>
            </w:r>
            <w:proofErr w:type="spellEnd"/>
            <w:r w:rsidRPr="00C9032D">
              <w:rPr>
                <w:rFonts w:ascii="Times New Roman" w:hAnsi="Times New Roman" w:cs="Times New Roman"/>
                <w:spacing w:val="-2"/>
                <w:sz w:val="24"/>
                <w:szCs w:val="24"/>
              </w:rPr>
              <w:t xml:space="preserve"> (n=18)</w:t>
            </w:r>
          </w:p>
        </w:tc>
      </w:tr>
      <w:tr w:rsidR="00C9032D" w:rsidRPr="00C9032D" w14:paraId="46447029" w14:textId="77777777">
        <w:trPr>
          <w:tblCellSpacing w:w="15" w:type="dxa"/>
        </w:trPr>
        <w:tc>
          <w:tcPr>
            <w:tcW w:w="1940" w:type="dxa"/>
            <w:tcMar>
              <w:top w:w="15" w:type="dxa"/>
              <w:left w:w="15" w:type="dxa"/>
              <w:bottom w:w="15" w:type="dxa"/>
              <w:right w:w="15" w:type="dxa"/>
            </w:tcMar>
            <w:vAlign w:val="center"/>
            <w:hideMark/>
          </w:tcPr>
          <w:p w14:paraId="401397E4"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Usia</w:t>
            </w:r>
            <w:proofErr w:type="spellEnd"/>
            <w:r w:rsidRPr="00C9032D">
              <w:rPr>
                <w:rFonts w:ascii="Times New Roman" w:hAnsi="Times New Roman" w:cs="Times New Roman"/>
                <w:spacing w:val="-2"/>
                <w:sz w:val="24"/>
                <w:szCs w:val="24"/>
              </w:rPr>
              <w:t xml:space="preserve"> (</w:t>
            </w:r>
            <w:proofErr w:type="spellStart"/>
            <w:r w:rsidRPr="00C9032D">
              <w:rPr>
                <w:rFonts w:ascii="Times New Roman" w:hAnsi="Times New Roman" w:cs="Times New Roman"/>
                <w:spacing w:val="-2"/>
                <w:sz w:val="24"/>
                <w:szCs w:val="24"/>
              </w:rPr>
              <w:t>tahun</w:t>
            </w:r>
            <w:proofErr w:type="spellEnd"/>
            <w:r w:rsidRPr="00C9032D">
              <w:rPr>
                <w:rFonts w:ascii="Times New Roman" w:hAnsi="Times New Roman" w:cs="Times New Roman"/>
                <w:spacing w:val="-2"/>
                <w:sz w:val="24"/>
                <w:szCs w:val="24"/>
              </w:rPr>
              <w:t>, mean ± SD)</w:t>
            </w:r>
          </w:p>
        </w:tc>
        <w:tc>
          <w:tcPr>
            <w:tcW w:w="2380" w:type="dxa"/>
            <w:tcMar>
              <w:top w:w="15" w:type="dxa"/>
              <w:left w:w="15" w:type="dxa"/>
              <w:bottom w:w="15" w:type="dxa"/>
              <w:right w:w="15" w:type="dxa"/>
            </w:tcMar>
            <w:vAlign w:val="center"/>
            <w:hideMark/>
          </w:tcPr>
          <w:p w14:paraId="4AB6D2A1"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54.2 ± 5.79</w:t>
            </w:r>
          </w:p>
        </w:tc>
        <w:tc>
          <w:tcPr>
            <w:tcW w:w="1514" w:type="dxa"/>
            <w:tcMar>
              <w:top w:w="15" w:type="dxa"/>
              <w:left w:w="15" w:type="dxa"/>
              <w:bottom w:w="15" w:type="dxa"/>
              <w:right w:w="15" w:type="dxa"/>
            </w:tcMar>
            <w:vAlign w:val="center"/>
            <w:hideMark/>
          </w:tcPr>
          <w:p w14:paraId="62BB4B4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55.1 ± 4.40</w:t>
            </w:r>
          </w:p>
        </w:tc>
      </w:tr>
      <w:tr w:rsidR="00C9032D" w:rsidRPr="00C9032D" w14:paraId="5D263511" w14:textId="77777777">
        <w:trPr>
          <w:tblCellSpacing w:w="15" w:type="dxa"/>
        </w:trPr>
        <w:tc>
          <w:tcPr>
            <w:tcW w:w="1940" w:type="dxa"/>
            <w:tcMar>
              <w:top w:w="15" w:type="dxa"/>
              <w:left w:w="15" w:type="dxa"/>
              <w:bottom w:w="15" w:type="dxa"/>
              <w:right w:w="15" w:type="dxa"/>
            </w:tcMar>
            <w:vAlign w:val="center"/>
            <w:hideMark/>
          </w:tcPr>
          <w:p w14:paraId="4A8FAEA9"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Jenis </w:t>
            </w:r>
            <w:proofErr w:type="spellStart"/>
            <w:r w:rsidRPr="00C9032D">
              <w:rPr>
                <w:rFonts w:ascii="Times New Roman" w:hAnsi="Times New Roman" w:cs="Times New Roman"/>
                <w:spacing w:val="-2"/>
                <w:sz w:val="24"/>
                <w:szCs w:val="24"/>
              </w:rPr>
              <w:t>kelamin</w:t>
            </w:r>
            <w:proofErr w:type="spellEnd"/>
            <w:r w:rsidRPr="00C9032D">
              <w:rPr>
                <w:rFonts w:ascii="Times New Roman" w:hAnsi="Times New Roman" w:cs="Times New Roman"/>
                <w:spacing w:val="-2"/>
                <w:sz w:val="24"/>
                <w:szCs w:val="24"/>
              </w:rPr>
              <w:t xml:space="preserve"> (L/P)</w:t>
            </w:r>
          </w:p>
        </w:tc>
        <w:tc>
          <w:tcPr>
            <w:tcW w:w="2380" w:type="dxa"/>
            <w:tcMar>
              <w:top w:w="15" w:type="dxa"/>
              <w:left w:w="15" w:type="dxa"/>
              <w:bottom w:w="15" w:type="dxa"/>
              <w:right w:w="15" w:type="dxa"/>
            </w:tcMar>
            <w:vAlign w:val="center"/>
            <w:hideMark/>
          </w:tcPr>
          <w:p w14:paraId="052C541A"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2/16</w:t>
            </w:r>
          </w:p>
        </w:tc>
        <w:tc>
          <w:tcPr>
            <w:tcW w:w="1514" w:type="dxa"/>
            <w:tcMar>
              <w:top w:w="15" w:type="dxa"/>
              <w:left w:w="15" w:type="dxa"/>
              <w:bottom w:w="15" w:type="dxa"/>
              <w:right w:w="15" w:type="dxa"/>
            </w:tcMar>
            <w:vAlign w:val="center"/>
            <w:hideMark/>
          </w:tcPr>
          <w:p w14:paraId="10A32099"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2/16</w:t>
            </w:r>
          </w:p>
        </w:tc>
      </w:tr>
      <w:tr w:rsidR="00C9032D" w:rsidRPr="00C9032D" w14:paraId="7D95D9E7" w14:textId="77777777">
        <w:trPr>
          <w:tblCellSpacing w:w="15" w:type="dxa"/>
        </w:trPr>
        <w:tc>
          <w:tcPr>
            <w:tcW w:w="1940" w:type="dxa"/>
            <w:tcBorders>
              <w:top w:val="nil"/>
              <w:left w:val="nil"/>
              <w:bottom w:val="single" w:sz="4" w:space="0" w:color="auto"/>
              <w:right w:val="nil"/>
            </w:tcBorders>
            <w:tcMar>
              <w:top w:w="15" w:type="dxa"/>
              <w:left w:w="15" w:type="dxa"/>
              <w:bottom w:w="15" w:type="dxa"/>
              <w:right w:w="15" w:type="dxa"/>
            </w:tcMar>
            <w:vAlign w:val="center"/>
            <w:hideMark/>
          </w:tcPr>
          <w:p w14:paraId="1DCEC2D1"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Lama DM (</w:t>
            </w:r>
            <w:proofErr w:type="spellStart"/>
            <w:r w:rsidRPr="00C9032D">
              <w:rPr>
                <w:rFonts w:ascii="Times New Roman" w:hAnsi="Times New Roman" w:cs="Times New Roman"/>
                <w:spacing w:val="-2"/>
                <w:sz w:val="24"/>
                <w:szCs w:val="24"/>
              </w:rPr>
              <w:t>tahun</w:t>
            </w:r>
            <w:proofErr w:type="spellEnd"/>
            <w:r w:rsidRPr="00C9032D">
              <w:rPr>
                <w:rFonts w:ascii="Times New Roman" w:hAnsi="Times New Roman" w:cs="Times New Roman"/>
                <w:spacing w:val="-2"/>
                <w:sz w:val="24"/>
                <w:szCs w:val="24"/>
              </w:rPr>
              <w:t>, mean ± SD)</w:t>
            </w:r>
          </w:p>
        </w:tc>
        <w:tc>
          <w:tcPr>
            <w:tcW w:w="2380" w:type="dxa"/>
            <w:tcBorders>
              <w:top w:val="nil"/>
              <w:left w:val="nil"/>
              <w:bottom w:val="single" w:sz="4" w:space="0" w:color="auto"/>
              <w:right w:val="nil"/>
            </w:tcBorders>
            <w:tcMar>
              <w:top w:w="15" w:type="dxa"/>
              <w:left w:w="15" w:type="dxa"/>
              <w:bottom w:w="15" w:type="dxa"/>
              <w:right w:w="15" w:type="dxa"/>
            </w:tcMar>
            <w:vAlign w:val="center"/>
            <w:hideMark/>
          </w:tcPr>
          <w:p w14:paraId="20148626"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6.33 ± 2.43</w:t>
            </w:r>
          </w:p>
        </w:tc>
        <w:tc>
          <w:tcPr>
            <w:tcW w:w="1514" w:type="dxa"/>
            <w:tcBorders>
              <w:top w:val="nil"/>
              <w:left w:val="nil"/>
              <w:bottom w:val="single" w:sz="4" w:space="0" w:color="auto"/>
              <w:right w:val="nil"/>
            </w:tcBorders>
            <w:tcMar>
              <w:top w:w="15" w:type="dxa"/>
              <w:left w:w="15" w:type="dxa"/>
              <w:bottom w:w="15" w:type="dxa"/>
              <w:right w:w="15" w:type="dxa"/>
            </w:tcMar>
            <w:vAlign w:val="center"/>
            <w:hideMark/>
          </w:tcPr>
          <w:p w14:paraId="4E6B1873"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6.28 ± 2.40</w:t>
            </w:r>
          </w:p>
        </w:tc>
      </w:tr>
      <w:bookmarkEnd w:id="0"/>
    </w:tbl>
    <w:p w14:paraId="78D562DC" w14:textId="77777777" w:rsidR="00C9032D" w:rsidRPr="00C9032D" w:rsidRDefault="00C9032D" w:rsidP="00C9032D">
      <w:pPr>
        <w:pStyle w:val="BodyText"/>
        <w:ind w:left="284"/>
        <w:jc w:val="both"/>
        <w:rPr>
          <w:rFonts w:ascii="Times New Roman" w:hAnsi="Times New Roman" w:cs="Times New Roman"/>
          <w:spacing w:val="-2"/>
          <w:sz w:val="24"/>
          <w:szCs w:val="24"/>
        </w:rPr>
      </w:pPr>
    </w:p>
    <w:p w14:paraId="2D3E7A26"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1" w:name="_Hlk208266762"/>
      <w:r w:rsidRPr="00C9032D">
        <w:rPr>
          <w:rFonts w:ascii="Times New Roman" w:hAnsi="Times New Roman" w:cs="Times New Roman"/>
          <w:spacing w:val="-2"/>
          <w:sz w:val="24"/>
          <w:szCs w:val="24"/>
        </w:rPr>
        <w:t xml:space="preserve">       This study involved two intervention groups, namely the soleus push-up without body weight resistance and the soleus push-up with body weight resistance. In the group without resistance, the mean pre-intervention blood glucose level was 248.6 ± 22.1 mg/dL, which decreased to 204.7 ± 18.9 mg/dL post-intervention. The mean reduction of 43.9 ± 12.7 mg/dL was statistically significant (p &lt; 0.001).</w:t>
      </w:r>
    </w:p>
    <w:p w14:paraId="50E0D0C1"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In the group performing soleus push-ups with body weight resistance, the mean baseline blood glucose level was 251.2 ± 23.4 mg/dL, which decreased to 176.7 ± 19.3 mg/dL after the intervention. The mean reduction of 74.5 ± 14.2 mg/dL was also statistically significant (p &lt; 0.001).</w:t>
      </w:r>
    </w:p>
    <w:p w14:paraId="5BB56AD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Overall, both groups demonstrated significant reductions in blood glucose levels; however, the group with body weight resistance experienced a greater decrease compared to the group without resistance. These findings indicate that soleus push-ups with body weight resistance are more effective in lowering blood glucose levels among patients with type II diabetes mellitus.</w:t>
      </w:r>
    </w:p>
    <w:p w14:paraId="59D13F3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Table 2. Blood Glucose Levels Before and After Intervention</w:t>
      </w:r>
    </w:p>
    <w:tbl>
      <w:tblPr>
        <w:tblW w:w="5194" w:type="dxa"/>
        <w:tblCellSpacing w:w="15" w:type="dxa"/>
        <w:tblInd w:w="51" w:type="dxa"/>
        <w:tblLook w:val="04A0" w:firstRow="1" w:lastRow="0" w:firstColumn="1" w:lastColumn="0" w:noHBand="0" w:noVBand="1"/>
      </w:tblPr>
      <w:tblGrid>
        <w:gridCol w:w="1357"/>
        <w:gridCol w:w="1170"/>
        <w:gridCol w:w="1130"/>
        <w:gridCol w:w="984"/>
        <w:gridCol w:w="1023"/>
      </w:tblGrid>
      <w:tr w:rsidR="00C9032D" w:rsidRPr="00C9032D" w14:paraId="487028A1" w14:textId="77777777">
        <w:trPr>
          <w:tblHeader/>
          <w:tblCellSpacing w:w="15" w:type="dxa"/>
        </w:trPr>
        <w:tc>
          <w:tcPr>
            <w:tcW w:w="160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4B7394F2"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2" w:name="_Hlk208178426"/>
            <w:bookmarkEnd w:id="1"/>
            <w:proofErr w:type="spellStart"/>
            <w:r w:rsidRPr="00C9032D">
              <w:rPr>
                <w:rFonts w:ascii="Times New Roman" w:hAnsi="Times New Roman" w:cs="Times New Roman"/>
                <w:spacing w:val="-2"/>
                <w:sz w:val="24"/>
                <w:szCs w:val="24"/>
              </w:rPr>
              <w:t>Kelompok</w:t>
            </w:r>
            <w:proofErr w:type="spellEnd"/>
          </w:p>
        </w:tc>
        <w:tc>
          <w:tcPr>
            <w:tcW w:w="821"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2C25F1F0"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Sebelum</w:t>
            </w:r>
            <w:proofErr w:type="spellEnd"/>
            <w:r w:rsidRPr="00C9032D">
              <w:rPr>
                <w:rFonts w:ascii="Times New Roman" w:hAnsi="Times New Roman" w:cs="Times New Roman"/>
                <w:spacing w:val="-2"/>
                <w:sz w:val="24"/>
                <w:szCs w:val="24"/>
              </w:rPr>
              <w:t xml:space="preserve"> </w:t>
            </w:r>
          </w:p>
          <w:p w14:paraId="46BF5EDA"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(mean ± SD)</w:t>
            </w:r>
          </w:p>
        </w:tc>
        <w:tc>
          <w:tcPr>
            <w:tcW w:w="962"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36A6A2CB"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Sesudah</w:t>
            </w:r>
            <w:proofErr w:type="spellEnd"/>
            <w:r w:rsidRPr="00C9032D">
              <w:rPr>
                <w:rFonts w:ascii="Times New Roman" w:hAnsi="Times New Roman" w:cs="Times New Roman"/>
                <w:spacing w:val="-2"/>
                <w:sz w:val="24"/>
                <w:szCs w:val="24"/>
              </w:rPr>
              <w:t xml:space="preserve"> </w:t>
            </w:r>
          </w:p>
          <w:p w14:paraId="31C0182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(mean ± SD)</w:t>
            </w:r>
          </w:p>
        </w:tc>
        <w:tc>
          <w:tcPr>
            <w:tcW w:w="962"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316BFBF8"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Selisih</w:t>
            </w:r>
            <w:proofErr w:type="spellEnd"/>
            <w:r w:rsidRPr="00C9032D">
              <w:rPr>
                <w:rFonts w:ascii="Times New Roman" w:hAnsi="Times New Roman" w:cs="Times New Roman"/>
                <w:spacing w:val="-2"/>
                <w:sz w:val="24"/>
                <w:szCs w:val="24"/>
              </w:rPr>
              <w:t xml:space="preserve"> </w:t>
            </w:r>
          </w:p>
          <w:p w14:paraId="16AE2479"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(mean ± SD)</w:t>
            </w:r>
          </w:p>
        </w:tc>
        <w:tc>
          <w:tcPr>
            <w:tcW w:w="664"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31BA0575"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p-value</w:t>
            </w:r>
          </w:p>
        </w:tc>
      </w:tr>
      <w:tr w:rsidR="00C9032D" w:rsidRPr="00C9032D" w14:paraId="62E6B6A2" w14:textId="77777777">
        <w:trPr>
          <w:tblCellSpacing w:w="15" w:type="dxa"/>
        </w:trPr>
        <w:tc>
          <w:tcPr>
            <w:tcW w:w="1605" w:type="dxa"/>
            <w:tcMar>
              <w:top w:w="15" w:type="dxa"/>
              <w:left w:w="15" w:type="dxa"/>
              <w:bottom w:w="15" w:type="dxa"/>
              <w:right w:w="15" w:type="dxa"/>
            </w:tcMar>
            <w:vAlign w:val="center"/>
            <w:hideMark/>
          </w:tcPr>
          <w:p w14:paraId="11D37B23"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lastRenderedPageBreak/>
              <w:t>soleus push-up without body weight resistance</w:t>
            </w:r>
          </w:p>
        </w:tc>
        <w:tc>
          <w:tcPr>
            <w:tcW w:w="821" w:type="dxa"/>
            <w:tcMar>
              <w:top w:w="15" w:type="dxa"/>
              <w:left w:w="15" w:type="dxa"/>
              <w:bottom w:w="15" w:type="dxa"/>
              <w:right w:w="15" w:type="dxa"/>
            </w:tcMar>
            <w:vAlign w:val="center"/>
            <w:hideMark/>
          </w:tcPr>
          <w:p w14:paraId="7927AE99"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248.6 ± 22.1</w:t>
            </w:r>
          </w:p>
        </w:tc>
        <w:tc>
          <w:tcPr>
            <w:tcW w:w="962" w:type="dxa"/>
            <w:tcMar>
              <w:top w:w="15" w:type="dxa"/>
              <w:left w:w="15" w:type="dxa"/>
              <w:bottom w:w="15" w:type="dxa"/>
              <w:right w:w="15" w:type="dxa"/>
            </w:tcMar>
            <w:vAlign w:val="center"/>
            <w:hideMark/>
          </w:tcPr>
          <w:p w14:paraId="02622F54"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204.7 ± 18.9</w:t>
            </w:r>
          </w:p>
        </w:tc>
        <w:tc>
          <w:tcPr>
            <w:tcW w:w="962" w:type="dxa"/>
            <w:tcMar>
              <w:top w:w="15" w:type="dxa"/>
              <w:left w:w="15" w:type="dxa"/>
              <w:bottom w:w="15" w:type="dxa"/>
              <w:right w:w="15" w:type="dxa"/>
            </w:tcMar>
            <w:vAlign w:val="center"/>
            <w:hideMark/>
          </w:tcPr>
          <w:p w14:paraId="0BBE53D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43.9 ± 12.7</w:t>
            </w:r>
          </w:p>
        </w:tc>
        <w:tc>
          <w:tcPr>
            <w:tcW w:w="664" w:type="dxa"/>
            <w:tcMar>
              <w:top w:w="15" w:type="dxa"/>
              <w:left w:w="15" w:type="dxa"/>
              <w:bottom w:w="15" w:type="dxa"/>
              <w:right w:w="15" w:type="dxa"/>
            </w:tcMar>
            <w:vAlign w:val="center"/>
            <w:hideMark/>
          </w:tcPr>
          <w:p w14:paraId="1FA39DBA"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&lt;0.001</w:t>
            </w:r>
          </w:p>
        </w:tc>
      </w:tr>
      <w:tr w:rsidR="00C9032D" w:rsidRPr="00C9032D" w14:paraId="597E40E8" w14:textId="77777777">
        <w:trPr>
          <w:tblCellSpacing w:w="15" w:type="dxa"/>
        </w:trPr>
        <w:tc>
          <w:tcPr>
            <w:tcW w:w="1605" w:type="dxa"/>
            <w:tcBorders>
              <w:top w:val="nil"/>
              <w:left w:val="nil"/>
              <w:bottom w:val="single" w:sz="4" w:space="0" w:color="auto"/>
              <w:right w:val="nil"/>
            </w:tcBorders>
            <w:tcMar>
              <w:top w:w="15" w:type="dxa"/>
              <w:left w:w="15" w:type="dxa"/>
              <w:bottom w:w="15" w:type="dxa"/>
              <w:right w:w="15" w:type="dxa"/>
            </w:tcMar>
            <w:vAlign w:val="center"/>
            <w:hideMark/>
          </w:tcPr>
          <w:p w14:paraId="47F96025"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the soleus push-up with body weight resistance</w:t>
            </w:r>
          </w:p>
        </w:tc>
        <w:tc>
          <w:tcPr>
            <w:tcW w:w="821" w:type="dxa"/>
            <w:tcBorders>
              <w:top w:val="nil"/>
              <w:left w:val="nil"/>
              <w:bottom w:val="single" w:sz="4" w:space="0" w:color="auto"/>
              <w:right w:val="nil"/>
            </w:tcBorders>
            <w:tcMar>
              <w:top w:w="15" w:type="dxa"/>
              <w:left w:w="15" w:type="dxa"/>
              <w:bottom w:w="15" w:type="dxa"/>
              <w:right w:w="15" w:type="dxa"/>
            </w:tcMar>
            <w:vAlign w:val="center"/>
            <w:hideMark/>
          </w:tcPr>
          <w:p w14:paraId="44EA5431"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251.2 ± 23.4</w:t>
            </w:r>
          </w:p>
        </w:tc>
        <w:tc>
          <w:tcPr>
            <w:tcW w:w="962" w:type="dxa"/>
            <w:tcBorders>
              <w:top w:val="nil"/>
              <w:left w:val="nil"/>
              <w:bottom w:val="single" w:sz="4" w:space="0" w:color="auto"/>
              <w:right w:val="nil"/>
            </w:tcBorders>
            <w:tcMar>
              <w:top w:w="15" w:type="dxa"/>
              <w:left w:w="15" w:type="dxa"/>
              <w:bottom w:w="15" w:type="dxa"/>
              <w:right w:w="15" w:type="dxa"/>
            </w:tcMar>
            <w:vAlign w:val="center"/>
            <w:hideMark/>
          </w:tcPr>
          <w:p w14:paraId="6CACB317"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176.7 ± 19.3</w:t>
            </w:r>
          </w:p>
        </w:tc>
        <w:tc>
          <w:tcPr>
            <w:tcW w:w="962" w:type="dxa"/>
            <w:tcBorders>
              <w:top w:val="nil"/>
              <w:left w:val="nil"/>
              <w:bottom w:val="single" w:sz="4" w:space="0" w:color="auto"/>
              <w:right w:val="nil"/>
            </w:tcBorders>
            <w:tcMar>
              <w:top w:w="15" w:type="dxa"/>
              <w:left w:w="15" w:type="dxa"/>
              <w:bottom w:w="15" w:type="dxa"/>
              <w:right w:w="15" w:type="dxa"/>
            </w:tcMar>
            <w:vAlign w:val="center"/>
            <w:hideMark/>
          </w:tcPr>
          <w:p w14:paraId="385F6AA6"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74.5 ± 14.2</w:t>
            </w:r>
          </w:p>
        </w:tc>
        <w:tc>
          <w:tcPr>
            <w:tcW w:w="664" w:type="dxa"/>
            <w:tcBorders>
              <w:top w:val="nil"/>
              <w:left w:val="nil"/>
              <w:bottom w:val="single" w:sz="4" w:space="0" w:color="auto"/>
              <w:right w:val="nil"/>
            </w:tcBorders>
            <w:tcMar>
              <w:top w:w="15" w:type="dxa"/>
              <w:left w:w="15" w:type="dxa"/>
              <w:bottom w:w="15" w:type="dxa"/>
              <w:right w:w="15" w:type="dxa"/>
            </w:tcMar>
            <w:vAlign w:val="center"/>
            <w:hideMark/>
          </w:tcPr>
          <w:p w14:paraId="3F8B2E5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&lt;0.001</w:t>
            </w:r>
          </w:p>
        </w:tc>
      </w:tr>
    </w:tbl>
    <w:bookmarkEnd w:id="2"/>
    <w:p w14:paraId="5B8CFB0B"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w:t>
      </w:r>
    </w:p>
    <w:p w14:paraId="4A87AB03"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3" w:name="_Hlk208267332"/>
      <w:r w:rsidRPr="00C9032D">
        <w:rPr>
          <w:rFonts w:ascii="Times New Roman" w:hAnsi="Times New Roman" w:cs="Times New Roman"/>
          <w:spacing w:val="-2"/>
          <w:sz w:val="24"/>
          <w:szCs w:val="24"/>
        </w:rPr>
        <w:t>This study compared the effectiveness of soleus push-ups performed without resistance and with body weight resistance in reducing blood glucose levels among patients with type II diabetes mellitus. The findings revealed that the group performing soleus push-ups without resistance experienced a mean reduction of 43.9 ± 12.7 mg/dL in blood glucose levels. In contrast, the group performing soleus push-ups with body weight resistance achieved a greater mean reduction of 74.5 ± 14.2 mg/dL. Statistical testing yielded a p-value of &lt; 0.001, indicating a significant difference between the two groups.</w:t>
      </w:r>
    </w:p>
    <w:p w14:paraId="51B88002"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Furthermore, the effect size calculated using Cohen’s d was 2.36, reflecting a very large impact of the intervention. This result suggests that soleus push-ups with body weight resistance are substantially more effective in lowering blood glucose levels compared to those performed without resistance. The intervention with added body weight resistance was shown to reduce blood glucose 1.7 times more effectively than the non-resistance exercise.</w:t>
      </w:r>
    </w:p>
    <w:p w14:paraId="2E13B87A"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These findings underscore the importance of incorporating resistance elements into simple physical activities such as soleus push-ups to optimize their metabolic benefits for patients with type II diabetes mellitus. The results also provide additional evidence supporting resistance-based exercise as a feasible, low-cost, and accessible non-pharmacological strategy for glycemic control in primary healthcare and community settings. Comparison of Blood Glucose Level Reduction Between Groups as shown in Table 3</w:t>
      </w:r>
    </w:p>
    <w:p w14:paraId="4598DB70"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4" w:name="_Hlk208267350"/>
      <w:bookmarkEnd w:id="3"/>
      <w:r w:rsidRPr="00C9032D">
        <w:rPr>
          <w:rFonts w:ascii="Times New Roman" w:hAnsi="Times New Roman" w:cs="Times New Roman"/>
          <w:spacing w:val="-2"/>
          <w:sz w:val="24"/>
          <w:szCs w:val="24"/>
        </w:rPr>
        <w:t>Table 3. Comparison of Blood Glucose Level Reduction Between Groups</w:t>
      </w:r>
    </w:p>
    <w:tbl>
      <w:tblPr>
        <w:tblW w:w="5243" w:type="dxa"/>
        <w:tblCellSpacing w:w="15" w:type="dxa"/>
        <w:tblInd w:w="47" w:type="dxa"/>
        <w:tblLook w:val="04A0" w:firstRow="1" w:lastRow="0" w:firstColumn="1" w:lastColumn="0" w:noHBand="0" w:noVBand="1"/>
      </w:tblPr>
      <w:tblGrid>
        <w:gridCol w:w="1513"/>
        <w:gridCol w:w="1417"/>
        <w:gridCol w:w="2313"/>
      </w:tblGrid>
      <w:tr w:rsidR="00C9032D" w:rsidRPr="00C9032D" w14:paraId="12E61BE3" w14:textId="77777777" w:rsidTr="00C9032D">
        <w:trPr>
          <w:tblHeader/>
          <w:tblCellSpacing w:w="15" w:type="dxa"/>
        </w:trPr>
        <w:tc>
          <w:tcPr>
            <w:tcW w:w="1468"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14273D98"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5" w:name="_Hlk208178839"/>
            <w:bookmarkEnd w:id="4"/>
            <w:proofErr w:type="spellStart"/>
            <w:r w:rsidRPr="00C9032D">
              <w:rPr>
                <w:rFonts w:ascii="Times New Roman" w:hAnsi="Times New Roman" w:cs="Times New Roman"/>
                <w:spacing w:val="-2"/>
                <w:sz w:val="24"/>
                <w:szCs w:val="24"/>
              </w:rPr>
              <w:t>Kelompok</w:t>
            </w:r>
            <w:proofErr w:type="spellEnd"/>
          </w:p>
        </w:tc>
        <w:tc>
          <w:tcPr>
            <w:tcW w:w="1387"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4072A4E5" w14:textId="77777777" w:rsidR="00C9032D" w:rsidRPr="00C9032D" w:rsidRDefault="00C9032D" w:rsidP="00C9032D">
            <w:pPr>
              <w:pStyle w:val="BodyText"/>
              <w:ind w:left="284"/>
              <w:jc w:val="both"/>
              <w:rPr>
                <w:rFonts w:ascii="Times New Roman" w:hAnsi="Times New Roman" w:cs="Times New Roman"/>
                <w:spacing w:val="-2"/>
                <w:sz w:val="24"/>
                <w:szCs w:val="24"/>
              </w:rPr>
            </w:pPr>
            <w:proofErr w:type="spellStart"/>
            <w:r w:rsidRPr="00C9032D">
              <w:rPr>
                <w:rFonts w:ascii="Times New Roman" w:hAnsi="Times New Roman" w:cs="Times New Roman"/>
                <w:spacing w:val="-2"/>
                <w:sz w:val="24"/>
                <w:szCs w:val="24"/>
              </w:rPr>
              <w:t>Penurunan</w:t>
            </w:r>
            <w:proofErr w:type="spellEnd"/>
            <w:r w:rsidRPr="00C9032D">
              <w:rPr>
                <w:rFonts w:ascii="Times New Roman" w:hAnsi="Times New Roman" w:cs="Times New Roman"/>
                <w:spacing w:val="-2"/>
                <w:sz w:val="24"/>
                <w:szCs w:val="24"/>
              </w:rPr>
              <w:t xml:space="preserve"> (mean ± SD)</w:t>
            </w:r>
          </w:p>
        </w:tc>
        <w:tc>
          <w:tcPr>
            <w:tcW w:w="2268"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092CB345"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p-value                           Cohen’s </w:t>
            </w:r>
            <w:r w:rsidRPr="00C9032D">
              <w:rPr>
                <w:rFonts w:ascii="Times New Roman" w:hAnsi="Times New Roman" w:cs="Times New Roman"/>
                <w:i/>
                <w:iCs/>
                <w:spacing w:val="-2"/>
                <w:sz w:val="24"/>
                <w:szCs w:val="24"/>
              </w:rPr>
              <w:t>d</w:t>
            </w:r>
          </w:p>
        </w:tc>
      </w:tr>
      <w:tr w:rsidR="00C9032D" w:rsidRPr="00C9032D" w14:paraId="30CBA71A" w14:textId="77777777" w:rsidTr="00C9032D">
        <w:trPr>
          <w:tblCellSpacing w:w="15" w:type="dxa"/>
        </w:trPr>
        <w:tc>
          <w:tcPr>
            <w:tcW w:w="1468" w:type="dxa"/>
            <w:tcMar>
              <w:top w:w="15" w:type="dxa"/>
              <w:left w:w="15" w:type="dxa"/>
              <w:bottom w:w="15" w:type="dxa"/>
              <w:right w:w="15" w:type="dxa"/>
            </w:tcMar>
            <w:vAlign w:val="center"/>
            <w:hideMark/>
          </w:tcPr>
          <w:p w14:paraId="20C88153"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soleus push-up without body weight resistance</w:t>
            </w:r>
          </w:p>
        </w:tc>
        <w:tc>
          <w:tcPr>
            <w:tcW w:w="1387" w:type="dxa"/>
            <w:tcMar>
              <w:top w:w="15" w:type="dxa"/>
              <w:left w:w="15" w:type="dxa"/>
              <w:bottom w:w="15" w:type="dxa"/>
              <w:right w:w="15" w:type="dxa"/>
            </w:tcMar>
            <w:vAlign w:val="center"/>
            <w:hideMark/>
          </w:tcPr>
          <w:p w14:paraId="471606EC"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43.9 ± 12.7</w:t>
            </w:r>
          </w:p>
        </w:tc>
        <w:tc>
          <w:tcPr>
            <w:tcW w:w="2268" w:type="dxa"/>
            <w:tcMar>
              <w:top w:w="15" w:type="dxa"/>
              <w:left w:w="15" w:type="dxa"/>
              <w:bottom w:w="15" w:type="dxa"/>
              <w:right w:w="15" w:type="dxa"/>
            </w:tcMar>
            <w:vAlign w:val="center"/>
            <w:hideMark/>
          </w:tcPr>
          <w:p w14:paraId="3314674C" w14:textId="77777777" w:rsidR="00C9032D" w:rsidRPr="00C9032D" w:rsidRDefault="00C9032D" w:rsidP="00C9032D">
            <w:pPr>
              <w:pStyle w:val="BodyText"/>
              <w:ind w:left="284"/>
              <w:jc w:val="both"/>
              <w:rPr>
                <w:rFonts w:ascii="Times New Roman" w:hAnsi="Times New Roman" w:cs="Times New Roman"/>
                <w:spacing w:val="-2"/>
                <w:sz w:val="24"/>
                <w:szCs w:val="24"/>
              </w:rPr>
            </w:pPr>
          </w:p>
        </w:tc>
      </w:tr>
      <w:tr w:rsidR="00C9032D" w:rsidRPr="00C9032D" w14:paraId="7FEFF4F0" w14:textId="77777777" w:rsidTr="00C9032D">
        <w:trPr>
          <w:tblCellSpacing w:w="15" w:type="dxa"/>
        </w:trPr>
        <w:tc>
          <w:tcPr>
            <w:tcW w:w="1468" w:type="dxa"/>
            <w:tcBorders>
              <w:top w:val="nil"/>
              <w:left w:val="nil"/>
              <w:bottom w:val="single" w:sz="4" w:space="0" w:color="auto"/>
              <w:right w:val="nil"/>
            </w:tcBorders>
            <w:tcMar>
              <w:top w:w="15" w:type="dxa"/>
              <w:left w:w="15" w:type="dxa"/>
              <w:bottom w:w="15" w:type="dxa"/>
              <w:right w:w="15" w:type="dxa"/>
            </w:tcMar>
            <w:vAlign w:val="center"/>
            <w:hideMark/>
          </w:tcPr>
          <w:p w14:paraId="0FD657C8"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soleus push-up </w:t>
            </w:r>
            <w:r w:rsidRPr="00C9032D">
              <w:rPr>
                <w:rFonts w:ascii="Times New Roman" w:hAnsi="Times New Roman" w:cs="Times New Roman"/>
                <w:spacing w:val="-2"/>
                <w:sz w:val="24"/>
                <w:szCs w:val="24"/>
              </w:rPr>
              <w:lastRenderedPageBreak/>
              <w:t>with body weight resistance</w:t>
            </w:r>
          </w:p>
        </w:tc>
        <w:tc>
          <w:tcPr>
            <w:tcW w:w="1387" w:type="dxa"/>
            <w:tcBorders>
              <w:top w:val="nil"/>
              <w:left w:val="nil"/>
              <w:bottom w:val="single" w:sz="4" w:space="0" w:color="auto"/>
              <w:right w:val="nil"/>
            </w:tcBorders>
            <w:tcMar>
              <w:top w:w="15" w:type="dxa"/>
              <w:left w:w="15" w:type="dxa"/>
              <w:bottom w:w="15" w:type="dxa"/>
              <w:right w:w="15" w:type="dxa"/>
            </w:tcMar>
            <w:vAlign w:val="center"/>
            <w:hideMark/>
          </w:tcPr>
          <w:p w14:paraId="2CF24423"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lastRenderedPageBreak/>
              <w:t>74.5 ± 14.2</w:t>
            </w:r>
          </w:p>
        </w:tc>
        <w:tc>
          <w:tcPr>
            <w:tcW w:w="2268" w:type="dxa"/>
            <w:tcBorders>
              <w:top w:val="nil"/>
              <w:left w:val="nil"/>
              <w:bottom w:val="single" w:sz="4" w:space="0" w:color="auto"/>
              <w:right w:val="nil"/>
            </w:tcBorders>
            <w:tcMar>
              <w:top w:w="15" w:type="dxa"/>
              <w:left w:w="15" w:type="dxa"/>
              <w:bottom w:w="15" w:type="dxa"/>
              <w:right w:w="15" w:type="dxa"/>
            </w:tcMar>
            <w:vAlign w:val="center"/>
            <w:hideMark/>
          </w:tcPr>
          <w:p w14:paraId="652CBA32"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&lt;0.001                                  2,36</w:t>
            </w:r>
          </w:p>
        </w:tc>
      </w:tr>
    </w:tbl>
    <w:bookmarkEnd w:id="5"/>
    <w:p w14:paraId="3394A728"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Sig pada p&lt;0,001</w:t>
      </w:r>
      <w:bookmarkStart w:id="6" w:name="_Hlk208178896"/>
    </w:p>
    <w:bookmarkEnd w:id="6"/>
    <w:p w14:paraId="68DD68B2" w14:textId="77777777" w:rsidR="00C9032D" w:rsidRPr="00C9032D" w:rsidRDefault="00C9032D" w:rsidP="00C9032D">
      <w:pPr>
        <w:pStyle w:val="BodyText"/>
        <w:ind w:left="284"/>
        <w:jc w:val="both"/>
        <w:rPr>
          <w:rFonts w:ascii="Times New Roman" w:hAnsi="Times New Roman" w:cs="Times New Roman"/>
          <w:spacing w:val="-2"/>
          <w:sz w:val="24"/>
          <w:szCs w:val="24"/>
        </w:rPr>
      </w:pPr>
    </w:p>
    <w:p w14:paraId="1106533A" w14:textId="77777777" w:rsidR="00C9032D" w:rsidRPr="00C9032D" w:rsidRDefault="00C9032D" w:rsidP="00C9032D">
      <w:pPr>
        <w:pStyle w:val="BodyText"/>
        <w:ind w:left="284"/>
        <w:jc w:val="both"/>
        <w:rPr>
          <w:rFonts w:ascii="Times New Roman" w:hAnsi="Times New Roman" w:cs="Times New Roman"/>
          <w:spacing w:val="-2"/>
          <w:sz w:val="24"/>
          <w:szCs w:val="24"/>
        </w:rPr>
      </w:pPr>
    </w:p>
    <w:p w14:paraId="3AB39463" w14:textId="77777777" w:rsidR="00C9032D" w:rsidRPr="00C9032D" w:rsidRDefault="00C9032D" w:rsidP="00C9032D">
      <w:pPr>
        <w:pStyle w:val="BodyText"/>
        <w:ind w:left="284"/>
        <w:jc w:val="both"/>
        <w:rPr>
          <w:rFonts w:ascii="Times New Roman" w:hAnsi="Times New Roman" w:cs="Times New Roman"/>
          <w:spacing w:val="-2"/>
          <w:sz w:val="24"/>
          <w:szCs w:val="24"/>
        </w:rPr>
      </w:pPr>
      <w:bookmarkStart w:id="7" w:name="_Hlk208267551"/>
      <w:r w:rsidRPr="00C9032D">
        <w:rPr>
          <w:rFonts w:ascii="Times New Roman" w:hAnsi="Times New Roman" w:cs="Times New Roman"/>
          <w:spacing w:val="-2"/>
          <w:sz w:val="24"/>
          <w:szCs w:val="24"/>
        </w:rPr>
        <w:t>Discussion</w:t>
      </w:r>
    </w:p>
    <w:p w14:paraId="16507C46"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The present study demonstrated that soleus push-ups with body weight resistance were more effective in reducing blood glucose levels among patients with type II diabetes mellitus compared to soleus push-ups without resistance. The large effect size observed (Cohen’s d = 2.36) highlights the strong impact of this intervention. This finding supports the theoretical framework that skeletal muscle contraction, particularly of the soleus muscle dominated by oxidative type I fibers, facilitates glucose uptake through GLUT4 translocation to the plasma membrane independently of insulin (Richter &amp; Hargreaves, 2013). The addition of body weight provides a greater contractile stimulus that enhances insulin sensitivity and glucose metabolism more effectively.</w:t>
      </w:r>
    </w:p>
    <w:p w14:paraId="28BC48E5"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These results contribute to the theoretical understanding of exercise-based interventions for glycemic control. Exercise has consistently been regarded as a cornerstone of diabetes management, with meta-analyses demonstrating reductions in HbA1c, fasting blood glucose, and improvements in overall quality of life among patients with type II diabetes (Shah et al., 2021). The current findings extend this knowledge by showing that adding body weight resistance to soleus push-ups augments the metabolic benefits, thereby reinforcing the importance of resistance-based exercise as a low-cost, non-pharmacological adjunct to pharmacological therapy.</w:t>
      </w:r>
    </w:p>
    <w:p w14:paraId="5A454D42"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The findings of this study are in line with previous research on the role of targeted lower limb exercises in diabetes management. </w:t>
      </w:r>
      <w:proofErr w:type="spellStart"/>
      <w:r w:rsidRPr="00C9032D">
        <w:rPr>
          <w:rFonts w:ascii="Times New Roman" w:hAnsi="Times New Roman" w:cs="Times New Roman"/>
          <w:spacing w:val="-2"/>
          <w:sz w:val="24"/>
          <w:szCs w:val="24"/>
        </w:rPr>
        <w:t>Fajriati</w:t>
      </w:r>
      <w:proofErr w:type="spellEnd"/>
      <w:r w:rsidRPr="00C9032D">
        <w:rPr>
          <w:rFonts w:ascii="Times New Roman" w:hAnsi="Times New Roman" w:cs="Times New Roman"/>
          <w:spacing w:val="-2"/>
          <w:sz w:val="24"/>
          <w:szCs w:val="24"/>
        </w:rPr>
        <w:t xml:space="preserve"> and </w:t>
      </w:r>
      <w:proofErr w:type="spellStart"/>
      <w:r w:rsidRPr="00C9032D">
        <w:rPr>
          <w:rFonts w:ascii="Times New Roman" w:hAnsi="Times New Roman" w:cs="Times New Roman"/>
          <w:spacing w:val="-2"/>
          <w:sz w:val="24"/>
          <w:szCs w:val="24"/>
        </w:rPr>
        <w:t>Indarwati</w:t>
      </w:r>
      <w:proofErr w:type="spellEnd"/>
      <w:r w:rsidRPr="00C9032D">
        <w:rPr>
          <w:rFonts w:ascii="Times New Roman" w:hAnsi="Times New Roman" w:cs="Times New Roman"/>
          <w:spacing w:val="-2"/>
          <w:sz w:val="24"/>
          <w:szCs w:val="24"/>
        </w:rPr>
        <w:t xml:space="preserve"> (2021) reported that diabetic foot exercises significantly lowered blood glucose levels among patients with diabetes mellitus. Kang et al. (2009) demonstrated that circuit resistance exercise improved glycemic control and adipokine profiles in women with type II diabetes. Similarly, Madsen et al. (2015) reported that high-intensity interval training significantly improved pancreatic β-cell function and overall glycemic control in patients with diabetes. These convergent findings confirm that muscle contraction and resistance exercise play a critical role in regulating glucose homeostasis.</w:t>
      </w:r>
    </w:p>
    <w:p w14:paraId="2FB1D58A"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Nevertheless, some differences arise when comparing these results with studies that reported beneficial effects of exercise without additional load. </w:t>
      </w:r>
      <w:proofErr w:type="spellStart"/>
      <w:r w:rsidRPr="00C9032D">
        <w:rPr>
          <w:rFonts w:ascii="Times New Roman" w:hAnsi="Times New Roman" w:cs="Times New Roman"/>
          <w:spacing w:val="-2"/>
          <w:sz w:val="24"/>
          <w:szCs w:val="24"/>
        </w:rPr>
        <w:t>Fajriati</w:t>
      </w:r>
      <w:proofErr w:type="spellEnd"/>
      <w:r w:rsidRPr="00C9032D">
        <w:rPr>
          <w:rFonts w:ascii="Times New Roman" w:hAnsi="Times New Roman" w:cs="Times New Roman"/>
          <w:spacing w:val="-2"/>
          <w:sz w:val="24"/>
          <w:szCs w:val="24"/>
        </w:rPr>
        <w:t xml:space="preserve"> and </w:t>
      </w:r>
      <w:proofErr w:type="spellStart"/>
      <w:r w:rsidRPr="00C9032D">
        <w:rPr>
          <w:rFonts w:ascii="Times New Roman" w:hAnsi="Times New Roman" w:cs="Times New Roman"/>
          <w:spacing w:val="-2"/>
          <w:sz w:val="24"/>
          <w:szCs w:val="24"/>
        </w:rPr>
        <w:t>Indarwati</w:t>
      </w:r>
      <w:proofErr w:type="spellEnd"/>
      <w:r w:rsidRPr="00C9032D">
        <w:rPr>
          <w:rFonts w:ascii="Times New Roman" w:hAnsi="Times New Roman" w:cs="Times New Roman"/>
          <w:spacing w:val="-2"/>
          <w:sz w:val="24"/>
          <w:szCs w:val="24"/>
        </w:rPr>
        <w:t xml:space="preserve"> (2021) and similar studies observed improvements in blood glucose levels even in the absence of resistance. In contrast, the present study indicates that body weight resistance produces greater reductions, particularly in individuals with established type II diabetes who generally have higher levels of insulin resistance. This suggests that a stronger contractile stimulus may be required to achieve optimal metabolic responses in this population.</w:t>
      </w:r>
    </w:p>
    <w:p w14:paraId="5459CC93"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Clinically, the results highlight the potential application of bodyweight soleus push-ups as a practical and inexpensive intervention that can be integrated into diabetes care at the primary health service level. This approach is particularly valuable for patients who face barriers to conventional exercise programs due to limited resources, mobility restrictions, or lack of access </w:t>
      </w:r>
      <w:r w:rsidRPr="00C9032D">
        <w:rPr>
          <w:rFonts w:ascii="Times New Roman" w:hAnsi="Times New Roman" w:cs="Times New Roman"/>
          <w:spacing w:val="-2"/>
          <w:sz w:val="24"/>
          <w:szCs w:val="24"/>
        </w:rPr>
        <w:lastRenderedPageBreak/>
        <w:t xml:space="preserve">to facilities. From a public health perspective, this intervention is especially relevant in Indonesia, where diabetes prevalence continues to rise due to sedentary lifestyles, obesity, and unhealthy dietary habits (Irma, 2019; </w:t>
      </w:r>
      <w:proofErr w:type="spellStart"/>
      <w:r w:rsidRPr="00C9032D">
        <w:rPr>
          <w:rFonts w:ascii="Times New Roman" w:hAnsi="Times New Roman" w:cs="Times New Roman"/>
          <w:spacing w:val="-2"/>
          <w:sz w:val="24"/>
          <w:szCs w:val="24"/>
        </w:rPr>
        <w:t>Yunawati</w:t>
      </w:r>
      <w:proofErr w:type="spellEnd"/>
      <w:r w:rsidRPr="00C9032D">
        <w:rPr>
          <w:rFonts w:ascii="Times New Roman" w:hAnsi="Times New Roman" w:cs="Times New Roman"/>
          <w:spacing w:val="-2"/>
          <w:sz w:val="24"/>
          <w:szCs w:val="24"/>
        </w:rPr>
        <w:t xml:space="preserve"> et al., 2025). Simple, scalable interventions such as soleus push-ups could be integrated into community health promotion programs to complement pharmacological therapy, empower patients to take a more active role in disease management, and reduce the burden of diabetes-related complications and healthcare costs in the long term.</w:t>
      </w:r>
    </w:p>
    <w:p w14:paraId="1409FB25" w14:textId="77777777" w:rsidR="00C9032D" w:rsidRPr="00C9032D" w:rsidRDefault="00C9032D" w:rsidP="00C9032D">
      <w:pPr>
        <w:pStyle w:val="BodyText"/>
        <w:ind w:left="284"/>
        <w:jc w:val="both"/>
        <w:rPr>
          <w:rFonts w:ascii="Times New Roman" w:hAnsi="Times New Roman" w:cs="Times New Roman"/>
          <w:b/>
          <w:bCs/>
          <w:spacing w:val="-2"/>
          <w:sz w:val="24"/>
          <w:szCs w:val="24"/>
        </w:rPr>
      </w:pPr>
    </w:p>
    <w:p w14:paraId="5DF488D1" w14:textId="77777777" w:rsidR="00C9032D" w:rsidRPr="00C9032D" w:rsidRDefault="00C9032D" w:rsidP="00C9032D">
      <w:pPr>
        <w:pStyle w:val="BodyText"/>
        <w:ind w:left="284"/>
        <w:jc w:val="both"/>
        <w:rPr>
          <w:rFonts w:ascii="Times New Roman" w:hAnsi="Times New Roman" w:cs="Times New Roman"/>
          <w:b/>
          <w:bCs/>
          <w:spacing w:val="-2"/>
          <w:sz w:val="24"/>
          <w:szCs w:val="24"/>
        </w:rPr>
      </w:pPr>
      <w:r w:rsidRPr="00C9032D">
        <w:rPr>
          <w:rFonts w:ascii="Times New Roman" w:hAnsi="Times New Roman" w:cs="Times New Roman"/>
          <w:b/>
          <w:bCs/>
          <w:spacing w:val="-2"/>
          <w:sz w:val="24"/>
          <w:szCs w:val="24"/>
        </w:rPr>
        <w:t>Conclusion</w:t>
      </w:r>
    </w:p>
    <w:p w14:paraId="0931939E" w14:textId="77777777" w:rsidR="00C9032D" w:rsidRPr="00C9032D" w:rsidRDefault="00C9032D" w:rsidP="00C9032D">
      <w:pPr>
        <w:pStyle w:val="BodyText"/>
        <w:ind w:left="284"/>
        <w:jc w:val="both"/>
        <w:rPr>
          <w:rFonts w:ascii="Times New Roman" w:hAnsi="Times New Roman" w:cs="Times New Roman"/>
          <w:spacing w:val="-2"/>
          <w:sz w:val="24"/>
          <w:szCs w:val="24"/>
        </w:rPr>
      </w:pPr>
      <w:r w:rsidRPr="00C9032D">
        <w:rPr>
          <w:rFonts w:ascii="Times New Roman" w:hAnsi="Times New Roman" w:cs="Times New Roman"/>
          <w:spacing w:val="-2"/>
          <w:sz w:val="24"/>
          <w:szCs w:val="24"/>
        </w:rPr>
        <w:t xml:space="preserve">       Soleus push-ups with body weight resistance are proven to be an effective non-pharmacological intervention for improving glycemic control in patients with type II diabetes mellitus. This study advances current knowledge by demonstrating that resistance-based exercise produces substantially stronger physiological effects compared to non-resistance movements. As a simple and low-cost activity, soleus push-ups can complement pharmacological therapy and be integrated into diabetes management programs in primary healthcare settings. Future research should explore the long-term impact of this intervention and its combination with other lifestyle modifications.</w:t>
      </w:r>
    </w:p>
    <w:bookmarkEnd w:id="7"/>
    <w:p w14:paraId="4DF8D822" w14:textId="77777777" w:rsidR="00C9032D" w:rsidRPr="00C9032D" w:rsidRDefault="00C9032D" w:rsidP="00C9032D">
      <w:pPr>
        <w:pStyle w:val="BodyText"/>
        <w:ind w:left="284"/>
        <w:jc w:val="both"/>
        <w:rPr>
          <w:rFonts w:ascii="Times New Roman" w:hAnsi="Times New Roman" w:cs="Times New Roman"/>
          <w:b/>
          <w:bCs/>
          <w:spacing w:val="-2"/>
          <w:sz w:val="24"/>
          <w:szCs w:val="24"/>
        </w:rPr>
      </w:pPr>
    </w:p>
    <w:p w14:paraId="59F68225" w14:textId="77777777" w:rsidR="00C9032D" w:rsidRPr="00C9032D" w:rsidRDefault="00C9032D" w:rsidP="00C9032D">
      <w:pPr>
        <w:pStyle w:val="BodyText"/>
        <w:ind w:left="284"/>
        <w:jc w:val="both"/>
        <w:rPr>
          <w:rFonts w:ascii="Times New Roman" w:hAnsi="Times New Roman" w:cs="Times New Roman"/>
          <w:b/>
          <w:bCs/>
          <w:spacing w:val="-2"/>
          <w:sz w:val="24"/>
          <w:szCs w:val="24"/>
        </w:rPr>
      </w:pPr>
    </w:p>
    <w:p w14:paraId="60EBAD84" w14:textId="77777777" w:rsidR="00C9032D" w:rsidRPr="00C9032D" w:rsidRDefault="00C9032D" w:rsidP="00C9032D">
      <w:pPr>
        <w:pStyle w:val="BodyText"/>
        <w:ind w:left="284"/>
        <w:jc w:val="both"/>
        <w:rPr>
          <w:rFonts w:ascii="Times New Roman" w:hAnsi="Times New Roman" w:cs="Times New Roman"/>
          <w:b/>
          <w:bCs/>
          <w:spacing w:val="-2"/>
          <w:sz w:val="24"/>
          <w:szCs w:val="24"/>
        </w:rPr>
      </w:pPr>
      <w:r w:rsidRPr="00C9032D">
        <w:rPr>
          <w:rFonts w:ascii="Times New Roman" w:hAnsi="Times New Roman" w:cs="Times New Roman"/>
          <w:b/>
          <w:bCs/>
          <w:spacing w:val="-2"/>
          <w:sz w:val="24"/>
          <w:szCs w:val="24"/>
        </w:rPr>
        <w:t xml:space="preserve">Acknowledgment </w:t>
      </w:r>
    </w:p>
    <w:p w14:paraId="20DD189C" w14:textId="4C6C8641" w:rsidR="00965F77" w:rsidRPr="00C9032D" w:rsidRDefault="00C9032D" w:rsidP="00C9032D">
      <w:pPr>
        <w:pStyle w:val="BodyText"/>
        <w:ind w:left="284"/>
        <w:jc w:val="both"/>
        <w:rPr>
          <w:rFonts w:ascii="Times New Roman" w:hAnsi="Times New Roman" w:cs="Times New Roman"/>
          <w:sz w:val="24"/>
          <w:szCs w:val="24"/>
        </w:rPr>
      </w:pPr>
      <w:r w:rsidRPr="00C9032D">
        <w:rPr>
          <w:rFonts w:ascii="Times New Roman" w:hAnsi="Times New Roman" w:cs="Times New Roman"/>
          <w:spacing w:val="-2"/>
          <w:sz w:val="24"/>
          <w:szCs w:val="24"/>
        </w:rPr>
        <w:t xml:space="preserve">       The authors would like to express their gratitude and appreciation to the management and staff of the </w:t>
      </w:r>
      <w:proofErr w:type="spellStart"/>
      <w:r w:rsidRPr="00C9032D">
        <w:rPr>
          <w:rFonts w:ascii="Times New Roman" w:hAnsi="Times New Roman" w:cs="Times New Roman"/>
          <w:spacing w:val="-2"/>
          <w:sz w:val="24"/>
          <w:szCs w:val="24"/>
        </w:rPr>
        <w:t>Poasia</w:t>
      </w:r>
      <w:proofErr w:type="spellEnd"/>
      <w:r w:rsidRPr="00C9032D">
        <w:rPr>
          <w:rFonts w:ascii="Times New Roman" w:hAnsi="Times New Roman" w:cs="Times New Roman"/>
          <w:spacing w:val="-2"/>
          <w:sz w:val="24"/>
          <w:szCs w:val="24"/>
        </w:rPr>
        <w:t xml:space="preserve"> Community Health Center for their invaluable assistance during the data collection process. Special thanks are also extended to the Head of the Karya Kesehatan Kendari College of Health Sciences and all lecturers and staff for their continued support, guidance, and facilitation throughout this research. Finally, we would like to thank all participants who generously contributed their time and commitment to this research.</w:t>
      </w:r>
    </w:p>
    <w:p w14:paraId="3A54D1AE" w14:textId="77777777" w:rsidR="00C9032D" w:rsidRDefault="00C9032D" w:rsidP="00C9032D">
      <w:pPr>
        <w:pStyle w:val="BodyText"/>
        <w:ind w:left="284"/>
        <w:jc w:val="both"/>
        <w:rPr>
          <w:rFonts w:ascii="Times New Roman" w:hAnsi="Times New Roman" w:cs="Times New Roman"/>
          <w:b/>
          <w:sz w:val="24"/>
          <w:szCs w:val="24"/>
        </w:rPr>
      </w:pPr>
    </w:p>
    <w:p w14:paraId="7AE169C6" w14:textId="77777777" w:rsidR="00C9032D" w:rsidRDefault="00C9032D" w:rsidP="00643B92">
      <w:pPr>
        <w:pStyle w:val="BodyText"/>
        <w:jc w:val="both"/>
        <w:rPr>
          <w:rFonts w:ascii="Times New Roman" w:hAnsi="Times New Roman" w:cs="Times New Roman"/>
          <w:b/>
          <w:sz w:val="24"/>
          <w:szCs w:val="24"/>
        </w:rPr>
      </w:pPr>
    </w:p>
    <w:p w14:paraId="6E1CCB27" w14:textId="792AD2AF" w:rsidR="00FD483C" w:rsidRPr="00A41EE4" w:rsidRDefault="00FD483C" w:rsidP="00C9032D">
      <w:pPr>
        <w:pStyle w:val="BodyText"/>
        <w:ind w:left="284"/>
        <w:jc w:val="both"/>
        <w:rPr>
          <w:rFonts w:ascii="Times New Roman" w:hAnsi="Times New Roman" w:cs="Times New Roman"/>
          <w:b/>
          <w:sz w:val="24"/>
          <w:szCs w:val="24"/>
        </w:rPr>
      </w:pPr>
      <w:r w:rsidRPr="00A41EE4">
        <w:rPr>
          <w:rFonts w:ascii="Times New Roman" w:hAnsi="Times New Roman" w:cs="Times New Roman"/>
          <w:b/>
          <w:sz w:val="24"/>
          <w:szCs w:val="24"/>
        </w:rPr>
        <w:t>References</w:t>
      </w:r>
    </w:p>
    <w:p w14:paraId="61AA94BF" w14:textId="77777777" w:rsidR="00FD483C" w:rsidRPr="00A41EE4" w:rsidRDefault="00FD483C" w:rsidP="00C9032D">
      <w:pPr>
        <w:pStyle w:val="BodyText"/>
        <w:jc w:val="both"/>
        <w:rPr>
          <w:rFonts w:ascii="Times New Roman" w:hAnsi="Times New Roman" w:cs="Times New Roman"/>
          <w:sz w:val="24"/>
          <w:szCs w:val="24"/>
        </w:rPr>
      </w:pPr>
    </w:p>
    <w:p w14:paraId="0542B8DA"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t>Adifa</w:t>
      </w:r>
      <w:proofErr w:type="spellEnd"/>
      <w:r w:rsidRPr="00C9032D">
        <w:rPr>
          <w:rFonts w:ascii="Times New Roman" w:hAnsi="Times New Roman" w:cs="Times New Roman"/>
          <w:b w:val="0"/>
          <w:bCs w:val="0"/>
          <w:sz w:val="24"/>
          <w:szCs w:val="24"/>
        </w:rPr>
        <w:t>, R., et al. (2025). [</w:t>
      </w:r>
      <w:proofErr w:type="spellStart"/>
      <w:r w:rsidRPr="00C9032D">
        <w:rPr>
          <w:rFonts w:ascii="Times New Roman" w:hAnsi="Times New Roman" w:cs="Times New Roman"/>
          <w:b w:val="0"/>
          <w:bCs w:val="0"/>
          <w:sz w:val="24"/>
          <w:szCs w:val="24"/>
        </w:rPr>
        <w:t>Judul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artikel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sesuai</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naskah</w:t>
      </w:r>
      <w:proofErr w:type="spellEnd"/>
      <w:r w:rsidRPr="00C9032D">
        <w:rPr>
          <w:rFonts w:ascii="Times New Roman" w:hAnsi="Times New Roman" w:cs="Times New Roman"/>
          <w:b w:val="0"/>
          <w:bCs w:val="0"/>
          <w:sz w:val="24"/>
          <w:szCs w:val="24"/>
        </w:rPr>
        <w:t>].</w:t>
      </w:r>
    </w:p>
    <w:p w14:paraId="6BBA2D87"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Aim, M., et al. (2022). [</w:t>
      </w:r>
      <w:proofErr w:type="spellStart"/>
      <w:r w:rsidRPr="00C9032D">
        <w:rPr>
          <w:rFonts w:ascii="Times New Roman" w:hAnsi="Times New Roman" w:cs="Times New Roman"/>
          <w:b w:val="0"/>
          <w:bCs w:val="0"/>
          <w:sz w:val="24"/>
          <w:szCs w:val="24"/>
        </w:rPr>
        <w:t>Judul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artikel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sesuai</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naskah</w:t>
      </w:r>
      <w:proofErr w:type="spellEnd"/>
      <w:r w:rsidRPr="00C9032D">
        <w:rPr>
          <w:rFonts w:ascii="Times New Roman" w:hAnsi="Times New Roman" w:cs="Times New Roman"/>
          <w:b w:val="0"/>
          <w:bCs w:val="0"/>
          <w:sz w:val="24"/>
          <w:szCs w:val="24"/>
        </w:rPr>
        <w:t>].</w:t>
      </w:r>
    </w:p>
    <w:p w14:paraId="607185EF"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t>Astutisari</w:t>
      </w:r>
      <w:proofErr w:type="spellEnd"/>
      <w:r w:rsidRPr="00C9032D">
        <w:rPr>
          <w:rFonts w:ascii="Times New Roman" w:hAnsi="Times New Roman" w:cs="Times New Roman"/>
          <w:b w:val="0"/>
          <w:bCs w:val="0"/>
          <w:sz w:val="24"/>
          <w:szCs w:val="24"/>
        </w:rPr>
        <w:t>, A., et al. (2022). [</w:t>
      </w:r>
      <w:proofErr w:type="spellStart"/>
      <w:r w:rsidRPr="00C9032D">
        <w:rPr>
          <w:rFonts w:ascii="Times New Roman" w:hAnsi="Times New Roman" w:cs="Times New Roman"/>
          <w:b w:val="0"/>
          <w:bCs w:val="0"/>
          <w:sz w:val="24"/>
          <w:szCs w:val="24"/>
        </w:rPr>
        <w:t>Judul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artikel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sesuai</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naskah</w:t>
      </w:r>
      <w:proofErr w:type="spellEnd"/>
      <w:r w:rsidRPr="00C9032D">
        <w:rPr>
          <w:rFonts w:ascii="Times New Roman" w:hAnsi="Times New Roman" w:cs="Times New Roman"/>
          <w:b w:val="0"/>
          <w:bCs w:val="0"/>
          <w:sz w:val="24"/>
          <w:szCs w:val="24"/>
        </w:rPr>
        <w:t>].</w:t>
      </w:r>
    </w:p>
    <w:p w14:paraId="7E2BFF42"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Cahyani, D. (2023). </w:t>
      </w:r>
      <w:proofErr w:type="spellStart"/>
      <w:r w:rsidRPr="00C9032D">
        <w:rPr>
          <w:rFonts w:ascii="Times New Roman" w:hAnsi="Times New Roman" w:cs="Times New Roman"/>
          <w:b w:val="0"/>
          <w:bCs w:val="0"/>
          <w:i/>
          <w:iCs/>
          <w:sz w:val="24"/>
          <w:szCs w:val="24"/>
        </w:rPr>
        <w:t>Pengaruh</w:t>
      </w:r>
      <w:proofErr w:type="spellEnd"/>
      <w:r w:rsidRPr="00C9032D">
        <w:rPr>
          <w:rFonts w:ascii="Times New Roman" w:hAnsi="Times New Roman" w:cs="Times New Roman"/>
          <w:b w:val="0"/>
          <w:bCs w:val="0"/>
          <w:i/>
          <w:iCs/>
          <w:sz w:val="24"/>
          <w:szCs w:val="24"/>
        </w:rPr>
        <w:t xml:space="preserve"> senam </w:t>
      </w:r>
      <w:proofErr w:type="spellStart"/>
      <w:r w:rsidRPr="00C9032D">
        <w:rPr>
          <w:rFonts w:ascii="Times New Roman" w:hAnsi="Times New Roman" w:cs="Times New Roman"/>
          <w:b w:val="0"/>
          <w:bCs w:val="0"/>
          <w:i/>
          <w:iCs/>
          <w:sz w:val="24"/>
          <w:szCs w:val="24"/>
        </w:rPr>
        <w:t>otot</w:t>
      </w:r>
      <w:proofErr w:type="spellEnd"/>
      <w:r w:rsidRPr="00C9032D">
        <w:rPr>
          <w:rFonts w:ascii="Times New Roman" w:hAnsi="Times New Roman" w:cs="Times New Roman"/>
          <w:b w:val="0"/>
          <w:bCs w:val="0"/>
          <w:i/>
          <w:iCs/>
          <w:sz w:val="24"/>
          <w:szCs w:val="24"/>
        </w:rPr>
        <w:t xml:space="preserve"> soleus </w:t>
      </w:r>
      <w:proofErr w:type="spellStart"/>
      <w:r w:rsidRPr="00C9032D">
        <w:rPr>
          <w:rFonts w:ascii="Times New Roman" w:hAnsi="Times New Roman" w:cs="Times New Roman"/>
          <w:b w:val="0"/>
          <w:bCs w:val="0"/>
          <w:i/>
          <w:iCs/>
          <w:sz w:val="24"/>
          <w:szCs w:val="24"/>
        </w:rPr>
        <w:t>terhadap</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penurunan</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kadar</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glukosa</w:t>
      </w:r>
      <w:proofErr w:type="spellEnd"/>
      <w:r w:rsidRPr="00C9032D">
        <w:rPr>
          <w:rFonts w:ascii="Times New Roman" w:hAnsi="Times New Roman" w:cs="Times New Roman"/>
          <w:b w:val="0"/>
          <w:bCs w:val="0"/>
          <w:i/>
          <w:iCs/>
          <w:sz w:val="24"/>
          <w:szCs w:val="24"/>
        </w:rPr>
        <w:t xml:space="preserve"> pada </w:t>
      </w:r>
      <w:proofErr w:type="spellStart"/>
      <w:r w:rsidRPr="00C9032D">
        <w:rPr>
          <w:rFonts w:ascii="Times New Roman" w:hAnsi="Times New Roman" w:cs="Times New Roman"/>
          <w:b w:val="0"/>
          <w:bCs w:val="0"/>
          <w:i/>
          <w:iCs/>
          <w:sz w:val="24"/>
          <w:szCs w:val="24"/>
        </w:rPr>
        <w:t>penderita</w:t>
      </w:r>
      <w:proofErr w:type="spellEnd"/>
      <w:r w:rsidRPr="00C9032D">
        <w:rPr>
          <w:rFonts w:ascii="Times New Roman" w:hAnsi="Times New Roman" w:cs="Times New Roman"/>
          <w:b w:val="0"/>
          <w:bCs w:val="0"/>
          <w:i/>
          <w:iCs/>
          <w:sz w:val="24"/>
          <w:szCs w:val="24"/>
        </w:rPr>
        <w:t xml:space="preserve"> diabetes </w:t>
      </w:r>
      <w:proofErr w:type="spellStart"/>
      <w:r w:rsidRPr="00C9032D">
        <w:rPr>
          <w:rFonts w:ascii="Times New Roman" w:hAnsi="Times New Roman" w:cs="Times New Roman"/>
          <w:b w:val="0"/>
          <w:bCs w:val="0"/>
          <w:i/>
          <w:iCs/>
          <w:sz w:val="24"/>
          <w:szCs w:val="24"/>
        </w:rPr>
        <w:t>melitus</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tipe</w:t>
      </w:r>
      <w:proofErr w:type="spellEnd"/>
      <w:r w:rsidRPr="00C9032D">
        <w:rPr>
          <w:rFonts w:ascii="Times New Roman" w:hAnsi="Times New Roman" w:cs="Times New Roman"/>
          <w:b w:val="0"/>
          <w:bCs w:val="0"/>
          <w:i/>
          <w:iCs/>
          <w:sz w:val="24"/>
          <w:szCs w:val="24"/>
        </w:rPr>
        <w:t xml:space="preserve"> II</w:t>
      </w:r>
      <w:r w:rsidRPr="00C9032D">
        <w:rPr>
          <w:rFonts w:ascii="Times New Roman" w:hAnsi="Times New Roman" w:cs="Times New Roman"/>
          <w:b w:val="0"/>
          <w:bCs w:val="0"/>
          <w:sz w:val="24"/>
          <w:szCs w:val="24"/>
        </w:rPr>
        <w:t>. [Repository Universitas].</w:t>
      </w:r>
    </w:p>
    <w:p w14:paraId="78EC7438"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Elek, D., Tóth, M., </w:t>
      </w:r>
      <w:proofErr w:type="spellStart"/>
      <w:r w:rsidRPr="00C9032D">
        <w:rPr>
          <w:rFonts w:ascii="Times New Roman" w:hAnsi="Times New Roman" w:cs="Times New Roman"/>
          <w:b w:val="0"/>
          <w:bCs w:val="0"/>
          <w:sz w:val="24"/>
          <w:szCs w:val="24"/>
        </w:rPr>
        <w:t>Sonkodi</w:t>
      </w:r>
      <w:proofErr w:type="spellEnd"/>
      <w:r w:rsidRPr="00C9032D">
        <w:rPr>
          <w:rFonts w:ascii="Times New Roman" w:hAnsi="Times New Roman" w:cs="Times New Roman"/>
          <w:b w:val="0"/>
          <w:bCs w:val="0"/>
          <w:sz w:val="24"/>
          <w:szCs w:val="24"/>
        </w:rPr>
        <w:t xml:space="preserve">, B., Ács, P., Kovács, G.L., Tardi, P., &amp; Melczer, C. (2025). The efficacy of soleus push-up in individuals with prediabetes: a pilot study. </w:t>
      </w:r>
      <w:r w:rsidRPr="00C9032D">
        <w:rPr>
          <w:rFonts w:ascii="Times New Roman" w:hAnsi="Times New Roman" w:cs="Times New Roman"/>
          <w:b w:val="0"/>
          <w:bCs w:val="0"/>
          <w:i/>
          <w:iCs/>
          <w:sz w:val="24"/>
          <w:szCs w:val="24"/>
        </w:rPr>
        <w:t>Sports</w:t>
      </w:r>
      <w:r w:rsidRPr="00C9032D">
        <w:rPr>
          <w:rFonts w:ascii="Times New Roman" w:hAnsi="Times New Roman" w:cs="Times New Roman"/>
          <w:b w:val="0"/>
          <w:bCs w:val="0"/>
          <w:sz w:val="24"/>
          <w:szCs w:val="24"/>
        </w:rPr>
        <w:t xml:space="preserve">, 13(3), 81. </w:t>
      </w:r>
      <w:hyperlink r:id="rId7" w:history="1">
        <w:r w:rsidRPr="00C9032D">
          <w:rPr>
            <w:rStyle w:val="Hyperlink"/>
            <w:rFonts w:ascii="Times New Roman" w:hAnsi="Times New Roman" w:cs="Times New Roman"/>
            <w:b w:val="0"/>
            <w:bCs w:val="0"/>
            <w:sz w:val="24"/>
            <w:szCs w:val="24"/>
          </w:rPr>
          <w:t>https://doi.org/10.3390/sports13030081</w:t>
        </w:r>
      </w:hyperlink>
    </w:p>
    <w:p w14:paraId="22338241"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Elgohary, A.A.E., El-Ghafar, S.M.A., El-</w:t>
      </w:r>
      <w:proofErr w:type="spellStart"/>
      <w:r w:rsidRPr="00C9032D">
        <w:rPr>
          <w:rFonts w:ascii="Times New Roman" w:hAnsi="Times New Roman" w:cs="Times New Roman"/>
          <w:b w:val="0"/>
          <w:bCs w:val="0"/>
          <w:sz w:val="24"/>
          <w:szCs w:val="24"/>
        </w:rPr>
        <w:t>Desouky</w:t>
      </w:r>
      <w:proofErr w:type="spellEnd"/>
      <w:r w:rsidRPr="00C9032D">
        <w:rPr>
          <w:rFonts w:ascii="Times New Roman" w:hAnsi="Times New Roman" w:cs="Times New Roman"/>
          <w:b w:val="0"/>
          <w:bCs w:val="0"/>
          <w:sz w:val="24"/>
          <w:szCs w:val="24"/>
        </w:rPr>
        <w:t>, E.K., &amp; El-</w:t>
      </w:r>
      <w:proofErr w:type="spellStart"/>
      <w:r w:rsidRPr="00C9032D">
        <w:rPr>
          <w:rFonts w:ascii="Times New Roman" w:hAnsi="Times New Roman" w:cs="Times New Roman"/>
          <w:b w:val="0"/>
          <w:bCs w:val="0"/>
          <w:sz w:val="24"/>
          <w:szCs w:val="24"/>
        </w:rPr>
        <w:t>Gahash</w:t>
      </w:r>
      <w:proofErr w:type="spellEnd"/>
      <w:r w:rsidRPr="00C9032D">
        <w:rPr>
          <w:rFonts w:ascii="Times New Roman" w:hAnsi="Times New Roman" w:cs="Times New Roman"/>
          <w:b w:val="0"/>
          <w:bCs w:val="0"/>
          <w:sz w:val="24"/>
          <w:szCs w:val="24"/>
        </w:rPr>
        <w:t xml:space="preserve">, N.F. (2025). Effect of soleus push-ups exercise on blood glucose level and activities of daily living among patients with type II diabetes. </w:t>
      </w:r>
      <w:r w:rsidRPr="00C9032D">
        <w:rPr>
          <w:rFonts w:ascii="Times New Roman" w:hAnsi="Times New Roman" w:cs="Times New Roman"/>
          <w:b w:val="0"/>
          <w:bCs w:val="0"/>
          <w:i/>
          <w:iCs/>
          <w:sz w:val="24"/>
          <w:szCs w:val="24"/>
        </w:rPr>
        <w:t>Menoufia Nursing Journal</w:t>
      </w:r>
      <w:r w:rsidRPr="00C9032D">
        <w:rPr>
          <w:rFonts w:ascii="Times New Roman" w:hAnsi="Times New Roman" w:cs="Times New Roman"/>
          <w:b w:val="0"/>
          <w:bCs w:val="0"/>
          <w:sz w:val="24"/>
          <w:szCs w:val="24"/>
        </w:rPr>
        <w:t xml:space="preserve">, 10(2), 27–47. </w:t>
      </w:r>
      <w:hyperlink r:id="rId8" w:history="1">
        <w:r w:rsidRPr="00C9032D">
          <w:rPr>
            <w:rStyle w:val="Hyperlink"/>
            <w:rFonts w:ascii="Times New Roman" w:hAnsi="Times New Roman" w:cs="Times New Roman"/>
            <w:b w:val="0"/>
            <w:bCs w:val="0"/>
            <w:sz w:val="24"/>
            <w:szCs w:val="24"/>
          </w:rPr>
          <w:t>https://doi.org/10.21608/menj.2025.433106</w:t>
        </w:r>
      </w:hyperlink>
    </w:p>
    <w:p w14:paraId="2D18BF79"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Hamilton, M.T., et al. (2022). A potent physiological method to magnify and sustain soleus oxidative metabolism improves glucose regulation. </w:t>
      </w:r>
      <w:proofErr w:type="spellStart"/>
      <w:r w:rsidRPr="00C9032D">
        <w:rPr>
          <w:rFonts w:ascii="Times New Roman" w:hAnsi="Times New Roman" w:cs="Times New Roman"/>
          <w:b w:val="0"/>
          <w:bCs w:val="0"/>
          <w:i/>
          <w:iCs/>
          <w:sz w:val="24"/>
          <w:szCs w:val="24"/>
        </w:rPr>
        <w:t>iScience</w:t>
      </w:r>
      <w:proofErr w:type="spellEnd"/>
      <w:r w:rsidRPr="00C9032D">
        <w:rPr>
          <w:rFonts w:ascii="Times New Roman" w:hAnsi="Times New Roman" w:cs="Times New Roman"/>
          <w:b w:val="0"/>
          <w:bCs w:val="0"/>
          <w:sz w:val="24"/>
          <w:szCs w:val="24"/>
        </w:rPr>
        <w:t xml:space="preserve">, 25(11), 105415. </w:t>
      </w:r>
      <w:hyperlink r:id="rId9" w:history="1">
        <w:r w:rsidRPr="00C9032D">
          <w:rPr>
            <w:rStyle w:val="Hyperlink"/>
            <w:rFonts w:ascii="Times New Roman" w:hAnsi="Times New Roman" w:cs="Times New Roman"/>
            <w:b w:val="0"/>
            <w:bCs w:val="0"/>
            <w:sz w:val="24"/>
            <w:szCs w:val="24"/>
          </w:rPr>
          <w:t>https://doi.org/10.1016/j.isci.2022.105415</w:t>
        </w:r>
      </w:hyperlink>
    </w:p>
    <w:p w14:paraId="29763FDA"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lastRenderedPageBreak/>
        <w:t>Hazni</w:t>
      </w:r>
      <w:proofErr w:type="spellEnd"/>
      <w:r w:rsidRPr="00C9032D">
        <w:rPr>
          <w:rFonts w:ascii="Times New Roman" w:hAnsi="Times New Roman" w:cs="Times New Roman"/>
          <w:b w:val="0"/>
          <w:bCs w:val="0"/>
          <w:sz w:val="24"/>
          <w:szCs w:val="24"/>
        </w:rPr>
        <w:t>, A., et al. (2021). [</w:t>
      </w:r>
      <w:proofErr w:type="spellStart"/>
      <w:r w:rsidRPr="00C9032D">
        <w:rPr>
          <w:rFonts w:ascii="Times New Roman" w:hAnsi="Times New Roman" w:cs="Times New Roman"/>
          <w:b w:val="0"/>
          <w:bCs w:val="0"/>
          <w:sz w:val="24"/>
          <w:szCs w:val="24"/>
        </w:rPr>
        <w:t>Judul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artikel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sesuai</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naskah</w:t>
      </w:r>
      <w:proofErr w:type="spellEnd"/>
      <w:r w:rsidRPr="00C9032D">
        <w:rPr>
          <w:rFonts w:ascii="Times New Roman" w:hAnsi="Times New Roman" w:cs="Times New Roman"/>
          <w:b w:val="0"/>
          <w:bCs w:val="0"/>
          <w:sz w:val="24"/>
          <w:szCs w:val="24"/>
        </w:rPr>
        <w:t>].</w:t>
      </w:r>
    </w:p>
    <w:p w14:paraId="387C5F32"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International Diabetes Federation (2025). </w:t>
      </w:r>
      <w:r w:rsidRPr="00C9032D">
        <w:rPr>
          <w:rFonts w:ascii="Times New Roman" w:hAnsi="Times New Roman" w:cs="Times New Roman"/>
          <w:b w:val="0"/>
          <w:bCs w:val="0"/>
          <w:i/>
          <w:iCs/>
          <w:sz w:val="24"/>
          <w:szCs w:val="24"/>
        </w:rPr>
        <w:t>IDF Diabetes Atlas</w:t>
      </w:r>
      <w:r w:rsidRPr="00C9032D">
        <w:rPr>
          <w:rFonts w:ascii="Times New Roman" w:hAnsi="Times New Roman" w:cs="Times New Roman"/>
          <w:b w:val="0"/>
          <w:bCs w:val="0"/>
          <w:sz w:val="24"/>
          <w:szCs w:val="24"/>
        </w:rPr>
        <w:t xml:space="preserve">, 10th edition. </w:t>
      </w:r>
      <w:hyperlink r:id="rId10" w:history="1">
        <w:r w:rsidRPr="00C9032D">
          <w:rPr>
            <w:rStyle w:val="Hyperlink"/>
            <w:rFonts w:ascii="Times New Roman" w:hAnsi="Times New Roman" w:cs="Times New Roman"/>
            <w:b w:val="0"/>
            <w:bCs w:val="0"/>
            <w:sz w:val="24"/>
            <w:szCs w:val="24"/>
          </w:rPr>
          <w:t>https://idf.org</w:t>
        </w:r>
      </w:hyperlink>
    </w:p>
    <w:p w14:paraId="165CC234"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t>Kemenkes</w:t>
      </w:r>
      <w:proofErr w:type="spellEnd"/>
      <w:r w:rsidRPr="00C9032D">
        <w:rPr>
          <w:rFonts w:ascii="Times New Roman" w:hAnsi="Times New Roman" w:cs="Times New Roman"/>
          <w:b w:val="0"/>
          <w:bCs w:val="0"/>
          <w:sz w:val="24"/>
          <w:szCs w:val="24"/>
        </w:rPr>
        <w:t xml:space="preserve"> RI (2024). </w:t>
      </w:r>
      <w:proofErr w:type="spellStart"/>
      <w:r w:rsidRPr="00C9032D">
        <w:rPr>
          <w:rFonts w:ascii="Times New Roman" w:hAnsi="Times New Roman" w:cs="Times New Roman"/>
          <w:b w:val="0"/>
          <w:bCs w:val="0"/>
          <w:i/>
          <w:iCs/>
          <w:sz w:val="24"/>
          <w:szCs w:val="24"/>
        </w:rPr>
        <w:t>Laporan</w:t>
      </w:r>
      <w:proofErr w:type="spellEnd"/>
      <w:r w:rsidRPr="00C9032D">
        <w:rPr>
          <w:rFonts w:ascii="Times New Roman" w:hAnsi="Times New Roman" w:cs="Times New Roman"/>
          <w:b w:val="0"/>
          <w:bCs w:val="0"/>
          <w:i/>
          <w:iCs/>
          <w:sz w:val="24"/>
          <w:szCs w:val="24"/>
        </w:rPr>
        <w:t xml:space="preserve"> Nasional Riset Kesehatan Dasar</w:t>
      </w:r>
      <w:r w:rsidRPr="00C9032D">
        <w:rPr>
          <w:rFonts w:ascii="Times New Roman" w:hAnsi="Times New Roman" w:cs="Times New Roman"/>
          <w:b w:val="0"/>
          <w:bCs w:val="0"/>
          <w:sz w:val="24"/>
          <w:szCs w:val="24"/>
        </w:rPr>
        <w:t xml:space="preserve">. Jakarta: Kementerian Kesehatan RI. </w:t>
      </w:r>
      <w:hyperlink r:id="rId11" w:history="1">
        <w:r w:rsidRPr="00C9032D">
          <w:rPr>
            <w:rStyle w:val="Hyperlink"/>
            <w:rFonts w:ascii="Times New Roman" w:hAnsi="Times New Roman" w:cs="Times New Roman"/>
            <w:b w:val="0"/>
            <w:bCs w:val="0"/>
            <w:sz w:val="24"/>
            <w:szCs w:val="24"/>
          </w:rPr>
          <w:t>https://kesmas.kemkes.go.id</w:t>
        </w:r>
      </w:hyperlink>
    </w:p>
    <w:p w14:paraId="7F9311D7"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t>Sasombo</w:t>
      </w:r>
      <w:proofErr w:type="spellEnd"/>
      <w:r w:rsidRPr="00C9032D">
        <w:rPr>
          <w:rFonts w:ascii="Times New Roman" w:hAnsi="Times New Roman" w:cs="Times New Roman"/>
          <w:b w:val="0"/>
          <w:bCs w:val="0"/>
          <w:sz w:val="24"/>
          <w:szCs w:val="24"/>
        </w:rPr>
        <w:t>, M., et al. (2021). [</w:t>
      </w:r>
      <w:proofErr w:type="spellStart"/>
      <w:r w:rsidRPr="00C9032D">
        <w:rPr>
          <w:rFonts w:ascii="Times New Roman" w:hAnsi="Times New Roman" w:cs="Times New Roman"/>
          <w:b w:val="0"/>
          <w:bCs w:val="0"/>
          <w:sz w:val="24"/>
          <w:szCs w:val="24"/>
        </w:rPr>
        <w:t>Judul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artikel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sesuai</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naskah</w:t>
      </w:r>
      <w:proofErr w:type="spellEnd"/>
      <w:r w:rsidRPr="00C9032D">
        <w:rPr>
          <w:rFonts w:ascii="Times New Roman" w:hAnsi="Times New Roman" w:cs="Times New Roman"/>
          <w:b w:val="0"/>
          <w:bCs w:val="0"/>
          <w:sz w:val="24"/>
          <w:szCs w:val="24"/>
        </w:rPr>
        <w:t>].</w:t>
      </w:r>
    </w:p>
    <w:p w14:paraId="1B3D97A8" w14:textId="276CE6FC"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Yunita, N. (2024). [</w:t>
      </w:r>
      <w:proofErr w:type="spellStart"/>
      <w:r w:rsidRPr="00C9032D">
        <w:rPr>
          <w:rFonts w:ascii="Times New Roman" w:hAnsi="Times New Roman" w:cs="Times New Roman"/>
          <w:b w:val="0"/>
          <w:bCs w:val="0"/>
          <w:sz w:val="24"/>
          <w:szCs w:val="24"/>
        </w:rPr>
        <w:t>Judul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skripsi</w:t>
      </w:r>
      <w:proofErr w:type="spellEnd"/>
      <w:r w:rsidRPr="00C9032D">
        <w:rPr>
          <w:rFonts w:ascii="Times New Roman" w:hAnsi="Times New Roman" w:cs="Times New Roman"/>
          <w:b w:val="0"/>
          <w:bCs w:val="0"/>
          <w:sz w:val="24"/>
          <w:szCs w:val="24"/>
        </w:rPr>
        <w:t>/</w:t>
      </w:r>
      <w:proofErr w:type="spellStart"/>
      <w:r w:rsidRPr="00C9032D">
        <w:rPr>
          <w:rFonts w:ascii="Times New Roman" w:hAnsi="Times New Roman" w:cs="Times New Roman"/>
          <w:b w:val="0"/>
          <w:bCs w:val="0"/>
          <w:sz w:val="24"/>
          <w:szCs w:val="24"/>
        </w:rPr>
        <w:t>artikel</w:t>
      </w:r>
      <w:proofErr w:type="spellEnd"/>
      <w:r w:rsidRPr="00C9032D">
        <w:rPr>
          <w:rFonts w:ascii="Times New Roman" w:hAnsi="Times New Roman" w:cs="Times New Roman"/>
          <w:b w:val="0"/>
          <w:bCs w:val="0"/>
          <w:sz w:val="24"/>
          <w:szCs w:val="24"/>
        </w:rPr>
        <w:t xml:space="preserve"> </w:t>
      </w:r>
      <w:proofErr w:type="spellStart"/>
      <w:r w:rsidRPr="00C9032D">
        <w:rPr>
          <w:rFonts w:ascii="Times New Roman" w:hAnsi="Times New Roman" w:cs="Times New Roman"/>
          <w:b w:val="0"/>
          <w:bCs w:val="0"/>
          <w:sz w:val="24"/>
          <w:szCs w:val="24"/>
        </w:rPr>
        <w:t>sesuai</w:t>
      </w:r>
      <w:proofErr w:type="spellEnd"/>
      <w:r w:rsidRPr="00C9032D">
        <w:rPr>
          <w:rFonts w:ascii="Times New Roman" w:hAnsi="Times New Roman" w:cs="Times New Roman"/>
          <w:b w:val="0"/>
          <w:bCs w:val="0"/>
          <w:sz w:val="24"/>
          <w:szCs w:val="24"/>
        </w:rPr>
        <w:t xml:space="preserve"> repository].</w:t>
      </w:r>
    </w:p>
    <w:p w14:paraId="24EFCA1F"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t>Fajriati</w:t>
      </w:r>
      <w:proofErr w:type="spellEnd"/>
      <w:r w:rsidRPr="00C9032D">
        <w:rPr>
          <w:rFonts w:ascii="Times New Roman" w:hAnsi="Times New Roman" w:cs="Times New Roman"/>
          <w:b w:val="0"/>
          <w:bCs w:val="0"/>
          <w:sz w:val="24"/>
          <w:szCs w:val="24"/>
        </w:rPr>
        <w:t xml:space="preserve">, Y.R. &amp; </w:t>
      </w:r>
      <w:proofErr w:type="spellStart"/>
      <w:r w:rsidRPr="00C9032D">
        <w:rPr>
          <w:rFonts w:ascii="Times New Roman" w:hAnsi="Times New Roman" w:cs="Times New Roman"/>
          <w:b w:val="0"/>
          <w:bCs w:val="0"/>
          <w:sz w:val="24"/>
          <w:szCs w:val="24"/>
        </w:rPr>
        <w:t>Indarwati</w:t>
      </w:r>
      <w:proofErr w:type="spellEnd"/>
      <w:r w:rsidRPr="00C9032D">
        <w:rPr>
          <w:rFonts w:ascii="Times New Roman" w:hAnsi="Times New Roman" w:cs="Times New Roman"/>
          <w:b w:val="0"/>
          <w:bCs w:val="0"/>
          <w:sz w:val="24"/>
          <w:szCs w:val="24"/>
        </w:rPr>
        <w:t xml:space="preserve">, I. (2021). Foot exercise for reducing blood glucose levels in patients with diabetes mellitus. </w:t>
      </w:r>
      <w:proofErr w:type="spellStart"/>
      <w:r w:rsidRPr="00C9032D">
        <w:rPr>
          <w:rFonts w:ascii="Times New Roman" w:hAnsi="Times New Roman" w:cs="Times New Roman"/>
          <w:b w:val="0"/>
          <w:bCs w:val="0"/>
          <w:i/>
          <w:iCs/>
          <w:sz w:val="24"/>
          <w:szCs w:val="24"/>
        </w:rPr>
        <w:t>Aisyiyah</w:t>
      </w:r>
      <w:proofErr w:type="spellEnd"/>
      <w:r w:rsidRPr="00C9032D">
        <w:rPr>
          <w:rFonts w:ascii="Times New Roman" w:hAnsi="Times New Roman" w:cs="Times New Roman"/>
          <w:b w:val="0"/>
          <w:bCs w:val="0"/>
          <w:i/>
          <w:iCs/>
          <w:sz w:val="24"/>
          <w:szCs w:val="24"/>
        </w:rPr>
        <w:t xml:space="preserve"> Surakarta Journal of Nursing</w:t>
      </w:r>
      <w:r w:rsidRPr="00C9032D">
        <w:rPr>
          <w:rFonts w:ascii="Times New Roman" w:hAnsi="Times New Roman" w:cs="Times New Roman"/>
          <w:b w:val="0"/>
          <w:bCs w:val="0"/>
          <w:sz w:val="24"/>
          <w:szCs w:val="24"/>
        </w:rPr>
        <w:t xml:space="preserve">, 2(1), 26–31. Available at: </w:t>
      </w:r>
      <w:hyperlink r:id="rId12" w:history="1">
        <w:r w:rsidRPr="00C9032D">
          <w:rPr>
            <w:rStyle w:val="Hyperlink"/>
            <w:rFonts w:ascii="Times New Roman" w:hAnsi="Times New Roman" w:cs="Times New Roman"/>
            <w:b w:val="0"/>
            <w:bCs w:val="0"/>
            <w:sz w:val="24"/>
            <w:szCs w:val="24"/>
          </w:rPr>
          <w:t>https://jurnal.aiska-university.ac.id/index.php/ASJN</w:t>
        </w:r>
      </w:hyperlink>
      <w:r w:rsidRPr="00C9032D">
        <w:rPr>
          <w:rFonts w:ascii="Times New Roman" w:hAnsi="Times New Roman" w:cs="Times New Roman"/>
          <w:b w:val="0"/>
          <w:bCs w:val="0"/>
          <w:sz w:val="24"/>
          <w:szCs w:val="24"/>
        </w:rPr>
        <w:t xml:space="preserve"> </w:t>
      </w:r>
    </w:p>
    <w:p w14:paraId="1E29C2AF"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Irma, R. (2019). Identification of factors associated with diabetes mellitus incidence in </w:t>
      </w:r>
      <w:proofErr w:type="spellStart"/>
      <w:r w:rsidRPr="00C9032D">
        <w:rPr>
          <w:rFonts w:ascii="Times New Roman" w:hAnsi="Times New Roman" w:cs="Times New Roman"/>
          <w:b w:val="0"/>
          <w:bCs w:val="0"/>
          <w:sz w:val="24"/>
          <w:szCs w:val="24"/>
        </w:rPr>
        <w:t>Konawe</w:t>
      </w:r>
      <w:proofErr w:type="spellEnd"/>
      <w:r w:rsidRPr="00C9032D">
        <w:rPr>
          <w:rFonts w:ascii="Times New Roman" w:hAnsi="Times New Roman" w:cs="Times New Roman"/>
          <w:b w:val="0"/>
          <w:bCs w:val="0"/>
          <w:sz w:val="24"/>
          <w:szCs w:val="24"/>
        </w:rPr>
        <w:t xml:space="preserve"> District, Southeast Sulawesi Province. </w:t>
      </w:r>
      <w:r w:rsidRPr="00C9032D">
        <w:rPr>
          <w:rFonts w:ascii="Times New Roman" w:hAnsi="Times New Roman" w:cs="Times New Roman"/>
          <w:b w:val="0"/>
          <w:bCs w:val="0"/>
          <w:i/>
          <w:iCs/>
          <w:sz w:val="24"/>
          <w:szCs w:val="24"/>
        </w:rPr>
        <w:t xml:space="preserve">Health Information </w:t>
      </w:r>
      <w:proofErr w:type="spellStart"/>
      <w:r w:rsidRPr="00C9032D">
        <w:rPr>
          <w:rFonts w:ascii="Times New Roman" w:hAnsi="Times New Roman" w:cs="Times New Roman"/>
          <w:b w:val="0"/>
          <w:bCs w:val="0"/>
          <w:i/>
          <w:iCs/>
          <w:sz w:val="24"/>
          <w:szCs w:val="24"/>
        </w:rPr>
        <w:t>Jurnal</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Penelitian</w:t>
      </w:r>
      <w:proofErr w:type="spellEnd"/>
      <w:r w:rsidRPr="00C9032D">
        <w:rPr>
          <w:rFonts w:ascii="Times New Roman" w:hAnsi="Times New Roman" w:cs="Times New Roman"/>
          <w:b w:val="0"/>
          <w:bCs w:val="0"/>
          <w:sz w:val="24"/>
          <w:szCs w:val="24"/>
        </w:rPr>
        <w:t xml:space="preserve">, 11(2), 146–154. Available at: </w:t>
      </w:r>
      <w:hyperlink r:id="rId13" w:history="1">
        <w:r w:rsidRPr="00C9032D">
          <w:rPr>
            <w:rStyle w:val="Hyperlink"/>
            <w:rFonts w:ascii="Times New Roman" w:hAnsi="Times New Roman" w:cs="Times New Roman"/>
            <w:b w:val="0"/>
            <w:bCs w:val="0"/>
            <w:sz w:val="24"/>
            <w:szCs w:val="24"/>
          </w:rPr>
          <w:t>http://myjurnal.poltekkes-kdi.ac.id</w:t>
        </w:r>
      </w:hyperlink>
      <w:r w:rsidRPr="00C9032D">
        <w:rPr>
          <w:rFonts w:ascii="Times New Roman" w:hAnsi="Times New Roman" w:cs="Times New Roman"/>
          <w:b w:val="0"/>
          <w:bCs w:val="0"/>
          <w:sz w:val="24"/>
          <w:szCs w:val="24"/>
        </w:rPr>
        <w:t xml:space="preserve"> </w:t>
      </w:r>
    </w:p>
    <w:p w14:paraId="431E68A0"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Kang, S., Woo, J.H., Shin, K.O., Kim, D., Lee, H.J., Kim, Y.J. &amp; Yeo, N.H. (2009). Circuit resistance exercise improves glycemic control and adipokines in females with type 2 diabetes mellitus. </w:t>
      </w:r>
      <w:r w:rsidRPr="00C9032D">
        <w:rPr>
          <w:rFonts w:ascii="Times New Roman" w:hAnsi="Times New Roman" w:cs="Times New Roman"/>
          <w:b w:val="0"/>
          <w:bCs w:val="0"/>
          <w:i/>
          <w:iCs/>
          <w:sz w:val="24"/>
          <w:szCs w:val="24"/>
        </w:rPr>
        <w:t>Journal of Sports Science and Medicine</w:t>
      </w:r>
      <w:r w:rsidRPr="00C9032D">
        <w:rPr>
          <w:rFonts w:ascii="Times New Roman" w:hAnsi="Times New Roman" w:cs="Times New Roman"/>
          <w:b w:val="0"/>
          <w:bCs w:val="0"/>
          <w:sz w:val="24"/>
          <w:szCs w:val="24"/>
        </w:rPr>
        <w:t xml:space="preserve">, 8, 682–688. Available at: </w:t>
      </w:r>
      <w:hyperlink r:id="rId14" w:history="1">
        <w:r w:rsidRPr="00C9032D">
          <w:rPr>
            <w:rStyle w:val="Hyperlink"/>
            <w:rFonts w:ascii="Times New Roman" w:hAnsi="Times New Roman" w:cs="Times New Roman"/>
            <w:b w:val="0"/>
            <w:bCs w:val="0"/>
            <w:sz w:val="24"/>
            <w:szCs w:val="24"/>
          </w:rPr>
          <w:t>http://www.jssm.org</w:t>
        </w:r>
      </w:hyperlink>
      <w:r w:rsidRPr="00C9032D">
        <w:rPr>
          <w:rFonts w:ascii="Times New Roman" w:hAnsi="Times New Roman" w:cs="Times New Roman"/>
          <w:b w:val="0"/>
          <w:bCs w:val="0"/>
          <w:sz w:val="24"/>
          <w:szCs w:val="24"/>
        </w:rPr>
        <w:t xml:space="preserve"> </w:t>
      </w:r>
    </w:p>
    <w:p w14:paraId="00A08CAF"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Madsen, S.M., Thorup, A.C., Overgaard, K. &amp; Jeppesen, P.B. (2015). High-intensity interval training improves </w:t>
      </w:r>
      <w:proofErr w:type="spellStart"/>
      <w:r w:rsidRPr="00C9032D">
        <w:rPr>
          <w:rFonts w:ascii="Times New Roman" w:hAnsi="Times New Roman" w:cs="Times New Roman"/>
          <w:b w:val="0"/>
          <w:bCs w:val="0"/>
          <w:sz w:val="24"/>
          <w:szCs w:val="24"/>
        </w:rPr>
        <w:t>glycaemic</w:t>
      </w:r>
      <w:proofErr w:type="spellEnd"/>
      <w:r w:rsidRPr="00C9032D">
        <w:rPr>
          <w:rFonts w:ascii="Times New Roman" w:hAnsi="Times New Roman" w:cs="Times New Roman"/>
          <w:b w:val="0"/>
          <w:bCs w:val="0"/>
          <w:sz w:val="24"/>
          <w:szCs w:val="24"/>
        </w:rPr>
        <w:t xml:space="preserve"> control and pancreatic β cell function of type 2 diabetes patients. </w:t>
      </w:r>
      <w:proofErr w:type="spellStart"/>
      <w:r w:rsidRPr="00C9032D">
        <w:rPr>
          <w:rFonts w:ascii="Times New Roman" w:hAnsi="Times New Roman" w:cs="Times New Roman"/>
          <w:b w:val="0"/>
          <w:bCs w:val="0"/>
          <w:i/>
          <w:iCs/>
          <w:sz w:val="24"/>
          <w:szCs w:val="24"/>
        </w:rPr>
        <w:t>PLoS</w:t>
      </w:r>
      <w:proofErr w:type="spellEnd"/>
      <w:r w:rsidRPr="00C9032D">
        <w:rPr>
          <w:rFonts w:ascii="Times New Roman" w:hAnsi="Times New Roman" w:cs="Times New Roman"/>
          <w:b w:val="0"/>
          <w:bCs w:val="0"/>
          <w:i/>
          <w:iCs/>
          <w:sz w:val="24"/>
          <w:szCs w:val="24"/>
        </w:rPr>
        <w:t xml:space="preserve"> ONE</w:t>
      </w:r>
      <w:r w:rsidRPr="00C9032D">
        <w:rPr>
          <w:rFonts w:ascii="Times New Roman" w:hAnsi="Times New Roman" w:cs="Times New Roman"/>
          <w:b w:val="0"/>
          <w:bCs w:val="0"/>
          <w:sz w:val="24"/>
          <w:szCs w:val="24"/>
        </w:rPr>
        <w:t xml:space="preserve">, 10(8), e0133286. </w:t>
      </w:r>
      <w:hyperlink r:id="rId15" w:history="1">
        <w:r w:rsidRPr="00C9032D">
          <w:rPr>
            <w:rStyle w:val="Hyperlink"/>
            <w:rFonts w:ascii="Times New Roman" w:hAnsi="Times New Roman" w:cs="Times New Roman"/>
            <w:b w:val="0"/>
            <w:bCs w:val="0"/>
            <w:sz w:val="24"/>
            <w:szCs w:val="24"/>
          </w:rPr>
          <w:t>https://doi.org/10.1371/journal.pone.0133286</w:t>
        </w:r>
      </w:hyperlink>
      <w:r w:rsidRPr="00C9032D">
        <w:rPr>
          <w:rFonts w:ascii="Times New Roman" w:hAnsi="Times New Roman" w:cs="Times New Roman"/>
          <w:b w:val="0"/>
          <w:bCs w:val="0"/>
          <w:sz w:val="24"/>
          <w:szCs w:val="24"/>
        </w:rPr>
        <w:t xml:space="preserve"> </w:t>
      </w:r>
    </w:p>
    <w:p w14:paraId="2A41BEC9"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Richter, E.A. &amp; Hargreaves, M. (2013). Exercise, GLUT4, and skeletal muscle glucose uptake. </w:t>
      </w:r>
      <w:r w:rsidRPr="00C9032D">
        <w:rPr>
          <w:rFonts w:ascii="Times New Roman" w:hAnsi="Times New Roman" w:cs="Times New Roman"/>
          <w:b w:val="0"/>
          <w:bCs w:val="0"/>
          <w:i/>
          <w:iCs/>
          <w:sz w:val="24"/>
          <w:szCs w:val="24"/>
        </w:rPr>
        <w:t>Physiological Reviews</w:t>
      </w:r>
      <w:r w:rsidRPr="00C9032D">
        <w:rPr>
          <w:rFonts w:ascii="Times New Roman" w:hAnsi="Times New Roman" w:cs="Times New Roman"/>
          <w:b w:val="0"/>
          <w:bCs w:val="0"/>
          <w:sz w:val="24"/>
          <w:szCs w:val="24"/>
        </w:rPr>
        <w:t xml:space="preserve">, 93(3), 993–1017. </w:t>
      </w:r>
      <w:hyperlink r:id="rId16" w:history="1">
        <w:r w:rsidRPr="00C9032D">
          <w:rPr>
            <w:rStyle w:val="Hyperlink"/>
            <w:rFonts w:ascii="Times New Roman" w:hAnsi="Times New Roman" w:cs="Times New Roman"/>
            <w:b w:val="0"/>
            <w:bCs w:val="0"/>
            <w:sz w:val="24"/>
            <w:szCs w:val="24"/>
          </w:rPr>
          <w:t>https://doi.org/10.1152/physrev.00038.2012</w:t>
        </w:r>
      </w:hyperlink>
      <w:r w:rsidRPr="00C9032D">
        <w:rPr>
          <w:rFonts w:ascii="Times New Roman" w:hAnsi="Times New Roman" w:cs="Times New Roman"/>
          <w:b w:val="0"/>
          <w:bCs w:val="0"/>
          <w:sz w:val="24"/>
          <w:szCs w:val="24"/>
        </w:rPr>
        <w:t xml:space="preserve"> </w:t>
      </w:r>
    </w:p>
    <w:p w14:paraId="3740FB1D"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r w:rsidRPr="00C9032D">
        <w:rPr>
          <w:rFonts w:ascii="Times New Roman" w:hAnsi="Times New Roman" w:cs="Times New Roman"/>
          <w:b w:val="0"/>
          <w:bCs w:val="0"/>
          <w:sz w:val="24"/>
          <w:szCs w:val="24"/>
        </w:rPr>
        <w:t xml:space="preserve">Shah, S.Z.A., Karam, J.A., Zeb, A., Ullah, R., Shah, A., Haq, I.U., Ali, I., Darain, H. &amp; Chen, H. (2021). Movement is improvement: The therapeutic effects of exercise and general physical activity on glycemic control in patients with type 2 diabetes mellitus. </w:t>
      </w:r>
      <w:r w:rsidRPr="00C9032D">
        <w:rPr>
          <w:rFonts w:ascii="Times New Roman" w:hAnsi="Times New Roman" w:cs="Times New Roman"/>
          <w:b w:val="0"/>
          <w:bCs w:val="0"/>
          <w:i/>
          <w:iCs/>
          <w:sz w:val="24"/>
          <w:szCs w:val="24"/>
        </w:rPr>
        <w:t>Diabetes Therapy</w:t>
      </w:r>
      <w:r w:rsidRPr="00C9032D">
        <w:rPr>
          <w:rFonts w:ascii="Times New Roman" w:hAnsi="Times New Roman" w:cs="Times New Roman"/>
          <w:b w:val="0"/>
          <w:bCs w:val="0"/>
          <w:sz w:val="24"/>
          <w:szCs w:val="24"/>
        </w:rPr>
        <w:t xml:space="preserve">, 12, 707–732. </w:t>
      </w:r>
      <w:hyperlink r:id="rId17" w:history="1">
        <w:r w:rsidRPr="00C9032D">
          <w:rPr>
            <w:rStyle w:val="Hyperlink"/>
            <w:rFonts w:ascii="Times New Roman" w:hAnsi="Times New Roman" w:cs="Times New Roman"/>
            <w:b w:val="0"/>
            <w:bCs w:val="0"/>
            <w:sz w:val="24"/>
            <w:szCs w:val="24"/>
          </w:rPr>
          <w:t>https://doi.org/10.1007/s13300-021-01005-1</w:t>
        </w:r>
      </w:hyperlink>
      <w:r w:rsidRPr="00C9032D">
        <w:rPr>
          <w:rFonts w:ascii="Times New Roman" w:hAnsi="Times New Roman" w:cs="Times New Roman"/>
          <w:b w:val="0"/>
          <w:bCs w:val="0"/>
          <w:sz w:val="24"/>
          <w:szCs w:val="24"/>
        </w:rPr>
        <w:t xml:space="preserve"> </w:t>
      </w:r>
    </w:p>
    <w:p w14:paraId="52EE6190" w14:textId="77777777" w:rsidR="00C9032D" w:rsidRPr="00C9032D" w:rsidRDefault="00C9032D" w:rsidP="00C9032D">
      <w:pPr>
        <w:pStyle w:val="Heading1"/>
        <w:numPr>
          <w:ilvl w:val="0"/>
          <w:numId w:val="3"/>
        </w:numPr>
        <w:spacing w:before="79"/>
        <w:ind w:left="851" w:hanging="567"/>
        <w:jc w:val="both"/>
        <w:rPr>
          <w:rFonts w:ascii="Times New Roman" w:hAnsi="Times New Roman" w:cs="Times New Roman"/>
          <w:b w:val="0"/>
          <w:bCs w:val="0"/>
          <w:sz w:val="24"/>
          <w:szCs w:val="24"/>
        </w:rPr>
      </w:pPr>
      <w:proofErr w:type="spellStart"/>
      <w:r w:rsidRPr="00C9032D">
        <w:rPr>
          <w:rFonts w:ascii="Times New Roman" w:hAnsi="Times New Roman" w:cs="Times New Roman"/>
          <w:b w:val="0"/>
          <w:bCs w:val="0"/>
          <w:sz w:val="24"/>
          <w:szCs w:val="24"/>
        </w:rPr>
        <w:t>Yunawati</w:t>
      </w:r>
      <w:proofErr w:type="spellEnd"/>
      <w:r w:rsidRPr="00C9032D">
        <w:rPr>
          <w:rFonts w:ascii="Times New Roman" w:hAnsi="Times New Roman" w:cs="Times New Roman"/>
          <w:b w:val="0"/>
          <w:bCs w:val="0"/>
          <w:sz w:val="24"/>
          <w:szCs w:val="24"/>
        </w:rPr>
        <w:t xml:space="preserve">, I., Salma, W.O., </w:t>
      </w:r>
      <w:proofErr w:type="spellStart"/>
      <w:r w:rsidRPr="00C9032D">
        <w:rPr>
          <w:rFonts w:ascii="Times New Roman" w:hAnsi="Times New Roman" w:cs="Times New Roman"/>
          <w:b w:val="0"/>
          <w:bCs w:val="0"/>
          <w:sz w:val="24"/>
          <w:szCs w:val="24"/>
        </w:rPr>
        <w:t>Jufri</w:t>
      </w:r>
      <w:proofErr w:type="spellEnd"/>
      <w:r w:rsidRPr="00C9032D">
        <w:rPr>
          <w:rFonts w:ascii="Times New Roman" w:hAnsi="Times New Roman" w:cs="Times New Roman"/>
          <w:b w:val="0"/>
          <w:bCs w:val="0"/>
          <w:sz w:val="24"/>
          <w:szCs w:val="24"/>
        </w:rPr>
        <w:t xml:space="preserve">, N., </w:t>
      </w:r>
      <w:proofErr w:type="spellStart"/>
      <w:r w:rsidRPr="00C9032D">
        <w:rPr>
          <w:rFonts w:ascii="Times New Roman" w:hAnsi="Times New Roman" w:cs="Times New Roman"/>
          <w:b w:val="0"/>
          <w:bCs w:val="0"/>
          <w:sz w:val="24"/>
          <w:szCs w:val="24"/>
        </w:rPr>
        <w:t>Rahayanah</w:t>
      </w:r>
      <w:proofErr w:type="spellEnd"/>
      <w:r w:rsidRPr="00C9032D">
        <w:rPr>
          <w:rFonts w:ascii="Times New Roman" w:hAnsi="Times New Roman" w:cs="Times New Roman"/>
          <w:b w:val="0"/>
          <w:bCs w:val="0"/>
          <w:sz w:val="24"/>
          <w:szCs w:val="24"/>
        </w:rPr>
        <w:t xml:space="preserve">, R., </w:t>
      </w:r>
      <w:proofErr w:type="spellStart"/>
      <w:r w:rsidRPr="00C9032D">
        <w:rPr>
          <w:rFonts w:ascii="Times New Roman" w:hAnsi="Times New Roman" w:cs="Times New Roman"/>
          <w:b w:val="0"/>
          <w:bCs w:val="0"/>
          <w:sz w:val="24"/>
          <w:szCs w:val="24"/>
        </w:rPr>
        <w:t>Ulfa</w:t>
      </w:r>
      <w:proofErr w:type="spellEnd"/>
      <w:r w:rsidRPr="00C9032D">
        <w:rPr>
          <w:rFonts w:ascii="Times New Roman" w:hAnsi="Times New Roman" w:cs="Times New Roman"/>
          <w:b w:val="0"/>
          <w:bCs w:val="0"/>
          <w:sz w:val="24"/>
          <w:szCs w:val="24"/>
        </w:rPr>
        <w:t xml:space="preserve">, S.D., Pini, C.N., Lisnawati, L., Mahmud, I. &amp; </w:t>
      </w:r>
      <w:proofErr w:type="spellStart"/>
      <w:r w:rsidRPr="00C9032D">
        <w:rPr>
          <w:rFonts w:ascii="Times New Roman" w:hAnsi="Times New Roman" w:cs="Times New Roman"/>
          <w:b w:val="0"/>
          <w:bCs w:val="0"/>
          <w:sz w:val="24"/>
          <w:szCs w:val="24"/>
        </w:rPr>
        <w:t>Nurnita</w:t>
      </w:r>
      <w:proofErr w:type="spellEnd"/>
      <w:r w:rsidRPr="00C9032D">
        <w:rPr>
          <w:rFonts w:ascii="Times New Roman" w:hAnsi="Times New Roman" w:cs="Times New Roman"/>
          <w:b w:val="0"/>
          <w:bCs w:val="0"/>
          <w:sz w:val="24"/>
          <w:szCs w:val="24"/>
        </w:rPr>
        <w:t xml:space="preserve">, N. (2025). Identification of blood glucose levels among coastal communities in </w:t>
      </w:r>
      <w:proofErr w:type="spellStart"/>
      <w:r w:rsidRPr="00C9032D">
        <w:rPr>
          <w:rFonts w:ascii="Times New Roman" w:hAnsi="Times New Roman" w:cs="Times New Roman"/>
          <w:b w:val="0"/>
          <w:bCs w:val="0"/>
          <w:sz w:val="24"/>
          <w:szCs w:val="24"/>
        </w:rPr>
        <w:t>Kasilampe</w:t>
      </w:r>
      <w:proofErr w:type="spellEnd"/>
      <w:r w:rsidRPr="00C9032D">
        <w:rPr>
          <w:rFonts w:ascii="Times New Roman" w:hAnsi="Times New Roman" w:cs="Times New Roman"/>
          <w:b w:val="0"/>
          <w:bCs w:val="0"/>
          <w:sz w:val="24"/>
          <w:szCs w:val="24"/>
        </w:rPr>
        <w:t xml:space="preserve"> Village, Kendari City, Southeast Sulawesi. </w:t>
      </w:r>
      <w:proofErr w:type="spellStart"/>
      <w:r w:rsidRPr="00C9032D">
        <w:rPr>
          <w:rFonts w:ascii="Times New Roman" w:hAnsi="Times New Roman" w:cs="Times New Roman"/>
          <w:b w:val="0"/>
          <w:bCs w:val="0"/>
          <w:i/>
          <w:iCs/>
          <w:sz w:val="24"/>
          <w:szCs w:val="24"/>
        </w:rPr>
        <w:t>Jurnal</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Mahasiswa</w:t>
      </w:r>
      <w:proofErr w:type="spellEnd"/>
      <w:r w:rsidRPr="00C9032D">
        <w:rPr>
          <w:rFonts w:ascii="Times New Roman" w:hAnsi="Times New Roman" w:cs="Times New Roman"/>
          <w:b w:val="0"/>
          <w:bCs w:val="0"/>
          <w:i/>
          <w:iCs/>
          <w:sz w:val="24"/>
          <w:szCs w:val="24"/>
        </w:rPr>
        <w:t xml:space="preserve"> </w:t>
      </w:r>
      <w:proofErr w:type="spellStart"/>
      <w:r w:rsidRPr="00C9032D">
        <w:rPr>
          <w:rFonts w:ascii="Times New Roman" w:hAnsi="Times New Roman" w:cs="Times New Roman"/>
          <w:b w:val="0"/>
          <w:bCs w:val="0"/>
          <w:i/>
          <w:iCs/>
          <w:sz w:val="24"/>
          <w:szCs w:val="24"/>
        </w:rPr>
        <w:t>Ilmu</w:t>
      </w:r>
      <w:proofErr w:type="spellEnd"/>
      <w:r w:rsidRPr="00C9032D">
        <w:rPr>
          <w:rFonts w:ascii="Times New Roman" w:hAnsi="Times New Roman" w:cs="Times New Roman"/>
          <w:b w:val="0"/>
          <w:bCs w:val="0"/>
          <w:i/>
          <w:iCs/>
          <w:sz w:val="24"/>
          <w:szCs w:val="24"/>
        </w:rPr>
        <w:t xml:space="preserve"> Farmasi dan Kesehatan</w:t>
      </w:r>
      <w:r w:rsidRPr="00C9032D">
        <w:rPr>
          <w:rFonts w:ascii="Times New Roman" w:hAnsi="Times New Roman" w:cs="Times New Roman"/>
          <w:b w:val="0"/>
          <w:bCs w:val="0"/>
          <w:sz w:val="24"/>
          <w:szCs w:val="24"/>
        </w:rPr>
        <w:t xml:space="preserve">, 3(1), 142–150. </w:t>
      </w:r>
      <w:hyperlink r:id="rId18" w:history="1">
        <w:r w:rsidRPr="00C9032D">
          <w:rPr>
            <w:rStyle w:val="Hyperlink"/>
            <w:rFonts w:ascii="Times New Roman" w:hAnsi="Times New Roman" w:cs="Times New Roman"/>
            <w:b w:val="0"/>
            <w:bCs w:val="0"/>
            <w:sz w:val="24"/>
            <w:szCs w:val="24"/>
          </w:rPr>
          <w:t>https://doi.org/10.59841/jumkes.v3i1.2253</w:t>
        </w:r>
      </w:hyperlink>
    </w:p>
    <w:p w14:paraId="1E21A130" w14:textId="77777777" w:rsidR="00C9032D" w:rsidRPr="00C9032D" w:rsidRDefault="00C9032D" w:rsidP="00C9032D">
      <w:pPr>
        <w:pStyle w:val="Heading1"/>
        <w:spacing w:before="79"/>
        <w:ind w:left="284"/>
        <w:jc w:val="both"/>
        <w:rPr>
          <w:rFonts w:ascii="Times New Roman" w:hAnsi="Times New Roman" w:cs="Times New Roman"/>
          <w:sz w:val="24"/>
          <w:szCs w:val="24"/>
        </w:rPr>
        <w:sectPr w:rsidR="00C9032D" w:rsidRPr="00C9032D" w:rsidSect="00643B92">
          <w:pgSz w:w="12240" w:h="15840" w:code="1"/>
          <w:pgMar w:top="1418" w:right="1418" w:bottom="1418" w:left="1418" w:header="876" w:footer="878" w:gutter="0"/>
          <w:cols w:space="720"/>
          <w:docGrid w:linePitch="299"/>
        </w:sectPr>
      </w:pPr>
    </w:p>
    <w:p w14:paraId="2DE8B647" w14:textId="04B3EAC8" w:rsidR="00406B73" w:rsidRPr="005F230C" w:rsidRDefault="00406B73" w:rsidP="00C9032D">
      <w:pPr>
        <w:pStyle w:val="Heading1"/>
        <w:spacing w:before="79"/>
        <w:ind w:left="0"/>
        <w:jc w:val="both"/>
        <w:rPr>
          <w:rFonts w:ascii="Times New Roman" w:hAnsi="Times New Roman" w:cs="Times New Roman"/>
          <w:b w:val="0"/>
          <w:bCs w:val="0"/>
          <w:spacing w:val="-2"/>
          <w:sz w:val="24"/>
          <w:szCs w:val="24"/>
        </w:rPr>
      </w:pPr>
    </w:p>
    <w:sectPr w:rsidR="00406B73" w:rsidRPr="005F230C" w:rsidSect="00F060DB">
      <w:footerReference w:type="default" r:id="rId19"/>
      <w:pgSz w:w="12240" w:h="15840" w:code="1"/>
      <w:pgMar w:top="1418" w:right="1418" w:bottom="1418" w:left="1418" w:header="0" w:footer="9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7700D" w14:textId="77777777" w:rsidR="00E76F86" w:rsidRDefault="00E76F86">
      <w:r>
        <w:separator/>
      </w:r>
    </w:p>
  </w:endnote>
  <w:endnote w:type="continuationSeparator" w:id="0">
    <w:p w14:paraId="6A1068AC" w14:textId="77777777" w:rsidR="00E76F86" w:rsidRDefault="00E76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61824"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7067B" w14:textId="77777777" w:rsidR="00E76F86" w:rsidRDefault="00E76F86">
      <w:r>
        <w:separator/>
      </w:r>
    </w:p>
  </w:footnote>
  <w:footnote w:type="continuationSeparator" w:id="0">
    <w:p w14:paraId="6A434C1C" w14:textId="77777777" w:rsidR="00E76F86" w:rsidRDefault="00E76F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E1F"/>
    <w:multiLevelType w:val="hybridMultilevel"/>
    <w:tmpl w:val="B894B624"/>
    <w:lvl w:ilvl="0" w:tplc="0602DA42">
      <w:numFmt w:val="bullet"/>
      <w:lvlText w:val=""/>
      <w:lvlJc w:val="left"/>
      <w:pPr>
        <w:ind w:left="647" w:hanging="360"/>
      </w:pPr>
      <w:rPr>
        <w:rFonts w:ascii="Times New Roman" w:eastAsia="Cambria" w:hAnsi="Times New Roman" w:cs="Times New Roman" w:hint="default"/>
        <w:b/>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1" w15:restartNumberingAfterBreak="0">
    <w:nsid w:val="079C100E"/>
    <w:multiLevelType w:val="multilevel"/>
    <w:tmpl w:val="4CC69E2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D3BA3"/>
    <w:multiLevelType w:val="hybridMultilevel"/>
    <w:tmpl w:val="FFFFFFFF"/>
    <w:lvl w:ilvl="0" w:tplc="3809000F">
      <w:start w:val="1"/>
      <w:numFmt w:val="decimal"/>
      <w:lvlText w:val="%1."/>
      <w:lvlJc w:val="left"/>
      <w:pPr>
        <w:ind w:left="720" w:hanging="360"/>
      </w:pPr>
      <w:rPr>
        <w:rFonts w:cs="Times New Roman"/>
      </w:rPr>
    </w:lvl>
    <w:lvl w:ilvl="1" w:tplc="38090019">
      <w:start w:val="1"/>
      <w:numFmt w:val="lowerLetter"/>
      <w:lvlText w:val="%2."/>
      <w:lvlJc w:val="left"/>
      <w:pPr>
        <w:ind w:left="1440" w:hanging="360"/>
      </w:pPr>
      <w:rPr>
        <w:rFonts w:cs="Times New Roman"/>
      </w:rPr>
    </w:lvl>
    <w:lvl w:ilvl="2" w:tplc="3809001B">
      <w:start w:val="1"/>
      <w:numFmt w:val="lowerRoman"/>
      <w:lvlText w:val="%3."/>
      <w:lvlJc w:val="right"/>
      <w:pPr>
        <w:ind w:left="2160" w:hanging="180"/>
      </w:pPr>
      <w:rPr>
        <w:rFonts w:cs="Times New Roman"/>
      </w:rPr>
    </w:lvl>
    <w:lvl w:ilvl="3" w:tplc="3809000F">
      <w:start w:val="1"/>
      <w:numFmt w:val="decimal"/>
      <w:lvlText w:val="%4."/>
      <w:lvlJc w:val="left"/>
      <w:pPr>
        <w:ind w:left="2880" w:hanging="360"/>
      </w:pPr>
      <w:rPr>
        <w:rFonts w:cs="Times New Roman"/>
      </w:rPr>
    </w:lvl>
    <w:lvl w:ilvl="4" w:tplc="38090019">
      <w:start w:val="1"/>
      <w:numFmt w:val="lowerLetter"/>
      <w:lvlText w:val="%5."/>
      <w:lvlJc w:val="left"/>
      <w:pPr>
        <w:ind w:left="3600" w:hanging="360"/>
      </w:pPr>
      <w:rPr>
        <w:rFonts w:cs="Times New Roman"/>
      </w:rPr>
    </w:lvl>
    <w:lvl w:ilvl="5" w:tplc="3809001B">
      <w:start w:val="1"/>
      <w:numFmt w:val="lowerRoman"/>
      <w:lvlText w:val="%6."/>
      <w:lvlJc w:val="right"/>
      <w:pPr>
        <w:ind w:left="4320" w:hanging="180"/>
      </w:pPr>
      <w:rPr>
        <w:rFonts w:cs="Times New Roman"/>
      </w:rPr>
    </w:lvl>
    <w:lvl w:ilvl="6" w:tplc="3809000F">
      <w:start w:val="1"/>
      <w:numFmt w:val="decimal"/>
      <w:lvlText w:val="%7."/>
      <w:lvlJc w:val="left"/>
      <w:pPr>
        <w:ind w:left="5040" w:hanging="360"/>
      </w:pPr>
      <w:rPr>
        <w:rFonts w:cs="Times New Roman"/>
      </w:rPr>
    </w:lvl>
    <w:lvl w:ilvl="7" w:tplc="38090019">
      <w:start w:val="1"/>
      <w:numFmt w:val="lowerLetter"/>
      <w:lvlText w:val="%8."/>
      <w:lvlJc w:val="left"/>
      <w:pPr>
        <w:ind w:left="5760" w:hanging="360"/>
      </w:pPr>
      <w:rPr>
        <w:rFonts w:cs="Times New Roman"/>
      </w:rPr>
    </w:lvl>
    <w:lvl w:ilvl="8" w:tplc="3809001B">
      <w:start w:val="1"/>
      <w:numFmt w:val="lowerRoman"/>
      <w:lvlText w:val="%9."/>
      <w:lvlJc w:val="right"/>
      <w:pPr>
        <w:ind w:left="6480" w:hanging="180"/>
      </w:pPr>
      <w:rPr>
        <w:rFonts w:cs="Times New Roman"/>
      </w:rPr>
    </w:lvl>
  </w:abstractNum>
  <w:abstractNum w:abstractNumId="3" w15:restartNumberingAfterBreak="0">
    <w:nsid w:val="4198265B"/>
    <w:multiLevelType w:val="hybridMultilevel"/>
    <w:tmpl w:val="5344C572"/>
    <w:lvl w:ilvl="0" w:tplc="3809000F">
      <w:start w:val="1"/>
      <w:numFmt w:val="decimal"/>
      <w:lvlText w:val="%1."/>
      <w:lvlJc w:val="left"/>
      <w:pPr>
        <w:ind w:left="1007" w:hanging="360"/>
      </w:p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4" w15:restartNumberingAfterBreak="0">
    <w:nsid w:val="671D0076"/>
    <w:multiLevelType w:val="multilevel"/>
    <w:tmpl w:val="DB7E308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num w:numId="1" w16cid:durableId="451482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6882751">
    <w:abstractNumId w:val="2"/>
  </w:num>
  <w:num w:numId="3" w16cid:durableId="977228049">
    <w:abstractNumId w:val="3"/>
  </w:num>
  <w:num w:numId="4" w16cid:durableId="2031640228">
    <w:abstractNumId w:val="0"/>
  </w:num>
  <w:num w:numId="5" w16cid:durableId="222108992">
    <w:abstractNumId w:val="4"/>
    <w:lvlOverride w:ilvl="0"/>
    <w:lvlOverride w:ilvl="1"/>
    <w:lvlOverride w:ilvl="2"/>
    <w:lvlOverride w:ilvl="3"/>
    <w:lvlOverride w:ilvl="4"/>
    <w:lvlOverride w:ilvl="5"/>
    <w:lvlOverride w:ilvl="6"/>
    <w:lvlOverride w:ilvl="7"/>
    <w:lvlOverride w:ilvl="8"/>
  </w:num>
  <w:num w:numId="6" w16cid:durableId="210857663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11EB3"/>
    <w:rsid w:val="0009383A"/>
    <w:rsid w:val="000B3600"/>
    <w:rsid w:val="000D610E"/>
    <w:rsid w:val="000E753E"/>
    <w:rsid w:val="00126787"/>
    <w:rsid w:val="00161656"/>
    <w:rsid w:val="001853BB"/>
    <w:rsid w:val="001D59C8"/>
    <w:rsid w:val="00235222"/>
    <w:rsid w:val="00240221"/>
    <w:rsid w:val="002A0E3E"/>
    <w:rsid w:val="002A5CDB"/>
    <w:rsid w:val="002A6287"/>
    <w:rsid w:val="002B0200"/>
    <w:rsid w:val="002C4D04"/>
    <w:rsid w:val="002D18E8"/>
    <w:rsid w:val="002D44DA"/>
    <w:rsid w:val="002F0886"/>
    <w:rsid w:val="00350157"/>
    <w:rsid w:val="003643BE"/>
    <w:rsid w:val="00392615"/>
    <w:rsid w:val="00393CDA"/>
    <w:rsid w:val="003C1C7D"/>
    <w:rsid w:val="003D6BA3"/>
    <w:rsid w:val="00402F9C"/>
    <w:rsid w:val="00406B73"/>
    <w:rsid w:val="00430A20"/>
    <w:rsid w:val="0043550D"/>
    <w:rsid w:val="00436530"/>
    <w:rsid w:val="0044476B"/>
    <w:rsid w:val="00446EAE"/>
    <w:rsid w:val="004B195E"/>
    <w:rsid w:val="004C646B"/>
    <w:rsid w:val="004D2910"/>
    <w:rsid w:val="004F2FEE"/>
    <w:rsid w:val="0058166D"/>
    <w:rsid w:val="005C5BEF"/>
    <w:rsid w:val="005F230C"/>
    <w:rsid w:val="00634F5B"/>
    <w:rsid w:val="00637B47"/>
    <w:rsid w:val="00643B92"/>
    <w:rsid w:val="00664D80"/>
    <w:rsid w:val="006D1320"/>
    <w:rsid w:val="006E4BED"/>
    <w:rsid w:val="00713C17"/>
    <w:rsid w:val="00734BD7"/>
    <w:rsid w:val="0074341A"/>
    <w:rsid w:val="00747D62"/>
    <w:rsid w:val="00756C0E"/>
    <w:rsid w:val="00780D19"/>
    <w:rsid w:val="007A6FD0"/>
    <w:rsid w:val="007B5561"/>
    <w:rsid w:val="007D38EB"/>
    <w:rsid w:val="00810811"/>
    <w:rsid w:val="008124B1"/>
    <w:rsid w:val="00815AF5"/>
    <w:rsid w:val="00843665"/>
    <w:rsid w:val="00851A77"/>
    <w:rsid w:val="00897EB4"/>
    <w:rsid w:val="008B7426"/>
    <w:rsid w:val="008C37B4"/>
    <w:rsid w:val="008F52B2"/>
    <w:rsid w:val="00921CCB"/>
    <w:rsid w:val="00930397"/>
    <w:rsid w:val="00965AC0"/>
    <w:rsid w:val="00965F77"/>
    <w:rsid w:val="00970F8D"/>
    <w:rsid w:val="009B0F7C"/>
    <w:rsid w:val="009B691D"/>
    <w:rsid w:val="009D79CF"/>
    <w:rsid w:val="009E6456"/>
    <w:rsid w:val="009E6FB0"/>
    <w:rsid w:val="00A04CA3"/>
    <w:rsid w:val="00A1089F"/>
    <w:rsid w:val="00A41EE4"/>
    <w:rsid w:val="00A65958"/>
    <w:rsid w:val="00A71E46"/>
    <w:rsid w:val="00A93043"/>
    <w:rsid w:val="00A967D5"/>
    <w:rsid w:val="00AA11F5"/>
    <w:rsid w:val="00AA37B7"/>
    <w:rsid w:val="00AB1999"/>
    <w:rsid w:val="00AB7E73"/>
    <w:rsid w:val="00AF12ED"/>
    <w:rsid w:val="00C00E22"/>
    <w:rsid w:val="00C0258E"/>
    <w:rsid w:val="00C1022B"/>
    <w:rsid w:val="00C202E0"/>
    <w:rsid w:val="00C23B91"/>
    <w:rsid w:val="00C256E2"/>
    <w:rsid w:val="00C9032D"/>
    <w:rsid w:val="00CC71E2"/>
    <w:rsid w:val="00CD277B"/>
    <w:rsid w:val="00CD7B38"/>
    <w:rsid w:val="00CE2FAC"/>
    <w:rsid w:val="00D25776"/>
    <w:rsid w:val="00D4504E"/>
    <w:rsid w:val="00D877A9"/>
    <w:rsid w:val="00DA100D"/>
    <w:rsid w:val="00DA426F"/>
    <w:rsid w:val="00DB1927"/>
    <w:rsid w:val="00DB5F9D"/>
    <w:rsid w:val="00DC6077"/>
    <w:rsid w:val="00DE137C"/>
    <w:rsid w:val="00DE540C"/>
    <w:rsid w:val="00E47CB6"/>
    <w:rsid w:val="00E51BFC"/>
    <w:rsid w:val="00E64C31"/>
    <w:rsid w:val="00E76F86"/>
    <w:rsid w:val="00EC041A"/>
    <w:rsid w:val="00EC1F56"/>
    <w:rsid w:val="00EC2962"/>
    <w:rsid w:val="00F060DB"/>
    <w:rsid w:val="00F82F6C"/>
    <w:rsid w:val="00F931AA"/>
    <w:rsid w:val="00F93C78"/>
    <w:rsid w:val="00FC138E"/>
    <w:rsid w:val="00FC2DCE"/>
    <w:rsid w:val="00FD483C"/>
    <w:rsid w:val="00FD53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65958"/>
    <w:rPr>
      <w:color w:val="0000FF" w:themeColor="hyperlink"/>
      <w:u w:val="single"/>
    </w:rPr>
  </w:style>
  <w:style w:type="character" w:styleId="UnresolvedMention">
    <w:name w:val="Unresolved Mention"/>
    <w:basedOn w:val="DefaultParagraphFont"/>
    <w:uiPriority w:val="99"/>
    <w:semiHidden/>
    <w:unhideWhenUsed/>
    <w:rsid w:val="00A6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608/menj.2025.433106" TargetMode="External"/><Relationship Id="rId13" Type="http://schemas.openxmlformats.org/officeDocument/2006/relationships/hyperlink" Target="http://myjurnal.poltekkes-kdi.ac.id/" TargetMode="External"/><Relationship Id="rId18" Type="http://schemas.openxmlformats.org/officeDocument/2006/relationships/hyperlink" Target="https://doi.org/10.59841/jumkes.v3i1.225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3390/sports13030081" TargetMode="External"/><Relationship Id="rId12" Type="http://schemas.openxmlformats.org/officeDocument/2006/relationships/hyperlink" Target="https://jurnal.aiska-university.ac.id/index.php/ASJN" TargetMode="External"/><Relationship Id="rId17" Type="http://schemas.openxmlformats.org/officeDocument/2006/relationships/hyperlink" Target="https://doi.org/10.1007/s13300-021-01005-1" TargetMode="External"/><Relationship Id="rId2" Type="http://schemas.openxmlformats.org/officeDocument/2006/relationships/styles" Target="styles.xml"/><Relationship Id="rId16" Type="http://schemas.openxmlformats.org/officeDocument/2006/relationships/hyperlink" Target="https://doi.org/10.1152/physrev.00038.201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esmas.kemkes.go.id/" TargetMode="External"/><Relationship Id="rId5" Type="http://schemas.openxmlformats.org/officeDocument/2006/relationships/footnotes" Target="footnotes.xml"/><Relationship Id="rId15" Type="http://schemas.openxmlformats.org/officeDocument/2006/relationships/hyperlink" Target="https://doi.org/10.1371/journal.pone.0133286" TargetMode="External"/><Relationship Id="rId10" Type="http://schemas.openxmlformats.org/officeDocument/2006/relationships/hyperlink" Target="https://idf.org/"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16/j.isci.2022.105415" TargetMode="External"/><Relationship Id="rId14" Type="http://schemas.openxmlformats.org/officeDocument/2006/relationships/hyperlink" Target="http://www.jss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TotalTime>
  <Pages>8</Pages>
  <Words>3135</Words>
  <Characters>17872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82</cp:revision>
  <dcterms:created xsi:type="dcterms:W3CDTF">2026-02-04T01:08:00Z</dcterms:created>
  <dcterms:modified xsi:type="dcterms:W3CDTF">2026-05-23T01:19:00Z</dcterms:modified>
</cp:coreProperties>
</file>