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21260" w14:textId="24B1A8BB" w:rsidR="002F2497" w:rsidRPr="006810DB" w:rsidRDefault="002F2497" w:rsidP="006810DB">
      <w:pPr>
        <w:spacing w:after="0" w:line="276" w:lineRule="auto"/>
        <w:jc w:val="center"/>
        <w:rPr>
          <w:rFonts w:ascii="Book Antiqua" w:hAnsi="Book Antiqua"/>
          <w:b/>
          <w:bCs/>
          <w:sz w:val="28"/>
          <w:szCs w:val="20"/>
          <w:lang w:val="en"/>
        </w:rPr>
      </w:pPr>
      <w:r w:rsidRPr="006810DB">
        <w:rPr>
          <w:rFonts w:ascii="Book Antiqua" w:hAnsi="Book Antiqua"/>
          <w:b/>
          <w:bCs/>
          <w:sz w:val="28"/>
          <w:szCs w:val="20"/>
          <w:lang w:val="en"/>
        </w:rPr>
        <w:t xml:space="preserve">POTENSI TERAPEUTIK </w:t>
      </w:r>
      <w:r w:rsidR="00564DC0" w:rsidRPr="006810DB">
        <w:rPr>
          <w:rFonts w:ascii="Book Antiqua" w:hAnsi="Book Antiqua"/>
          <w:b/>
          <w:bCs/>
          <w:i/>
          <w:iCs/>
          <w:sz w:val="28"/>
          <w:szCs w:val="20"/>
          <w:lang w:val="en"/>
        </w:rPr>
        <w:t>Nigella sativa</w:t>
      </w:r>
      <w:r w:rsidR="00564DC0" w:rsidRPr="006810DB">
        <w:rPr>
          <w:rFonts w:ascii="Book Antiqua" w:hAnsi="Book Antiqua"/>
          <w:b/>
          <w:bCs/>
          <w:sz w:val="28"/>
          <w:szCs w:val="20"/>
          <w:lang w:val="en"/>
        </w:rPr>
        <w:t xml:space="preserve"> </w:t>
      </w:r>
      <w:r w:rsidRPr="006810DB">
        <w:rPr>
          <w:rFonts w:ascii="Book Antiqua" w:hAnsi="Book Antiqua"/>
          <w:b/>
          <w:bCs/>
          <w:sz w:val="28"/>
          <w:szCs w:val="20"/>
          <w:lang w:val="en"/>
        </w:rPr>
        <w:t xml:space="preserve">TERHADAP MUKOSITIS ORAL </w:t>
      </w:r>
      <w:r w:rsidR="00564DC0" w:rsidRPr="006810DB">
        <w:rPr>
          <w:rFonts w:ascii="Book Antiqua" w:hAnsi="Book Antiqua"/>
          <w:b/>
          <w:bCs/>
          <w:sz w:val="28"/>
          <w:szCs w:val="20"/>
          <w:lang w:val="en"/>
        </w:rPr>
        <w:br/>
      </w:r>
      <w:r w:rsidRPr="006810DB">
        <w:rPr>
          <w:rFonts w:ascii="Book Antiqua" w:hAnsi="Book Antiqua"/>
          <w:b/>
          <w:bCs/>
          <w:sz w:val="28"/>
          <w:szCs w:val="20"/>
          <w:lang w:val="en"/>
        </w:rPr>
        <w:t xml:space="preserve">AKIBAT KEMOTERAPI CISPLATIN: </w:t>
      </w:r>
    </w:p>
    <w:p w14:paraId="073F461C" w14:textId="2CBD4EFF" w:rsidR="002F2497" w:rsidRPr="006810DB" w:rsidRDefault="002F2497" w:rsidP="006810DB">
      <w:pPr>
        <w:spacing w:after="0" w:line="276" w:lineRule="auto"/>
        <w:jc w:val="center"/>
        <w:rPr>
          <w:rFonts w:ascii="Book Antiqua" w:hAnsi="Book Antiqua"/>
          <w:b/>
          <w:bCs/>
          <w:sz w:val="24"/>
          <w:szCs w:val="18"/>
          <w:lang w:val="en"/>
        </w:rPr>
      </w:pPr>
      <w:r w:rsidRPr="006810DB">
        <w:rPr>
          <w:rFonts w:ascii="Book Antiqua" w:hAnsi="Book Antiqua"/>
          <w:b/>
          <w:bCs/>
          <w:sz w:val="24"/>
          <w:szCs w:val="18"/>
          <w:lang w:val="en"/>
        </w:rPr>
        <w:t xml:space="preserve">Dari Standarisasi Fisikokimia </w:t>
      </w:r>
      <w:r w:rsidR="00564DC0" w:rsidRPr="006810DB">
        <w:rPr>
          <w:rFonts w:ascii="Book Antiqua" w:hAnsi="Book Antiqua"/>
          <w:b/>
          <w:bCs/>
          <w:sz w:val="24"/>
          <w:szCs w:val="18"/>
          <w:lang w:val="en"/>
        </w:rPr>
        <w:t>hing</w:t>
      </w:r>
      <w:r w:rsidRPr="006810DB">
        <w:rPr>
          <w:rFonts w:ascii="Book Antiqua" w:hAnsi="Book Antiqua"/>
          <w:b/>
          <w:bCs/>
          <w:sz w:val="24"/>
          <w:szCs w:val="18"/>
          <w:lang w:val="en"/>
        </w:rPr>
        <w:t>ga Mekanisme Molekuler</w:t>
      </w:r>
    </w:p>
    <w:p w14:paraId="0AE75DEE" w14:textId="77777777" w:rsidR="006239C6" w:rsidRPr="006810DB" w:rsidRDefault="006239C6" w:rsidP="006810DB">
      <w:pPr>
        <w:spacing w:after="0" w:line="276" w:lineRule="auto"/>
        <w:jc w:val="center"/>
        <w:rPr>
          <w:rFonts w:ascii="Book Antiqua" w:hAnsi="Book Antiqua"/>
          <w:b/>
          <w:sz w:val="20"/>
          <w:szCs w:val="20"/>
          <w:lang w:val="en-GB"/>
        </w:rPr>
      </w:pPr>
    </w:p>
    <w:p w14:paraId="7F6FB1F7" w14:textId="77777777" w:rsidR="00BC1D95" w:rsidRPr="006810DB" w:rsidRDefault="00BC1D95" w:rsidP="006810DB">
      <w:pPr>
        <w:spacing w:after="0" w:line="276" w:lineRule="auto"/>
        <w:jc w:val="center"/>
        <w:rPr>
          <w:rFonts w:ascii="Book Antiqua" w:hAnsi="Book Antiqua"/>
          <w:b/>
          <w:sz w:val="20"/>
          <w:szCs w:val="20"/>
          <w:lang w:val="en-ID"/>
        </w:rPr>
      </w:pPr>
    </w:p>
    <w:p w14:paraId="34B36D65" w14:textId="77777777" w:rsidR="002F2497" w:rsidRPr="006810DB" w:rsidRDefault="002F2497" w:rsidP="006810DB">
      <w:pPr>
        <w:spacing w:after="0" w:line="276" w:lineRule="auto"/>
        <w:jc w:val="center"/>
        <w:rPr>
          <w:rFonts w:ascii="Book Antiqua" w:hAnsi="Book Antiqua"/>
          <w:b/>
          <w:bCs/>
          <w:sz w:val="20"/>
          <w:szCs w:val="20"/>
          <w:lang w:val="en-ID"/>
        </w:rPr>
      </w:pPr>
      <w:bookmarkStart w:id="1" w:name="_Hlk222665378"/>
      <w:r w:rsidRPr="006810DB">
        <w:rPr>
          <w:rFonts w:ascii="Book Antiqua" w:hAnsi="Book Antiqua"/>
          <w:b/>
          <w:bCs/>
          <w:sz w:val="20"/>
          <w:szCs w:val="20"/>
          <w:lang w:val="en-ID"/>
        </w:rPr>
        <w:t xml:space="preserve">Dr. dr. </w:t>
      </w:r>
      <w:bookmarkStart w:id="2" w:name="_Hlk223181638"/>
      <w:r w:rsidRPr="006810DB">
        <w:rPr>
          <w:rFonts w:ascii="Book Antiqua" w:hAnsi="Book Antiqua"/>
          <w:b/>
          <w:bCs/>
          <w:sz w:val="20"/>
          <w:szCs w:val="20"/>
          <w:lang w:val="en-ID"/>
        </w:rPr>
        <w:t>Oke Kadarullah</w:t>
      </w:r>
      <w:bookmarkEnd w:id="2"/>
      <w:r w:rsidRPr="006810DB">
        <w:rPr>
          <w:rFonts w:ascii="Book Antiqua" w:hAnsi="Book Antiqua"/>
          <w:b/>
          <w:bCs/>
          <w:sz w:val="20"/>
          <w:szCs w:val="20"/>
          <w:lang w:val="en-ID"/>
        </w:rPr>
        <w:t>, Sp.THT-BKL, Subsp.Onk (K), FICS</w:t>
      </w:r>
    </w:p>
    <w:bookmarkEnd w:id="1"/>
    <w:p w14:paraId="16E1CF23" w14:textId="497B63F4" w:rsidR="001F6964" w:rsidRPr="006810DB" w:rsidRDefault="001F6964" w:rsidP="006810DB">
      <w:pPr>
        <w:spacing w:after="0" w:line="276" w:lineRule="auto"/>
        <w:jc w:val="center"/>
        <w:rPr>
          <w:rFonts w:ascii="Book Antiqua" w:hAnsi="Book Antiqua"/>
          <w:sz w:val="20"/>
          <w:szCs w:val="20"/>
        </w:rPr>
      </w:pPr>
    </w:p>
    <w:p w14:paraId="1DB662E8" w14:textId="5AD63F78" w:rsidR="001F6964" w:rsidRPr="006810DB" w:rsidRDefault="00F76C13" w:rsidP="006810DB">
      <w:pPr>
        <w:tabs>
          <w:tab w:val="left" w:pos="2187"/>
        </w:tabs>
        <w:spacing w:after="0" w:line="276" w:lineRule="auto"/>
        <w:rPr>
          <w:rFonts w:ascii="Book Antiqua" w:hAnsi="Book Antiqua"/>
          <w:sz w:val="20"/>
          <w:szCs w:val="20"/>
        </w:rPr>
      </w:pPr>
      <w:r w:rsidRPr="006810DB">
        <w:rPr>
          <w:rFonts w:ascii="Book Antiqua" w:hAnsi="Book Antiqua"/>
          <w:sz w:val="20"/>
          <w:szCs w:val="20"/>
        </w:rPr>
        <w:tab/>
      </w:r>
    </w:p>
    <w:p w14:paraId="36425D21" w14:textId="3694D0C2" w:rsidR="001F6964" w:rsidRPr="006810DB" w:rsidRDefault="001F6964" w:rsidP="006810DB">
      <w:pPr>
        <w:spacing w:after="0" w:line="276" w:lineRule="auto"/>
        <w:jc w:val="center"/>
        <w:rPr>
          <w:rFonts w:ascii="Book Antiqua" w:hAnsi="Book Antiqua"/>
          <w:sz w:val="20"/>
          <w:szCs w:val="20"/>
        </w:rPr>
      </w:pPr>
    </w:p>
    <w:p w14:paraId="061973ED" w14:textId="19810F96" w:rsidR="002B0035" w:rsidRPr="006810DB" w:rsidRDefault="002B0035" w:rsidP="006810DB">
      <w:pPr>
        <w:spacing w:after="0" w:line="276" w:lineRule="auto"/>
        <w:jc w:val="center"/>
        <w:rPr>
          <w:rFonts w:ascii="Book Antiqua" w:hAnsi="Book Antiqua"/>
          <w:sz w:val="20"/>
          <w:szCs w:val="20"/>
        </w:rPr>
      </w:pPr>
    </w:p>
    <w:p w14:paraId="073FA1B9" w14:textId="2F2BDA79" w:rsidR="002B0035" w:rsidRPr="006810DB" w:rsidRDefault="002B0035" w:rsidP="006810DB">
      <w:pPr>
        <w:spacing w:after="0" w:line="276" w:lineRule="auto"/>
        <w:jc w:val="center"/>
        <w:rPr>
          <w:rFonts w:ascii="Book Antiqua" w:hAnsi="Book Antiqua"/>
          <w:sz w:val="20"/>
          <w:szCs w:val="20"/>
        </w:rPr>
      </w:pPr>
    </w:p>
    <w:p w14:paraId="40692A80" w14:textId="1D904279" w:rsidR="002B0035" w:rsidRPr="006810DB" w:rsidRDefault="002B0035" w:rsidP="006810DB">
      <w:pPr>
        <w:spacing w:after="0" w:line="276" w:lineRule="auto"/>
        <w:jc w:val="center"/>
        <w:rPr>
          <w:rFonts w:ascii="Book Antiqua" w:hAnsi="Book Antiqua"/>
          <w:sz w:val="20"/>
          <w:szCs w:val="20"/>
        </w:rPr>
      </w:pPr>
    </w:p>
    <w:p w14:paraId="4252EADB" w14:textId="0208B7AB" w:rsidR="002B0035" w:rsidRPr="006810DB" w:rsidRDefault="002B0035" w:rsidP="006810DB">
      <w:pPr>
        <w:spacing w:after="0" w:line="276" w:lineRule="auto"/>
        <w:jc w:val="center"/>
        <w:rPr>
          <w:rFonts w:ascii="Book Antiqua" w:hAnsi="Book Antiqua"/>
          <w:sz w:val="20"/>
          <w:szCs w:val="20"/>
        </w:rPr>
      </w:pPr>
    </w:p>
    <w:p w14:paraId="237AC203" w14:textId="3771AAFC" w:rsidR="002B0035" w:rsidRPr="006810DB" w:rsidRDefault="002B0035" w:rsidP="006810DB">
      <w:pPr>
        <w:spacing w:after="0" w:line="276" w:lineRule="auto"/>
        <w:jc w:val="center"/>
        <w:rPr>
          <w:rFonts w:ascii="Book Antiqua" w:hAnsi="Book Antiqua"/>
          <w:sz w:val="20"/>
          <w:szCs w:val="20"/>
        </w:rPr>
      </w:pPr>
    </w:p>
    <w:p w14:paraId="1EB95160" w14:textId="4673A2D2" w:rsidR="002B0035" w:rsidRPr="006810DB" w:rsidRDefault="002B0035" w:rsidP="006810DB">
      <w:pPr>
        <w:spacing w:after="0" w:line="276" w:lineRule="auto"/>
        <w:jc w:val="center"/>
        <w:rPr>
          <w:rFonts w:ascii="Book Antiqua" w:hAnsi="Book Antiqua"/>
          <w:sz w:val="20"/>
          <w:szCs w:val="20"/>
        </w:rPr>
      </w:pPr>
    </w:p>
    <w:p w14:paraId="5D3A2F0D" w14:textId="1C2BDA9E" w:rsidR="002B0035" w:rsidRPr="006810DB" w:rsidRDefault="002B0035" w:rsidP="006810DB">
      <w:pPr>
        <w:spacing w:after="0" w:line="276" w:lineRule="auto"/>
        <w:jc w:val="center"/>
        <w:rPr>
          <w:rFonts w:ascii="Book Antiqua" w:hAnsi="Book Antiqua"/>
          <w:sz w:val="20"/>
          <w:szCs w:val="20"/>
        </w:rPr>
      </w:pPr>
    </w:p>
    <w:p w14:paraId="596EB185" w14:textId="069D1828" w:rsidR="002B0035" w:rsidRPr="006810DB" w:rsidRDefault="002B0035" w:rsidP="006810DB">
      <w:pPr>
        <w:spacing w:after="0" w:line="276" w:lineRule="auto"/>
        <w:jc w:val="center"/>
        <w:rPr>
          <w:rFonts w:ascii="Book Antiqua" w:hAnsi="Book Antiqua"/>
          <w:sz w:val="20"/>
          <w:szCs w:val="20"/>
        </w:rPr>
      </w:pPr>
    </w:p>
    <w:p w14:paraId="53B46C07" w14:textId="4BA13CE8" w:rsidR="002B0035" w:rsidRPr="006810DB" w:rsidRDefault="002B0035" w:rsidP="006810DB">
      <w:pPr>
        <w:spacing w:after="0" w:line="276" w:lineRule="auto"/>
        <w:jc w:val="center"/>
        <w:rPr>
          <w:rFonts w:ascii="Book Antiqua" w:hAnsi="Book Antiqua"/>
          <w:sz w:val="20"/>
          <w:szCs w:val="20"/>
        </w:rPr>
      </w:pPr>
    </w:p>
    <w:p w14:paraId="03AA6D7F" w14:textId="3C37531D" w:rsidR="002B0035" w:rsidRPr="006810DB" w:rsidRDefault="002B0035" w:rsidP="006810DB">
      <w:pPr>
        <w:spacing w:after="0" w:line="276" w:lineRule="auto"/>
        <w:jc w:val="center"/>
        <w:rPr>
          <w:rFonts w:ascii="Book Antiqua" w:hAnsi="Book Antiqua"/>
          <w:sz w:val="20"/>
          <w:szCs w:val="20"/>
        </w:rPr>
      </w:pPr>
    </w:p>
    <w:p w14:paraId="317C5F4B" w14:textId="0B609F55" w:rsidR="002B0035" w:rsidRPr="006810DB" w:rsidRDefault="002B0035" w:rsidP="006810DB">
      <w:pPr>
        <w:spacing w:after="0" w:line="276" w:lineRule="auto"/>
        <w:jc w:val="center"/>
        <w:rPr>
          <w:rFonts w:ascii="Book Antiqua" w:hAnsi="Book Antiqua"/>
          <w:sz w:val="20"/>
          <w:szCs w:val="20"/>
        </w:rPr>
      </w:pPr>
    </w:p>
    <w:p w14:paraId="14CD469D" w14:textId="221ABA7F" w:rsidR="002B0035" w:rsidRPr="006810DB" w:rsidRDefault="002B0035" w:rsidP="006810DB">
      <w:pPr>
        <w:spacing w:after="0" w:line="276" w:lineRule="auto"/>
        <w:jc w:val="center"/>
        <w:rPr>
          <w:rFonts w:ascii="Book Antiqua" w:hAnsi="Book Antiqua"/>
          <w:sz w:val="20"/>
          <w:szCs w:val="20"/>
        </w:rPr>
      </w:pPr>
    </w:p>
    <w:p w14:paraId="76715C38" w14:textId="5C5C1901" w:rsidR="002B0035" w:rsidRDefault="002B0035" w:rsidP="006810DB">
      <w:pPr>
        <w:spacing w:after="0" w:line="276" w:lineRule="auto"/>
        <w:jc w:val="center"/>
        <w:rPr>
          <w:rFonts w:ascii="Book Antiqua" w:hAnsi="Book Antiqua"/>
          <w:sz w:val="20"/>
          <w:szCs w:val="20"/>
        </w:rPr>
      </w:pPr>
    </w:p>
    <w:p w14:paraId="54381A26" w14:textId="77777777" w:rsidR="00056B27" w:rsidRPr="006810DB" w:rsidRDefault="00056B27" w:rsidP="006810DB">
      <w:pPr>
        <w:spacing w:after="0" w:line="276" w:lineRule="auto"/>
        <w:jc w:val="center"/>
        <w:rPr>
          <w:rFonts w:ascii="Book Antiqua" w:hAnsi="Book Antiqua"/>
          <w:sz w:val="20"/>
          <w:szCs w:val="20"/>
        </w:rPr>
      </w:pPr>
    </w:p>
    <w:p w14:paraId="73DD0EE5" w14:textId="02915F28" w:rsidR="002B0035" w:rsidRPr="006810DB" w:rsidRDefault="002B0035" w:rsidP="006810DB">
      <w:pPr>
        <w:spacing w:after="0" w:line="276" w:lineRule="auto"/>
        <w:jc w:val="center"/>
        <w:rPr>
          <w:rFonts w:ascii="Book Antiqua" w:hAnsi="Book Antiqua"/>
          <w:sz w:val="20"/>
          <w:szCs w:val="20"/>
        </w:rPr>
      </w:pPr>
    </w:p>
    <w:p w14:paraId="1DFC2DAB" w14:textId="6E70AC12" w:rsidR="002B0035" w:rsidRPr="006810DB" w:rsidRDefault="002B0035" w:rsidP="006810DB">
      <w:pPr>
        <w:spacing w:after="0" w:line="276" w:lineRule="auto"/>
        <w:jc w:val="center"/>
        <w:rPr>
          <w:rFonts w:ascii="Book Antiqua" w:hAnsi="Book Antiqua"/>
          <w:sz w:val="20"/>
          <w:szCs w:val="20"/>
        </w:rPr>
      </w:pPr>
    </w:p>
    <w:p w14:paraId="73863329" w14:textId="7E659936" w:rsidR="002B0035" w:rsidRPr="006810DB" w:rsidRDefault="002B0035" w:rsidP="006810DB">
      <w:pPr>
        <w:spacing w:after="0" w:line="276" w:lineRule="auto"/>
        <w:jc w:val="center"/>
        <w:rPr>
          <w:rFonts w:ascii="Book Antiqua" w:hAnsi="Book Antiqua"/>
          <w:sz w:val="20"/>
          <w:szCs w:val="20"/>
        </w:rPr>
      </w:pPr>
    </w:p>
    <w:p w14:paraId="01A4B29C" w14:textId="1DF86311" w:rsidR="00462AD1" w:rsidRPr="006810DB" w:rsidRDefault="00462AD1" w:rsidP="006810DB">
      <w:pPr>
        <w:spacing w:after="0" w:line="276" w:lineRule="auto"/>
        <w:jc w:val="center"/>
        <w:rPr>
          <w:rFonts w:ascii="Book Antiqua" w:eastAsia="Calibri" w:hAnsi="Book Antiqua" w:cs="Arial"/>
          <w:sz w:val="20"/>
          <w:szCs w:val="20"/>
          <w:lang w:val="en-GB" w:eastAsia="en-GB"/>
        </w:rPr>
      </w:pPr>
    </w:p>
    <w:p w14:paraId="714EB270" w14:textId="5E2FF97C" w:rsidR="00D64690" w:rsidRPr="006810DB" w:rsidRDefault="00535816" w:rsidP="006810DB">
      <w:pPr>
        <w:spacing w:after="0" w:line="276" w:lineRule="auto"/>
        <w:jc w:val="center"/>
        <w:rPr>
          <w:rFonts w:ascii="Book Antiqua" w:eastAsia="Calibri" w:hAnsi="Book Antiqua" w:cs="Arial"/>
          <w:sz w:val="20"/>
          <w:szCs w:val="20"/>
          <w:lang w:val="en-GB" w:eastAsia="en-GB"/>
        </w:rPr>
      </w:pPr>
      <w:r w:rsidRPr="006810DB">
        <w:rPr>
          <w:rFonts w:ascii="Book Antiqua" w:eastAsia="Calibri" w:hAnsi="Book Antiqua" w:cs="Arial"/>
          <w:noProof/>
          <w:sz w:val="20"/>
          <w:szCs w:val="20"/>
          <w:lang w:val="en-US"/>
        </w:rPr>
        <w:drawing>
          <wp:inline distT="0" distB="0" distL="0" distR="0" wp14:anchorId="2D41B7AD" wp14:editId="7182F771">
            <wp:extent cx="723900" cy="863171"/>
            <wp:effectExtent l="0" t="0" r="0" b="0"/>
            <wp:docPr id="7" name="Picture 7" descr="C:\Users\ACER\Downloads\LOGO 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LOGO BW.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4941" cy="864412"/>
                    </a:xfrm>
                    <a:prstGeom prst="rect">
                      <a:avLst/>
                    </a:prstGeom>
                    <a:noFill/>
                    <a:ln>
                      <a:noFill/>
                    </a:ln>
                  </pic:spPr>
                </pic:pic>
              </a:graphicData>
            </a:graphic>
          </wp:inline>
        </w:drawing>
      </w:r>
    </w:p>
    <w:p w14:paraId="20069B46" w14:textId="0F5EF300" w:rsidR="00462AD1" w:rsidRPr="006810DB" w:rsidRDefault="00D64690" w:rsidP="00056B27">
      <w:pPr>
        <w:spacing w:after="0" w:line="276" w:lineRule="auto"/>
        <w:jc w:val="center"/>
        <w:rPr>
          <w:rFonts w:ascii="Book Antiqua" w:hAnsi="Book Antiqua"/>
          <w:b/>
          <w:bCs/>
          <w:sz w:val="20"/>
          <w:szCs w:val="20"/>
          <w:lang w:val="en-US"/>
        </w:rPr>
      </w:pPr>
      <w:r w:rsidRPr="006810DB">
        <w:rPr>
          <w:rFonts w:ascii="Book Antiqua" w:hAnsi="Book Antiqua"/>
          <w:b/>
          <w:bCs/>
          <w:sz w:val="20"/>
          <w:lang w:val="fi-FI"/>
        </w:rPr>
        <w:t>PENERBIT CV.</w:t>
      </w:r>
      <w:r w:rsidR="001F5577" w:rsidRPr="006810DB">
        <w:rPr>
          <w:rFonts w:ascii="Book Antiqua" w:hAnsi="Book Antiqua"/>
          <w:b/>
          <w:bCs/>
          <w:sz w:val="20"/>
          <w:lang w:val="fi-FI"/>
        </w:rPr>
        <w:t xml:space="preserve"> </w:t>
      </w:r>
      <w:r w:rsidRPr="006810DB">
        <w:rPr>
          <w:rFonts w:ascii="Book Antiqua" w:hAnsi="Book Antiqua"/>
          <w:b/>
          <w:bCs/>
          <w:sz w:val="20"/>
          <w:lang w:val="fi-FI"/>
        </w:rPr>
        <w:t>EUREKA MEDIA AKSARA</w:t>
      </w:r>
      <w:bookmarkStart w:id="3" w:name="_Hlk69727091"/>
      <w:bookmarkStart w:id="4" w:name="_Hlk62037651"/>
      <w:bookmarkStart w:id="5" w:name="_Hlk75777317"/>
      <w:r w:rsidR="00462AD1" w:rsidRPr="006810DB">
        <w:rPr>
          <w:rFonts w:ascii="Book Antiqua" w:hAnsi="Book Antiqua"/>
          <w:b/>
          <w:bCs/>
          <w:sz w:val="20"/>
          <w:szCs w:val="20"/>
          <w:lang w:val="en-US"/>
        </w:rPr>
        <w:br w:type="page"/>
      </w:r>
    </w:p>
    <w:p w14:paraId="1F39C8CD" w14:textId="18301A01" w:rsidR="002F2497" w:rsidRPr="006810DB" w:rsidRDefault="002F2497" w:rsidP="006810DB">
      <w:pPr>
        <w:tabs>
          <w:tab w:val="left" w:pos="1701"/>
        </w:tabs>
        <w:spacing w:after="0" w:line="276" w:lineRule="auto"/>
        <w:jc w:val="center"/>
        <w:rPr>
          <w:rFonts w:ascii="Book Antiqua" w:hAnsi="Book Antiqua"/>
          <w:b/>
          <w:bCs/>
          <w:sz w:val="20"/>
          <w:szCs w:val="20"/>
          <w:lang w:val="en"/>
        </w:rPr>
      </w:pPr>
      <w:r w:rsidRPr="006810DB">
        <w:rPr>
          <w:rFonts w:ascii="Book Antiqua" w:hAnsi="Book Antiqua"/>
          <w:b/>
          <w:bCs/>
          <w:sz w:val="20"/>
          <w:szCs w:val="20"/>
          <w:lang w:val="en"/>
        </w:rPr>
        <w:lastRenderedPageBreak/>
        <w:t xml:space="preserve">POTENSI TERAPEUTIK </w:t>
      </w:r>
      <w:r w:rsidR="00564DC0" w:rsidRPr="006810DB">
        <w:rPr>
          <w:rFonts w:ascii="Book Antiqua" w:hAnsi="Book Antiqua"/>
          <w:b/>
          <w:bCs/>
          <w:i/>
          <w:iCs/>
          <w:sz w:val="20"/>
          <w:szCs w:val="20"/>
          <w:lang w:val="en"/>
        </w:rPr>
        <w:t>Nigella sativa</w:t>
      </w:r>
      <w:r w:rsidR="00564DC0" w:rsidRPr="006810DB">
        <w:rPr>
          <w:rFonts w:ascii="Book Antiqua" w:hAnsi="Book Antiqua"/>
          <w:b/>
          <w:bCs/>
          <w:sz w:val="20"/>
          <w:szCs w:val="20"/>
          <w:lang w:val="en"/>
        </w:rPr>
        <w:t xml:space="preserve"> </w:t>
      </w:r>
      <w:r w:rsidR="00056B27">
        <w:rPr>
          <w:rFonts w:ascii="Book Antiqua" w:hAnsi="Book Antiqua"/>
          <w:b/>
          <w:bCs/>
          <w:sz w:val="20"/>
          <w:szCs w:val="20"/>
          <w:lang w:val="en"/>
        </w:rPr>
        <w:br/>
      </w:r>
      <w:r w:rsidRPr="006810DB">
        <w:rPr>
          <w:rFonts w:ascii="Book Antiqua" w:hAnsi="Book Antiqua"/>
          <w:b/>
          <w:bCs/>
          <w:sz w:val="20"/>
          <w:szCs w:val="20"/>
          <w:lang w:val="en"/>
        </w:rPr>
        <w:t>TERHADAP MUKOSITIS ORAL AKIBAT KEMOTERAPI CISPLATIN:</w:t>
      </w:r>
    </w:p>
    <w:p w14:paraId="06D927F5" w14:textId="53A3CEB1" w:rsidR="002F2497" w:rsidRPr="006810DB" w:rsidRDefault="002F2497" w:rsidP="006810DB">
      <w:pPr>
        <w:tabs>
          <w:tab w:val="left" w:pos="1701"/>
        </w:tabs>
        <w:spacing w:after="0" w:line="276" w:lineRule="auto"/>
        <w:jc w:val="center"/>
        <w:rPr>
          <w:rFonts w:ascii="Book Antiqua" w:hAnsi="Book Antiqua"/>
          <w:b/>
          <w:bCs/>
          <w:sz w:val="20"/>
          <w:szCs w:val="20"/>
          <w:lang w:val="en"/>
        </w:rPr>
      </w:pPr>
      <w:r w:rsidRPr="006810DB">
        <w:rPr>
          <w:rFonts w:ascii="Book Antiqua" w:hAnsi="Book Antiqua"/>
          <w:b/>
          <w:bCs/>
          <w:sz w:val="20"/>
          <w:szCs w:val="20"/>
          <w:lang w:val="en"/>
        </w:rPr>
        <w:t xml:space="preserve">Dari Standarisasi Fisikokimia </w:t>
      </w:r>
      <w:r w:rsidR="00564DC0" w:rsidRPr="006810DB">
        <w:rPr>
          <w:rFonts w:ascii="Book Antiqua" w:hAnsi="Book Antiqua"/>
          <w:b/>
          <w:bCs/>
          <w:sz w:val="20"/>
          <w:szCs w:val="20"/>
          <w:lang w:val="en"/>
        </w:rPr>
        <w:t>hin</w:t>
      </w:r>
      <w:r w:rsidRPr="006810DB">
        <w:rPr>
          <w:rFonts w:ascii="Book Antiqua" w:hAnsi="Book Antiqua"/>
          <w:b/>
          <w:bCs/>
          <w:sz w:val="20"/>
          <w:szCs w:val="20"/>
          <w:lang w:val="en"/>
        </w:rPr>
        <w:t>gga Mekanisme Molekuler</w:t>
      </w:r>
    </w:p>
    <w:p w14:paraId="29CFB1D1" w14:textId="5F3704CB" w:rsidR="00F01945" w:rsidRPr="006810DB" w:rsidRDefault="00F01945" w:rsidP="006810DB">
      <w:pPr>
        <w:tabs>
          <w:tab w:val="left" w:pos="1701"/>
        </w:tabs>
        <w:spacing w:after="0" w:line="276" w:lineRule="auto"/>
        <w:rPr>
          <w:rFonts w:ascii="Book Antiqua" w:eastAsia="Adobe Song Std L" w:hAnsi="Book Antiqua" w:cs="Arial"/>
          <w:bCs/>
          <w:sz w:val="20"/>
          <w:szCs w:val="20"/>
          <w:lang w:val="en-US" w:eastAsia="en-GB"/>
        </w:rPr>
      </w:pPr>
    </w:p>
    <w:bookmarkEnd w:id="3"/>
    <w:bookmarkEnd w:id="4"/>
    <w:bookmarkEnd w:id="5"/>
    <w:p w14:paraId="634189A5" w14:textId="37909A7B" w:rsidR="00FE05D0" w:rsidRPr="006810DB" w:rsidRDefault="00071FE2" w:rsidP="006810DB">
      <w:pPr>
        <w:tabs>
          <w:tab w:val="left" w:pos="1560"/>
          <w:tab w:val="left" w:pos="1701"/>
        </w:tabs>
        <w:spacing w:after="0" w:line="276" w:lineRule="auto"/>
        <w:ind w:left="1701" w:right="-1" w:hanging="1701"/>
        <w:jc w:val="both"/>
        <w:rPr>
          <w:rFonts w:ascii="Book Antiqua" w:hAnsi="Book Antiqua"/>
          <w:sz w:val="20"/>
          <w:lang w:val="en-IN"/>
        </w:rPr>
      </w:pPr>
      <w:r w:rsidRPr="006810DB">
        <w:rPr>
          <w:rFonts w:ascii="Book Antiqua" w:hAnsi="Book Antiqua"/>
          <w:b/>
          <w:sz w:val="20"/>
        </w:rPr>
        <w:t xml:space="preserve">Penulis </w:t>
      </w:r>
      <w:r w:rsidRPr="006810DB">
        <w:rPr>
          <w:rFonts w:ascii="Book Antiqua" w:hAnsi="Book Antiqua"/>
          <w:b/>
          <w:sz w:val="20"/>
        </w:rPr>
        <w:tab/>
      </w:r>
      <w:r w:rsidRPr="006810DB">
        <w:rPr>
          <w:rFonts w:ascii="Book Antiqua" w:hAnsi="Book Antiqua"/>
          <w:sz w:val="20"/>
        </w:rPr>
        <w:t>:</w:t>
      </w:r>
      <w:r w:rsidRPr="006810DB">
        <w:rPr>
          <w:rFonts w:ascii="Book Antiqua" w:hAnsi="Book Antiqua"/>
          <w:b/>
          <w:sz w:val="20"/>
        </w:rPr>
        <w:tab/>
      </w:r>
      <w:r w:rsidR="002F2497" w:rsidRPr="006810DB">
        <w:rPr>
          <w:rFonts w:ascii="Book Antiqua" w:hAnsi="Book Antiqua"/>
          <w:sz w:val="20"/>
          <w:lang w:val="en-IN"/>
        </w:rPr>
        <w:t>Dr. dr. Oke Kadarullah, Sp.THT-BKL, Subsp.Onk (K), FICS</w:t>
      </w:r>
    </w:p>
    <w:p w14:paraId="7DFE33AA" w14:textId="77777777" w:rsidR="00FE05D0" w:rsidRPr="006810DB" w:rsidRDefault="00FE05D0" w:rsidP="006810DB">
      <w:pPr>
        <w:tabs>
          <w:tab w:val="left" w:pos="1560"/>
          <w:tab w:val="left" w:pos="1701"/>
        </w:tabs>
        <w:spacing w:after="0" w:line="276" w:lineRule="auto"/>
        <w:ind w:left="1701" w:right="-1" w:hanging="1701"/>
        <w:rPr>
          <w:rFonts w:ascii="Book Antiqua" w:hAnsi="Book Antiqua"/>
          <w:bCs/>
          <w:sz w:val="20"/>
          <w:lang w:val="en-US"/>
        </w:rPr>
      </w:pPr>
    </w:p>
    <w:p w14:paraId="0FCCDDF2" w14:textId="58CCD3CF" w:rsidR="00071FE2" w:rsidRPr="006810DB" w:rsidRDefault="00071FE2" w:rsidP="006810DB">
      <w:pPr>
        <w:tabs>
          <w:tab w:val="left" w:pos="1560"/>
          <w:tab w:val="left" w:pos="1701"/>
        </w:tabs>
        <w:spacing w:after="0" w:line="276" w:lineRule="auto"/>
        <w:ind w:left="1701" w:right="-1" w:hanging="1701"/>
        <w:rPr>
          <w:rFonts w:ascii="Book Antiqua" w:hAnsi="Book Antiqua"/>
          <w:bCs/>
          <w:sz w:val="20"/>
          <w:lang w:val="en-US"/>
        </w:rPr>
      </w:pPr>
      <w:r w:rsidRPr="006810DB">
        <w:rPr>
          <w:rFonts w:ascii="Book Antiqua" w:hAnsi="Book Antiqua"/>
          <w:b/>
          <w:sz w:val="20"/>
        </w:rPr>
        <w:t>Desain Sampul</w:t>
      </w:r>
      <w:r w:rsidRPr="006810DB">
        <w:rPr>
          <w:rFonts w:ascii="Book Antiqua" w:hAnsi="Book Antiqua"/>
          <w:b/>
          <w:sz w:val="20"/>
        </w:rPr>
        <w:tab/>
      </w:r>
      <w:r w:rsidRPr="006810DB">
        <w:rPr>
          <w:rFonts w:ascii="Book Antiqua" w:hAnsi="Book Antiqua"/>
          <w:sz w:val="20"/>
        </w:rPr>
        <w:t>:</w:t>
      </w:r>
      <w:r w:rsidR="002C7542" w:rsidRPr="006810DB">
        <w:rPr>
          <w:rFonts w:ascii="Book Antiqua" w:hAnsi="Book Antiqua"/>
          <w:bCs/>
          <w:sz w:val="20"/>
        </w:rPr>
        <w:tab/>
      </w:r>
      <w:r w:rsidR="00E6160C" w:rsidRPr="006810DB">
        <w:rPr>
          <w:rFonts w:ascii="Book Antiqua" w:hAnsi="Book Antiqua"/>
          <w:bCs/>
          <w:sz w:val="20"/>
          <w:lang w:val="en-US"/>
        </w:rPr>
        <w:t>Eri Setiawan</w:t>
      </w:r>
    </w:p>
    <w:p w14:paraId="3EAF58B5" w14:textId="77777777" w:rsidR="002C7542" w:rsidRPr="006810DB" w:rsidRDefault="002C7542" w:rsidP="006810DB">
      <w:pPr>
        <w:tabs>
          <w:tab w:val="left" w:pos="1560"/>
          <w:tab w:val="left" w:pos="1701"/>
        </w:tabs>
        <w:spacing w:after="0" w:line="276" w:lineRule="auto"/>
        <w:ind w:left="1701" w:right="-1" w:hanging="1701"/>
        <w:rPr>
          <w:rFonts w:ascii="Book Antiqua" w:hAnsi="Book Antiqua"/>
          <w:b/>
          <w:sz w:val="20"/>
        </w:rPr>
      </w:pPr>
    </w:p>
    <w:p w14:paraId="4CCE1443" w14:textId="688B2FA2" w:rsidR="00071FE2" w:rsidRPr="006810DB" w:rsidRDefault="00071FE2" w:rsidP="006810DB">
      <w:pPr>
        <w:tabs>
          <w:tab w:val="left" w:pos="1560"/>
          <w:tab w:val="left" w:pos="1701"/>
        </w:tabs>
        <w:spacing w:after="0" w:line="276" w:lineRule="auto"/>
        <w:ind w:left="1701" w:right="-1" w:hanging="1701"/>
        <w:rPr>
          <w:rFonts w:ascii="Book Antiqua" w:hAnsi="Book Antiqua"/>
          <w:bCs/>
          <w:sz w:val="20"/>
          <w:lang w:val="en-IN"/>
        </w:rPr>
      </w:pPr>
      <w:r w:rsidRPr="006810DB">
        <w:rPr>
          <w:rFonts w:ascii="Book Antiqua" w:hAnsi="Book Antiqua"/>
          <w:b/>
          <w:sz w:val="20"/>
        </w:rPr>
        <w:t>Tata Letak</w:t>
      </w:r>
      <w:r w:rsidRPr="006810DB">
        <w:rPr>
          <w:rFonts w:ascii="Book Antiqua" w:hAnsi="Book Antiqua"/>
          <w:b/>
          <w:sz w:val="20"/>
        </w:rPr>
        <w:tab/>
      </w:r>
      <w:r w:rsidRPr="006810DB">
        <w:rPr>
          <w:rFonts w:ascii="Book Antiqua" w:hAnsi="Book Antiqua"/>
          <w:sz w:val="20"/>
        </w:rPr>
        <w:t>:</w:t>
      </w:r>
      <w:r w:rsidRPr="006810DB">
        <w:rPr>
          <w:rFonts w:ascii="Book Antiqua" w:hAnsi="Book Antiqua"/>
          <w:b/>
          <w:sz w:val="20"/>
        </w:rPr>
        <w:tab/>
      </w:r>
      <w:r w:rsidR="004A48F8" w:rsidRPr="006810DB">
        <w:rPr>
          <w:rFonts w:ascii="Book Antiqua" w:hAnsi="Book Antiqua"/>
          <w:sz w:val="20"/>
          <w:lang w:val="en-IN"/>
        </w:rPr>
        <w:t>Riska Apriliani</w:t>
      </w:r>
    </w:p>
    <w:p w14:paraId="275C6CE8" w14:textId="77777777" w:rsidR="002C7542" w:rsidRPr="006810DB" w:rsidRDefault="002C7542" w:rsidP="006810DB">
      <w:pPr>
        <w:tabs>
          <w:tab w:val="left" w:pos="1560"/>
          <w:tab w:val="left" w:pos="1701"/>
        </w:tabs>
        <w:spacing w:after="0" w:line="276" w:lineRule="auto"/>
        <w:ind w:left="1701" w:right="-1" w:hanging="1701"/>
        <w:rPr>
          <w:rFonts w:ascii="Book Antiqua" w:hAnsi="Book Antiqua"/>
          <w:b/>
          <w:sz w:val="20"/>
        </w:rPr>
      </w:pPr>
    </w:p>
    <w:p w14:paraId="18EC3FA2" w14:textId="0CB56E7D" w:rsidR="00071FE2" w:rsidRPr="006810DB" w:rsidRDefault="00071FE2" w:rsidP="006810DB">
      <w:pPr>
        <w:tabs>
          <w:tab w:val="left" w:pos="1560"/>
          <w:tab w:val="left" w:pos="1701"/>
        </w:tabs>
        <w:spacing w:after="0" w:line="276" w:lineRule="auto"/>
        <w:ind w:left="1701" w:right="-1" w:hanging="1701"/>
        <w:rPr>
          <w:rFonts w:ascii="Book Antiqua" w:hAnsi="Book Antiqua"/>
          <w:b/>
          <w:sz w:val="20"/>
        </w:rPr>
      </w:pPr>
      <w:r w:rsidRPr="006810DB">
        <w:rPr>
          <w:rFonts w:ascii="Book Antiqua" w:hAnsi="Book Antiqua"/>
          <w:b/>
          <w:sz w:val="20"/>
        </w:rPr>
        <w:t xml:space="preserve">ISBN </w:t>
      </w:r>
      <w:r w:rsidRPr="006810DB">
        <w:rPr>
          <w:rFonts w:ascii="Book Antiqua" w:hAnsi="Book Antiqua"/>
          <w:b/>
          <w:sz w:val="20"/>
        </w:rPr>
        <w:tab/>
      </w:r>
      <w:r w:rsidRPr="006810DB">
        <w:rPr>
          <w:rFonts w:ascii="Book Antiqua" w:hAnsi="Book Antiqua"/>
          <w:sz w:val="20"/>
        </w:rPr>
        <w:t>:</w:t>
      </w:r>
      <w:r w:rsidRPr="006810DB">
        <w:rPr>
          <w:rFonts w:ascii="Book Antiqua" w:hAnsi="Book Antiqua"/>
          <w:b/>
          <w:sz w:val="20"/>
        </w:rPr>
        <w:t xml:space="preserve"> </w:t>
      </w:r>
    </w:p>
    <w:p w14:paraId="3A51F5E8" w14:textId="77777777" w:rsidR="00071FE2" w:rsidRPr="006810DB" w:rsidRDefault="00071FE2" w:rsidP="006810DB">
      <w:pPr>
        <w:tabs>
          <w:tab w:val="left" w:pos="1560"/>
          <w:tab w:val="left" w:pos="1701"/>
        </w:tabs>
        <w:spacing w:after="0" w:line="276" w:lineRule="auto"/>
        <w:ind w:left="1701" w:right="-1" w:hanging="1701"/>
        <w:rPr>
          <w:rFonts w:ascii="Book Antiqua" w:hAnsi="Book Antiqua"/>
          <w:b/>
          <w:sz w:val="20"/>
        </w:rPr>
      </w:pPr>
    </w:p>
    <w:p w14:paraId="755386C4" w14:textId="66671326" w:rsidR="00071FE2" w:rsidRPr="006810DB" w:rsidRDefault="00EF7140" w:rsidP="006810DB">
      <w:pPr>
        <w:tabs>
          <w:tab w:val="left" w:pos="1560"/>
          <w:tab w:val="left" w:pos="1701"/>
        </w:tabs>
        <w:spacing w:after="0" w:line="276" w:lineRule="auto"/>
        <w:ind w:left="1701" w:right="-1" w:hanging="1701"/>
        <w:rPr>
          <w:rFonts w:ascii="Book Antiqua" w:hAnsi="Book Antiqua"/>
          <w:b/>
          <w:sz w:val="20"/>
          <w:lang w:val="en-US"/>
        </w:rPr>
      </w:pPr>
      <w:r w:rsidRPr="006810DB">
        <w:rPr>
          <w:rFonts w:ascii="Book Antiqua" w:hAnsi="Book Antiqua"/>
          <w:sz w:val="20"/>
        </w:rPr>
        <w:t>Diterbitkan oleh</w:t>
      </w:r>
      <w:r w:rsidRPr="006810DB">
        <w:rPr>
          <w:rFonts w:ascii="Book Antiqua" w:hAnsi="Book Antiqua"/>
          <w:sz w:val="20"/>
        </w:rPr>
        <w:tab/>
      </w:r>
      <w:r w:rsidR="00D02994" w:rsidRPr="006810DB">
        <w:rPr>
          <w:rFonts w:ascii="Book Antiqua" w:hAnsi="Book Antiqua"/>
          <w:sz w:val="20"/>
        </w:rPr>
        <w:t>:</w:t>
      </w:r>
      <w:r w:rsidR="00D02994" w:rsidRPr="006810DB">
        <w:rPr>
          <w:rFonts w:ascii="Book Antiqua" w:hAnsi="Book Antiqua"/>
          <w:sz w:val="20"/>
        </w:rPr>
        <w:tab/>
      </w:r>
      <w:r w:rsidR="00071FE2" w:rsidRPr="006810DB">
        <w:rPr>
          <w:rFonts w:ascii="Book Antiqua" w:hAnsi="Book Antiqua"/>
          <w:b/>
          <w:sz w:val="20"/>
        </w:rPr>
        <w:t xml:space="preserve">EUREKA MEDIA AKSARA, </w:t>
      </w:r>
      <w:r w:rsidR="002F2497" w:rsidRPr="006810DB">
        <w:rPr>
          <w:rFonts w:ascii="Book Antiqua" w:hAnsi="Book Antiqua"/>
          <w:b/>
          <w:sz w:val="20"/>
          <w:lang w:val="en-IN"/>
        </w:rPr>
        <w:t xml:space="preserve">FEBRUARI </w:t>
      </w:r>
      <w:r w:rsidR="004A48F8" w:rsidRPr="006810DB">
        <w:rPr>
          <w:rFonts w:ascii="Book Antiqua" w:hAnsi="Book Antiqua"/>
          <w:b/>
          <w:sz w:val="20"/>
        </w:rPr>
        <w:t>202</w:t>
      </w:r>
      <w:r w:rsidR="002F2497" w:rsidRPr="006810DB">
        <w:rPr>
          <w:rFonts w:ascii="Book Antiqua" w:hAnsi="Book Antiqua"/>
          <w:b/>
          <w:sz w:val="20"/>
          <w:lang w:val="en-US"/>
        </w:rPr>
        <w:t>6</w:t>
      </w:r>
    </w:p>
    <w:p w14:paraId="206603F7" w14:textId="3F34E7B9" w:rsidR="00071FE2" w:rsidRPr="006810DB" w:rsidRDefault="00071FE2" w:rsidP="006810DB">
      <w:pPr>
        <w:tabs>
          <w:tab w:val="left" w:pos="1560"/>
          <w:tab w:val="left" w:pos="1701"/>
        </w:tabs>
        <w:spacing w:after="0" w:line="276" w:lineRule="auto"/>
        <w:ind w:left="1701" w:right="-1" w:hanging="1701"/>
        <w:rPr>
          <w:rFonts w:ascii="Book Antiqua" w:hAnsi="Book Antiqua"/>
          <w:b/>
          <w:sz w:val="20"/>
        </w:rPr>
      </w:pPr>
      <w:r w:rsidRPr="006810DB">
        <w:rPr>
          <w:rFonts w:ascii="Book Antiqua" w:hAnsi="Book Antiqua"/>
          <w:b/>
          <w:sz w:val="20"/>
        </w:rPr>
        <w:tab/>
      </w:r>
      <w:r w:rsidR="00D02994" w:rsidRPr="006810DB">
        <w:rPr>
          <w:rFonts w:ascii="Book Antiqua" w:hAnsi="Book Antiqua"/>
          <w:b/>
          <w:sz w:val="20"/>
        </w:rPr>
        <w:tab/>
      </w:r>
      <w:r w:rsidRPr="006810DB">
        <w:rPr>
          <w:rFonts w:ascii="Book Antiqua" w:hAnsi="Book Antiqua"/>
          <w:b/>
          <w:sz w:val="20"/>
        </w:rPr>
        <w:t>ANGGOTA IKAPI JAWA TENGAH</w:t>
      </w:r>
    </w:p>
    <w:p w14:paraId="04B2F0D4" w14:textId="70E6318F" w:rsidR="00071FE2" w:rsidRPr="006810DB" w:rsidRDefault="00D02994" w:rsidP="006810DB">
      <w:pPr>
        <w:tabs>
          <w:tab w:val="left" w:pos="1560"/>
          <w:tab w:val="left" w:pos="1701"/>
        </w:tabs>
        <w:spacing w:after="0" w:line="276" w:lineRule="auto"/>
        <w:ind w:left="1701" w:right="-1" w:hanging="141"/>
        <w:rPr>
          <w:rFonts w:ascii="Book Antiqua" w:hAnsi="Book Antiqua"/>
          <w:b/>
          <w:sz w:val="20"/>
        </w:rPr>
      </w:pPr>
      <w:r w:rsidRPr="006810DB">
        <w:rPr>
          <w:rFonts w:ascii="Book Antiqua" w:hAnsi="Book Antiqua"/>
          <w:b/>
          <w:sz w:val="20"/>
        </w:rPr>
        <w:tab/>
      </w:r>
      <w:r w:rsidR="003A0852" w:rsidRPr="006810DB">
        <w:rPr>
          <w:rFonts w:ascii="Book Antiqua" w:hAnsi="Book Antiqua"/>
          <w:b/>
          <w:sz w:val="20"/>
        </w:rPr>
        <w:t>NO. 225/JTE/2021</w:t>
      </w:r>
    </w:p>
    <w:p w14:paraId="5FCD9D2D" w14:textId="77777777" w:rsidR="00071FE2" w:rsidRPr="006810DB" w:rsidRDefault="00071FE2" w:rsidP="006810DB">
      <w:pPr>
        <w:tabs>
          <w:tab w:val="left" w:pos="1560"/>
          <w:tab w:val="left" w:pos="1701"/>
        </w:tabs>
        <w:spacing w:after="0" w:line="276" w:lineRule="auto"/>
        <w:ind w:left="1701" w:right="-1" w:hanging="1701"/>
        <w:rPr>
          <w:rFonts w:ascii="Book Antiqua" w:hAnsi="Book Antiqua"/>
          <w:b/>
          <w:sz w:val="20"/>
        </w:rPr>
      </w:pPr>
    </w:p>
    <w:p w14:paraId="6E13AEF9" w14:textId="77777777" w:rsidR="00071FE2" w:rsidRPr="006810DB" w:rsidRDefault="00071FE2" w:rsidP="006810DB">
      <w:pPr>
        <w:tabs>
          <w:tab w:val="left" w:pos="1560"/>
          <w:tab w:val="left" w:pos="1701"/>
        </w:tabs>
        <w:spacing w:after="0" w:line="276" w:lineRule="auto"/>
        <w:ind w:left="1701" w:right="-1" w:hanging="1701"/>
        <w:rPr>
          <w:rFonts w:ascii="Book Antiqua" w:hAnsi="Book Antiqua"/>
          <w:b/>
          <w:sz w:val="20"/>
        </w:rPr>
      </w:pPr>
      <w:r w:rsidRPr="006810DB">
        <w:rPr>
          <w:rFonts w:ascii="Book Antiqua" w:hAnsi="Book Antiqua"/>
          <w:b/>
          <w:sz w:val="20"/>
        </w:rPr>
        <w:t>Redaksi:</w:t>
      </w:r>
    </w:p>
    <w:p w14:paraId="36AAA798" w14:textId="016BEB78" w:rsidR="00071FE2" w:rsidRPr="006810DB" w:rsidRDefault="00071FE2" w:rsidP="006810DB">
      <w:pPr>
        <w:tabs>
          <w:tab w:val="left" w:pos="993"/>
        </w:tabs>
        <w:spacing w:after="0" w:line="276" w:lineRule="auto"/>
        <w:ind w:right="-1"/>
        <w:rPr>
          <w:rFonts w:ascii="Book Antiqua" w:hAnsi="Book Antiqua"/>
          <w:sz w:val="20"/>
        </w:rPr>
      </w:pPr>
      <w:r w:rsidRPr="006810DB">
        <w:rPr>
          <w:rFonts w:ascii="Book Antiqua" w:hAnsi="Book Antiqua"/>
          <w:sz w:val="20"/>
        </w:rPr>
        <w:t>Jalan Banjaran, Desa Banjaran R</w:t>
      </w:r>
      <w:r w:rsidR="00D02994" w:rsidRPr="006810DB">
        <w:rPr>
          <w:rFonts w:ascii="Book Antiqua" w:hAnsi="Book Antiqua"/>
          <w:sz w:val="20"/>
        </w:rPr>
        <w:t xml:space="preserve">T 20 RW 10 Kecamatan Bojongsari </w:t>
      </w:r>
      <w:r w:rsidRPr="006810DB">
        <w:rPr>
          <w:rFonts w:ascii="Book Antiqua" w:hAnsi="Book Antiqua"/>
          <w:sz w:val="20"/>
        </w:rPr>
        <w:t>Kabupaten Purbalingga Telp. 0858-5343-1992</w:t>
      </w:r>
    </w:p>
    <w:p w14:paraId="425CD690" w14:textId="23FE0314" w:rsidR="00071FE2" w:rsidRPr="006810DB" w:rsidRDefault="00071FE2" w:rsidP="006810DB">
      <w:pPr>
        <w:tabs>
          <w:tab w:val="left" w:pos="1560"/>
          <w:tab w:val="left" w:pos="1701"/>
        </w:tabs>
        <w:spacing w:after="0" w:line="276" w:lineRule="auto"/>
        <w:ind w:left="1701" w:right="-1" w:hanging="1701"/>
        <w:rPr>
          <w:rFonts w:ascii="Book Antiqua" w:hAnsi="Book Antiqua"/>
          <w:sz w:val="20"/>
        </w:rPr>
      </w:pPr>
      <w:r w:rsidRPr="006810DB">
        <w:rPr>
          <w:rFonts w:ascii="Book Antiqua" w:hAnsi="Book Antiqua"/>
          <w:sz w:val="20"/>
        </w:rPr>
        <w:t>Surel</w:t>
      </w:r>
      <w:r w:rsidR="00564DC0" w:rsidRPr="006810DB">
        <w:rPr>
          <w:rFonts w:ascii="Book Antiqua" w:hAnsi="Book Antiqua"/>
          <w:sz w:val="20"/>
        </w:rPr>
        <w:t>:</w:t>
      </w:r>
      <w:r w:rsidRPr="006810DB">
        <w:rPr>
          <w:rFonts w:ascii="Book Antiqua" w:hAnsi="Book Antiqua"/>
          <w:sz w:val="20"/>
        </w:rPr>
        <w:t xml:space="preserve"> eurekamediaaksara@gmail.com</w:t>
      </w:r>
    </w:p>
    <w:p w14:paraId="7EA025A1" w14:textId="4FF56165" w:rsidR="00071FE2" w:rsidRPr="006810DB" w:rsidRDefault="00452CF0" w:rsidP="006810DB">
      <w:pPr>
        <w:tabs>
          <w:tab w:val="left" w:pos="1560"/>
          <w:tab w:val="left" w:pos="1701"/>
        </w:tabs>
        <w:spacing w:after="0" w:line="276" w:lineRule="auto"/>
        <w:ind w:left="1701" w:right="-1" w:hanging="1701"/>
        <w:rPr>
          <w:rFonts w:ascii="Book Antiqua" w:hAnsi="Book Antiqua"/>
          <w:sz w:val="20"/>
          <w:lang w:val="en-US"/>
        </w:rPr>
      </w:pPr>
      <w:r w:rsidRPr="006810DB">
        <w:rPr>
          <w:rFonts w:ascii="Book Antiqua" w:hAnsi="Book Antiqua"/>
          <w:sz w:val="20"/>
        </w:rPr>
        <w:t>Cetakan Pertama</w:t>
      </w:r>
      <w:r w:rsidR="00564DC0" w:rsidRPr="006810DB">
        <w:rPr>
          <w:rFonts w:ascii="Book Antiqua" w:hAnsi="Book Antiqua"/>
          <w:sz w:val="20"/>
        </w:rPr>
        <w:t>:</w:t>
      </w:r>
      <w:r w:rsidRPr="006810DB">
        <w:rPr>
          <w:rFonts w:ascii="Book Antiqua" w:hAnsi="Book Antiqua"/>
          <w:sz w:val="20"/>
        </w:rPr>
        <w:t xml:space="preserve"> 202</w:t>
      </w:r>
      <w:r w:rsidR="002F2497" w:rsidRPr="006810DB">
        <w:rPr>
          <w:rFonts w:ascii="Book Antiqua" w:hAnsi="Book Antiqua"/>
          <w:sz w:val="20"/>
          <w:lang w:val="en-US"/>
        </w:rPr>
        <w:t>6</w:t>
      </w:r>
    </w:p>
    <w:p w14:paraId="14814014" w14:textId="32A0CFF9" w:rsidR="00462AD1" w:rsidRPr="006810DB" w:rsidRDefault="00462AD1" w:rsidP="006810DB">
      <w:pPr>
        <w:tabs>
          <w:tab w:val="left" w:pos="1560"/>
          <w:tab w:val="left" w:pos="1701"/>
        </w:tabs>
        <w:spacing w:after="0" w:line="276" w:lineRule="auto"/>
        <w:ind w:right="-1"/>
        <w:rPr>
          <w:rFonts w:ascii="Book Antiqua" w:hAnsi="Book Antiqua"/>
          <w:sz w:val="20"/>
        </w:rPr>
      </w:pPr>
    </w:p>
    <w:p w14:paraId="5E5750B5" w14:textId="3A54CC05" w:rsidR="00006F7D" w:rsidRPr="006810DB" w:rsidRDefault="00006F7D" w:rsidP="006810DB">
      <w:pPr>
        <w:tabs>
          <w:tab w:val="left" w:pos="1560"/>
          <w:tab w:val="left" w:pos="1701"/>
        </w:tabs>
        <w:spacing w:after="0" w:line="276" w:lineRule="auto"/>
        <w:ind w:right="-1"/>
        <w:rPr>
          <w:rFonts w:ascii="Book Antiqua" w:hAnsi="Book Antiqua"/>
          <w:sz w:val="20"/>
        </w:rPr>
      </w:pPr>
    </w:p>
    <w:p w14:paraId="6223B7C0" w14:textId="1C9BCD90" w:rsidR="00006F7D" w:rsidRPr="006810DB" w:rsidRDefault="00006F7D" w:rsidP="006810DB">
      <w:pPr>
        <w:tabs>
          <w:tab w:val="left" w:pos="1560"/>
          <w:tab w:val="left" w:pos="1701"/>
        </w:tabs>
        <w:spacing w:after="0" w:line="276" w:lineRule="auto"/>
        <w:ind w:right="-1"/>
        <w:rPr>
          <w:rFonts w:ascii="Book Antiqua" w:hAnsi="Book Antiqua"/>
          <w:sz w:val="20"/>
        </w:rPr>
      </w:pPr>
    </w:p>
    <w:p w14:paraId="2029C330" w14:textId="422AC768" w:rsidR="00006F7D" w:rsidRPr="006810DB" w:rsidRDefault="00006F7D" w:rsidP="006810DB">
      <w:pPr>
        <w:tabs>
          <w:tab w:val="left" w:pos="1560"/>
          <w:tab w:val="left" w:pos="1701"/>
        </w:tabs>
        <w:spacing w:after="0" w:line="276" w:lineRule="auto"/>
        <w:ind w:right="-1"/>
        <w:rPr>
          <w:rFonts w:ascii="Book Antiqua" w:hAnsi="Book Antiqua"/>
          <w:sz w:val="20"/>
        </w:rPr>
      </w:pPr>
    </w:p>
    <w:p w14:paraId="6AAFDAC9" w14:textId="0B946DF1" w:rsidR="00006F7D" w:rsidRPr="006810DB" w:rsidRDefault="00006F7D" w:rsidP="006810DB">
      <w:pPr>
        <w:tabs>
          <w:tab w:val="left" w:pos="1560"/>
          <w:tab w:val="left" w:pos="1701"/>
        </w:tabs>
        <w:spacing w:after="0" w:line="276" w:lineRule="auto"/>
        <w:ind w:right="-1"/>
        <w:rPr>
          <w:rFonts w:ascii="Book Antiqua" w:hAnsi="Book Antiqua"/>
          <w:sz w:val="20"/>
        </w:rPr>
      </w:pPr>
    </w:p>
    <w:p w14:paraId="419FAA23" w14:textId="46867A2E" w:rsidR="001F6964" w:rsidRPr="006810DB" w:rsidRDefault="00071FE2" w:rsidP="006810DB">
      <w:pPr>
        <w:tabs>
          <w:tab w:val="left" w:pos="1560"/>
          <w:tab w:val="left" w:pos="1701"/>
        </w:tabs>
        <w:spacing w:after="0" w:line="276" w:lineRule="auto"/>
        <w:ind w:left="1701" w:right="-1" w:hanging="1701"/>
        <w:rPr>
          <w:rFonts w:ascii="Book Antiqua" w:hAnsi="Book Antiqua"/>
          <w:b/>
          <w:sz w:val="20"/>
        </w:rPr>
      </w:pPr>
      <w:r w:rsidRPr="006810DB">
        <w:rPr>
          <w:rFonts w:ascii="Book Antiqua" w:hAnsi="Book Antiqua"/>
          <w:b/>
          <w:sz w:val="20"/>
        </w:rPr>
        <w:t>All right reserved</w:t>
      </w:r>
    </w:p>
    <w:p w14:paraId="76C1DD9D" w14:textId="0487A73B" w:rsidR="002F2497" w:rsidRDefault="002F2497" w:rsidP="006810DB">
      <w:pPr>
        <w:tabs>
          <w:tab w:val="left" w:pos="1560"/>
          <w:tab w:val="left" w:pos="1701"/>
        </w:tabs>
        <w:spacing w:after="0" w:line="276" w:lineRule="auto"/>
        <w:ind w:left="1701" w:right="-1" w:hanging="1701"/>
        <w:rPr>
          <w:rFonts w:ascii="Book Antiqua" w:hAnsi="Book Antiqua"/>
          <w:b/>
          <w:sz w:val="20"/>
        </w:rPr>
      </w:pPr>
    </w:p>
    <w:p w14:paraId="63273934" w14:textId="77777777" w:rsidR="00056B27" w:rsidRPr="006810DB" w:rsidRDefault="00056B27" w:rsidP="006810DB">
      <w:pPr>
        <w:tabs>
          <w:tab w:val="left" w:pos="1560"/>
          <w:tab w:val="left" w:pos="1701"/>
        </w:tabs>
        <w:spacing w:after="0" w:line="276" w:lineRule="auto"/>
        <w:ind w:left="1701" w:right="-1" w:hanging="1701"/>
        <w:rPr>
          <w:rFonts w:ascii="Book Antiqua" w:hAnsi="Book Antiqua"/>
          <w:b/>
          <w:sz w:val="20"/>
        </w:rPr>
      </w:pPr>
    </w:p>
    <w:p w14:paraId="2274608D" w14:textId="77777777" w:rsidR="002F2497" w:rsidRPr="006810DB" w:rsidRDefault="002F2497" w:rsidP="006810DB">
      <w:pPr>
        <w:tabs>
          <w:tab w:val="left" w:pos="1560"/>
          <w:tab w:val="left" w:pos="1701"/>
        </w:tabs>
        <w:spacing w:after="0" w:line="276" w:lineRule="auto"/>
        <w:ind w:left="1701" w:right="-1" w:hanging="1701"/>
        <w:rPr>
          <w:rFonts w:ascii="Book Antiqua" w:hAnsi="Book Antiqua"/>
          <w:b/>
          <w:sz w:val="20"/>
        </w:rPr>
      </w:pPr>
    </w:p>
    <w:p w14:paraId="43465434" w14:textId="77777777" w:rsidR="00071FE2" w:rsidRPr="006810DB" w:rsidRDefault="00071FE2" w:rsidP="006810DB">
      <w:pPr>
        <w:tabs>
          <w:tab w:val="left" w:pos="1985"/>
        </w:tabs>
        <w:spacing w:after="0" w:line="276" w:lineRule="auto"/>
        <w:ind w:right="-1"/>
        <w:rPr>
          <w:rFonts w:ascii="Book Antiqua" w:hAnsi="Book Antiqua"/>
          <w:sz w:val="20"/>
        </w:rPr>
      </w:pPr>
      <w:r w:rsidRPr="006810DB">
        <w:rPr>
          <w:rFonts w:ascii="Book Antiqua" w:hAnsi="Book Antiqua"/>
          <w:sz w:val="20"/>
        </w:rPr>
        <w:t>Hak Cipta dilindungi undang-undang</w:t>
      </w:r>
    </w:p>
    <w:p w14:paraId="2F534C42" w14:textId="72CA77A0" w:rsidR="001F6964" w:rsidRPr="006810DB" w:rsidRDefault="00071FE2" w:rsidP="00056B27">
      <w:pPr>
        <w:spacing w:after="0" w:line="276" w:lineRule="auto"/>
        <w:ind w:right="-1"/>
        <w:jc w:val="both"/>
        <w:rPr>
          <w:rFonts w:ascii="Book Antiqua" w:hAnsi="Book Antiqua"/>
          <w:sz w:val="20"/>
        </w:rPr>
      </w:pPr>
      <w:r w:rsidRPr="006810DB">
        <w:rPr>
          <w:rFonts w:ascii="Book Antiqua" w:hAnsi="Book Antiqua"/>
          <w:sz w:val="20"/>
        </w:rPr>
        <w:t>Dilarang memperbanyak atau memindahkan sebagian atau seluruh isi buku ini dalam bentuk apapun dan dengan cara apapun, termasuk memfotokopi, merekam, atau dengan teknik perekaman lainnya tanpa seizin tertulis dari penerbit.</w:t>
      </w:r>
      <w:bookmarkStart w:id="6" w:name="_Toc83983422"/>
      <w:r w:rsidR="001F6964" w:rsidRPr="006810DB">
        <w:rPr>
          <w:rFonts w:ascii="Book Antiqua" w:hAnsi="Book Antiqua"/>
          <w:sz w:val="20"/>
        </w:rPr>
        <w:br w:type="page"/>
      </w:r>
    </w:p>
    <w:p w14:paraId="3614F4C3" w14:textId="54027CA9" w:rsidR="0091255A" w:rsidRPr="006810DB" w:rsidRDefault="003A554A" w:rsidP="006810DB">
      <w:pPr>
        <w:pStyle w:val="Heading1"/>
        <w:spacing w:before="0" w:line="276" w:lineRule="auto"/>
        <w:jc w:val="center"/>
        <w:rPr>
          <w:rFonts w:cs="Arial"/>
          <w:b/>
          <w:szCs w:val="20"/>
        </w:rPr>
      </w:pPr>
      <w:bookmarkStart w:id="7" w:name="_Toc223088857"/>
      <w:r w:rsidRPr="006810DB">
        <w:rPr>
          <w:rFonts w:cs="Arial"/>
          <w:b/>
          <w:szCs w:val="20"/>
        </w:rPr>
        <w:lastRenderedPageBreak/>
        <w:t xml:space="preserve">KATA </w:t>
      </w:r>
      <w:r w:rsidR="0091255A" w:rsidRPr="006810DB">
        <w:rPr>
          <w:rFonts w:cs="Arial"/>
          <w:b/>
          <w:szCs w:val="20"/>
        </w:rPr>
        <w:t>PENGANTAR</w:t>
      </w:r>
      <w:bookmarkEnd w:id="6"/>
      <w:bookmarkEnd w:id="7"/>
    </w:p>
    <w:p w14:paraId="71DCE150" w14:textId="77777777" w:rsidR="00C11100" w:rsidRPr="006810DB" w:rsidRDefault="00C11100" w:rsidP="006810DB">
      <w:pPr>
        <w:spacing w:after="0" w:line="276" w:lineRule="auto"/>
        <w:jc w:val="both"/>
        <w:rPr>
          <w:rFonts w:ascii="Book Antiqua" w:hAnsi="Book Antiqua"/>
          <w:sz w:val="20"/>
          <w:szCs w:val="20"/>
        </w:rPr>
      </w:pPr>
    </w:p>
    <w:p w14:paraId="21DC5C1D" w14:textId="0DF226F3" w:rsidR="005E68A0" w:rsidRPr="006810DB" w:rsidRDefault="005E68A0" w:rsidP="006810DB">
      <w:pPr>
        <w:spacing w:after="0" w:line="276" w:lineRule="auto"/>
        <w:ind w:firstLine="567"/>
        <w:jc w:val="both"/>
        <w:rPr>
          <w:rFonts w:ascii="Book Antiqua" w:hAnsi="Book Antiqua"/>
          <w:bCs/>
          <w:sz w:val="20"/>
          <w:szCs w:val="20"/>
          <w:lang w:val="fi-FI"/>
        </w:rPr>
      </w:pPr>
      <w:r w:rsidRPr="006810DB">
        <w:rPr>
          <w:rFonts w:ascii="Book Antiqua" w:hAnsi="Book Antiqua"/>
          <w:sz w:val="20"/>
          <w:szCs w:val="20"/>
        </w:rPr>
        <w:t>P</w:t>
      </w:r>
      <w:r w:rsidRPr="006810DB">
        <w:rPr>
          <w:rFonts w:ascii="Book Antiqua" w:hAnsi="Book Antiqua"/>
          <w:bCs/>
          <w:sz w:val="20"/>
          <w:szCs w:val="20"/>
          <w:lang w:val="fi-FI"/>
        </w:rPr>
        <w:t>uji syukur penulis panjatkan kepada Tuhan Yang Maha Esa, karena atas berkat dan rahmat-Nya, penulis dapat menyelesaikan buku ini. Penulisan buku merupakan buah karya dari pemikiran penulis yang diberi judul “</w:t>
      </w:r>
      <w:r w:rsidR="00564DC0" w:rsidRPr="006810DB">
        <w:rPr>
          <w:rFonts w:ascii="Book Antiqua" w:hAnsi="Book Antiqua"/>
          <w:bCs/>
          <w:sz w:val="20"/>
          <w:szCs w:val="20"/>
          <w:lang w:val="fi-FI"/>
        </w:rPr>
        <w:t xml:space="preserve">Potensi Terapeutik </w:t>
      </w:r>
      <w:r w:rsidR="00564DC0" w:rsidRPr="006810DB">
        <w:rPr>
          <w:rFonts w:ascii="Book Antiqua" w:hAnsi="Book Antiqua"/>
          <w:bCs/>
          <w:i/>
          <w:iCs/>
          <w:sz w:val="20"/>
          <w:szCs w:val="20"/>
          <w:lang w:val="fi-FI"/>
        </w:rPr>
        <w:t>Nigella sativa</w:t>
      </w:r>
      <w:r w:rsidR="00564DC0" w:rsidRPr="006810DB">
        <w:rPr>
          <w:rFonts w:ascii="Book Antiqua" w:hAnsi="Book Antiqua"/>
          <w:bCs/>
          <w:sz w:val="20"/>
          <w:szCs w:val="20"/>
          <w:lang w:val="fi-FI"/>
        </w:rPr>
        <w:t xml:space="preserve"> terhadap Mukositis Oral Akibat Kemoterapi Cisplatin: Dari Standarisasi Fisikokimia hingga Mekanisme Molekuler</w:t>
      </w:r>
      <w:r w:rsidRPr="006810DB">
        <w:rPr>
          <w:rFonts w:ascii="Book Antiqua" w:hAnsi="Book Antiqua"/>
          <w:bCs/>
          <w:sz w:val="20"/>
          <w:szCs w:val="20"/>
          <w:lang w:val="fi-FI"/>
        </w:rPr>
        <w:t xml:space="preserve">”. Penulis menyadari bahwa tanpa bantuan dan bimbingan dari berbagai pihak sangatlah sulit bagi penulis untuk menyelesaikan karya ini. Oleh karena itu, penulis mengucapkan banyak terima kasih pada semua pihak yang telah membantu penyusunan buku ini. Sehingga buku ini bisa hadir di hadapan pembaca. </w:t>
      </w:r>
    </w:p>
    <w:p w14:paraId="1DC68580" w14:textId="125CFA01" w:rsidR="005E68A0" w:rsidRPr="006810DB" w:rsidRDefault="005E68A0" w:rsidP="006810DB">
      <w:pPr>
        <w:spacing w:after="0" w:line="276" w:lineRule="auto"/>
        <w:ind w:firstLine="567"/>
        <w:jc w:val="both"/>
        <w:rPr>
          <w:rFonts w:ascii="Book Antiqua" w:hAnsi="Book Antiqua"/>
          <w:bCs/>
          <w:sz w:val="20"/>
          <w:szCs w:val="20"/>
          <w:lang w:val="fi-FI"/>
        </w:rPr>
      </w:pPr>
      <w:r w:rsidRPr="006810DB">
        <w:rPr>
          <w:rFonts w:ascii="Book Antiqua" w:hAnsi="Book Antiqua"/>
          <w:bCs/>
          <w:sz w:val="20"/>
          <w:szCs w:val="20"/>
          <w:lang w:val="fi-FI"/>
        </w:rPr>
        <w:t xml:space="preserve">Buku </w:t>
      </w:r>
      <w:r w:rsidR="000502B7" w:rsidRPr="006810DB">
        <w:rPr>
          <w:rFonts w:ascii="Book Antiqua" w:hAnsi="Book Antiqua"/>
          <w:bCs/>
          <w:sz w:val="20"/>
          <w:szCs w:val="20"/>
          <w:lang w:val="fi-FI"/>
        </w:rPr>
        <w:t xml:space="preserve">Potensi Terapeutik </w:t>
      </w:r>
      <w:r w:rsidR="000502B7" w:rsidRPr="006810DB">
        <w:rPr>
          <w:rFonts w:ascii="Book Antiqua" w:hAnsi="Book Antiqua"/>
          <w:bCs/>
          <w:i/>
          <w:iCs/>
          <w:sz w:val="20"/>
          <w:szCs w:val="20"/>
          <w:lang w:val="fi-FI"/>
        </w:rPr>
        <w:t>Nigella sativa</w:t>
      </w:r>
      <w:r w:rsidR="000502B7" w:rsidRPr="006810DB">
        <w:rPr>
          <w:rFonts w:ascii="Book Antiqua" w:hAnsi="Book Antiqua"/>
          <w:bCs/>
          <w:sz w:val="20"/>
          <w:szCs w:val="20"/>
          <w:lang w:val="fi-FI"/>
        </w:rPr>
        <w:t xml:space="preserve"> terhadap Mukositis Oral Akibat Kemoterapi Cisplatin: Dari Standarisasi Fisikokimia hingga Mekanisme Molekuler </w:t>
      </w:r>
      <w:r w:rsidRPr="006810DB">
        <w:rPr>
          <w:rFonts w:ascii="Book Antiqua" w:hAnsi="Book Antiqua"/>
          <w:bCs/>
          <w:sz w:val="20"/>
          <w:szCs w:val="20"/>
          <w:lang w:val="fi-FI"/>
        </w:rPr>
        <w:t xml:space="preserve">yang berada ditangan pembaca ini disusun dalam </w:t>
      </w:r>
      <w:r w:rsidR="000502B7" w:rsidRPr="006810DB">
        <w:rPr>
          <w:rFonts w:ascii="Book Antiqua" w:hAnsi="Book Antiqua"/>
          <w:bCs/>
          <w:sz w:val="20"/>
          <w:szCs w:val="20"/>
          <w:lang w:val="fi-FI"/>
        </w:rPr>
        <w:t>20</w:t>
      </w:r>
      <w:r w:rsidRPr="006810DB">
        <w:rPr>
          <w:rFonts w:ascii="Book Antiqua" w:hAnsi="Book Antiqua"/>
          <w:bCs/>
          <w:sz w:val="20"/>
          <w:szCs w:val="20"/>
          <w:lang w:val="fi-FI"/>
        </w:rPr>
        <w:t xml:space="preserve"> </w:t>
      </w:r>
      <w:r w:rsidR="000502B7" w:rsidRPr="006810DB">
        <w:rPr>
          <w:rFonts w:ascii="Book Antiqua" w:hAnsi="Book Antiqua"/>
          <w:bCs/>
          <w:sz w:val="20"/>
          <w:szCs w:val="20"/>
          <w:lang w:val="fi-FI"/>
        </w:rPr>
        <w:t>b</w:t>
      </w:r>
      <w:r w:rsidRPr="006810DB">
        <w:rPr>
          <w:rFonts w:ascii="Book Antiqua" w:hAnsi="Book Antiqua"/>
          <w:bCs/>
          <w:sz w:val="20"/>
          <w:szCs w:val="20"/>
          <w:lang w:val="fi-FI"/>
        </w:rPr>
        <w:t>ab yaitu:</w:t>
      </w:r>
    </w:p>
    <w:p w14:paraId="17CEA53D" w14:textId="170EBD50"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1 </w:t>
      </w:r>
      <w:r w:rsidR="000502B7" w:rsidRPr="006810DB">
        <w:rPr>
          <w:rFonts w:ascii="Book Antiqua" w:hAnsi="Book Antiqua"/>
          <w:bCs/>
          <w:sz w:val="20"/>
          <w:szCs w:val="20"/>
          <w:lang w:val="en-ID"/>
        </w:rPr>
        <w:tab/>
      </w:r>
      <w:r w:rsidRPr="006810DB">
        <w:rPr>
          <w:rFonts w:ascii="Book Antiqua" w:hAnsi="Book Antiqua"/>
          <w:bCs/>
          <w:sz w:val="20"/>
          <w:szCs w:val="20"/>
          <w:lang w:val="en-ID"/>
        </w:rPr>
        <w:t>Pendahuluan dan Urgensi Terapi Kanker</w:t>
      </w:r>
    </w:p>
    <w:p w14:paraId="6DA5DDEA" w14:textId="2B816C1F"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2 </w:t>
      </w:r>
      <w:r w:rsidR="000502B7" w:rsidRPr="006810DB">
        <w:rPr>
          <w:rFonts w:ascii="Book Antiqua" w:hAnsi="Book Antiqua"/>
          <w:bCs/>
          <w:sz w:val="20"/>
          <w:szCs w:val="20"/>
          <w:lang w:val="en-ID"/>
        </w:rPr>
        <w:tab/>
      </w:r>
      <w:r w:rsidRPr="006810DB">
        <w:rPr>
          <w:rFonts w:ascii="Book Antiqua" w:hAnsi="Book Antiqua"/>
          <w:bCs/>
          <w:sz w:val="20"/>
          <w:szCs w:val="20"/>
          <w:lang w:val="en-ID"/>
        </w:rPr>
        <w:t>Farmakologi Cisplatin dan Mekanisme Kerjanya</w:t>
      </w:r>
    </w:p>
    <w:p w14:paraId="0F3F4229" w14:textId="1F1DB4BC"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3 </w:t>
      </w:r>
      <w:r w:rsidR="000502B7" w:rsidRPr="006810DB">
        <w:rPr>
          <w:rFonts w:ascii="Book Antiqua" w:hAnsi="Book Antiqua"/>
          <w:bCs/>
          <w:sz w:val="20"/>
          <w:szCs w:val="20"/>
          <w:lang w:val="en-ID"/>
        </w:rPr>
        <w:tab/>
      </w:r>
      <w:r w:rsidRPr="006810DB">
        <w:rPr>
          <w:rFonts w:ascii="Book Antiqua" w:hAnsi="Book Antiqua"/>
          <w:bCs/>
          <w:sz w:val="20"/>
          <w:szCs w:val="20"/>
          <w:lang w:val="en-ID"/>
        </w:rPr>
        <w:t>Patofisiologi Mukositis Oral Induksi Kemoterapi</w:t>
      </w:r>
    </w:p>
    <w:p w14:paraId="08D9E4F5" w14:textId="51AB511C"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4 </w:t>
      </w:r>
      <w:r w:rsidR="000502B7" w:rsidRPr="006810DB">
        <w:rPr>
          <w:rFonts w:ascii="Book Antiqua" w:hAnsi="Book Antiqua"/>
          <w:bCs/>
          <w:sz w:val="20"/>
          <w:szCs w:val="20"/>
          <w:lang w:val="en-ID"/>
        </w:rPr>
        <w:tab/>
      </w:r>
      <w:r w:rsidRPr="006810DB">
        <w:rPr>
          <w:rFonts w:ascii="Book Antiqua" w:hAnsi="Book Antiqua"/>
          <w:bCs/>
          <w:sz w:val="20"/>
          <w:szCs w:val="20"/>
          <w:lang w:val="en-ID"/>
        </w:rPr>
        <w:t>Peran Radikal Bebas dalam Kerusakan Jaringan Mukosa</w:t>
      </w:r>
    </w:p>
    <w:p w14:paraId="2A31381D" w14:textId="34537D95"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5 </w:t>
      </w:r>
      <w:r w:rsidR="000502B7" w:rsidRPr="006810DB">
        <w:rPr>
          <w:rFonts w:ascii="Book Antiqua" w:hAnsi="Book Antiqua"/>
          <w:bCs/>
          <w:sz w:val="20"/>
          <w:szCs w:val="20"/>
          <w:lang w:val="en-ID"/>
        </w:rPr>
        <w:tab/>
      </w:r>
      <w:r w:rsidRPr="006810DB">
        <w:rPr>
          <w:rFonts w:ascii="Book Antiqua" w:hAnsi="Book Antiqua"/>
          <w:bCs/>
          <w:sz w:val="20"/>
          <w:szCs w:val="20"/>
          <w:lang w:val="en-ID"/>
        </w:rPr>
        <w:t>Pengembangan Model Hewan Coba Mukositis Oral</w:t>
      </w:r>
    </w:p>
    <w:p w14:paraId="3D427159" w14:textId="020591E0"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6 </w:t>
      </w:r>
      <w:r w:rsidR="000502B7" w:rsidRPr="006810DB">
        <w:rPr>
          <w:rFonts w:ascii="Book Antiqua" w:hAnsi="Book Antiqua"/>
          <w:bCs/>
          <w:sz w:val="20"/>
          <w:szCs w:val="20"/>
          <w:lang w:val="en-ID"/>
        </w:rPr>
        <w:tab/>
      </w:r>
      <w:r w:rsidRPr="006810DB">
        <w:rPr>
          <w:rFonts w:ascii="Book Antiqua" w:hAnsi="Book Antiqua"/>
          <w:bCs/>
          <w:sz w:val="20"/>
          <w:szCs w:val="20"/>
          <w:lang w:val="en-ID"/>
        </w:rPr>
        <w:t>Optimasi Dosis Cisplatin untuk Model Penelitian</w:t>
      </w:r>
    </w:p>
    <w:p w14:paraId="390341BE" w14:textId="014596E6"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7 </w:t>
      </w:r>
      <w:r w:rsidR="000502B7" w:rsidRPr="006810DB">
        <w:rPr>
          <w:rFonts w:ascii="Book Antiqua" w:hAnsi="Book Antiqua"/>
          <w:bCs/>
          <w:sz w:val="20"/>
          <w:szCs w:val="20"/>
          <w:lang w:val="en-ID"/>
        </w:rPr>
        <w:tab/>
      </w:r>
      <w:r w:rsidRPr="006810DB">
        <w:rPr>
          <w:rFonts w:ascii="Book Antiqua" w:hAnsi="Book Antiqua"/>
          <w:bCs/>
          <w:sz w:val="20"/>
          <w:szCs w:val="20"/>
          <w:lang w:val="en-ID"/>
        </w:rPr>
        <w:t xml:space="preserve">Karakteristik Botani dan Etnofarmakologi </w:t>
      </w:r>
      <w:r w:rsidRPr="006810DB">
        <w:rPr>
          <w:rFonts w:ascii="Book Antiqua" w:hAnsi="Book Antiqua"/>
          <w:bCs/>
          <w:i/>
          <w:iCs/>
          <w:sz w:val="20"/>
          <w:szCs w:val="20"/>
          <w:lang w:val="en-ID"/>
        </w:rPr>
        <w:t xml:space="preserve">Nigella </w:t>
      </w:r>
      <w:r w:rsidR="000502B7" w:rsidRPr="006810DB">
        <w:rPr>
          <w:rFonts w:ascii="Book Antiqua" w:hAnsi="Book Antiqua"/>
          <w:bCs/>
          <w:i/>
          <w:iCs/>
          <w:sz w:val="20"/>
          <w:szCs w:val="20"/>
          <w:lang w:val="en-ID"/>
        </w:rPr>
        <w:t>sativa</w:t>
      </w:r>
    </w:p>
    <w:p w14:paraId="4CFDEAC4" w14:textId="45946256"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8 </w:t>
      </w:r>
      <w:r w:rsidR="000502B7" w:rsidRPr="006810DB">
        <w:rPr>
          <w:rFonts w:ascii="Book Antiqua" w:hAnsi="Book Antiqua"/>
          <w:bCs/>
          <w:sz w:val="20"/>
          <w:szCs w:val="20"/>
          <w:lang w:val="en-ID"/>
        </w:rPr>
        <w:tab/>
      </w:r>
      <w:r w:rsidRPr="006810DB">
        <w:rPr>
          <w:rFonts w:ascii="Book Antiqua" w:hAnsi="Book Antiqua"/>
          <w:bCs/>
          <w:sz w:val="20"/>
          <w:szCs w:val="20"/>
          <w:lang w:val="en-ID"/>
        </w:rPr>
        <w:t xml:space="preserve">Studi Fisikokimia Ekstrak </w:t>
      </w:r>
      <w:r w:rsidRPr="006810DB">
        <w:rPr>
          <w:rFonts w:ascii="Book Antiqua" w:hAnsi="Book Antiqua"/>
          <w:bCs/>
          <w:i/>
          <w:iCs/>
          <w:sz w:val="20"/>
          <w:szCs w:val="20"/>
          <w:lang w:val="en-ID"/>
        </w:rPr>
        <w:t xml:space="preserve">Nigella </w:t>
      </w:r>
      <w:r w:rsidR="000502B7" w:rsidRPr="006810DB">
        <w:rPr>
          <w:rFonts w:ascii="Book Antiqua" w:hAnsi="Book Antiqua"/>
          <w:bCs/>
          <w:i/>
          <w:iCs/>
          <w:sz w:val="20"/>
          <w:szCs w:val="20"/>
          <w:lang w:val="en-ID"/>
        </w:rPr>
        <w:t>sativa</w:t>
      </w:r>
    </w:p>
    <w:p w14:paraId="44244BC0" w14:textId="6C5DB7A8"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9 </w:t>
      </w:r>
      <w:r w:rsidR="000502B7" w:rsidRPr="006810DB">
        <w:rPr>
          <w:rFonts w:ascii="Book Antiqua" w:hAnsi="Book Antiqua"/>
          <w:bCs/>
          <w:sz w:val="20"/>
          <w:szCs w:val="20"/>
          <w:lang w:val="en-ID"/>
        </w:rPr>
        <w:tab/>
      </w:r>
      <w:r w:rsidRPr="006810DB">
        <w:rPr>
          <w:rFonts w:ascii="Book Antiqua" w:hAnsi="Book Antiqua"/>
          <w:bCs/>
          <w:sz w:val="20"/>
          <w:szCs w:val="20"/>
          <w:lang w:val="en-ID"/>
        </w:rPr>
        <w:t>Standarisasi Ekstrak Herbal sebagai Agen Terapeutik</w:t>
      </w:r>
    </w:p>
    <w:p w14:paraId="3F7AE9D4" w14:textId="12E22054"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10 </w:t>
      </w:r>
      <w:r w:rsidR="000502B7" w:rsidRPr="006810DB">
        <w:rPr>
          <w:rFonts w:ascii="Book Antiqua" w:hAnsi="Book Antiqua"/>
          <w:bCs/>
          <w:sz w:val="20"/>
          <w:szCs w:val="20"/>
          <w:lang w:val="en-ID"/>
        </w:rPr>
        <w:tab/>
      </w:r>
      <w:r w:rsidRPr="006810DB">
        <w:rPr>
          <w:rFonts w:ascii="Book Antiqua" w:hAnsi="Book Antiqua"/>
          <w:bCs/>
          <w:sz w:val="20"/>
          <w:szCs w:val="20"/>
          <w:lang w:val="en-ID"/>
        </w:rPr>
        <w:t xml:space="preserve">Aktivitas Antioksidan Ekstrak </w:t>
      </w:r>
      <w:r w:rsidRPr="006810DB">
        <w:rPr>
          <w:rFonts w:ascii="Book Antiqua" w:hAnsi="Book Antiqua"/>
          <w:bCs/>
          <w:i/>
          <w:iCs/>
          <w:sz w:val="20"/>
          <w:szCs w:val="20"/>
          <w:lang w:val="en-ID"/>
        </w:rPr>
        <w:t xml:space="preserve">Nigella </w:t>
      </w:r>
      <w:r w:rsidR="000502B7" w:rsidRPr="006810DB">
        <w:rPr>
          <w:rFonts w:ascii="Book Antiqua" w:hAnsi="Book Antiqua"/>
          <w:bCs/>
          <w:i/>
          <w:iCs/>
          <w:sz w:val="20"/>
          <w:szCs w:val="20"/>
          <w:lang w:val="en-ID"/>
        </w:rPr>
        <w:t>sativa</w:t>
      </w:r>
    </w:p>
    <w:p w14:paraId="69694520" w14:textId="6F3E0F8B"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11 </w:t>
      </w:r>
      <w:r w:rsidR="000502B7" w:rsidRPr="006810DB">
        <w:rPr>
          <w:rFonts w:ascii="Book Antiqua" w:hAnsi="Book Antiqua"/>
          <w:bCs/>
          <w:sz w:val="20"/>
          <w:szCs w:val="20"/>
          <w:lang w:val="en-ID"/>
        </w:rPr>
        <w:tab/>
      </w:r>
      <w:r w:rsidRPr="006810DB">
        <w:rPr>
          <w:rFonts w:ascii="Book Antiqua" w:hAnsi="Book Antiqua"/>
          <w:bCs/>
          <w:sz w:val="20"/>
          <w:szCs w:val="20"/>
          <w:lang w:val="en-ID"/>
        </w:rPr>
        <w:t>Respon Inflamasi pada Mukositis Oral</w:t>
      </w:r>
    </w:p>
    <w:p w14:paraId="068DD809" w14:textId="7C34DD15"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12 </w:t>
      </w:r>
      <w:r w:rsidR="000502B7" w:rsidRPr="006810DB">
        <w:rPr>
          <w:rFonts w:ascii="Book Antiqua" w:hAnsi="Book Antiqua"/>
          <w:bCs/>
          <w:sz w:val="20"/>
          <w:szCs w:val="20"/>
          <w:lang w:val="en-ID"/>
        </w:rPr>
        <w:tab/>
      </w:r>
      <w:r w:rsidRPr="006810DB">
        <w:rPr>
          <w:rFonts w:ascii="Book Antiqua" w:hAnsi="Book Antiqua"/>
          <w:bCs/>
          <w:sz w:val="20"/>
          <w:szCs w:val="20"/>
          <w:lang w:val="en-ID"/>
        </w:rPr>
        <w:t xml:space="preserve">Jalur </w:t>
      </w:r>
      <w:r w:rsidRPr="006810DB">
        <w:rPr>
          <w:rFonts w:ascii="Book Antiqua" w:hAnsi="Book Antiqua"/>
          <w:bCs/>
          <w:i/>
          <w:iCs/>
          <w:sz w:val="20"/>
          <w:szCs w:val="20"/>
          <w:lang w:val="en-ID"/>
        </w:rPr>
        <w:t>Signaling</w:t>
      </w:r>
      <w:r w:rsidRPr="006810DB">
        <w:rPr>
          <w:rFonts w:ascii="Book Antiqua" w:hAnsi="Book Antiqua"/>
          <w:bCs/>
          <w:sz w:val="20"/>
          <w:szCs w:val="20"/>
          <w:lang w:val="en-ID"/>
        </w:rPr>
        <w:t xml:space="preserve"> </w:t>
      </w:r>
      <w:r w:rsidR="000502B7" w:rsidRPr="006810DB">
        <w:rPr>
          <w:rFonts w:ascii="Book Antiqua" w:hAnsi="Book Antiqua"/>
          <w:bCs/>
          <w:sz w:val="20"/>
          <w:szCs w:val="20"/>
          <w:lang w:val="en-ID"/>
        </w:rPr>
        <w:t xml:space="preserve">NF-κB </w:t>
      </w:r>
      <w:r w:rsidRPr="006810DB">
        <w:rPr>
          <w:rFonts w:ascii="Book Antiqua" w:hAnsi="Book Antiqua"/>
          <w:bCs/>
          <w:sz w:val="20"/>
          <w:szCs w:val="20"/>
          <w:lang w:val="en-ID"/>
        </w:rPr>
        <w:t>dalam Inflamasi</w:t>
      </w:r>
    </w:p>
    <w:p w14:paraId="0AA58AF8" w14:textId="43CB635E"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13 </w:t>
      </w:r>
      <w:r w:rsidR="000502B7" w:rsidRPr="006810DB">
        <w:rPr>
          <w:rFonts w:ascii="Book Antiqua" w:hAnsi="Book Antiqua"/>
          <w:bCs/>
          <w:sz w:val="20"/>
          <w:szCs w:val="20"/>
          <w:lang w:val="en-ID"/>
        </w:rPr>
        <w:tab/>
      </w:r>
      <w:r w:rsidRPr="006810DB">
        <w:rPr>
          <w:rFonts w:ascii="Book Antiqua" w:hAnsi="Book Antiqua"/>
          <w:bCs/>
          <w:sz w:val="20"/>
          <w:szCs w:val="20"/>
          <w:lang w:val="en-ID"/>
        </w:rPr>
        <w:t xml:space="preserve">Mekanisme Anti-Inflamasi </w:t>
      </w:r>
      <w:r w:rsidRPr="006810DB">
        <w:rPr>
          <w:rFonts w:ascii="Book Antiqua" w:hAnsi="Book Antiqua"/>
          <w:bCs/>
          <w:i/>
          <w:iCs/>
          <w:sz w:val="20"/>
          <w:szCs w:val="20"/>
          <w:lang w:val="en-ID"/>
        </w:rPr>
        <w:t xml:space="preserve">Nigella </w:t>
      </w:r>
      <w:r w:rsidR="000502B7" w:rsidRPr="006810DB">
        <w:rPr>
          <w:rFonts w:ascii="Book Antiqua" w:hAnsi="Book Antiqua"/>
          <w:bCs/>
          <w:i/>
          <w:iCs/>
          <w:sz w:val="20"/>
          <w:szCs w:val="20"/>
          <w:lang w:val="en-ID"/>
        </w:rPr>
        <w:t>sativa</w:t>
      </w:r>
    </w:p>
    <w:p w14:paraId="0BD0FA54" w14:textId="4FBB8890"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14 </w:t>
      </w:r>
      <w:r w:rsidR="000502B7" w:rsidRPr="006810DB">
        <w:rPr>
          <w:rFonts w:ascii="Book Antiqua" w:hAnsi="Book Antiqua"/>
          <w:bCs/>
          <w:sz w:val="20"/>
          <w:szCs w:val="20"/>
          <w:lang w:val="en-ID"/>
        </w:rPr>
        <w:tab/>
      </w:r>
      <w:r w:rsidRPr="006810DB">
        <w:rPr>
          <w:rFonts w:ascii="Book Antiqua" w:hAnsi="Book Antiqua"/>
          <w:bCs/>
          <w:sz w:val="20"/>
          <w:szCs w:val="20"/>
          <w:lang w:val="en-ID"/>
        </w:rPr>
        <w:t>Analisis Ekspresi Protein P50 dan P65 pada Mukosa</w:t>
      </w:r>
    </w:p>
    <w:p w14:paraId="6B201EC3" w14:textId="2BECDF80"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15 </w:t>
      </w:r>
      <w:r w:rsidR="000502B7" w:rsidRPr="006810DB">
        <w:rPr>
          <w:rFonts w:ascii="Book Antiqua" w:hAnsi="Book Antiqua"/>
          <w:bCs/>
          <w:sz w:val="20"/>
          <w:szCs w:val="20"/>
          <w:lang w:val="en-ID"/>
        </w:rPr>
        <w:tab/>
      </w:r>
      <w:r w:rsidRPr="006810DB">
        <w:rPr>
          <w:rFonts w:ascii="Book Antiqua" w:hAnsi="Book Antiqua"/>
          <w:bCs/>
          <w:sz w:val="20"/>
          <w:szCs w:val="20"/>
          <w:lang w:val="en-ID"/>
        </w:rPr>
        <w:t>Analisis Ekspresi T</w:t>
      </w:r>
      <w:r w:rsidR="000502B7" w:rsidRPr="006810DB">
        <w:rPr>
          <w:rFonts w:ascii="Book Antiqua" w:hAnsi="Book Antiqua"/>
          <w:bCs/>
          <w:sz w:val="20"/>
          <w:szCs w:val="20"/>
          <w:lang w:val="en-ID"/>
        </w:rPr>
        <w:t>NF</w:t>
      </w:r>
      <w:r w:rsidRPr="006810DB">
        <w:rPr>
          <w:rFonts w:ascii="Book Antiqua" w:hAnsi="Book Antiqua"/>
          <w:bCs/>
          <w:sz w:val="20"/>
          <w:szCs w:val="20"/>
          <w:lang w:val="en-ID"/>
        </w:rPr>
        <w:t xml:space="preserve">-Alpha dalam Terapi </w:t>
      </w:r>
      <w:r w:rsidRPr="006810DB">
        <w:rPr>
          <w:rFonts w:ascii="Book Antiqua" w:hAnsi="Book Antiqua"/>
          <w:bCs/>
          <w:i/>
          <w:iCs/>
          <w:sz w:val="20"/>
          <w:szCs w:val="20"/>
          <w:lang w:val="en-ID"/>
        </w:rPr>
        <w:t>Nigella</w:t>
      </w:r>
      <w:r w:rsidR="000502B7" w:rsidRPr="006810DB">
        <w:rPr>
          <w:rFonts w:ascii="Book Antiqua" w:hAnsi="Book Antiqua"/>
          <w:bCs/>
          <w:i/>
          <w:iCs/>
          <w:sz w:val="20"/>
          <w:szCs w:val="20"/>
          <w:lang w:val="en-ID"/>
        </w:rPr>
        <w:t xml:space="preserve"> sativa</w:t>
      </w:r>
    </w:p>
    <w:p w14:paraId="4A490C29" w14:textId="1C097FC0"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16 </w:t>
      </w:r>
      <w:r w:rsidR="000502B7" w:rsidRPr="006810DB">
        <w:rPr>
          <w:rFonts w:ascii="Book Antiqua" w:hAnsi="Book Antiqua"/>
          <w:bCs/>
          <w:sz w:val="20"/>
          <w:szCs w:val="20"/>
          <w:lang w:val="en-ID"/>
        </w:rPr>
        <w:tab/>
      </w:r>
      <w:r w:rsidRPr="006810DB">
        <w:rPr>
          <w:rFonts w:ascii="Book Antiqua" w:hAnsi="Book Antiqua"/>
          <w:bCs/>
          <w:sz w:val="20"/>
          <w:szCs w:val="20"/>
          <w:lang w:val="en-ID"/>
        </w:rPr>
        <w:t>Gambaran Histopatologi Mukosa Oral</w:t>
      </w:r>
    </w:p>
    <w:p w14:paraId="6F645B55" w14:textId="36A121D5"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17 </w:t>
      </w:r>
      <w:r w:rsidR="000502B7" w:rsidRPr="006810DB">
        <w:rPr>
          <w:rFonts w:ascii="Book Antiqua" w:hAnsi="Book Antiqua"/>
          <w:bCs/>
          <w:sz w:val="20"/>
          <w:szCs w:val="20"/>
          <w:lang w:val="en-ID"/>
        </w:rPr>
        <w:tab/>
      </w:r>
      <w:r w:rsidRPr="006810DB">
        <w:rPr>
          <w:rFonts w:ascii="Book Antiqua" w:hAnsi="Book Antiqua"/>
          <w:bCs/>
          <w:sz w:val="20"/>
          <w:szCs w:val="20"/>
          <w:lang w:val="en-ID"/>
        </w:rPr>
        <w:t xml:space="preserve">Efek Protektif </w:t>
      </w:r>
      <w:r w:rsidRPr="006810DB">
        <w:rPr>
          <w:rFonts w:ascii="Book Antiqua" w:hAnsi="Book Antiqua"/>
          <w:bCs/>
          <w:i/>
          <w:iCs/>
          <w:sz w:val="20"/>
          <w:szCs w:val="20"/>
          <w:lang w:val="en-ID"/>
        </w:rPr>
        <w:t xml:space="preserve">Nigella </w:t>
      </w:r>
      <w:r w:rsidR="000502B7" w:rsidRPr="006810DB">
        <w:rPr>
          <w:rFonts w:ascii="Book Antiqua" w:hAnsi="Book Antiqua"/>
          <w:bCs/>
          <w:i/>
          <w:iCs/>
          <w:sz w:val="20"/>
          <w:szCs w:val="20"/>
          <w:lang w:val="en-ID"/>
        </w:rPr>
        <w:t>sativa</w:t>
      </w:r>
      <w:r w:rsidR="000502B7" w:rsidRPr="006810DB">
        <w:rPr>
          <w:rFonts w:ascii="Book Antiqua" w:hAnsi="Book Antiqua"/>
          <w:bCs/>
          <w:sz w:val="20"/>
          <w:szCs w:val="20"/>
          <w:lang w:val="en-ID"/>
        </w:rPr>
        <w:t xml:space="preserve"> </w:t>
      </w:r>
      <w:r w:rsidRPr="006810DB">
        <w:rPr>
          <w:rFonts w:ascii="Book Antiqua" w:hAnsi="Book Antiqua"/>
          <w:bCs/>
          <w:sz w:val="20"/>
          <w:szCs w:val="20"/>
          <w:lang w:val="en-ID"/>
        </w:rPr>
        <w:t>pada Berbagai Dosis</w:t>
      </w:r>
    </w:p>
    <w:p w14:paraId="7810AEEE" w14:textId="6C480138"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18 </w:t>
      </w:r>
      <w:r w:rsidR="000502B7" w:rsidRPr="006810DB">
        <w:rPr>
          <w:rFonts w:ascii="Book Antiqua" w:hAnsi="Book Antiqua"/>
          <w:bCs/>
          <w:sz w:val="20"/>
          <w:szCs w:val="20"/>
          <w:lang w:val="en-ID"/>
        </w:rPr>
        <w:tab/>
      </w:r>
      <w:r w:rsidRPr="006810DB">
        <w:rPr>
          <w:rFonts w:ascii="Book Antiqua" w:hAnsi="Book Antiqua"/>
          <w:bCs/>
          <w:sz w:val="20"/>
          <w:szCs w:val="20"/>
          <w:lang w:val="en-ID"/>
        </w:rPr>
        <w:t>Perbandingan dengan Terapi Suportif Standar</w:t>
      </w:r>
    </w:p>
    <w:p w14:paraId="16182B4E" w14:textId="77777777" w:rsidR="000502B7" w:rsidRPr="006810DB" w:rsidRDefault="000502B7" w:rsidP="006810DB">
      <w:pPr>
        <w:spacing w:line="276" w:lineRule="auto"/>
        <w:rPr>
          <w:rFonts w:ascii="Book Antiqua" w:hAnsi="Book Antiqua"/>
          <w:bCs/>
          <w:sz w:val="20"/>
          <w:szCs w:val="20"/>
          <w:lang w:val="en-ID"/>
        </w:rPr>
      </w:pPr>
      <w:r w:rsidRPr="006810DB">
        <w:rPr>
          <w:rFonts w:ascii="Book Antiqua" w:hAnsi="Book Antiqua"/>
          <w:bCs/>
          <w:sz w:val="20"/>
          <w:szCs w:val="20"/>
          <w:lang w:val="en-ID"/>
        </w:rPr>
        <w:br w:type="page"/>
      </w:r>
    </w:p>
    <w:p w14:paraId="3313E5C2" w14:textId="5E9BB268"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lastRenderedPageBreak/>
        <w:t xml:space="preserve">Bab 19 </w:t>
      </w:r>
      <w:r w:rsidR="000502B7" w:rsidRPr="006810DB">
        <w:rPr>
          <w:rFonts w:ascii="Book Antiqua" w:hAnsi="Book Antiqua"/>
          <w:bCs/>
          <w:sz w:val="20"/>
          <w:szCs w:val="20"/>
          <w:lang w:val="en-ID"/>
        </w:rPr>
        <w:tab/>
      </w:r>
      <w:r w:rsidRPr="006810DB">
        <w:rPr>
          <w:rFonts w:ascii="Book Antiqua" w:hAnsi="Book Antiqua"/>
          <w:bCs/>
          <w:sz w:val="20"/>
          <w:szCs w:val="20"/>
          <w:lang w:val="en-ID"/>
        </w:rPr>
        <w:t>Tantangan dan Prospek Klinis di Masa Depan</w:t>
      </w:r>
    </w:p>
    <w:p w14:paraId="1D6222B6" w14:textId="0647E02F" w:rsidR="00F95D8D" w:rsidRPr="006810DB" w:rsidRDefault="00F95D8D" w:rsidP="006810DB">
      <w:pPr>
        <w:spacing w:after="0" w:line="276" w:lineRule="auto"/>
        <w:ind w:left="709" w:hanging="709"/>
        <w:jc w:val="both"/>
        <w:rPr>
          <w:rFonts w:ascii="Book Antiqua" w:hAnsi="Book Antiqua"/>
          <w:bCs/>
          <w:sz w:val="20"/>
          <w:szCs w:val="20"/>
          <w:lang w:val="en-ID"/>
        </w:rPr>
      </w:pPr>
      <w:r w:rsidRPr="006810DB">
        <w:rPr>
          <w:rFonts w:ascii="Book Antiqua" w:hAnsi="Book Antiqua"/>
          <w:bCs/>
          <w:sz w:val="20"/>
          <w:szCs w:val="20"/>
          <w:lang w:val="en-ID"/>
        </w:rPr>
        <w:t xml:space="preserve">Bab 20 </w:t>
      </w:r>
      <w:r w:rsidR="000502B7" w:rsidRPr="006810DB">
        <w:rPr>
          <w:rFonts w:ascii="Book Antiqua" w:hAnsi="Book Antiqua"/>
          <w:bCs/>
          <w:sz w:val="20"/>
          <w:szCs w:val="20"/>
          <w:lang w:val="en-ID"/>
        </w:rPr>
        <w:tab/>
      </w:r>
      <w:r w:rsidRPr="006810DB">
        <w:rPr>
          <w:rFonts w:ascii="Book Antiqua" w:hAnsi="Book Antiqua"/>
          <w:bCs/>
          <w:sz w:val="20"/>
          <w:szCs w:val="20"/>
          <w:lang w:val="en-ID"/>
        </w:rPr>
        <w:t>Kesimpulan dan Rekomendasi Terintegrasi</w:t>
      </w:r>
    </w:p>
    <w:p w14:paraId="578897D4" w14:textId="740784EA" w:rsidR="005E68A0" w:rsidRPr="006810DB" w:rsidRDefault="005E68A0" w:rsidP="006810DB">
      <w:pPr>
        <w:spacing w:before="120" w:after="0" w:line="276" w:lineRule="auto"/>
        <w:ind w:firstLine="567"/>
        <w:jc w:val="both"/>
        <w:rPr>
          <w:rFonts w:ascii="Book Antiqua" w:hAnsi="Book Antiqua"/>
          <w:bCs/>
          <w:sz w:val="20"/>
          <w:szCs w:val="20"/>
          <w:lang w:val="fi-FI"/>
        </w:rPr>
      </w:pPr>
      <w:r w:rsidRPr="006810DB">
        <w:rPr>
          <w:rFonts w:ascii="Book Antiqua" w:hAnsi="Book Antiqua"/>
          <w:bCs/>
          <w:sz w:val="20"/>
          <w:szCs w:val="20"/>
          <w:lang w:val="fi-FI"/>
        </w:rPr>
        <w:t>Akhir kata penulis berharap Tuhan Yang Maha Esa berkenan membalas segala kebaikan semua pihak yang telah membantu. Semoga buku ini akan membawa manfaat bagi pengembangan ilmu pengetahuan.</w:t>
      </w:r>
    </w:p>
    <w:p w14:paraId="7E62AF60" w14:textId="77777777" w:rsidR="002F2497" w:rsidRPr="006810DB" w:rsidRDefault="002F2497" w:rsidP="006810DB">
      <w:pPr>
        <w:spacing w:after="0" w:line="276" w:lineRule="auto"/>
        <w:jc w:val="both"/>
        <w:rPr>
          <w:rFonts w:ascii="Book Antiqua" w:hAnsi="Book Antiqua" w:cs="Arial"/>
          <w:iCs/>
          <w:sz w:val="20"/>
          <w:szCs w:val="20"/>
        </w:rPr>
      </w:pPr>
    </w:p>
    <w:p w14:paraId="5734877C" w14:textId="77777777" w:rsidR="002F2497" w:rsidRPr="006810DB" w:rsidRDefault="002F2497" w:rsidP="006810DB">
      <w:pPr>
        <w:spacing w:after="0" w:line="276" w:lineRule="auto"/>
        <w:jc w:val="both"/>
        <w:rPr>
          <w:rFonts w:ascii="Book Antiqua" w:hAnsi="Book Antiqua" w:cs="Arial"/>
          <w:iCs/>
          <w:sz w:val="20"/>
          <w:szCs w:val="20"/>
        </w:rPr>
      </w:pPr>
    </w:p>
    <w:p w14:paraId="3F7B2187" w14:textId="783653AA" w:rsidR="00F01945" w:rsidRPr="006810DB" w:rsidRDefault="00F01945" w:rsidP="006810DB">
      <w:pPr>
        <w:spacing w:after="0" w:line="276" w:lineRule="auto"/>
        <w:rPr>
          <w:rFonts w:ascii="Book Antiqua" w:hAnsi="Book Antiqua" w:cs="Arial"/>
          <w:b/>
          <w:bCs/>
          <w:iCs/>
          <w:sz w:val="20"/>
          <w:szCs w:val="20"/>
          <w:lang w:val="en-US"/>
        </w:rPr>
      </w:pPr>
      <w:r w:rsidRPr="006810DB">
        <w:rPr>
          <w:rFonts w:ascii="Book Antiqua" w:hAnsi="Book Antiqua" w:cs="Arial"/>
          <w:b/>
          <w:bCs/>
          <w:iCs/>
          <w:sz w:val="20"/>
          <w:szCs w:val="20"/>
        </w:rPr>
        <w:br w:type="page"/>
      </w:r>
    </w:p>
    <w:p w14:paraId="08C2E132" w14:textId="1BA25F61" w:rsidR="00C33DCE" w:rsidRPr="006810DB" w:rsidRDefault="001871AF" w:rsidP="006810DB">
      <w:pPr>
        <w:pStyle w:val="Heading1"/>
        <w:spacing w:before="0" w:line="276" w:lineRule="auto"/>
        <w:jc w:val="center"/>
        <w:rPr>
          <w:rFonts w:eastAsia="DengXian" w:cs="Arial"/>
          <w:b/>
          <w:szCs w:val="20"/>
          <w:lang w:eastAsia="zh-CN"/>
        </w:rPr>
      </w:pPr>
      <w:bookmarkStart w:id="8" w:name="_Toc83983423"/>
      <w:bookmarkStart w:id="9" w:name="_Toc223088858"/>
      <w:r w:rsidRPr="006810DB">
        <w:rPr>
          <w:rFonts w:cs="Arial"/>
          <w:b/>
          <w:szCs w:val="20"/>
        </w:rPr>
        <w:lastRenderedPageBreak/>
        <w:t>DAFTAR ISI</w:t>
      </w:r>
      <w:bookmarkEnd w:id="8"/>
      <w:bookmarkEnd w:id="9"/>
    </w:p>
    <w:sdt>
      <w:sdtPr>
        <w:rPr>
          <w:rFonts w:ascii="Book Antiqua" w:eastAsia="SimSun" w:hAnsi="Book Antiqua" w:cstheme="minorBidi"/>
          <w:b w:val="0"/>
          <w:bCs w:val="0"/>
          <w:color w:val="auto"/>
          <w:sz w:val="22"/>
          <w:szCs w:val="22"/>
          <w:lang w:val="id-ID" w:eastAsia="en-US"/>
        </w:rPr>
        <w:id w:val="-268162288"/>
        <w:docPartObj>
          <w:docPartGallery w:val="Table of Contents"/>
          <w:docPartUnique/>
        </w:docPartObj>
      </w:sdtPr>
      <w:sdtEndPr>
        <w:rPr>
          <w:noProof/>
        </w:rPr>
      </w:sdtEndPr>
      <w:sdtContent>
        <w:p w14:paraId="62BFC2A7" w14:textId="22FB73E5" w:rsidR="001E5B0A" w:rsidRPr="006810DB" w:rsidRDefault="001E5B0A" w:rsidP="006810DB">
          <w:pPr>
            <w:pStyle w:val="TOCHeading"/>
            <w:spacing w:before="0"/>
            <w:rPr>
              <w:rFonts w:ascii="Book Antiqua" w:hAnsi="Book Antiqua"/>
              <w:sz w:val="20"/>
              <w:szCs w:val="20"/>
            </w:rPr>
          </w:pPr>
        </w:p>
        <w:p w14:paraId="012D6AD2" w14:textId="5AF9A980" w:rsidR="00824155" w:rsidRDefault="00CC3565">
          <w:pPr>
            <w:pStyle w:val="TOC1"/>
            <w:rPr>
              <w:rFonts w:asciiTheme="minorHAnsi" w:eastAsiaTheme="minorEastAsia" w:hAnsiTheme="minorHAnsi"/>
              <w:b w:val="0"/>
              <w:sz w:val="22"/>
              <w:lang w:val="en-ID" w:eastAsia="en-ID"/>
            </w:rPr>
          </w:pPr>
          <w:r w:rsidRPr="006810DB">
            <w:fldChar w:fldCharType="begin"/>
          </w:r>
          <w:r w:rsidRPr="006810DB">
            <w:instrText xml:space="preserve"> TOC \o "1-3" \h \z \u </w:instrText>
          </w:r>
          <w:r w:rsidRPr="006810DB">
            <w:fldChar w:fldCharType="separate"/>
          </w:r>
          <w:hyperlink w:anchor="_Toc223088857" w:history="1">
            <w:r w:rsidR="00824155" w:rsidRPr="00B11ED9">
              <w:rPr>
                <w:rStyle w:val="Hyperlink"/>
                <w:rFonts w:cs="Arial"/>
              </w:rPr>
              <w:t>KATA PENGANTAR</w:t>
            </w:r>
            <w:r w:rsidR="00824155">
              <w:rPr>
                <w:webHidden/>
              </w:rPr>
              <w:tab/>
            </w:r>
            <w:r w:rsidR="00824155">
              <w:rPr>
                <w:webHidden/>
              </w:rPr>
              <w:fldChar w:fldCharType="begin"/>
            </w:r>
            <w:r w:rsidR="00824155">
              <w:rPr>
                <w:webHidden/>
              </w:rPr>
              <w:instrText xml:space="preserve"> PAGEREF _Toc223088857 \h </w:instrText>
            </w:r>
            <w:r w:rsidR="00824155">
              <w:rPr>
                <w:webHidden/>
              </w:rPr>
            </w:r>
            <w:r w:rsidR="00824155">
              <w:rPr>
                <w:webHidden/>
              </w:rPr>
              <w:fldChar w:fldCharType="separate"/>
            </w:r>
            <w:r w:rsidR="00725D88">
              <w:rPr>
                <w:webHidden/>
              </w:rPr>
              <w:t>iii</w:t>
            </w:r>
            <w:r w:rsidR="00824155">
              <w:rPr>
                <w:webHidden/>
              </w:rPr>
              <w:fldChar w:fldCharType="end"/>
            </w:r>
          </w:hyperlink>
        </w:p>
        <w:p w14:paraId="4667BDB9" w14:textId="021CAF75" w:rsidR="00824155" w:rsidRDefault="00B648CD">
          <w:pPr>
            <w:pStyle w:val="TOC1"/>
            <w:rPr>
              <w:rFonts w:asciiTheme="minorHAnsi" w:eastAsiaTheme="minorEastAsia" w:hAnsiTheme="minorHAnsi"/>
              <w:b w:val="0"/>
              <w:sz w:val="22"/>
              <w:lang w:val="en-ID" w:eastAsia="en-ID"/>
            </w:rPr>
          </w:pPr>
          <w:hyperlink w:anchor="_Toc223088858" w:history="1">
            <w:r w:rsidR="00824155" w:rsidRPr="00B11ED9">
              <w:rPr>
                <w:rStyle w:val="Hyperlink"/>
                <w:rFonts w:cs="Arial"/>
              </w:rPr>
              <w:t>DAFTAR ISI</w:t>
            </w:r>
            <w:r w:rsidR="00824155">
              <w:rPr>
                <w:webHidden/>
              </w:rPr>
              <w:tab/>
            </w:r>
            <w:r w:rsidR="00824155">
              <w:rPr>
                <w:webHidden/>
              </w:rPr>
              <w:fldChar w:fldCharType="begin"/>
            </w:r>
            <w:r w:rsidR="00824155">
              <w:rPr>
                <w:webHidden/>
              </w:rPr>
              <w:instrText xml:space="preserve"> PAGEREF _Toc223088858 \h </w:instrText>
            </w:r>
            <w:r w:rsidR="00824155">
              <w:rPr>
                <w:webHidden/>
              </w:rPr>
            </w:r>
            <w:r w:rsidR="00824155">
              <w:rPr>
                <w:webHidden/>
              </w:rPr>
              <w:fldChar w:fldCharType="separate"/>
            </w:r>
            <w:r w:rsidR="00725D88">
              <w:rPr>
                <w:webHidden/>
              </w:rPr>
              <w:t>v</w:t>
            </w:r>
            <w:r w:rsidR="00824155">
              <w:rPr>
                <w:webHidden/>
              </w:rPr>
              <w:fldChar w:fldCharType="end"/>
            </w:r>
          </w:hyperlink>
        </w:p>
        <w:p w14:paraId="14E64E55" w14:textId="5985A88D" w:rsidR="00824155" w:rsidRDefault="00B648CD">
          <w:pPr>
            <w:pStyle w:val="TOC1"/>
            <w:rPr>
              <w:rFonts w:asciiTheme="minorHAnsi" w:eastAsiaTheme="minorEastAsia" w:hAnsiTheme="minorHAnsi"/>
              <w:b w:val="0"/>
              <w:sz w:val="22"/>
              <w:lang w:val="en-ID" w:eastAsia="en-ID"/>
            </w:rPr>
          </w:pPr>
          <w:hyperlink w:anchor="_Toc223088859" w:history="1">
            <w:r w:rsidR="00824155" w:rsidRPr="00B11ED9">
              <w:rPr>
                <w:rStyle w:val="Hyperlink"/>
                <w:lang w:val="en-US"/>
              </w:rPr>
              <w:t>BAB</w:t>
            </w:r>
            <w:r w:rsidR="00824155" w:rsidRPr="00B11ED9">
              <w:rPr>
                <w:rStyle w:val="Hyperlink"/>
              </w:rPr>
              <w:t xml:space="preserve"> 1</w:t>
            </w:r>
            <w:r w:rsidR="00824155" w:rsidRPr="00B11ED9">
              <w:rPr>
                <w:rStyle w:val="Hyperlink"/>
                <w:lang w:val="en-US"/>
              </w:rPr>
              <w:t xml:space="preserve"> </w:t>
            </w:r>
            <w:r w:rsidR="00824155">
              <w:rPr>
                <w:rFonts w:asciiTheme="minorHAnsi" w:eastAsiaTheme="minorEastAsia" w:hAnsiTheme="minorHAnsi"/>
                <w:b w:val="0"/>
                <w:sz w:val="22"/>
                <w:lang w:val="en-ID" w:eastAsia="en-ID"/>
              </w:rPr>
              <w:tab/>
            </w:r>
            <w:r w:rsidR="00824155" w:rsidRPr="00B11ED9">
              <w:rPr>
                <w:rStyle w:val="Hyperlink"/>
                <w:lang w:val="en-US"/>
              </w:rPr>
              <w:t>PENDAHULUAN DAN URGENSI TERAPI KANKER</w:t>
            </w:r>
            <w:r w:rsidR="00824155">
              <w:rPr>
                <w:webHidden/>
              </w:rPr>
              <w:tab/>
            </w:r>
            <w:r w:rsidR="00824155">
              <w:rPr>
                <w:webHidden/>
              </w:rPr>
              <w:fldChar w:fldCharType="begin"/>
            </w:r>
            <w:r w:rsidR="00824155">
              <w:rPr>
                <w:webHidden/>
              </w:rPr>
              <w:instrText xml:space="preserve"> PAGEREF _Toc223088859 \h </w:instrText>
            </w:r>
            <w:r w:rsidR="00824155">
              <w:rPr>
                <w:webHidden/>
              </w:rPr>
            </w:r>
            <w:r w:rsidR="00824155">
              <w:rPr>
                <w:webHidden/>
              </w:rPr>
              <w:fldChar w:fldCharType="separate"/>
            </w:r>
            <w:r w:rsidR="00725D88">
              <w:rPr>
                <w:webHidden/>
              </w:rPr>
              <w:t>1</w:t>
            </w:r>
            <w:r w:rsidR="00824155">
              <w:rPr>
                <w:webHidden/>
              </w:rPr>
              <w:fldChar w:fldCharType="end"/>
            </w:r>
          </w:hyperlink>
        </w:p>
        <w:p w14:paraId="6257D5F0" w14:textId="53E9A8B8" w:rsidR="00824155" w:rsidRDefault="00B648CD">
          <w:pPr>
            <w:pStyle w:val="TOC2"/>
            <w:tabs>
              <w:tab w:val="left" w:pos="1680"/>
            </w:tabs>
            <w:rPr>
              <w:rFonts w:asciiTheme="minorHAnsi" w:eastAsiaTheme="minorEastAsia" w:hAnsiTheme="minorHAnsi"/>
              <w:noProof/>
              <w:sz w:val="22"/>
              <w:lang w:val="en-ID" w:eastAsia="en-ID"/>
            </w:rPr>
          </w:pPr>
          <w:hyperlink w:anchor="_Toc223088860"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_Toc223088860 \h </w:instrText>
            </w:r>
            <w:r w:rsidR="00824155">
              <w:rPr>
                <w:noProof/>
                <w:webHidden/>
              </w:rPr>
            </w:r>
            <w:r w:rsidR="00824155">
              <w:rPr>
                <w:noProof/>
                <w:webHidden/>
              </w:rPr>
              <w:fldChar w:fldCharType="separate"/>
            </w:r>
            <w:r w:rsidR="00725D88">
              <w:rPr>
                <w:noProof/>
                <w:webHidden/>
              </w:rPr>
              <w:t>1</w:t>
            </w:r>
            <w:r w:rsidR="00824155">
              <w:rPr>
                <w:noProof/>
                <w:webHidden/>
              </w:rPr>
              <w:fldChar w:fldCharType="end"/>
            </w:r>
          </w:hyperlink>
        </w:p>
        <w:p w14:paraId="5EB747D4" w14:textId="37F305DD" w:rsidR="00824155" w:rsidRDefault="00B648CD">
          <w:pPr>
            <w:pStyle w:val="TOC2"/>
            <w:tabs>
              <w:tab w:val="left" w:pos="1260"/>
            </w:tabs>
            <w:rPr>
              <w:rFonts w:asciiTheme="minorHAnsi" w:eastAsiaTheme="minorEastAsia" w:hAnsiTheme="minorHAnsi"/>
              <w:noProof/>
              <w:sz w:val="22"/>
              <w:lang w:val="en-ID" w:eastAsia="en-ID"/>
            </w:rPr>
          </w:pPr>
          <w:hyperlink w:anchor="_Toc223088861"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Masalah Global Penyakit Kanker</w:t>
            </w:r>
            <w:r w:rsidR="00824155">
              <w:rPr>
                <w:noProof/>
                <w:webHidden/>
              </w:rPr>
              <w:tab/>
            </w:r>
            <w:r w:rsidR="00824155">
              <w:rPr>
                <w:noProof/>
                <w:webHidden/>
              </w:rPr>
              <w:fldChar w:fldCharType="begin"/>
            </w:r>
            <w:r w:rsidR="00824155">
              <w:rPr>
                <w:noProof/>
                <w:webHidden/>
              </w:rPr>
              <w:instrText xml:space="preserve"> PAGEREF _Toc223088861 \h </w:instrText>
            </w:r>
            <w:r w:rsidR="00824155">
              <w:rPr>
                <w:noProof/>
                <w:webHidden/>
              </w:rPr>
            </w:r>
            <w:r w:rsidR="00824155">
              <w:rPr>
                <w:noProof/>
                <w:webHidden/>
              </w:rPr>
              <w:fldChar w:fldCharType="separate"/>
            </w:r>
            <w:r w:rsidR="00725D88">
              <w:rPr>
                <w:noProof/>
                <w:webHidden/>
              </w:rPr>
              <w:t>3</w:t>
            </w:r>
            <w:r w:rsidR="00824155">
              <w:rPr>
                <w:noProof/>
                <w:webHidden/>
              </w:rPr>
              <w:fldChar w:fldCharType="end"/>
            </w:r>
          </w:hyperlink>
        </w:p>
        <w:p w14:paraId="384B8295" w14:textId="5EDB7BE7" w:rsidR="00824155" w:rsidRDefault="00B648CD">
          <w:pPr>
            <w:pStyle w:val="TOC2"/>
            <w:tabs>
              <w:tab w:val="left" w:pos="1680"/>
            </w:tabs>
            <w:rPr>
              <w:rFonts w:asciiTheme="minorHAnsi" w:eastAsiaTheme="minorEastAsia" w:hAnsiTheme="minorHAnsi"/>
              <w:noProof/>
              <w:sz w:val="22"/>
              <w:lang w:val="en-ID" w:eastAsia="en-ID"/>
            </w:rPr>
          </w:pPr>
          <w:hyperlink w:anchor="_Toc223088862"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Efek Samping Kemoterapi pada Kualitas Hidup</w:t>
            </w:r>
            <w:r w:rsidR="00824155">
              <w:rPr>
                <w:noProof/>
                <w:webHidden/>
              </w:rPr>
              <w:tab/>
            </w:r>
            <w:r w:rsidR="00824155">
              <w:rPr>
                <w:noProof/>
                <w:webHidden/>
              </w:rPr>
              <w:fldChar w:fldCharType="begin"/>
            </w:r>
            <w:r w:rsidR="00824155">
              <w:rPr>
                <w:noProof/>
                <w:webHidden/>
              </w:rPr>
              <w:instrText xml:space="preserve"> PAGEREF _Toc223088862 \h </w:instrText>
            </w:r>
            <w:r w:rsidR="00824155">
              <w:rPr>
                <w:noProof/>
                <w:webHidden/>
              </w:rPr>
            </w:r>
            <w:r w:rsidR="00824155">
              <w:rPr>
                <w:noProof/>
                <w:webHidden/>
              </w:rPr>
              <w:fldChar w:fldCharType="separate"/>
            </w:r>
            <w:r w:rsidR="00725D88">
              <w:rPr>
                <w:noProof/>
                <w:webHidden/>
              </w:rPr>
              <w:t>6</w:t>
            </w:r>
            <w:r w:rsidR="00824155">
              <w:rPr>
                <w:noProof/>
                <w:webHidden/>
              </w:rPr>
              <w:fldChar w:fldCharType="end"/>
            </w:r>
          </w:hyperlink>
        </w:p>
        <w:p w14:paraId="43DD5D8E" w14:textId="51B02C8A" w:rsidR="00824155" w:rsidRDefault="00B648CD">
          <w:pPr>
            <w:pStyle w:val="TOC2"/>
            <w:tabs>
              <w:tab w:val="left" w:pos="1680"/>
            </w:tabs>
            <w:rPr>
              <w:rFonts w:asciiTheme="minorHAnsi" w:eastAsiaTheme="minorEastAsia" w:hAnsiTheme="minorHAnsi"/>
              <w:noProof/>
              <w:sz w:val="22"/>
              <w:lang w:val="en-ID" w:eastAsia="en-ID"/>
            </w:rPr>
          </w:pPr>
          <w:hyperlink w:anchor="_Toc223088863"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Ruang Lingkup Buku Referensi</w:t>
            </w:r>
            <w:r w:rsidR="00824155">
              <w:rPr>
                <w:noProof/>
                <w:webHidden/>
              </w:rPr>
              <w:tab/>
            </w:r>
            <w:r w:rsidR="00824155">
              <w:rPr>
                <w:noProof/>
                <w:webHidden/>
              </w:rPr>
              <w:fldChar w:fldCharType="begin"/>
            </w:r>
            <w:r w:rsidR="00824155">
              <w:rPr>
                <w:noProof/>
                <w:webHidden/>
              </w:rPr>
              <w:instrText xml:space="preserve"> PAGEREF _Toc223088863 \h </w:instrText>
            </w:r>
            <w:r w:rsidR="00824155">
              <w:rPr>
                <w:noProof/>
                <w:webHidden/>
              </w:rPr>
            </w:r>
            <w:r w:rsidR="00824155">
              <w:rPr>
                <w:noProof/>
                <w:webHidden/>
              </w:rPr>
              <w:fldChar w:fldCharType="separate"/>
            </w:r>
            <w:r w:rsidR="00725D88">
              <w:rPr>
                <w:noProof/>
                <w:webHidden/>
              </w:rPr>
              <w:t>9</w:t>
            </w:r>
            <w:r w:rsidR="00824155">
              <w:rPr>
                <w:noProof/>
                <w:webHidden/>
              </w:rPr>
              <w:fldChar w:fldCharType="end"/>
            </w:r>
          </w:hyperlink>
        </w:p>
        <w:p w14:paraId="1E5AD8BF" w14:textId="7BAB316C" w:rsidR="00824155" w:rsidRDefault="00B648CD">
          <w:pPr>
            <w:pStyle w:val="TOC2"/>
            <w:rPr>
              <w:rFonts w:asciiTheme="minorHAnsi" w:eastAsiaTheme="minorEastAsia" w:hAnsiTheme="minorHAnsi"/>
              <w:noProof/>
              <w:sz w:val="22"/>
              <w:lang w:val="en-ID" w:eastAsia="en-ID"/>
            </w:rPr>
          </w:pPr>
          <w:hyperlink w:anchor="_Toc223088864" w:history="1">
            <w:r w:rsidR="00824155" w:rsidRPr="00B11ED9">
              <w:rPr>
                <w:rStyle w:val="Hyperlink"/>
                <w:noProof/>
                <w:highlight w:val="yellow"/>
              </w:rPr>
              <w:t>KESIMPULAN</w:t>
            </w:r>
            <w:r w:rsidR="00824155">
              <w:rPr>
                <w:noProof/>
                <w:webHidden/>
              </w:rPr>
              <w:tab/>
            </w:r>
            <w:r w:rsidR="00824155">
              <w:rPr>
                <w:noProof/>
                <w:webHidden/>
              </w:rPr>
              <w:fldChar w:fldCharType="begin"/>
            </w:r>
            <w:r w:rsidR="00824155">
              <w:rPr>
                <w:noProof/>
                <w:webHidden/>
              </w:rPr>
              <w:instrText xml:space="preserve"> PAGEREF _Toc223088864 \h </w:instrText>
            </w:r>
            <w:r w:rsidR="00824155">
              <w:rPr>
                <w:noProof/>
                <w:webHidden/>
              </w:rPr>
            </w:r>
            <w:r w:rsidR="00824155">
              <w:rPr>
                <w:noProof/>
                <w:webHidden/>
              </w:rPr>
              <w:fldChar w:fldCharType="separate"/>
            </w:r>
            <w:r w:rsidR="00725D88">
              <w:rPr>
                <w:noProof/>
                <w:webHidden/>
              </w:rPr>
              <w:t>12</w:t>
            </w:r>
            <w:r w:rsidR="00824155">
              <w:rPr>
                <w:noProof/>
                <w:webHidden/>
              </w:rPr>
              <w:fldChar w:fldCharType="end"/>
            </w:r>
          </w:hyperlink>
        </w:p>
        <w:p w14:paraId="1E39C7CB" w14:textId="555965A8" w:rsidR="00824155" w:rsidRDefault="00B648CD">
          <w:pPr>
            <w:pStyle w:val="TOC2"/>
            <w:rPr>
              <w:rFonts w:asciiTheme="minorHAnsi" w:eastAsiaTheme="minorEastAsia" w:hAnsiTheme="minorHAnsi"/>
              <w:noProof/>
              <w:sz w:val="22"/>
              <w:lang w:val="en-ID" w:eastAsia="en-ID"/>
            </w:rPr>
          </w:pPr>
          <w:hyperlink w:anchor="_Toc223088865" w:history="1">
            <w:r w:rsidR="00824155" w:rsidRPr="00B11ED9">
              <w:rPr>
                <w:rStyle w:val="Hyperlink"/>
                <w:noProof/>
                <w:highlight w:val="yellow"/>
              </w:rPr>
              <w:t>GLOSARIUM</w:t>
            </w:r>
            <w:r w:rsidR="00824155">
              <w:rPr>
                <w:noProof/>
                <w:webHidden/>
              </w:rPr>
              <w:tab/>
            </w:r>
            <w:r w:rsidR="00824155">
              <w:rPr>
                <w:noProof/>
                <w:webHidden/>
              </w:rPr>
              <w:fldChar w:fldCharType="begin"/>
            </w:r>
            <w:r w:rsidR="00824155">
              <w:rPr>
                <w:noProof/>
                <w:webHidden/>
              </w:rPr>
              <w:instrText xml:space="preserve"> PAGEREF _Toc223088865 \h </w:instrText>
            </w:r>
            <w:r w:rsidR="00824155">
              <w:rPr>
                <w:noProof/>
                <w:webHidden/>
              </w:rPr>
            </w:r>
            <w:r w:rsidR="00824155">
              <w:rPr>
                <w:noProof/>
                <w:webHidden/>
              </w:rPr>
              <w:fldChar w:fldCharType="separate"/>
            </w:r>
            <w:r w:rsidR="00725D88">
              <w:rPr>
                <w:noProof/>
                <w:webHidden/>
              </w:rPr>
              <w:t>13</w:t>
            </w:r>
            <w:r w:rsidR="00824155">
              <w:rPr>
                <w:noProof/>
                <w:webHidden/>
              </w:rPr>
              <w:fldChar w:fldCharType="end"/>
            </w:r>
          </w:hyperlink>
        </w:p>
        <w:p w14:paraId="29B27743" w14:textId="7DABD4C3" w:rsidR="00824155" w:rsidRDefault="00B648CD">
          <w:pPr>
            <w:pStyle w:val="TOC2"/>
            <w:rPr>
              <w:rFonts w:asciiTheme="minorHAnsi" w:eastAsiaTheme="minorEastAsia" w:hAnsiTheme="minorHAnsi"/>
              <w:noProof/>
              <w:sz w:val="22"/>
              <w:lang w:val="en-ID" w:eastAsia="en-ID"/>
            </w:rPr>
          </w:pPr>
          <w:hyperlink w:anchor="_Toc223088866"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_Toc223088866 \h </w:instrText>
            </w:r>
            <w:r w:rsidR="00824155">
              <w:rPr>
                <w:noProof/>
                <w:webHidden/>
              </w:rPr>
            </w:r>
            <w:r w:rsidR="00824155">
              <w:rPr>
                <w:noProof/>
                <w:webHidden/>
              </w:rPr>
              <w:fldChar w:fldCharType="separate"/>
            </w:r>
            <w:r w:rsidR="00725D88">
              <w:rPr>
                <w:noProof/>
                <w:webHidden/>
              </w:rPr>
              <w:t>14</w:t>
            </w:r>
            <w:r w:rsidR="00824155">
              <w:rPr>
                <w:noProof/>
                <w:webHidden/>
              </w:rPr>
              <w:fldChar w:fldCharType="end"/>
            </w:r>
          </w:hyperlink>
        </w:p>
        <w:p w14:paraId="3E9607E0" w14:textId="7131A1C6" w:rsidR="00824155" w:rsidRDefault="00B648CD">
          <w:pPr>
            <w:pStyle w:val="TOC1"/>
            <w:rPr>
              <w:rFonts w:asciiTheme="minorHAnsi" w:eastAsiaTheme="minorEastAsia" w:hAnsiTheme="minorHAnsi"/>
              <w:b w:val="0"/>
              <w:sz w:val="22"/>
              <w:lang w:val="en-ID" w:eastAsia="en-ID"/>
            </w:rPr>
          </w:pPr>
          <w:hyperlink w:anchor="_Toc223088867"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2 </w:t>
            </w:r>
            <w:r w:rsidR="00824155">
              <w:rPr>
                <w:rFonts w:asciiTheme="minorHAnsi" w:eastAsiaTheme="minorEastAsia" w:hAnsiTheme="minorHAnsi"/>
                <w:b w:val="0"/>
                <w:sz w:val="22"/>
                <w:lang w:val="en-ID" w:eastAsia="en-ID"/>
              </w:rPr>
              <w:tab/>
            </w:r>
            <w:r w:rsidR="00824155" w:rsidRPr="00B11ED9">
              <w:rPr>
                <w:rStyle w:val="Hyperlink"/>
                <w:lang w:val="en-US"/>
              </w:rPr>
              <w:t>FARMAKOLOGI CISPLATIN DAN MEKANISME KERJANYA</w:t>
            </w:r>
            <w:r w:rsidR="00824155">
              <w:rPr>
                <w:webHidden/>
              </w:rPr>
              <w:tab/>
            </w:r>
            <w:r w:rsidR="00824155">
              <w:rPr>
                <w:webHidden/>
              </w:rPr>
              <w:fldChar w:fldCharType="begin"/>
            </w:r>
            <w:r w:rsidR="00824155">
              <w:rPr>
                <w:webHidden/>
              </w:rPr>
              <w:instrText xml:space="preserve"> PAGEREF _Toc223088867 \h </w:instrText>
            </w:r>
            <w:r w:rsidR="00824155">
              <w:rPr>
                <w:webHidden/>
              </w:rPr>
            </w:r>
            <w:r w:rsidR="00824155">
              <w:rPr>
                <w:webHidden/>
              </w:rPr>
              <w:fldChar w:fldCharType="separate"/>
            </w:r>
            <w:r w:rsidR="00725D88">
              <w:rPr>
                <w:webHidden/>
              </w:rPr>
              <w:t>16</w:t>
            </w:r>
            <w:r w:rsidR="00824155">
              <w:rPr>
                <w:webHidden/>
              </w:rPr>
              <w:fldChar w:fldCharType="end"/>
            </w:r>
          </w:hyperlink>
        </w:p>
        <w:p w14:paraId="1CB9019B" w14:textId="7219ED3B" w:rsidR="00824155" w:rsidRDefault="00B648CD">
          <w:pPr>
            <w:pStyle w:val="TOC2"/>
            <w:tabs>
              <w:tab w:val="left" w:pos="1680"/>
            </w:tabs>
            <w:rPr>
              <w:rFonts w:asciiTheme="minorHAnsi" w:eastAsiaTheme="minorEastAsia" w:hAnsiTheme="minorHAnsi"/>
              <w:noProof/>
              <w:sz w:val="22"/>
              <w:lang w:val="en-ID" w:eastAsia="en-ID"/>
            </w:rPr>
          </w:pPr>
          <w:hyperlink w:anchor="_Toc223088868"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_Toc223088868 \h </w:instrText>
            </w:r>
            <w:r w:rsidR="00824155">
              <w:rPr>
                <w:noProof/>
                <w:webHidden/>
              </w:rPr>
            </w:r>
            <w:r w:rsidR="00824155">
              <w:rPr>
                <w:noProof/>
                <w:webHidden/>
              </w:rPr>
              <w:fldChar w:fldCharType="separate"/>
            </w:r>
            <w:r w:rsidR="00725D88">
              <w:rPr>
                <w:noProof/>
                <w:webHidden/>
              </w:rPr>
              <w:t>16</w:t>
            </w:r>
            <w:r w:rsidR="00824155">
              <w:rPr>
                <w:noProof/>
                <w:webHidden/>
              </w:rPr>
              <w:fldChar w:fldCharType="end"/>
            </w:r>
          </w:hyperlink>
        </w:p>
        <w:p w14:paraId="007F5A00" w14:textId="3BD4203D" w:rsidR="00824155" w:rsidRDefault="00B648CD">
          <w:pPr>
            <w:pStyle w:val="TOC2"/>
            <w:tabs>
              <w:tab w:val="left" w:pos="1260"/>
            </w:tabs>
            <w:rPr>
              <w:rFonts w:asciiTheme="minorHAnsi" w:eastAsiaTheme="minorEastAsia" w:hAnsiTheme="minorHAnsi"/>
              <w:noProof/>
              <w:sz w:val="22"/>
              <w:lang w:val="en-ID" w:eastAsia="en-ID"/>
            </w:rPr>
          </w:pPr>
          <w:hyperlink w:anchor="_Toc223088869"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Profil Farmakokinetik Cisplatin</w:t>
            </w:r>
            <w:r w:rsidR="00824155">
              <w:rPr>
                <w:noProof/>
                <w:webHidden/>
              </w:rPr>
              <w:tab/>
            </w:r>
            <w:r w:rsidR="00824155">
              <w:rPr>
                <w:noProof/>
                <w:webHidden/>
              </w:rPr>
              <w:fldChar w:fldCharType="begin"/>
            </w:r>
            <w:r w:rsidR="00824155">
              <w:rPr>
                <w:noProof/>
                <w:webHidden/>
              </w:rPr>
              <w:instrText xml:space="preserve"> PAGEREF _Toc223088869 \h </w:instrText>
            </w:r>
            <w:r w:rsidR="00824155">
              <w:rPr>
                <w:noProof/>
                <w:webHidden/>
              </w:rPr>
            </w:r>
            <w:r w:rsidR="00824155">
              <w:rPr>
                <w:noProof/>
                <w:webHidden/>
              </w:rPr>
              <w:fldChar w:fldCharType="separate"/>
            </w:r>
            <w:r w:rsidR="00725D88">
              <w:rPr>
                <w:noProof/>
                <w:webHidden/>
              </w:rPr>
              <w:t>18</w:t>
            </w:r>
            <w:r w:rsidR="00824155">
              <w:rPr>
                <w:noProof/>
                <w:webHidden/>
              </w:rPr>
              <w:fldChar w:fldCharType="end"/>
            </w:r>
          </w:hyperlink>
        </w:p>
        <w:p w14:paraId="30AC5871" w14:textId="28D76F99" w:rsidR="00824155" w:rsidRDefault="00B648CD">
          <w:pPr>
            <w:pStyle w:val="TOC2"/>
            <w:tabs>
              <w:tab w:val="left" w:pos="1680"/>
            </w:tabs>
            <w:rPr>
              <w:rFonts w:asciiTheme="minorHAnsi" w:eastAsiaTheme="minorEastAsia" w:hAnsiTheme="minorHAnsi"/>
              <w:noProof/>
              <w:sz w:val="22"/>
              <w:lang w:val="en-ID" w:eastAsia="en-ID"/>
            </w:rPr>
          </w:pPr>
          <w:hyperlink w:anchor="_Toc223088870"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Mekanisme Sitotoksisitas Cisplatin</w:t>
            </w:r>
            <w:r w:rsidR="00824155">
              <w:rPr>
                <w:noProof/>
                <w:webHidden/>
              </w:rPr>
              <w:tab/>
            </w:r>
            <w:r w:rsidR="00824155">
              <w:rPr>
                <w:noProof/>
                <w:webHidden/>
              </w:rPr>
              <w:fldChar w:fldCharType="begin"/>
            </w:r>
            <w:r w:rsidR="00824155">
              <w:rPr>
                <w:noProof/>
                <w:webHidden/>
              </w:rPr>
              <w:instrText xml:space="preserve"> PAGEREF _Toc223088870 \h </w:instrText>
            </w:r>
            <w:r w:rsidR="00824155">
              <w:rPr>
                <w:noProof/>
                <w:webHidden/>
              </w:rPr>
            </w:r>
            <w:r w:rsidR="00824155">
              <w:rPr>
                <w:noProof/>
                <w:webHidden/>
              </w:rPr>
              <w:fldChar w:fldCharType="separate"/>
            </w:r>
            <w:r w:rsidR="00725D88">
              <w:rPr>
                <w:noProof/>
                <w:webHidden/>
              </w:rPr>
              <w:t>21</w:t>
            </w:r>
            <w:r w:rsidR="00824155">
              <w:rPr>
                <w:noProof/>
                <w:webHidden/>
              </w:rPr>
              <w:fldChar w:fldCharType="end"/>
            </w:r>
          </w:hyperlink>
        </w:p>
        <w:p w14:paraId="5EC9A17F" w14:textId="34F35C17" w:rsidR="00824155" w:rsidRDefault="00B648CD">
          <w:pPr>
            <w:pStyle w:val="TOC2"/>
            <w:tabs>
              <w:tab w:val="left" w:pos="1680"/>
            </w:tabs>
            <w:rPr>
              <w:rFonts w:asciiTheme="minorHAnsi" w:eastAsiaTheme="minorEastAsia" w:hAnsiTheme="minorHAnsi"/>
              <w:noProof/>
              <w:sz w:val="22"/>
              <w:lang w:val="en-ID" w:eastAsia="en-ID"/>
            </w:rPr>
          </w:pPr>
          <w:hyperlink w:anchor="_Toc223088871"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Resistensi dan Limitasi Penggunaan Cisplatin</w:t>
            </w:r>
            <w:r w:rsidR="00824155">
              <w:rPr>
                <w:noProof/>
                <w:webHidden/>
              </w:rPr>
              <w:tab/>
            </w:r>
            <w:r w:rsidR="00824155">
              <w:rPr>
                <w:noProof/>
                <w:webHidden/>
              </w:rPr>
              <w:fldChar w:fldCharType="begin"/>
            </w:r>
            <w:r w:rsidR="00824155">
              <w:rPr>
                <w:noProof/>
                <w:webHidden/>
              </w:rPr>
              <w:instrText xml:space="preserve"> PAGEREF _Toc223088871 \h </w:instrText>
            </w:r>
            <w:r w:rsidR="00824155">
              <w:rPr>
                <w:noProof/>
                <w:webHidden/>
              </w:rPr>
            </w:r>
            <w:r w:rsidR="00824155">
              <w:rPr>
                <w:noProof/>
                <w:webHidden/>
              </w:rPr>
              <w:fldChar w:fldCharType="separate"/>
            </w:r>
            <w:r w:rsidR="00725D88">
              <w:rPr>
                <w:noProof/>
                <w:webHidden/>
              </w:rPr>
              <w:t>24</w:t>
            </w:r>
            <w:r w:rsidR="00824155">
              <w:rPr>
                <w:noProof/>
                <w:webHidden/>
              </w:rPr>
              <w:fldChar w:fldCharType="end"/>
            </w:r>
          </w:hyperlink>
        </w:p>
        <w:p w14:paraId="78455E30" w14:textId="3B13C12F" w:rsidR="00824155" w:rsidRDefault="00B648CD">
          <w:pPr>
            <w:pStyle w:val="TOC2"/>
            <w:rPr>
              <w:rFonts w:asciiTheme="minorHAnsi" w:eastAsiaTheme="minorEastAsia" w:hAnsiTheme="minorHAnsi"/>
              <w:noProof/>
              <w:sz w:val="22"/>
              <w:lang w:val="en-ID" w:eastAsia="en-ID"/>
            </w:rPr>
          </w:pPr>
          <w:hyperlink w:anchor="_Toc223088872" w:history="1">
            <w:r w:rsidR="00824155" w:rsidRPr="00B11ED9">
              <w:rPr>
                <w:rStyle w:val="Hyperlink"/>
                <w:noProof/>
                <w:highlight w:val="yellow"/>
              </w:rPr>
              <w:t>KESIMPULAN</w:t>
            </w:r>
            <w:r w:rsidR="00824155">
              <w:rPr>
                <w:noProof/>
                <w:webHidden/>
              </w:rPr>
              <w:tab/>
            </w:r>
            <w:r w:rsidR="00824155">
              <w:rPr>
                <w:noProof/>
                <w:webHidden/>
              </w:rPr>
              <w:fldChar w:fldCharType="begin"/>
            </w:r>
            <w:r w:rsidR="00824155">
              <w:rPr>
                <w:noProof/>
                <w:webHidden/>
              </w:rPr>
              <w:instrText xml:space="preserve"> PAGEREF _Toc223088872 \h </w:instrText>
            </w:r>
            <w:r w:rsidR="00824155">
              <w:rPr>
                <w:noProof/>
                <w:webHidden/>
              </w:rPr>
            </w:r>
            <w:r w:rsidR="00824155">
              <w:rPr>
                <w:noProof/>
                <w:webHidden/>
              </w:rPr>
              <w:fldChar w:fldCharType="separate"/>
            </w:r>
            <w:r w:rsidR="00725D88">
              <w:rPr>
                <w:noProof/>
                <w:webHidden/>
              </w:rPr>
              <w:t>27</w:t>
            </w:r>
            <w:r w:rsidR="00824155">
              <w:rPr>
                <w:noProof/>
                <w:webHidden/>
              </w:rPr>
              <w:fldChar w:fldCharType="end"/>
            </w:r>
          </w:hyperlink>
        </w:p>
        <w:p w14:paraId="183B3FE4" w14:textId="5C863C93" w:rsidR="00824155" w:rsidRDefault="00B648CD">
          <w:pPr>
            <w:pStyle w:val="TOC2"/>
            <w:rPr>
              <w:rFonts w:asciiTheme="minorHAnsi" w:eastAsiaTheme="minorEastAsia" w:hAnsiTheme="minorHAnsi"/>
              <w:noProof/>
              <w:sz w:val="22"/>
              <w:lang w:val="en-ID" w:eastAsia="en-ID"/>
            </w:rPr>
          </w:pPr>
          <w:hyperlink w:anchor="_Toc223088873" w:history="1">
            <w:r w:rsidR="00824155" w:rsidRPr="00B11ED9">
              <w:rPr>
                <w:rStyle w:val="Hyperlink"/>
                <w:noProof/>
                <w:highlight w:val="yellow"/>
              </w:rPr>
              <w:t>GLOSARIUM</w:t>
            </w:r>
            <w:r w:rsidR="00824155">
              <w:rPr>
                <w:noProof/>
                <w:webHidden/>
              </w:rPr>
              <w:tab/>
            </w:r>
            <w:r w:rsidR="00824155">
              <w:rPr>
                <w:noProof/>
                <w:webHidden/>
              </w:rPr>
              <w:fldChar w:fldCharType="begin"/>
            </w:r>
            <w:r w:rsidR="00824155">
              <w:rPr>
                <w:noProof/>
                <w:webHidden/>
              </w:rPr>
              <w:instrText xml:space="preserve"> PAGEREF _Toc223088873 \h </w:instrText>
            </w:r>
            <w:r w:rsidR="00824155">
              <w:rPr>
                <w:noProof/>
                <w:webHidden/>
              </w:rPr>
            </w:r>
            <w:r w:rsidR="00824155">
              <w:rPr>
                <w:noProof/>
                <w:webHidden/>
              </w:rPr>
              <w:fldChar w:fldCharType="separate"/>
            </w:r>
            <w:r w:rsidR="00725D88">
              <w:rPr>
                <w:noProof/>
                <w:webHidden/>
              </w:rPr>
              <w:t>28</w:t>
            </w:r>
            <w:r w:rsidR="00824155">
              <w:rPr>
                <w:noProof/>
                <w:webHidden/>
              </w:rPr>
              <w:fldChar w:fldCharType="end"/>
            </w:r>
          </w:hyperlink>
        </w:p>
        <w:p w14:paraId="340EC966" w14:textId="2A3A59C8" w:rsidR="00824155" w:rsidRDefault="00B648CD">
          <w:pPr>
            <w:pStyle w:val="TOC2"/>
            <w:rPr>
              <w:rFonts w:asciiTheme="minorHAnsi" w:eastAsiaTheme="minorEastAsia" w:hAnsiTheme="minorHAnsi"/>
              <w:noProof/>
              <w:sz w:val="22"/>
              <w:lang w:val="en-ID" w:eastAsia="en-ID"/>
            </w:rPr>
          </w:pPr>
          <w:hyperlink w:anchor="_Toc223088874"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_Toc223088874 \h </w:instrText>
            </w:r>
            <w:r w:rsidR="00824155">
              <w:rPr>
                <w:noProof/>
                <w:webHidden/>
              </w:rPr>
            </w:r>
            <w:r w:rsidR="00824155">
              <w:rPr>
                <w:noProof/>
                <w:webHidden/>
              </w:rPr>
              <w:fldChar w:fldCharType="separate"/>
            </w:r>
            <w:r w:rsidR="00725D88">
              <w:rPr>
                <w:noProof/>
                <w:webHidden/>
              </w:rPr>
              <w:t>29</w:t>
            </w:r>
            <w:r w:rsidR="00824155">
              <w:rPr>
                <w:noProof/>
                <w:webHidden/>
              </w:rPr>
              <w:fldChar w:fldCharType="end"/>
            </w:r>
          </w:hyperlink>
        </w:p>
        <w:p w14:paraId="3651110B" w14:textId="72DB78CB" w:rsidR="00824155" w:rsidRDefault="00B648CD">
          <w:pPr>
            <w:pStyle w:val="TOC1"/>
            <w:rPr>
              <w:rFonts w:asciiTheme="minorHAnsi" w:eastAsiaTheme="minorEastAsia" w:hAnsiTheme="minorHAnsi"/>
              <w:b w:val="0"/>
              <w:sz w:val="22"/>
              <w:lang w:val="en-ID" w:eastAsia="en-ID"/>
            </w:rPr>
          </w:pPr>
          <w:hyperlink w:anchor="_Toc223088875"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3 </w:t>
            </w:r>
            <w:r w:rsidR="00824155">
              <w:rPr>
                <w:rFonts w:asciiTheme="minorHAnsi" w:eastAsiaTheme="minorEastAsia" w:hAnsiTheme="minorHAnsi"/>
                <w:b w:val="0"/>
                <w:sz w:val="22"/>
                <w:lang w:val="en-ID" w:eastAsia="en-ID"/>
              </w:rPr>
              <w:tab/>
            </w:r>
            <w:r w:rsidR="00824155" w:rsidRPr="00B11ED9">
              <w:rPr>
                <w:rStyle w:val="Hyperlink"/>
                <w:lang w:val="en-US"/>
              </w:rPr>
              <w:t>PATOFISIOLOGI MUKOSITIS ORAL INDUKSI KEMOTERAPI</w:t>
            </w:r>
            <w:r w:rsidR="00824155">
              <w:rPr>
                <w:webHidden/>
              </w:rPr>
              <w:tab/>
            </w:r>
            <w:r w:rsidR="00824155">
              <w:rPr>
                <w:webHidden/>
              </w:rPr>
              <w:fldChar w:fldCharType="begin"/>
            </w:r>
            <w:r w:rsidR="00824155">
              <w:rPr>
                <w:webHidden/>
              </w:rPr>
              <w:instrText xml:space="preserve"> PAGEREF _Toc223088875 \h </w:instrText>
            </w:r>
            <w:r w:rsidR="00824155">
              <w:rPr>
                <w:webHidden/>
              </w:rPr>
            </w:r>
            <w:r w:rsidR="00824155">
              <w:rPr>
                <w:webHidden/>
              </w:rPr>
              <w:fldChar w:fldCharType="separate"/>
            </w:r>
            <w:r w:rsidR="00725D88">
              <w:rPr>
                <w:webHidden/>
              </w:rPr>
              <w:t>31</w:t>
            </w:r>
            <w:r w:rsidR="00824155">
              <w:rPr>
                <w:webHidden/>
              </w:rPr>
              <w:fldChar w:fldCharType="end"/>
            </w:r>
          </w:hyperlink>
        </w:p>
        <w:p w14:paraId="5F07954E" w14:textId="2ABF47A5" w:rsidR="00824155" w:rsidRDefault="00B648CD">
          <w:pPr>
            <w:pStyle w:val="TOC2"/>
            <w:tabs>
              <w:tab w:val="left" w:pos="1680"/>
            </w:tabs>
            <w:rPr>
              <w:rFonts w:asciiTheme="minorHAnsi" w:eastAsiaTheme="minorEastAsia" w:hAnsiTheme="minorHAnsi"/>
              <w:noProof/>
              <w:sz w:val="22"/>
              <w:lang w:val="en-ID" w:eastAsia="en-ID"/>
            </w:rPr>
          </w:pPr>
          <w:hyperlink w:anchor="_Toc223088876"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_Toc223088876 \h </w:instrText>
            </w:r>
            <w:r w:rsidR="00824155">
              <w:rPr>
                <w:noProof/>
                <w:webHidden/>
              </w:rPr>
            </w:r>
            <w:r w:rsidR="00824155">
              <w:rPr>
                <w:noProof/>
                <w:webHidden/>
              </w:rPr>
              <w:fldChar w:fldCharType="separate"/>
            </w:r>
            <w:r w:rsidR="00725D88">
              <w:rPr>
                <w:noProof/>
                <w:webHidden/>
              </w:rPr>
              <w:t>31</w:t>
            </w:r>
            <w:r w:rsidR="00824155">
              <w:rPr>
                <w:noProof/>
                <w:webHidden/>
              </w:rPr>
              <w:fldChar w:fldCharType="end"/>
            </w:r>
          </w:hyperlink>
        </w:p>
        <w:p w14:paraId="40F7C806" w14:textId="4A9C2314" w:rsidR="00824155" w:rsidRDefault="00B648CD">
          <w:pPr>
            <w:pStyle w:val="TOC2"/>
            <w:tabs>
              <w:tab w:val="left" w:pos="1260"/>
            </w:tabs>
            <w:rPr>
              <w:rFonts w:asciiTheme="minorHAnsi" w:eastAsiaTheme="minorEastAsia" w:hAnsiTheme="minorHAnsi"/>
              <w:noProof/>
              <w:sz w:val="22"/>
              <w:lang w:val="en-ID" w:eastAsia="en-ID"/>
            </w:rPr>
          </w:pPr>
          <w:hyperlink w:anchor="_Toc223088877"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Definisi dan Klasifikasi Mukositis Oral</w:t>
            </w:r>
            <w:r w:rsidR="00824155">
              <w:rPr>
                <w:noProof/>
                <w:webHidden/>
              </w:rPr>
              <w:tab/>
            </w:r>
            <w:r w:rsidR="00824155">
              <w:rPr>
                <w:noProof/>
                <w:webHidden/>
              </w:rPr>
              <w:fldChar w:fldCharType="begin"/>
            </w:r>
            <w:r w:rsidR="00824155">
              <w:rPr>
                <w:noProof/>
                <w:webHidden/>
              </w:rPr>
              <w:instrText xml:space="preserve"> PAGEREF _Toc223088877 \h </w:instrText>
            </w:r>
            <w:r w:rsidR="00824155">
              <w:rPr>
                <w:noProof/>
                <w:webHidden/>
              </w:rPr>
            </w:r>
            <w:r w:rsidR="00824155">
              <w:rPr>
                <w:noProof/>
                <w:webHidden/>
              </w:rPr>
              <w:fldChar w:fldCharType="separate"/>
            </w:r>
            <w:r w:rsidR="00725D88">
              <w:rPr>
                <w:noProof/>
                <w:webHidden/>
              </w:rPr>
              <w:t>33</w:t>
            </w:r>
            <w:r w:rsidR="00824155">
              <w:rPr>
                <w:noProof/>
                <w:webHidden/>
              </w:rPr>
              <w:fldChar w:fldCharType="end"/>
            </w:r>
          </w:hyperlink>
        </w:p>
        <w:p w14:paraId="7CC15D3A" w14:textId="44B5E81B" w:rsidR="00824155" w:rsidRDefault="00B648CD">
          <w:pPr>
            <w:pStyle w:val="TOC2"/>
            <w:tabs>
              <w:tab w:val="left" w:pos="1680"/>
            </w:tabs>
            <w:rPr>
              <w:rFonts w:asciiTheme="minorHAnsi" w:eastAsiaTheme="minorEastAsia" w:hAnsiTheme="minorHAnsi"/>
              <w:noProof/>
              <w:sz w:val="22"/>
              <w:lang w:val="en-ID" w:eastAsia="en-ID"/>
            </w:rPr>
          </w:pPr>
          <w:hyperlink w:anchor="_Toc223088878"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Fase Inisiasi dan Respon Primer</w:t>
            </w:r>
            <w:r w:rsidR="00824155">
              <w:rPr>
                <w:noProof/>
                <w:webHidden/>
              </w:rPr>
              <w:tab/>
            </w:r>
            <w:r w:rsidR="00824155">
              <w:rPr>
                <w:noProof/>
                <w:webHidden/>
              </w:rPr>
              <w:fldChar w:fldCharType="begin"/>
            </w:r>
            <w:r w:rsidR="00824155">
              <w:rPr>
                <w:noProof/>
                <w:webHidden/>
              </w:rPr>
              <w:instrText xml:space="preserve"> PAGEREF _Toc223088878 \h </w:instrText>
            </w:r>
            <w:r w:rsidR="00824155">
              <w:rPr>
                <w:noProof/>
                <w:webHidden/>
              </w:rPr>
            </w:r>
            <w:r w:rsidR="00824155">
              <w:rPr>
                <w:noProof/>
                <w:webHidden/>
              </w:rPr>
              <w:fldChar w:fldCharType="separate"/>
            </w:r>
            <w:r w:rsidR="00725D88">
              <w:rPr>
                <w:noProof/>
                <w:webHidden/>
              </w:rPr>
              <w:t>36</w:t>
            </w:r>
            <w:r w:rsidR="00824155">
              <w:rPr>
                <w:noProof/>
                <w:webHidden/>
              </w:rPr>
              <w:fldChar w:fldCharType="end"/>
            </w:r>
          </w:hyperlink>
        </w:p>
        <w:p w14:paraId="21226C1D" w14:textId="490EAEBA" w:rsidR="00824155" w:rsidRDefault="00B648CD">
          <w:pPr>
            <w:pStyle w:val="TOC2"/>
            <w:tabs>
              <w:tab w:val="left" w:pos="1680"/>
            </w:tabs>
            <w:rPr>
              <w:rFonts w:asciiTheme="minorHAnsi" w:eastAsiaTheme="minorEastAsia" w:hAnsiTheme="minorHAnsi"/>
              <w:noProof/>
              <w:sz w:val="22"/>
              <w:lang w:val="en-ID" w:eastAsia="en-ID"/>
            </w:rPr>
          </w:pPr>
          <w:hyperlink w:anchor="_Toc223088879"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Dampak Sekunder pada Integritas Jaringan</w:t>
            </w:r>
            <w:r w:rsidR="00824155">
              <w:rPr>
                <w:noProof/>
                <w:webHidden/>
              </w:rPr>
              <w:tab/>
            </w:r>
            <w:r w:rsidR="00824155">
              <w:rPr>
                <w:noProof/>
                <w:webHidden/>
              </w:rPr>
              <w:fldChar w:fldCharType="begin"/>
            </w:r>
            <w:r w:rsidR="00824155">
              <w:rPr>
                <w:noProof/>
                <w:webHidden/>
              </w:rPr>
              <w:instrText xml:space="preserve"> PAGEREF _Toc223088879 \h </w:instrText>
            </w:r>
            <w:r w:rsidR="00824155">
              <w:rPr>
                <w:noProof/>
                <w:webHidden/>
              </w:rPr>
            </w:r>
            <w:r w:rsidR="00824155">
              <w:rPr>
                <w:noProof/>
                <w:webHidden/>
              </w:rPr>
              <w:fldChar w:fldCharType="separate"/>
            </w:r>
            <w:r w:rsidR="00725D88">
              <w:rPr>
                <w:noProof/>
                <w:webHidden/>
              </w:rPr>
              <w:t>38</w:t>
            </w:r>
            <w:r w:rsidR="00824155">
              <w:rPr>
                <w:noProof/>
                <w:webHidden/>
              </w:rPr>
              <w:fldChar w:fldCharType="end"/>
            </w:r>
          </w:hyperlink>
        </w:p>
        <w:p w14:paraId="409A59B2" w14:textId="09F2B9F7" w:rsidR="00824155" w:rsidRDefault="00B648CD">
          <w:pPr>
            <w:pStyle w:val="TOC2"/>
            <w:rPr>
              <w:rFonts w:asciiTheme="minorHAnsi" w:eastAsiaTheme="minorEastAsia" w:hAnsiTheme="minorHAnsi"/>
              <w:noProof/>
              <w:sz w:val="22"/>
              <w:lang w:val="en-ID" w:eastAsia="en-ID"/>
            </w:rPr>
          </w:pPr>
          <w:hyperlink w:anchor="_Toc223088880" w:history="1">
            <w:r w:rsidR="00824155" w:rsidRPr="00B11ED9">
              <w:rPr>
                <w:rStyle w:val="Hyperlink"/>
                <w:noProof/>
                <w:highlight w:val="yellow"/>
              </w:rPr>
              <w:t>KESIMPULAN</w:t>
            </w:r>
            <w:r w:rsidR="00824155">
              <w:rPr>
                <w:noProof/>
                <w:webHidden/>
              </w:rPr>
              <w:tab/>
            </w:r>
            <w:r w:rsidR="00824155">
              <w:rPr>
                <w:noProof/>
                <w:webHidden/>
              </w:rPr>
              <w:fldChar w:fldCharType="begin"/>
            </w:r>
            <w:r w:rsidR="00824155">
              <w:rPr>
                <w:noProof/>
                <w:webHidden/>
              </w:rPr>
              <w:instrText xml:space="preserve"> PAGEREF _Toc223088880 \h </w:instrText>
            </w:r>
            <w:r w:rsidR="00824155">
              <w:rPr>
                <w:noProof/>
                <w:webHidden/>
              </w:rPr>
            </w:r>
            <w:r w:rsidR="00824155">
              <w:rPr>
                <w:noProof/>
                <w:webHidden/>
              </w:rPr>
              <w:fldChar w:fldCharType="separate"/>
            </w:r>
            <w:r w:rsidR="00725D88">
              <w:rPr>
                <w:noProof/>
                <w:webHidden/>
              </w:rPr>
              <w:t>42</w:t>
            </w:r>
            <w:r w:rsidR="00824155">
              <w:rPr>
                <w:noProof/>
                <w:webHidden/>
              </w:rPr>
              <w:fldChar w:fldCharType="end"/>
            </w:r>
          </w:hyperlink>
        </w:p>
        <w:p w14:paraId="7C6FCE3D" w14:textId="68288B65" w:rsidR="00824155" w:rsidRDefault="00B648CD">
          <w:pPr>
            <w:pStyle w:val="TOC2"/>
            <w:rPr>
              <w:rFonts w:asciiTheme="minorHAnsi" w:eastAsiaTheme="minorEastAsia" w:hAnsiTheme="minorHAnsi"/>
              <w:noProof/>
              <w:sz w:val="22"/>
              <w:lang w:val="en-ID" w:eastAsia="en-ID"/>
            </w:rPr>
          </w:pPr>
          <w:hyperlink w:anchor="_Toc223088881" w:history="1">
            <w:r w:rsidR="00824155" w:rsidRPr="00B11ED9">
              <w:rPr>
                <w:rStyle w:val="Hyperlink"/>
                <w:bCs/>
                <w:noProof/>
                <w:highlight w:val="yellow"/>
                <w:lang w:val="en"/>
              </w:rPr>
              <w:t>GLOSARIUM</w:t>
            </w:r>
            <w:r w:rsidR="00824155">
              <w:rPr>
                <w:noProof/>
                <w:webHidden/>
              </w:rPr>
              <w:tab/>
            </w:r>
            <w:r w:rsidR="00824155">
              <w:rPr>
                <w:noProof/>
                <w:webHidden/>
              </w:rPr>
              <w:fldChar w:fldCharType="begin"/>
            </w:r>
            <w:r w:rsidR="00824155">
              <w:rPr>
                <w:noProof/>
                <w:webHidden/>
              </w:rPr>
              <w:instrText xml:space="preserve"> PAGEREF _Toc223088881 \h </w:instrText>
            </w:r>
            <w:r w:rsidR="00824155">
              <w:rPr>
                <w:noProof/>
                <w:webHidden/>
              </w:rPr>
            </w:r>
            <w:r w:rsidR="00824155">
              <w:rPr>
                <w:noProof/>
                <w:webHidden/>
              </w:rPr>
              <w:fldChar w:fldCharType="separate"/>
            </w:r>
            <w:r w:rsidR="00725D88">
              <w:rPr>
                <w:noProof/>
                <w:webHidden/>
              </w:rPr>
              <w:t>43</w:t>
            </w:r>
            <w:r w:rsidR="00824155">
              <w:rPr>
                <w:noProof/>
                <w:webHidden/>
              </w:rPr>
              <w:fldChar w:fldCharType="end"/>
            </w:r>
          </w:hyperlink>
        </w:p>
        <w:p w14:paraId="6847EC6C" w14:textId="0B918F42" w:rsidR="00824155" w:rsidRDefault="00B648CD">
          <w:pPr>
            <w:pStyle w:val="TOC2"/>
            <w:rPr>
              <w:rFonts w:asciiTheme="minorHAnsi" w:eastAsiaTheme="minorEastAsia" w:hAnsiTheme="minorHAnsi"/>
              <w:noProof/>
              <w:sz w:val="22"/>
              <w:lang w:val="en-ID" w:eastAsia="en-ID"/>
            </w:rPr>
          </w:pPr>
          <w:hyperlink w:anchor="_Toc223088882"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_Toc223088882 \h </w:instrText>
            </w:r>
            <w:r w:rsidR="00824155">
              <w:rPr>
                <w:noProof/>
                <w:webHidden/>
              </w:rPr>
            </w:r>
            <w:r w:rsidR="00824155">
              <w:rPr>
                <w:noProof/>
                <w:webHidden/>
              </w:rPr>
              <w:fldChar w:fldCharType="separate"/>
            </w:r>
            <w:r w:rsidR="00725D88">
              <w:rPr>
                <w:noProof/>
                <w:webHidden/>
              </w:rPr>
              <w:t>44</w:t>
            </w:r>
            <w:r w:rsidR="00824155">
              <w:rPr>
                <w:noProof/>
                <w:webHidden/>
              </w:rPr>
              <w:fldChar w:fldCharType="end"/>
            </w:r>
          </w:hyperlink>
        </w:p>
        <w:p w14:paraId="2A45EB97" w14:textId="084BE4D1" w:rsidR="00824155" w:rsidRDefault="00B648CD">
          <w:pPr>
            <w:pStyle w:val="TOC1"/>
            <w:rPr>
              <w:rFonts w:asciiTheme="minorHAnsi" w:eastAsiaTheme="minorEastAsia" w:hAnsiTheme="minorHAnsi"/>
              <w:b w:val="0"/>
              <w:sz w:val="22"/>
              <w:lang w:val="en-ID" w:eastAsia="en-ID"/>
            </w:rPr>
          </w:pPr>
          <w:hyperlink w:anchor="_Toc223088883"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4 </w:t>
            </w:r>
            <w:r w:rsidR="00824155">
              <w:rPr>
                <w:rFonts w:asciiTheme="minorHAnsi" w:eastAsiaTheme="minorEastAsia" w:hAnsiTheme="minorHAnsi"/>
                <w:b w:val="0"/>
                <w:sz w:val="22"/>
                <w:lang w:val="en-ID" w:eastAsia="en-ID"/>
              </w:rPr>
              <w:tab/>
            </w:r>
            <w:r w:rsidR="00824155" w:rsidRPr="00B11ED9">
              <w:rPr>
                <w:rStyle w:val="Hyperlink"/>
                <w:lang w:val="en-US"/>
              </w:rPr>
              <w:t>PERAN RADIKAL BEBAS DALAM KERUSAKAN JARINGAN MUKOSA</w:t>
            </w:r>
            <w:r w:rsidR="00824155">
              <w:rPr>
                <w:webHidden/>
              </w:rPr>
              <w:tab/>
            </w:r>
            <w:r w:rsidR="00824155">
              <w:rPr>
                <w:webHidden/>
              </w:rPr>
              <w:fldChar w:fldCharType="begin"/>
            </w:r>
            <w:r w:rsidR="00824155">
              <w:rPr>
                <w:webHidden/>
              </w:rPr>
              <w:instrText xml:space="preserve"> PAGEREF _Toc223088883 \h </w:instrText>
            </w:r>
            <w:r w:rsidR="00824155">
              <w:rPr>
                <w:webHidden/>
              </w:rPr>
            </w:r>
            <w:r w:rsidR="00824155">
              <w:rPr>
                <w:webHidden/>
              </w:rPr>
              <w:fldChar w:fldCharType="separate"/>
            </w:r>
            <w:r w:rsidR="00725D88">
              <w:rPr>
                <w:webHidden/>
              </w:rPr>
              <w:t>47</w:t>
            </w:r>
            <w:r w:rsidR="00824155">
              <w:rPr>
                <w:webHidden/>
              </w:rPr>
              <w:fldChar w:fldCharType="end"/>
            </w:r>
          </w:hyperlink>
        </w:p>
        <w:p w14:paraId="576BB919" w14:textId="2C573859" w:rsidR="00824155" w:rsidRDefault="00B648CD">
          <w:pPr>
            <w:pStyle w:val="TOC2"/>
            <w:tabs>
              <w:tab w:val="left" w:pos="1680"/>
            </w:tabs>
            <w:rPr>
              <w:rFonts w:asciiTheme="minorHAnsi" w:eastAsiaTheme="minorEastAsia" w:hAnsiTheme="minorHAnsi"/>
              <w:noProof/>
              <w:sz w:val="22"/>
              <w:lang w:val="en-ID" w:eastAsia="en-ID"/>
            </w:rPr>
          </w:pPr>
          <w:hyperlink w:anchor="_Toc223088884"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_Toc223088884 \h </w:instrText>
            </w:r>
            <w:r w:rsidR="00824155">
              <w:rPr>
                <w:noProof/>
                <w:webHidden/>
              </w:rPr>
            </w:r>
            <w:r w:rsidR="00824155">
              <w:rPr>
                <w:noProof/>
                <w:webHidden/>
              </w:rPr>
              <w:fldChar w:fldCharType="separate"/>
            </w:r>
            <w:r w:rsidR="00725D88">
              <w:rPr>
                <w:noProof/>
                <w:webHidden/>
              </w:rPr>
              <w:t>47</w:t>
            </w:r>
            <w:r w:rsidR="00824155">
              <w:rPr>
                <w:noProof/>
                <w:webHidden/>
              </w:rPr>
              <w:fldChar w:fldCharType="end"/>
            </w:r>
          </w:hyperlink>
        </w:p>
        <w:p w14:paraId="5AA8EB97" w14:textId="4F68013F" w:rsidR="00824155" w:rsidRDefault="00B648CD">
          <w:pPr>
            <w:pStyle w:val="TOC2"/>
            <w:tabs>
              <w:tab w:val="left" w:pos="1260"/>
            </w:tabs>
            <w:rPr>
              <w:rFonts w:asciiTheme="minorHAnsi" w:eastAsiaTheme="minorEastAsia" w:hAnsiTheme="minorHAnsi"/>
              <w:noProof/>
              <w:sz w:val="22"/>
              <w:lang w:val="en-ID" w:eastAsia="en-ID"/>
            </w:rPr>
          </w:pPr>
          <w:hyperlink w:anchor="_Toc223088885"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Sumber Stress Oksidatif Akibat Cisplatin</w:t>
            </w:r>
            <w:r w:rsidR="00824155">
              <w:rPr>
                <w:noProof/>
                <w:webHidden/>
              </w:rPr>
              <w:tab/>
            </w:r>
            <w:r w:rsidR="00824155">
              <w:rPr>
                <w:noProof/>
                <w:webHidden/>
              </w:rPr>
              <w:fldChar w:fldCharType="begin"/>
            </w:r>
            <w:r w:rsidR="00824155">
              <w:rPr>
                <w:noProof/>
                <w:webHidden/>
              </w:rPr>
              <w:instrText xml:space="preserve"> PAGEREF _Toc223088885 \h </w:instrText>
            </w:r>
            <w:r w:rsidR="00824155">
              <w:rPr>
                <w:noProof/>
                <w:webHidden/>
              </w:rPr>
            </w:r>
            <w:r w:rsidR="00824155">
              <w:rPr>
                <w:noProof/>
                <w:webHidden/>
              </w:rPr>
              <w:fldChar w:fldCharType="separate"/>
            </w:r>
            <w:r w:rsidR="00725D88">
              <w:rPr>
                <w:noProof/>
                <w:webHidden/>
              </w:rPr>
              <w:t>49</w:t>
            </w:r>
            <w:r w:rsidR="00824155">
              <w:rPr>
                <w:noProof/>
                <w:webHidden/>
              </w:rPr>
              <w:fldChar w:fldCharType="end"/>
            </w:r>
          </w:hyperlink>
        </w:p>
        <w:p w14:paraId="1D62F532" w14:textId="249FF9D8" w:rsidR="00824155" w:rsidRDefault="00B648CD">
          <w:pPr>
            <w:pStyle w:val="TOC2"/>
            <w:tabs>
              <w:tab w:val="left" w:pos="1680"/>
            </w:tabs>
            <w:rPr>
              <w:rFonts w:asciiTheme="minorHAnsi" w:eastAsiaTheme="minorEastAsia" w:hAnsiTheme="minorHAnsi"/>
              <w:noProof/>
              <w:sz w:val="22"/>
              <w:lang w:val="en-ID" w:eastAsia="en-ID"/>
            </w:rPr>
          </w:pPr>
          <w:hyperlink w:anchor="_Toc223088886"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Biomarker Stress Oksidatif pada Mukositis</w:t>
            </w:r>
            <w:r w:rsidR="00824155">
              <w:rPr>
                <w:noProof/>
                <w:webHidden/>
              </w:rPr>
              <w:tab/>
            </w:r>
            <w:r w:rsidR="00824155">
              <w:rPr>
                <w:noProof/>
                <w:webHidden/>
              </w:rPr>
              <w:fldChar w:fldCharType="begin"/>
            </w:r>
            <w:r w:rsidR="00824155">
              <w:rPr>
                <w:noProof/>
                <w:webHidden/>
              </w:rPr>
              <w:instrText xml:space="preserve"> PAGEREF _Toc223088886 \h </w:instrText>
            </w:r>
            <w:r w:rsidR="00824155">
              <w:rPr>
                <w:noProof/>
                <w:webHidden/>
              </w:rPr>
            </w:r>
            <w:r w:rsidR="00824155">
              <w:rPr>
                <w:noProof/>
                <w:webHidden/>
              </w:rPr>
              <w:fldChar w:fldCharType="separate"/>
            </w:r>
            <w:r w:rsidR="00725D88">
              <w:rPr>
                <w:noProof/>
                <w:webHidden/>
              </w:rPr>
              <w:t>51</w:t>
            </w:r>
            <w:r w:rsidR="00824155">
              <w:rPr>
                <w:noProof/>
                <w:webHidden/>
              </w:rPr>
              <w:fldChar w:fldCharType="end"/>
            </w:r>
          </w:hyperlink>
        </w:p>
        <w:p w14:paraId="786543DF" w14:textId="50E7282B" w:rsidR="00824155" w:rsidRDefault="00B648CD">
          <w:pPr>
            <w:pStyle w:val="TOC2"/>
            <w:tabs>
              <w:tab w:val="left" w:pos="1680"/>
            </w:tabs>
            <w:rPr>
              <w:rFonts w:asciiTheme="minorHAnsi" w:eastAsiaTheme="minorEastAsia" w:hAnsiTheme="minorHAnsi"/>
              <w:noProof/>
              <w:sz w:val="22"/>
              <w:lang w:val="en-ID" w:eastAsia="en-ID"/>
            </w:rPr>
          </w:pPr>
          <w:hyperlink w:anchor="_Toc223088887"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Strategi Antioksidan dalam Terapi Suportif</w:t>
            </w:r>
            <w:r w:rsidR="00824155">
              <w:rPr>
                <w:noProof/>
                <w:webHidden/>
              </w:rPr>
              <w:tab/>
            </w:r>
            <w:r w:rsidR="00824155">
              <w:rPr>
                <w:noProof/>
                <w:webHidden/>
              </w:rPr>
              <w:fldChar w:fldCharType="begin"/>
            </w:r>
            <w:r w:rsidR="00824155">
              <w:rPr>
                <w:noProof/>
                <w:webHidden/>
              </w:rPr>
              <w:instrText xml:space="preserve"> PAGEREF _Toc223088887 \h </w:instrText>
            </w:r>
            <w:r w:rsidR="00824155">
              <w:rPr>
                <w:noProof/>
                <w:webHidden/>
              </w:rPr>
            </w:r>
            <w:r w:rsidR="00824155">
              <w:rPr>
                <w:noProof/>
                <w:webHidden/>
              </w:rPr>
              <w:fldChar w:fldCharType="separate"/>
            </w:r>
            <w:r w:rsidR="00725D88">
              <w:rPr>
                <w:noProof/>
                <w:webHidden/>
              </w:rPr>
              <w:t>54</w:t>
            </w:r>
            <w:r w:rsidR="00824155">
              <w:rPr>
                <w:noProof/>
                <w:webHidden/>
              </w:rPr>
              <w:fldChar w:fldCharType="end"/>
            </w:r>
          </w:hyperlink>
        </w:p>
        <w:p w14:paraId="5FE9B181" w14:textId="55855950" w:rsidR="00824155" w:rsidRDefault="00B648CD">
          <w:pPr>
            <w:pStyle w:val="TOC2"/>
            <w:rPr>
              <w:rFonts w:asciiTheme="minorHAnsi" w:eastAsiaTheme="minorEastAsia" w:hAnsiTheme="minorHAnsi"/>
              <w:noProof/>
              <w:sz w:val="22"/>
              <w:lang w:val="en-ID" w:eastAsia="en-ID"/>
            </w:rPr>
          </w:pPr>
          <w:hyperlink w:anchor="_Toc223088888" w:history="1">
            <w:r w:rsidR="00824155" w:rsidRPr="00B11ED9">
              <w:rPr>
                <w:rStyle w:val="Hyperlink"/>
                <w:noProof/>
                <w:highlight w:val="yellow"/>
              </w:rPr>
              <w:t>KESIMPULAN</w:t>
            </w:r>
            <w:r w:rsidR="00824155">
              <w:rPr>
                <w:noProof/>
                <w:webHidden/>
              </w:rPr>
              <w:tab/>
            </w:r>
            <w:r w:rsidR="00824155">
              <w:rPr>
                <w:noProof/>
                <w:webHidden/>
              </w:rPr>
              <w:fldChar w:fldCharType="begin"/>
            </w:r>
            <w:r w:rsidR="00824155">
              <w:rPr>
                <w:noProof/>
                <w:webHidden/>
              </w:rPr>
              <w:instrText xml:space="preserve"> PAGEREF _Toc223088888 \h </w:instrText>
            </w:r>
            <w:r w:rsidR="00824155">
              <w:rPr>
                <w:noProof/>
                <w:webHidden/>
              </w:rPr>
            </w:r>
            <w:r w:rsidR="00824155">
              <w:rPr>
                <w:noProof/>
                <w:webHidden/>
              </w:rPr>
              <w:fldChar w:fldCharType="separate"/>
            </w:r>
            <w:r w:rsidR="00725D88">
              <w:rPr>
                <w:noProof/>
                <w:webHidden/>
              </w:rPr>
              <w:t>58</w:t>
            </w:r>
            <w:r w:rsidR="00824155">
              <w:rPr>
                <w:noProof/>
                <w:webHidden/>
              </w:rPr>
              <w:fldChar w:fldCharType="end"/>
            </w:r>
          </w:hyperlink>
        </w:p>
        <w:p w14:paraId="234B867E" w14:textId="235E0336" w:rsidR="00824155" w:rsidRDefault="00B648CD">
          <w:pPr>
            <w:pStyle w:val="TOC2"/>
            <w:rPr>
              <w:rFonts w:asciiTheme="minorHAnsi" w:eastAsiaTheme="minorEastAsia" w:hAnsiTheme="minorHAnsi"/>
              <w:noProof/>
              <w:sz w:val="22"/>
              <w:lang w:val="en-ID" w:eastAsia="en-ID"/>
            </w:rPr>
          </w:pPr>
          <w:hyperlink w:anchor="_Toc223088889" w:history="1">
            <w:r w:rsidR="00824155" w:rsidRPr="00B11ED9">
              <w:rPr>
                <w:rStyle w:val="Hyperlink"/>
                <w:noProof/>
                <w:highlight w:val="yellow"/>
              </w:rPr>
              <w:t>GLOSARIUM</w:t>
            </w:r>
            <w:r w:rsidR="00824155">
              <w:rPr>
                <w:noProof/>
                <w:webHidden/>
              </w:rPr>
              <w:tab/>
            </w:r>
            <w:r w:rsidR="00824155">
              <w:rPr>
                <w:noProof/>
                <w:webHidden/>
              </w:rPr>
              <w:fldChar w:fldCharType="begin"/>
            </w:r>
            <w:r w:rsidR="00824155">
              <w:rPr>
                <w:noProof/>
                <w:webHidden/>
              </w:rPr>
              <w:instrText xml:space="preserve"> PAGEREF _Toc223088889 \h </w:instrText>
            </w:r>
            <w:r w:rsidR="00824155">
              <w:rPr>
                <w:noProof/>
                <w:webHidden/>
              </w:rPr>
            </w:r>
            <w:r w:rsidR="00824155">
              <w:rPr>
                <w:noProof/>
                <w:webHidden/>
              </w:rPr>
              <w:fldChar w:fldCharType="separate"/>
            </w:r>
            <w:r w:rsidR="00725D88">
              <w:rPr>
                <w:noProof/>
                <w:webHidden/>
              </w:rPr>
              <w:t>59</w:t>
            </w:r>
            <w:r w:rsidR="00824155">
              <w:rPr>
                <w:noProof/>
                <w:webHidden/>
              </w:rPr>
              <w:fldChar w:fldCharType="end"/>
            </w:r>
          </w:hyperlink>
        </w:p>
        <w:p w14:paraId="23736771" w14:textId="74E0E0B2" w:rsidR="00824155" w:rsidRDefault="00B648CD">
          <w:pPr>
            <w:pStyle w:val="TOC2"/>
            <w:rPr>
              <w:rFonts w:asciiTheme="minorHAnsi" w:eastAsiaTheme="minorEastAsia" w:hAnsiTheme="minorHAnsi"/>
              <w:noProof/>
              <w:sz w:val="22"/>
              <w:lang w:val="en-ID" w:eastAsia="en-ID"/>
            </w:rPr>
          </w:pPr>
          <w:hyperlink w:anchor="_Toc223088890"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_Toc223088890 \h </w:instrText>
            </w:r>
            <w:r w:rsidR="00824155">
              <w:rPr>
                <w:noProof/>
                <w:webHidden/>
              </w:rPr>
            </w:r>
            <w:r w:rsidR="00824155">
              <w:rPr>
                <w:noProof/>
                <w:webHidden/>
              </w:rPr>
              <w:fldChar w:fldCharType="separate"/>
            </w:r>
            <w:r w:rsidR="00725D88">
              <w:rPr>
                <w:noProof/>
                <w:webHidden/>
              </w:rPr>
              <w:t>60</w:t>
            </w:r>
            <w:r w:rsidR="00824155">
              <w:rPr>
                <w:noProof/>
                <w:webHidden/>
              </w:rPr>
              <w:fldChar w:fldCharType="end"/>
            </w:r>
          </w:hyperlink>
        </w:p>
        <w:p w14:paraId="1D542176" w14:textId="4243DE1C" w:rsidR="00824155" w:rsidRDefault="00B648CD">
          <w:pPr>
            <w:pStyle w:val="TOC1"/>
            <w:rPr>
              <w:rFonts w:asciiTheme="minorHAnsi" w:eastAsiaTheme="minorEastAsia" w:hAnsiTheme="minorHAnsi"/>
              <w:b w:val="0"/>
              <w:sz w:val="22"/>
              <w:lang w:val="en-ID" w:eastAsia="en-ID"/>
            </w:rPr>
          </w:pPr>
          <w:hyperlink w:anchor="_Toc223088891"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5 </w:t>
            </w:r>
            <w:r w:rsidR="00824155">
              <w:rPr>
                <w:rFonts w:asciiTheme="minorHAnsi" w:eastAsiaTheme="minorEastAsia" w:hAnsiTheme="minorHAnsi"/>
                <w:b w:val="0"/>
                <w:sz w:val="22"/>
                <w:lang w:val="en-ID" w:eastAsia="en-ID"/>
              </w:rPr>
              <w:tab/>
            </w:r>
            <w:r w:rsidR="00824155" w:rsidRPr="00B11ED9">
              <w:rPr>
                <w:rStyle w:val="Hyperlink"/>
                <w:lang w:val="en-US"/>
              </w:rPr>
              <w:t>PENGEMBANGAN MODEL HEWAN COBA MUKOSITIS ORAL</w:t>
            </w:r>
            <w:r w:rsidR="00824155">
              <w:rPr>
                <w:webHidden/>
              </w:rPr>
              <w:tab/>
            </w:r>
            <w:r w:rsidR="00824155">
              <w:rPr>
                <w:webHidden/>
              </w:rPr>
              <w:fldChar w:fldCharType="begin"/>
            </w:r>
            <w:r w:rsidR="00824155">
              <w:rPr>
                <w:webHidden/>
              </w:rPr>
              <w:instrText xml:space="preserve"> PAGEREF _Toc223088891 \h </w:instrText>
            </w:r>
            <w:r w:rsidR="00824155">
              <w:rPr>
                <w:webHidden/>
              </w:rPr>
            </w:r>
            <w:r w:rsidR="00824155">
              <w:rPr>
                <w:webHidden/>
              </w:rPr>
              <w:fldChar w:fldCharType="separate"/>
            </w:r>
            <w:r w:rsidR="00725D88">
              <w:rPr>
                <w:webHidden/>
              </w:rPr>
              <w:t>63</w:t>
            </w:r>
            <w:r w:rsidR="00824155">
              <w:rPr>
                <w:webHidden/>
              </w:rPr>
              <w:fldChar w:fldCharType="end"/>
            </w:r>
          </w:hyperlink>
        </w:p>
        <w:p w14:paraId="3F946351" w14:textId="3939512A" w:rsidR="00824155" w:rsidRDefault="00B648CD">
          <w:pPr>
            <w:pStyle w:val="TOC2"/>
            <w:tabs>
              <w:tab w:val="left" w:pos="1680"/>
            </w:tabs>
            <w:rPr>
              <w:rFonts w:asciiTheme="minorHAnsi" w:eastAsiaTheme="minorEastAsia" w:hAnsiTheme="minorHAnsi"/>
              <w:noProof/>
              <w:sz w:val="22"/>
              <w:lang w:val="en-ID" w:eastAsia="en-ID"/>
            </w:rPr>
          </w:pPr>
          <w:hyperlink w:anchor="_Toc223088892"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_Toc223088892 \h </w:instrText>
            </w:r>
            <w:r w:rsidR="00824155">
              <w:rPr>
                <w:noProof/>
                <w:webHidden/>
              </w:rPr>
            </w:r>
            <w:r w:rsidR="00824155">
              <w:rPr>
                <w:noProof/>
                <w:webHidden/>
              </w:rPr>
              <w:fldChar w:fldCharType="separate"/>
            </w:r>
            <w:r w:rsidR="00725D88">
              <w:rPr>
                <w:noProof/>
                <w:webHidden/>
              </w:rPr>
              <w:t>63</w:t>
            </w:r>
            <w:r w:rsidR="00824155">
              <w:rPr>
                <w:noProof/>
                <w:webHidden/>
              </w:rPr>
              <w:fldChar w:fldCharType="end"/>
            </w:r>
          </w:hyperlink>
        </w:p>
        <w:p w14:paraId="3AB2DDC9" w14:textId="73CCB7B8" w:rsidR="00824155" w:rsidRDefault="00B648CD">
          <w:pPr>
            <w:pStyle w:val="TOC2"/>
            <w:tabs>
              <w:tab w:val="left" w:pos="1260"/>
            </w:tabs>
            <w:rPr>
              <w:rFonts w:asciiTheme="minorHAnsi" w:eastAsiaTheme="minorEastAsia" w:hAnsiTheme="minorHAnsi"/>
              <w:noProof/>
              <w:sz w:val="22"/>
              <w:lang w:val="en-ID" w:eastAsia="en-ID"/>
            </w:rPr>
          </w:pPr>
          <w:hyperlink w:anchor="_Toc223088893"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Pemilihan Spesies dan Strain Tikus Wistar</w:t>
            </w:r>
            <w:r w:rsidR="00824155">
              <w:rPr>
                <w:noProof/>
                <w:webHidden/>
              </w:rPr>
              <w:tab/>
            </w:r>
            <w:r w:rsidR="00824155">
              <w:rPr>
                <w:noProof/>
                <w:webHidden/>
              </w:rPr>
              <w:fldChar w:fldCharType="begin"/>
            </w:r>
            <w:r w:rsidR="00824155">
              <w:rPr>
                <w:noProof/>
                <w:webHidden/>
              </w:rPr>
              <w:instrText xml:space="preserve"> PAGEREF _Toc223088893 \h </w:instrText>
            </w:r>
            <w:r w:rsidR="00824155">
              <w:rPr>
                <w:noProof/>
                <w:webHidden/>
              </w:rPr>
            </w:r>
            <w:r w:rsidR="00824155">
              <w:rPr>
                <w:noProof/>
                <w:webHidden/>
              </w:rPr>
              <w:fldChar w:fldCharType="separate"/>
            </w:r>
            <w:r w:rsidR="00725D88">
              <w:rPr>
                <w:noProof/>
                <w:webHidden/>
              </w:rPr>
              <w:t>65</w:t>
            </w:r>
            <w:r w:rsidR="00824155">
              <w:rPr>
                <w:noProof/>
                <w:webHidden/>
              </w:rPr>
              <w:fldChar w:fldCharType="end"/>
            </w:r>
          </w:hyperlink>
        </w:p>
        <w:p w14:paraId="7AF34D2B" w14:textId="16BF70BF" w:rsidR="00824155" w:rsidRDefault="00B648CD">
          <w:pPr>
            <w:pStyle w:val="TOC2"/>
            <w:tabs>
              <w:tab w:val="left" w:pos="1680"/>
            </w:tabs>
            <w:rPr>
              <w:rFonts w:asciiTheme="minorHAnsi" w:eastAsiaTheme="minorEastAsia" w:hAnsiTheme="minorHAnsi"/>
              <w:noProof/>
              <w:sz w:val="22"/>
              <w:lang w:val="en-ID" w:eastAsia="en-ID"/>
            </w:rPr>
          </w:pPr>
          <w:hyperlink w:anchor="_Toc223088894"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Teknik Induksi Mukositis dengan Cisplatin</w:t>
            </w:r>
            <w:r w:rsidR="00824155">
              <w:rPr>
                <w:noProof/>
                <w:webHidden/>
              </w:rPr>
              <w:tab/>
            </w:r>
            <w:r w:rsidR="00824155">
              <w:rPr>
                <w:noProof/>
                <w:webHidden/>
              </w:rPr>
              <w:fldChar w:fldCharType="begin"/>
            </w:r>
            <w:r w:rsidR="00824155">
              <w:rPr>
                <w:noProof/>
                <w:webHidden/>
              </w:rPr>
              <w:instrText xml:space="preserve"> PAGEREF _Toc223088894 \h </w:instrText>
            </w:r>
            <w:r w:rsidR="00824155">
              <w:rPr>
                <w:noProof/>
                <w:webHidden/>
              </w:rPr>
            </w:r>
            <w:r w:rsidR="00824155">
              <w:rPr>
                <w:noProof/>
                <w:webHidden/>
              </w:rPr>
              <w:fldChar w:fldCharType="separate"/>
            </w:r>
            <w:r w:rsidR="00725D88">
              <w:rPr>
                <w:noProof/>
                <w:webHidden/>
              </w:rPr>
              <w:t>68</w:t>
            </w:r>
            <w:r w:rsidR="00824155">
              <w:rPr>
                <w:noProof/>
                <w:webHidden/>
              </w:rPr>
              <w:fldChar w:fldCharType="end"/>
            </w:r>
          </w:hyperlink>
        </w:p>
        <w:p w14:paraId="62E47310" w14:textId="5F8670FF" w:rsidR="00824155" w:rsidRDefault="00B648CD">
          <w:pPr>
            <w:pStyle w:val="TOC2"/>
            <w:tabs>
              <w:tab w:val="left" w:pos="1680"/>
            </w:tabs>
            <w:rPr>
              <w:rFonts w:asciiTheme="minorHAnsi" w:eastAsiaTheme="minorEastAsia" w:hAnsiTheme="minorHAnsi"/>
              <w:noProof/>
              <w:sz w:val="22"/>
              <w:lang w:val="en-ID" w:eastAsia="en-ID"/>
            </w:rPr>
          </w:pPr>
          <w:hyperlink w:anchor="_Toc223088895"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Validasi Model Mukositis Oral</w:t>
            </w:r>
            <w:r w:rsidR="00824155">
              <w:rPr>
                <w:noProof/>
                <w:webHidden/>
              </w:rPr>
              <w:tab/>
            </w:r>
            <w:r w:rsidR="00824155">
              <w:rPr>
                <w:noProof/>
                <w:webHidden/>
              </w:rPr>
              <w:fldChar w:fldCharType="begin"/>
            </w:r>
            <w:r w:rsidR="00824155">
              <w:rPr>
                <w:noProof/>
                <w:webHidden/>
              </w:rPr>
              <w:instrText xml:space="preserve"> PAGEREF _Toc223088895 \h </w:instrText>
            </w:r>
            <w:r w:rsidR="00824155">
              <w:rPr>
                <w:noProof/>
                <w:webHidden/>
              </w:rPr>
            </w:r>
            <w:r w:rsidR="00824155">
              <w:rPr>
                <w:noProof/>
                <w:webHidden/>
              </w:rPr>
              <w:fldChar w:fldCharType="separate"/>
            </w:r>
            <w:r w:rsidR="00725D88">
              <w:rPr>
                <w:noProof/>
                <w:webHidden/>
              </w:rPr>
              <w:t>70</w:t>
            </w:r>
            <w:r w:rsidR="00824155">
              <w:rPr>
                <w:noProof/>
                <w:webHidden/>
              </w:rPr>
              <w:fldChar w:fldCharType="end"/>
            </w:r>
          </w:hyperlink>
        </w:p>
        <w:p w14:paraId="711F242C" w14:textId="63C2690C" w:rsidR="00824155" w:rsidRDefault="00B648CD">
          <w:pPr>
            <w:pStyle w:val="TOC2"/>
            <w:rPr>
              <w:rFonts w:asciiTheme="minorHAnsi" w:eastAsiaTheme="minorEastAsia" w:hAnsiTheme="minorHAnsi"/>
              <w:noProof/>
              <w:sz w:val="22"/>
              <w:lang w:val="en-ID" w:eastAsia="en-ID"/>
            </w:rPr>
          </w:pPr>
          <w:hyperlink w:anchor="_Toc223088896" w:history="1">
            <w:r w:rsidR="00824155" w:rsidRPr="00B11ED9">
              <w:rPr>
                <w:rStyle w:val="Hyperlink"/>
                <w:noProof/>
                <w:highlight w:val="yellow"/>
              </w:rPr>
              <w:t>KESIMPULAN</w:t>
            </w:r>
            <w:r w:rsidR="00824155">
              <w:rPr>
                <w:noProof/>
                <w:webHidden/>
              </w:rPr>
              <w:tab/>
            </w:r>
            <w:r w:rsidR="00824155">
              <w:rPr>
                <w:noProof/>
                <w:webHidden/>
              </w:rPr>
              <w:fldChar w:fldCharType="begin"/>
            </w:r>
            <w:r w:rsidR="00824155">
              <w:rPr>
                <w:noProof/>
                <w:webHidden/>
              </w:rPr>
              <w:instrText xml:space="preserve"> PAGEREF _Toc223088896 \h </w:instrText>
            </w:r>
            <w:r w:rsidR="00824155">
              <w:rPr>
                <w:noProof/>
                <w:webHidden/>
              </w:rPr>
            </w:r>
            <w:r w:rsidR="00824155">
              <w:rPr>
                <w:noProof/>
                <w:webHidden/>
              </w:rPr>
              <w:fldChar w:fldCharType="separate"/>
            </w:r>
            <w:r w:rsidR="00725D88">
              <w:rPr>
                <w:noProof/>
                <w:webHidden/>
              </w:rPr>
              <w:t>74</w:t>
            </w:r>
            <w:r w:rsidR="00824155">
              <w:rPr>
                <w:noProof/>
                <w:webHidden/>
              </w:rPr>
              <w:fldChar w:fldCharType="end"/>
            </w:r>
          </w:hyperlink>
        </w:p>
        <w:p w14:paraId="52BB9362" w14:textId="5378588B" w:rsidR="00824155" w:rsidRDefault="00B648CD">
          <w:pPr>
            <w:pStyle w:val="TOC2"/>
            <w:rPr>
              <w:rFonts w:asciiTheme="minorHAnsi" w:eastAsiaTheme="minorEastAsia" w:hAnsiTheme="minorHAnsi"/>
              <w:noProof/>
              <w:sz w:val="22"/>
              <w:lang w:val="en-ID" w:eastAsia="en-ID"/>
            </w:rPr>
          </w:pPr>
          <w:hyperlink w:anchor="_Toc223088897" w:history="1">
            <w:r w:rsidR="00824155" w:rsidRPr="00B11ED9">
              <w:rPr>
                <w:rStyle w:val="Hyperlink"/>
                <w:bCs/>
                <w:noProof/>
                <w:highlight w:val="yellow"/>
                <w:lang w:val="en"/>
              </w:rPr>
              <w:t>GLOSARIUM</w:t>
            </w:r>
            <w:r w:rsidR="00824155">
              <w:rPr>
                <w:noProof/>
                <w:webHidden/>
              </w:rPr>
              <w:tab/>
            </w:r>
            <w:r w:rsidR="00824155">
              <w:rPr>
                <w:noProof/>
                <w:webHidden/>
              </w:rPr>
              <w:fldChar w:fldCharType="begin"/>
            </w:r>
            <w:r w:rsidR="00824155">
              <w:rPr>
                <w:noProof/>
                <w:webHidden/>
              </w:rPr>
              <w:instrText xml:space="preserve"> PAGEREF _Toc223088897 \h </w:instrText>
            </w:r>
            <w:r w:rsidR="00824155">
              <w:rPr>
                <w:noProof/>
                <w:webHidden/>
              </w:rPr>
            </w:r>
            <w:r w:rsidR="00824155">
              <w:rPr>
                <w:noProof/>
                <w:webHidden/>
              </w:rPr>
              <w:fldChar w:fldCharType="separate"/>
            </w:r>
            <w:r w:rsidR="00725D88">
              <w:rPr>
                <w:noProof/>
                <w:webHidden/>
              </w:rPr>
              <w:t>75</w:t>
            </w:r>
            <w:r w:rsidR="00824155">
              <w:rPr>
                <w:noProof/>
                <w:webHidden/>
              </w:rPr>
              <w:fldChar w:fldCharType="end"/>
            </w:r>
          </w:hyperlink>
        </w:p>
        <w:p w14:paraId="011209EC" w14:textId="041CFAB3" w:rsidR="00824155" w:rsidRDefault="00B648CD">
          <w:pPr>
            <w:pStyle w:val="TOC2"/>
            <w:rPr>
              <w:rFonts w:asciiTheme="minorHAnsi" w:eastAsiaTheme="minorEastAsia" w:hAnsiTheme="minorHAnsi"/>
              <w:noProof/>
              <w:sz w:val="22"/>
              <w:lang w:val="en-ID" w:eastAsia="en-ID"/>
            </w:rPr>
          </w:pPr>
          <w:hyperlink w:anchor="_Toc223088898"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_Toc223088898 \h </w:instrText>
            </w:r>
            <w:r w:rsidR="00824155">
              <w:rPr>
                <w:noProof/>
                <w:webHidden/>
              </w:rPr>
            </w:r>
            <w:r w:rsidR="00824155">
              <w:rPr>
                <w:noProof/>
                <w:webHidden/>
              </w:rPr>
              <w:fldChar w:fldCharType="separate"/>
            </w:r>
            <w:r w:rsidR="00725D88">
              <w:rPr>
                <w:noProof/>
                <w:webHidden/>
              </w:rPr>
              <w:t>76</w:t>
            </w:r>
            <w:r w:rsidR="00824155">
              <w:rPr>
                <w:noProof/>
                <w:webHidden/>
              </w:rPr>
              <w:fldChar w:fldCharType="end"/>
            </w:r>
          </w:hyperlink>
        </w:p>
        <w:p w14:paraId="2C1344C1" w14:textId="79481A56" w:rsidR="00824155" w:rsidRDefault="00B648CD">
          <w:pPr>
            <w:pStyle w:val="TOC1"/>
            <w:rPr>
              <w:rFonts w:asciiTheme="minorHAnsi" w:eastAsiaTheme="minorEastAsia" w:hAnsiTheme="minorHAnsi"/>
              <w:b w:val="0"/>
              <w:sz w:val="22"/>
              <w:lang w:val="en-ID" w:eastAsia="en-ID"/>
            </w:rPr>
          </w:pPr>
          <w:hyperlink w:anchor="_Toc223088899"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6 </w:t>
            </w:r>
            <w:r w:rsidR="00824155">
              <w:rPr>
                <w:rFonts w:asciiTheme="minorHAnsi" w:eastAsiaTheme="minorEastAsia" w:hAnsiTheme="minorHAnsi"/>
                <w:b w:val="0"/>
                <w:sz w:val="22"/>
                <w:lang w:val="en-ID" w:eastAsia="en-ID"/>
              </w:rPr>
              <w:tab/>
            </w:r>
            <w:r w:rsidR="00824155" w:rsidRPr="00B11ED9">
              <w:rPr>
                <w:rStyle w:val="Hyperlink"/>
                <w:lang w:val="en-US"/>
              </w:rPr>
              <w:t>OPTIMASI DOSIS CISPLATIN UNTUK MODEL PENELITIAN</w:t>
            </w:r>
            <w:r w:rsidR="00824155">
              <w:rPr>
                <w:webHidden/>
              </w:rPr>
              <w:tab/>
            </w:r>
            <w:r w:rsidR="00824155">
              <w:rPr>
                <w:webHidden/>
              </w:rPr>
              <w:fldChar w:fldCharType="begin"/>
            </w:r>
            <w:r w:rsidR="00824155">
              <w:rPr>
                <w:webHidden/>
              </w:rPr>
              <w:instrText xml:space="preserve"> PAGEREF _Toc223088899 \h </w:instrText>
            </w:r>
            <w:r w:rsidR="00824155">
              <w:rPr>
                <w:webHidden/>
              </w:rPr>
            </w:r>
            <w:r w:rsidR="00824155">
              <w:rPr>
                <w:webHidden/>
              </w:rPr>
              <w:fldChar w:fldCharType="separate"/>
            </w:r>
            <w:r w:rsidR="00725D88">
              <w:rPr>
                <w:webHidden/>
              </w:rPr>
              <w:t>78</w:t>
            </w:r>
            <w:r w:rsidR="00824155">
              <w:rPr>
                <w:webHidden/>
              </w:rPr>
              <w:fldChar w:fldCharType="end"/>
            </w:r>
          </w:hyperlink>
        </w:p>
        <w:p w14:paraId="7A41656B" w14:textId="268162AD" w:rsidR="00824155" w:rsidRDefault="00B648CD">
          <w:pPr>
            <w:pStyle w:val="TOC2"/>
            <w:tabs>
              <w:tab w:val="left" w:pos="1680"/>
            </w:tabs>
            <w:rPr>
              <w:rFonts w:asciiTheme="minorHAnsi" w:eastAsiaTheme="minorEastAsia" w:hAnsiTheme="minorHAnsi"/>
              <w:noProof/>
              <w:sz w:val="22"/>
              <w:lang w:val="en-ID" w:eastAsia="en-ID"/>
            </w:rPr>
          </w:pPr>
          <w:hyperlink w:anchor="_Toc223088900"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_Toc223088900 \h </w:instrText>
            </w:r>
            <w:r w:rsidR="00824155">
              <w:rPr>
                <w:noProof/>
                <w:webHidden/>
              </w:rPr>
            </w:r>
            <w:r w:rsidR="00824155">
              <w:rPr>
                <w:noProof/>
                <w:webHidden/>
              </w:rPr>
              <w:fldChar w:fldCharType="separate"/>
            </w:r>
            <w:r w:rsidR="00725D88">
              <w:rPr>
                <w:noProof/>
                <w:webHidden/>
              </w:rPr>
              <w:t>78</w:t>
            </w:r>
            <w:r w:rsidR="00824155">
              <w:rPr>
                <w:noProof/>
                <w:webHidden/>
              </w:rPr>
              <w:fldChar w:fldCharType="end"/>
            </w:r>
          </w:hyperlink>
        </w:p>
        <w:p w14:paraId="39DCC640" w14:textId="17074354" w:rsidR="00824155" w:rsidRDefault="00B648CD">
          <w:pPr>
            <w:pStyle w:val="TOC2"/>
            <w:tabs>
              <w:tab w:val="left" w:pos="1260"/>
            </w:tabs>
            <w:rPr>
              <w:rFonts w:asciiTheme="minorHAnsi" w:eastAsiaTheme="minorEastAsia" w:hAnsiTheme="minorHAnsi"/>
              <w:noProof/>
              <w:sz w:val="22"/>
              <w:lang w:val="en-ID" w:eastAsia="en-ID"/>
            </w:rPr>
          </w:pPr>
          <w:hyperlink w:anchor="_Toc223088901"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Eksplorasi Dosis Rendah hingga Tinggi</w:t>
            </w:r>
            <w:r w:rsidR="00824155">
              <w:rPr>
                <w:noProof/>
                <w:webHidden/>
              </w:rPr>
              <w:tab/>
            </w:r>
            <w:r w:rsidR="00824155">
              <w:rPr>
                <w:noProof/>
                <w:webHidden/>
              </w:rPr>
              <w:fldChar w:fldCharType="begin"/>
            </w:r>
            <w:r w:rsidR="00824155">
              <w:rPr>
                <w:noProof/>
                <w:webHidden/>
              </w:rPr>
              <w:instrText xml:space="preserve"> PAGEREF _Toc223088901 \h </w:instrText>
            </w:r>
            <w:r w:rsidR="00824155">
              <w:rPr>
                <w:noProof/>
                <w:webHidden/>
              </w:rPr>
            </w:r>
            <w:r w:rsidR="00824155">
              <w:rPr>
                <w:noProof/>
                <w:webHidden/>
              </w:rPr>
              <w:fldChar w:fldCharType="separate"/>
            </w:r>
            <w:r w:rsidR="00725D88">
              <w:rPr>
                <w:noProof/>
                <w:webHidden/>
              </w:rPr>
              <w:t>80</w:t>
            </w:r>
            <w:r w:rsidR="00824155">
              <w:rPr>
                <w:noProof/>
                <w:webHidden/>
              </w:rPr>
              <w:fldChar w:fldCharType="end"/>
            </w:r>
          </w:hyperlink>
        </w:p>
        <w:p w14:paraId="65AE5798" w14:textId="2670B343" w:rsidR="00824155" w:rsidRDefault="00B648CD">
          <w:pPr>
            <w:pStyle w:val="TOC2"/>
            <w:tabs>
              <w:tab w:val="left" w:pos="1680"/>
            </w:tabs>
            <w:rPr>
              <w:rFonts w:asciiTheme="minorHAnsi" w:eastAsiaTheme="minorEastAsia" w:hAnsiTheme="minorHAnsi"/>
              <w:noProof/>
              <w:sz w:val="22"/>
              <w:lang w:val="en-ID" w:eastAsia="en-ID"/>
            </w:rPr>
          </w:pPr>
          <w:hyperlink w:anchor="_Toc223088902"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Parameter Keberhasilan Dosis Optimum</w:t>
            </w:r>
            <w:r w:rsidR="00824155">
              <w:rPr>
                <w:noProof/>
                <w:webHidden/>
              </w:rPr>
              <w:tab/>
            </w:r>
            <w:r w:rsidR="00824155">
              <w:rPr>
                <w:noProof/>
                <w:webHidden/>
              </w:rPr>
              <w:fldChar w:fldCharType="begin"/>
            </w:r>
            <w:r w:rsidR="00824155">
              <w:rPr>
                <w:noProof/>
                <w:webHidden/>
              </w:rPr>
              <w:instrText xml:space="preserve"> PAGEREF _Toc223088902 \h </w:instrText>
            </w:r>
            <w:r w:rsidR="00824155">
              <w:rPr>
                <w:noProof/>
                <w:webHidden/>
              </w:rPr>
            </w:r>
            <w:r w:rsidR="00824155">
              <w:rPr>
                <w:noProof/>
                <w:webHidden/>
              </w:rPr>
              <w:fldChar w:fldCharType="separate"/>
            </w:r>
            <w:r w:rsidR="00725D88">
              <w:rPr>
                <w:noProof/>
                <w:webHidden/>
              </w:rPr>
              <w:t>83</w:t>
            </w:r>
            <w:r w:rsidR="00824155">
              <w:rPr>
                <w:noProof/>
                <w:webHidden/>
              </w:rPr>
              <w:fldChar w:fldCharType="end"/>
            </w:r>
          </w:hyperlink>
        </w:p>
        <w:p w14:paraId="6C6353F5" w14:textId="4353E9C3" w:rsidR="00824155" w:rsidRDefault="00B648CD">
          <w:pPr>
            <w:pStyle w:val="TOC2"/>
            <w:tabs>
              <w:tab w:val="left" w:pos="1680"/>
            </w:tabs>
            <w:rPr>
              <w:rFonts w:asciiTheme="minorHAnsi" w:eastAsiaTheme="minorEastAsia" w:hAnsiTheme="minorHAnsi"/>
              <w:noProof/>
              <w:sz w:val="22"/>
              <w:lang w:val="en-ID" w:eastAsia="en-ID"/>
            </w:rPr>
          </w:pPr>
          <w:hyperlink w:anchor="_Toc223088903"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Analisis Perbandingan Kelompok Perlakuan</w:t>
            </w:r>
            <w:r w:rsidR="00824155">
              <w:rPr>
                <w:noProof/>
                <w:webHidden/>
              </w:rPr>
              <w:tab/>
            </w:r>
            <w:r w:rsidR="00824155">
              <w:rPr>
                <w:noProof/>
                <w:webHidden/>
              </w:rPr>
              <w:fldChar w:fldCharType="begin"/>
            </w:r>
            <w:r w:rsidR="00824155">
              <w:rPr>
                <w:noProof/>
                <w:webHidden/>
              </w:rPr>
              <w:instrText xml:space="preserve"> PAGEREF _Toc223088903 \h </w:instrText>
            </w:r>
            <w:r w:rsidR="00824155">
              <w:rPr>
                <w:noProof/>
                <w:webHidden/>
              </w:rPr>
            </w:r>
            <w:r w:rsidR="00824155">
              <w:rPr>
                <w:noProof/>
                <w:webHidden/>
              </w:rPr>
              <w:fldChar w:fldCharType="separate"/>
            </w:r>
            <w:r w:rsidR="00725D88">
              <w:rPr>
                <w:noProof/>
                <w:webHidden/>
              </w:rPr>
              <w:t>85</w:t>
            </w:r>
            <w:r w:rsidR="00824155">
              <w:rPr>
                <w:noProof/>
                <w:webHidden/>
              </w:rPr>
              <w:fldChar w:fldCharType="end"/>
            </w:r>
          </w:hyperlink>
        </w:p>
        <w:p w14:paraId="3998D3DE" w14:textId="5C19E160" w:rsidR="00824155" w:rsidRDefault="00B648CD">
          <w:pPr>
            <w:pStyle w:val="TOC2"/>
            <w:rPr>
              <w:rFonts w:asciiTheme="minorHAnsi" w:eastAsiaTheme="minorEastAsia" w:hAnsiTheme="minorHAnsi"/>
              <w:noProof/>
              <w:sz w:val="22"/>
              <w:lang w:val="en-ID" w:eastAsia="en-ID"/>
            </w:rPr>
          </w:pPr>
          <w:hyperlink w:anchor="_Toc223088904" w:history="1">
            <w:r w:rsidR="00824155" w:rsidRPr="00B11ED9">
              <w:rPr>
                <w:rStyle w:val="Hyperlink"/>
                <w:noProof/>
                <w:highlight w:val="yellow"/>
              </w:rPr>
              <w:t>KESIMPULAN</w:t>
            </w:r>
            <w:r w:rsidR="00824155">
              <w:rPr>
                <w:noProof/>
                <w:webHidden/>
              </w:rPr>
              <w:tab/>
            </w:r>
            <w:r w:rsidR="00824155">
              <w:rPr>
                <w:noProof/>
                <w:webHidden/>
              </w:rPr>
              <w:fldChar w:fldCharType="begin"/>
            </w:r>
            <w:r w:rsidR="00824155">
              <w:rPr>
                <w:noProof/>
                <w:webHidden/>
              </w:rPr>
              <w:instrText xml:space="preserve"> PAGEREF _Toc223088904 \h </w:instrText>
            </w:r>
            <w:r w:rsidR="00824155">
              <w:rPr>
                <w:noProof/>
                <w:webHidden/>
              </w:rPr>
            </w:r>
            <w:r w:rsidR="00824155">
              <w:rPr>
                <w:noProof/>
                <w:webHidden/>
              </w:rPr>
              <w:fldChar w:fldCharType="separate"/>
            </w:r>
            <w:r w:rsidR="00725D88">
              <w:rPr>
                <w:noProof/>
                <w:webHidden/>
              </w:rPr>
              <w:t>88</w:t>
            </w:r>
            <w:r w:rsidR="00824155">
              <w:rPr>
                <w:noProof/>
                <w:webHidden/>
              </w:rPr>
              <w:fldChar w:fldCharType="end"/>
            </w:r>
          </w:hyperlink>
        </w:p>
        <w:p w14:paraId="3704BAD9" w14:textId="4E0C9D7B" w:rsidR="00824155" w:rsidRDefault="00B648CD">
          <w:pPr>
            <w:pStyle w:val="TOC2"/>
            <w:rPr>
              <w:rFonts w:asciiTheme="minorHAnsi" w:eastAsiaTheme="minorEastAsia" w:hAnsiTheme="minorHAnsi"/>
              <w:noProof/>
              <w:sz w:val="22"/>
              <w:lang w:val="en-ID" w:eastAsia="en-ID"/>
            </w:rPr>
          </w:pPr>
          <w:hyperlink w:anchor="_Toc223088905" w:history="1">
            <w:r w:rsidR="00824155" w:rsidRPr="00B11ED9">
              <w:rPr>
                <w:rStyle w:val="Hyperlink"/>
                <w:bCs/>
                <w:noProof/>
                <w:highlight w:val="yellow"/>
                <w:lang w:val="en"/>
              </w:rPr>
              <w:t>GLOSARIUM</w:t>
            </w:r>
            <w:r w:rsidR="00824155">
              <w:rPr>
                <w:noProof/>
                <w:webHidden/>
              </w:rPr>
              <w:tab/>
            </w:r>
            <w:r w:rsidR="00824155">
              <w:rPr>
                <w:noProof/>
                <w:webHidden/>
              </w:rPr>
              <w:fldChar w:fldCharType="begin"/>
            </w:r>
            <w:r w:rsidR="00824155">
              <w:rPr>
                <w:noProof/>
                <w:webHidden/>
              </w:rPr>
              <w:instrText xml:space="preserve"> PAGEREF _Toc223088905 \h </w:instrText>
            </w:r>
            <w:r w:rsidR="00824155">
              <w:rPr>
                <w:noProof/>
                <w:webHidden/>
              </w:rPr>
            </w:r>
            <w:r w:rsidR="00824155">
              <w:rPr>
                <w:noProof/>
                <w:webHidden/>
              </w:rPr>
              <w:fldChar w:fldCharType="separate"/>
            </w:r>
            <w:r w:rsidR="00725D88">
              <w:rPr>
                <w:noProof/>
                <w:webHidden/>
              </w:rPr>
              <w:t>89</w:t>
            </w:r>
            <w:r w:rsidR="00824155">
              <w:rPr>
                <w:noProof/>
                <w:webHidden/>
              </w:rPr>
              <w:fldChar w:fldCharType="end"/>
            </w:r>
          </w:hyperlink>
        </w:p>
        <w:p w14:paraId="4B80F072" w14:textId="57571852" w:rsidR="00824155" w:rsidRDefault="00B648CD">
          <w:pPr>
            <w:pStyle w:val="TOC2"/>
            <w:rPr>
              <w:rFonts w:asciiTheme="minorHAnsi" w:eastAsiaTheme="minorEastAsia" w:hAnsiTheme="minorHAnsi"/>
              <w:noProof/>
              <w:sz w:val="22"/>
              <w:lang w:val="en-ID" w:eastAsia="en-ID"/>
            </w:rPr>
          </w:pPr>
          <w:hyperlink w:anchor="_Toc223088906"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_Toc223088906 \h </w:instrText>
            </w:r>
            <w:r w:rsidR="00824155">
              <w:rPr>
                <w:noProof/>
                <w:webHidden/>
              </w:rPr>
            </w:r>
            <w:r w:rsidR="00824155">
              <w:rPr>
                <w:noProof/>
                <w:webHidden/>
              </w:rPr>
              <w:fldChar w:fldCharType="separate"/>
            </w:r>
            <w:r w:rsidR="00725D88">
              <w:rPr>
                <w:noProof/>
                <w:webHidden/>
              </w:rPr>
              <w:t>90</w:t>
            </w:r>
            <w:r w:rsidR="00824155">
              <w:rPr>
                <w:noProof/>
                <w:webHidden/>
              </w:rPr>
              <w:fldChar w:fldCharType="end"/>
            </w:r>
          </w:hyperlink>
        </w:p>
        <w:p w14:paraId="2C95288C" w14:textId="79A8FD98" w:rsidR="00824155" w:rsidRDefault="00B648CD">
          <w:pPr>
            <w:pStyle w:val="TOC1"/>
            <w:rPr>
              <w:rFonts w:asciiTheme="minorHAnsi" w:eastAsiaTheme="minorEastAsia" w:hAnsiTheme="minorHAnsi"/>
              <w:b w:val="0"/>
              <w:sz w:val="22"/>
              <w:lang w:val="en-ID" w:eastAsia="en-ID"/>
            </w:rPr>
          </w:pPr>
          <w:hyperlink w:anchor="_Toc223088907"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7 </w:t>
            </w:r>
            <w:r w:rsidR="00824155">
              <w:rPr>
                <w:rFonts w:asciiTheme="minorHAnsi" w:eastAsiaTheme="minorEastAsia" w:hAnsiTheme="minorHAnsi"/>
                <w:b w:val="0"/>
                <w:sz w:val="22"/>
                <w:lang w:val="en-ID" w:eastAsia="en-ID"/>
              </w:rPr>
              <w:tab/>
            </w:r>
            <w:r w:rsidR="00824155" w:rsidRPr="00B11ED9">
              <w:rPr>
                <w:rStyle w:val="Hyperlink"/>
                <w:lang w:val="en-US"/>
              </w:rPr>
              <w:t xml:space="preserve">KARAKTERISTIK BOTANI DAN ETNOFARMAKOLOGI </w:t>
            </w:r>
            <w:r w:rsidR="00824155" w:rsidRPr="00B11ED9">
              <w:rPr>
                <w:rStyle w:val="Hyperlink"/>
                <w:i/>
                <w:iCs/>
                <w:lang w:val="en-US"/>
              </w:rPr>
              <w:t>Nigella sativa</w:t>
            </w:r>
            <w:r w:rsidR="00824155">
              <w:rPr>
                <w:webHidden/>
              </w:rPr>
              <w:tab/>
            </w:r>
            <w:r w:rsidR="00824155">
              <w:rPr>
                <w:webHidden/>
              </w:rPr>
              <w:fldChar w:fldCharType="begin"/>
            </w:r>
            <w:r w:rsidR="00824155">
              <w:rPr>
                <w:webHidden/>
              </w:rPr>
              <w:instrText xml:space="preserve"> PAGEREF _Toc223088907 \h </w:instrText>
            </w:r>
            <w:r w:rsidR="00824155">
              <w:rPr>
                <w:webHidden/>
              </w:rPr>
            </w:r>
            <w:r w:rsidR="00824155">
              <w:rPr>
                <w:webHidden/>
              </w:rPr>
              <w:fldChar w:fldCharType="separate"/>
            </w:r>
            <w:r w:rsidR="00725D88">
              <w:rPr>
                <w:webHidden/>
              </w:rPr>
              <w:t>92</w:t>
            </w:r>
            <w:r w:rsidR="00824155">
              <w:rPr>
                <w:webHidden/>
              </w:rPr>
              <w:fldChar w:fldCharType="end"/>
            </w:r>
          </w:hyperlink>
        </w:p>
        <w:p w14:paraId="7141423F" w14:textId="4EF07581" w:rsidR="00824155" w:rsidRDefault="00B648CD">
          <w:pPr>
            <w:pStyle w:val="TOC2"/>
            <w:tabs>
              <w:tab w:val="left" w:pos="1680"/>
            </w:tabs>
            <w:rPr>
              <w:rFonts w:asciiTheme="minorHAnsi" w:eastAsiaTheme="minorEastAsia" w:hAnsiTheme="minorHAnsi"/>
              <w:noProof/>
              <w:sz w:val="22"/>
              <w:lang w:val="en-ID" w:eastAsia="en-ID"/>
            </w:rPr>
          </w:pPr>
          <w:hyperlink w:anchor="_Toc223088908"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_Toc223088908 \h </w:instrText>
            </w:r>
            <w:r w:rsidR="00824155">
              <w:rPr>
                <w:noProof/>
                <w:webHidden/>
              </w:rPr>
            </w:r>
            <w:r w:rsidR="00824155">
              <w:rPr>
                <w:noProof/>
                <w:webHidden/>
              </w:rPr>
              <w:fldChar w:fldCharType="separate"/>
            </w:r>
            <w:r w:rsidR="00725D88">
              <w:rPr>
                <w:noProof/>
                <w:webHidden/>
              </w:rPr>
              <w:t>92</w:t>
            </w:r>
            <w:r w:rsidR="00824155">
              <w:rPr>
                <w:noProof/>
                <w:webHidden/>
              </w:rPr>
              <w:fldChar w:fldCharType="end"/>
            </w:r>
          </w:hyperlink>
        </w:p>
        <w:p w14:paraId="6F975E59" w14:textId="0B156455" w:rsidR="00824155" w:rsidRDefault="00B648CD">
          <w:pPr>
            <w:pStyle w:val="TOC2"/>
            <w:tabs>
              <w:tab w:val="left" w:pos="1260"/>
            </w:tabs>
            <w:rPr>
              <w:rFonts w:asciiTheme="minorHAnsi" w:eastAsiaTheme="minorEastAsia" w:hAnsiTheme="minorHAnsi"/>
              <w:noProof/>
              <w:sz w:val="22"/>
              <w:lang w:val="en-ID" w:eastAsia="en-ID"/>
            </w:rPr>
          </w:pPr>
          <w:hyperlink w:anchor="_Toc223088909"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Klasifikasi dan Morfologi Tanaman</w:t>
            </w:r>
            <w:r w:rsidR="00824155">
              <w:rPr>
                <w:noProof/>
                <w:webHidden/>
              </w:rPr>
              <w:tab/>
            </w:r>
            <w:r w:rsidR="00824155">
              <w:rPr>
                <w:noProof/>
                <w:webHidden/>
              </w:rPr>
              <w:fldChar w:fldCharType="begin"/>
            </w:r>
            <w:r w:rsidR="00824155">
              <w:rPr>
                <w:noProof/>
                <w:webHidden/>
              </w:rPr>
              <w:instrText xml:space="preserve"> PAGEREF _Toc223088909 \h </w:instrText>
            </w:r>
            <w:r w:rsidR="00824155">
              <w:rPr>
                <w:noProof/>
                <w:webHidden/>
              </w:rPr>
            </w:r>
            <w:r w:rsidR="00824155">
              <w:rPr>
                <w:noProof/>
                <w:webHidden/>
              </w:rPr>
              <w:fldChar w:fldCharType="separate"/>
            </w:r>
            <w:r w:rsidR="00725D88">
              <w:rPr>
                <w:noProof/>
                <w:webHidden/>
              </w:rPr>
              <w:t>94</w:t>
            </w:r>
            <w:r w:rsidR="00824155">
              <w:rPr>
                <w:noProof/>
                <w:webHidden/>
              </w:rPr>
              <w:fldChar w:fldCharType="end"/>
            </w:r>
          </w:hyperlink>
        </w:p>
        <w:p w14:paraId="1D0B7917" w14:textId="525E8256" w:rsidR="00824155" w:rsidRDefault="00B648CD">
          <w:pPr>
            <w:pStyle w:val="TOC2"/>
            <w:tabs>
              <w:tab w:val="left" w:pos="1680"/>
            </w:tabs>
            <w:rPr>
              <w:rFonts w:asciiTheme="minorHAnsi" w:eastAsiaTheme="minorEastAsia" w:hAnsiTheme="minorHAnsi"/>
              <w:noProof/>
              <w:sz w:val="22"/>
              <w:lang w:val="en-ID" w:eastAsia="en-ID"/>
            </w:rPr>
          </w:pPr>
          <w:hyperlink w:anchor="_Toc223088910"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Sejarah Penggunaan dalam Pengobatan Tradisional</w:t>
            </w:r>
            <w:r w:rsidR="00824155">
              <w:rPr>
                <w:noProof/>
                <w:webHidden/>
              </w:rPr>
              <w:tab/>
            </w:r>
            <w:r w:rsidR="00824155">
              <w:rPr>
                <w:noProof/>
                <w:webHidden/>
              </w:rPr>
              <w:fldChar w:fldCharType="begin"/>
            </w:r>
            <w:r w:rsidR="00824155">
              <w:rPr>
                <w:noProof/>
                <w:webHidden/>
              </w:rPr>
              <w:instrText xml:space="preserve"> PAGEREF _Toc223088910 \h </w:instrText>
            </w:r>
            <w:r w:rsidR="00824155">
              <w:rPr>
                <w:noProof/>
                <w:webHidden/>
              </w:rPr>
            </w:r>
            <w:r w:rsidR="00824155">
              <w:rPr>
                <w:noProof/>
                <w:webHidden/>
              </w:rPr>
              <w:fldChar w:fldCharType="separate"/>
            </w:r>
            <w:r w:rsidR="00725D88">
              <w:rPr>
                <w:noProof/>
                <w:webHidden/>
              </w:rPr>
              <w:t>96</w:t>
            </w:r>
            <w:r w:rsidR="00824155">
              <w:rPr>
                <w:noProof/>
                <w:webHidden/>
              </w:rPr>
              <w:fldChar w:fldCharType="end"/>
            </w:r>
          </w:hyperlink>
        </w:p>
        <w:p w14:paraId="5C312B77" w14:textId="3721213B" w:rsidR="00824155" w:rsidRDefault="00B648CD">
          <w:pPr>
            <w:pStyle w:val="TOC2"/>
            <w:tabs>
              <w:tab w:val="left" w:pos="1680"/>
            </w:tabs>
            <w:rPr>
              <w:rFonts w:asciiTheme="minorHAnsi" w:eastAsiaTheme="minorEastAsia" w:hAnsiTheme="minorHAnsi"/>
              <w:noProof/>
              <w:sz w:val="22"/>
              <w:lang w:val="en-ID" w:eastAsia="en-ID"/>
            </w:rPr>
          </w:pPr>
          <w:hyperlink w:anchor="_Toc223088911"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Diversitas Senyawa Bioaktif Utama</w:t>
            </w:r>
            <w:r w:rsidR="00824155">
              <w:rPr>
                <w:noProof/>
                <w:webHidden/>
              </w:rPr>
              <w:tab/>
            </w:r>
            <w:r w:rsidR="00824155">
              <w:rPr>
                <w:noProof/>
                <w:webHidden/>
              </w:rPr>
              <w:fldChar w:fldCharType="begin"/>
            </w:r>
            <w:r w:rsidR="00824155">
              <w:rPr>
                <w:noProof/>
                <w:webHidden/>
              </w:rPr>
              <w:instrText xml:space="preserve"> PAGEREF _Toc223088911 \h </w:instrText>
            </w:r>
            <w:r w:rsidR="00824155">
              <w:rPr>
                <w:noProof/>
                <w:webHidden/>
              </w:rPr>
            </w:r>
            <w:r w:rsidR="00824155">
              <w:rPr>
                <w:noProof/>
                <w:webHidden/>
              </w:rPr>
              <w:fldChar w:fldCharType="separate"/>
            </w:r>
            <w:r w:rsidR="00725D88">
              <w:rPr>
                <w:noProof/>
                <w:webHidden/>
              </w:rPr>
              <w:t>99</w:t>
            </w:r>
            <w:r w:rsidR="00824155">
              <w:rPr>
                <w:noProof/>
                <w:webHidden/>
              </w:rPr>
              <w:fldChar w:fldCharType="end"/>
            </w:r>
          </w:hyperlink>
        </w:p>
        <w:p w14:paraId="655D5257" w14:textId="0684D1C7" w:rsidR="00824155" w:rsidRDefault="00B648CD">
          <w:pPr>
            <w:pStyle w:val="TOC2"/>
            <w:rPr>
              <w:rFonts w:asciiTheme="minorHAnsi" w:eastAsiaTheme="minorEastAsia" w:hAnsiTheme="minorHAnsi"/>
              <w:noProof/>
              <w:sz w:val="22"/>
              <w:lang w:val="en-ID" w:eastAsia="en-ID"/>
            </w:rPr>
          </w:pPr>
          <w:hyperlink w:anchor="_Toc223088912" w:history="1">
            <w:r w:rsidR="00824155" w:rsidRPr="00B11ED9">
              <w:rPr>
                <w:rStyle w:val="Hyperlink"/>
                <w:noProof/>
                <w:highlight w:val="yellow"/>
              </w:rPr>
              <w:t>KESIMPULAN</w:t>
            </w:r>
            <w:r w:rsidR="00824155">
              <w:rPr>
                <w:noProof/>
                <w:webHidden/>
              </w:rPr>
              <w:tab/>
            </w:r>
            <w:r w:rsidR="00824155">
              <w:rPr>
                <w:noProof/>
                <w:webHidden/>
              </w:rPr>
              <w:fldChar w:fldCharType="begin"/>
            </w:r>
            <w:r w:rsidR="00824155">
              <w:rPr>
                <w:noProof/>
                <w:webHidden/>
              </w:rPr>
              <w:instrText xml:space="preserve"> PAGEREF _Toc223088912 \h </w:instrText>
            </w:r>
            <w:r w:rsidR="00824155">
              <w:rPr>
                <w:noProof/>
                <w:webHidden/>
              </w:rPr>
            </w:r>
            <w:r w:rsidR="00824155">
              <w:rPr>
                <w:noProof/>
                <w:webHidden/>
              </w:rPr>
              <w:fldChar w:fldCharType="separate"/>
            </w:r>
            <w:r w:rsidR="00725D88">
              <w:rPr>
                <w:noProof/>
                <w:webHidden/>
              </w:rPr>
              <w:t>102</w:t>
            </w:r>
            <w:r w:rsidR="00824155">
              <w:rPr>
                <w:noProof/>
                <w:webHidden/>
              </w:rPr>
              <w:fldChar w:fldCharType="end"/>
            </w:r>
          </w:hyperlink>
        </w:p>
        <w:p w14:paraId="482CB2D7" w14:textId="67E69F18" w:rsidR="00824155" w:rsidRDefault="00B648CD">
          <w:pPr>
            <w:pStyle w:val="TOC2"/>
            <w:rPr>
              <w:rFonts w:asciiTheme="minorHAnsi" w:eastAsiaTheme="minorEastAsia" w:hAnsiTheme="minorHAnsi"/>
              <w:noProof/>
              <w:sz w:val="22"/>
              <w:lang w:val="en-ID" w:eastAsia="en-ID"/>
            </w:rPr>
          </w:pPr>
          <w:hyperlink w:anchor="_Toc223088913" w:history="1">
            <w:r w:rsidR="00824155" w:rsidRPr="00B11ED9">
              <w:rPr>
                <w:rStyle w:val="Hyperlink"/>
                <w:bCs/>
                <w:noProof/>
                <w:highlight w:val="yellow"/>
                <w:lang w:val="en"/>
              </w:rPr>
              <w:t>GLOSARIUM</w:t>
            </w:r>
            <w:r w:rsidR="00824155">
              <w:rPr>
                <w:noProof/>
                <w:webHidden/>
              </w:rPr>
              <w:tab/>
            </w:r>
            <w:r w:rsidR="00824155">
              <w:rPr>
                <w:noProof/>
                <w:webHidden/>
              </w:rPr>
              <w:fldChar w:fldCharType="begin"/>
            </w:r>
            <w:r w:rsidR="00824155">
              <w:rPr>
                <w:noProof/>
                <w:webHidden/>
              </w:rPr>
              <w:instrText xml:space="preserve"> PAGEREF _Toc223088913 \h </w:instrText>
            </w:r>
            <w:r w:rsidR="00824155">
              <w:rPr>
                <w:noProof/>
                <w:webHidden/>
              </w:rPr>
            </w:r>
            <w:r w:rsidR="00824155">
              <w:rPr>
                <w:noProof/>
                <w:webHidden/>
              </w:rPr>
              <w:fldChar w:fldCharType="separate"/>
            </w:r>
            <w:r w:rsidR="00725D88">
              <w:rPr>
                <w:noProof/>
                <w:webHidden/>
              </w:rPr>
              <w:t>103</w:t>
            </w:r>
            <w:r w:rsidR="00824155">
              <w:rPr>
                <w:noProof/>
                <w:webHidden/>
              </w:rPr>
              <w:fldChar w:fldCharType="end"/>
            </w:r>
          </w:hyperlink>
        </w:p>
        <w:p w14:paraId="75D5B6C5" w14:textId="5D1B16FA" w:rsidR="00824155" w:rsidRDefault="00B648CD">
          <w:pPr>
            <w:pStyle w:val="TOC2"/>
            <w:rPr>
              <w:rFonts w:asciiTheme="minorHAnsi" w:eastAsiaTheme="minorEastAsia" w:hAnsiTheme="minorHAnsi"/>
              <w:noProof/>
              <w:sz w:val="22"/>
              <w:lang w:val="en-ID" w:eastAsia="en-ID"/>
            </w:rPr>
          </w:pPr>
          <w:hyperlink w:anchor="_Toc223088914"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_Toc223088914 \h </w:instrText>
            </w:r>
            <w:r w:rsidR="00824155">
              <w:rPr>
                <w:noProof/>
                <w:webHidden/>
              </w:rPr>
            </w:r>
            <w:r w:rsidR="00824155">
              <w:rPr>
                <w:noProof/>
                <w:webHidden/>
              </w:rPr>
              <w:fldChar w:fldCharType="separate"/>
            </w:r>
            <w:r w:rsidR="00725D88">
              <w:rPr>
                <w:noProof/>
                <w:webHidden/>
              </w:rPr>
              <w:t>104</w:t>
            </w:r>
            <w:r w:rsidR="00824155">
              <w:rPr>
                <w:noProof/>
                <w:webHidden/>
              </w:rPr>
              <w:fldChar w:fldCharType="end"/>
            </w:r>
          </w:hyperlink>
        </w:p>
        <w:p w14:paraId="22D1AD83" w14:textId="7A19E0AE" w:rsidR="00824155" w:rsidRDefault="00B648CD">
          <w:pPr>
            <w:pStyle w:val="TOC1"/>
            <w:rPr>
              <w:rFonts w:asciiTheme="minorHAnsi" w:eastAsiaTheme="minorEastAsia" w:hAnsiTheme="minorHAnsi"/>
              <w:b w:val="0"/>
              <w:sz w:val="22"/>
              <w:lang w:val="en-ID" w:eastAsia="en-ID"/>
            </w:rPr>
          </w:pPr>
          <w:hyperlink w:anchor="_Toc223088915"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8 </w:t>
            </w:r>
            <w:r w:rsidR="00824155">
              <w:rPr>
                <w:rFonts w:asciiTheme="minorHAnsi" w:eastAsiaTheme="minorEastAsia" w:hAnsiTheme="minorHAnsi"/>
                <w:b w:val="0"/>
                <w:sz w:val="22"/>
                <w:lang w:val="en-ID" w:eastAsia="en-ID"/>
              </w:rPr>
              <w:tab/>
            </w:r>
            <w:r w:rsidR="00824155" w:rsidRPr="00B11ED9">
              <w:rPr>
                <w:rStyle w:val="Hyperlink"/>
                <w:lang w:val="en-US"/>
              </w:rPr>
              <w:t xml:space="preserve">STUDI FISIKOKIMIA EKSTRAK </w:t>
            </w:r>
            <w:r w:rsidR="00824155" w:rsidRPr="00B11ED9">
              <w:rPr>
                <w:rStyle w:val="Hyperlink"/>
                <w:i/>
                <w:iCs/>
                <w:lang w:val="en-US"/>
              </w:rPr>
              <w:t>Nigella sativa</w:t>
            </w:r>
            <w:r w:rsidR="00824155">
              <w:rPr>
                <w:webHidden/>
              </w:rPr>
              <w:tab/>
            </w:r>
            <w:r w:rsidR="00824155">
              <w:rPr>
                <w:webHidden/>
              </w:rPr>
              <w:fldChar w:fldCharType="begin"/>
            </w:r>
            <w:r w:rsidR="00824155">
              <w:rPr>
                <w:webHidden/>
              </w:rPr>
              <w:instrText xml:space="preserve"> PAGEREF _Toc223088915 \h </w:instrText>
            </w:r>
            <w:r w:rsidR="00824155">
              <w:rPr>
                <w:webHidden/>
              </w:rPr>
            </w:r>
            <w:r w:rsidR="00824155">
              <w:rPr>
                <w:webHidden/>
              </w:rPr>
              <w:fldChar w:fldCharType="separate"/>
            </w:r>
            <w:r w:rsidR="00725D88">
              <w:rPr>
                <w:webHidden/>
              </w:rPr>
              <w:t>106</w:t>
            </w:r>
            <w:r w:rsidR="00824155">
              <w:rPr>
                <w:webHidden/>
              </w:rPr>
              <w:fldChar w:fldCharType="end"/>
            </w:r>
          </w:hyperlink>
        </w:p>
        <w:p w14:paraId="60FA3D80" w14:textId="5E447614" w:rsidR="00824155" w:rsidRDefault="00B648CD">
          <w:pPr>
            <w:pStyle w:val="TOC2"/>
            <w:tabs>
              <w:tab w:val="left" w:pos="1680"/>
            </w:tabs>
            <w:rPr>
              <w:rFonts w:asciiTheme="minorHAnsi" w:eastAsiaTheme="minorEastAsia" w:hAnsiTheme="minorHAnsi"/>
              <w:noProof/>
              <w:sz w:val="22"/>
              <w:lang w:val="en-ID" w:eastAsia="en-ID"/>
            </w:rPr>
          </w:pPr>
          <w:hyperlink w:anchor="_Toc223088916"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_Toc223088916 \h </w:instrText>
            </w:r>
            <w:r w:rsidR="00824155">
              <w:rPr>
                <w:noProof/>
                <w:webHidden/>
              </w:rPr>
            </w:r>
            <w:r w:rsidR="00824155">
              <w:rPr>
                <w:noProof/>
                <w:webHidden/>
              </w:rPr>
              <w:fldChar w:fldCharType="separate"/>
            </w:r>
            <w:r w:rsidR="00725D88">
              <w:rPr>
                <w:noProof/>
                <w:webHidden/>
              </w:rPr>
              <w:t>106</w:t>
            </w:r>
            <w:r w:rsidR="00824155">
              <w:rPr>
                <w:noProof/>
                <w:webHidden/>
              </w:rPr>
              <w:fldChar w:fldCharType="end"/>
            </w:r>
          </w:hyperlink>
        </w:p>
        <w:p w14:paraId="7B163934" w14:textId="67EC3EAB" w:rsidR="00824155" w:rsidRDefault="00B648CD">
          <w:pPr>
            <w:pStyle w:val="TOC2"/>
            <w:tabs>
              <w:tab w:val="left" w:pos="1260"/>
            </w:tabs>
            <w:rPr>
              <w:rFonts w:asciiTheme="minorHAnsi" w:eastAsiaTheme="minorEastAsia" w:hAnsiTheme="minorHAnsi"/>
              <w:noProof/>
              <w:sz w:val="22"/>
              <w:lang w:val="en-ID" w:eastAsia="en-ID"/>
            </w:rPr>
          </w:pPr>
          <w:hyperlink w:anchor="_Toc223088917"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Metode Ekstraksi dan Pemurnian</w:t>
            </w:r>
            <w:r w:rsidR="00824155">
              <w:rPr>
                <w:noProof/>
                <w:webHidden/>
              </w:rPr>
              <w:tab/>
            </w:r>
            <w:r w:rsidR="00824155">
              <w:rPr>
                <w:noProof/>
                <w:webHidden/>
              </w:rPr>
              <w:fldChar w:fldCharType="begin"/>
            </w:r>
            <w:r w:rsidR="00824155">
              <w:rPr>
                <w:noProof/>
                <w:webHidden/>
              </w:rPr>
              <w:instrText xml:space="preserve"> PAGEREF _Toc223088917 \h </w:instrText>
            </w:r>
            <w:r w:rsidR="00824155">
              <w:rPr>
                <w:noProof/>
                <w:webHidden/>
              </w:rPr>
            </w:r>
            <w:r w:rsidR="00824155">
              <w:rPr>
                <w:noProof/>
                <w:webHidden/>
              </w:rPr>
              <w:fldChar w:fldCharType="separate"/>
            </w:r>
            <w:r w:rsidR="00725D88">
              <w:rPr>
                <w:noProof/>
                <w:webHidden/>
              </w:rPr>
              <w:t>108</w:t>
            </w:r>
            <w:r w:rsidR="00824155">
              <w:rPr>
                <w:noProof/>
                <w:webHidden/>
              </w:rPr>
              <w:fldChar w:fldCharType="end"/>
            </w:r>
          </w:hyperlink>
        </w:p>
        <w:p w14:paraId="1E9D7AB3" w14:textId="77F8F1C3" w:rsidR="00824155" w:rsidRDefault="00B648CD">
          <w:pPr>
            <w:pStyle w:val="TOC2"/>
            <w:tabs>
              <w:tab w:val="left" w:pos="1680"/>
            </w:tabs>
            <w:rPr>
              <w:rFonts w:asciiTheme="minorHAnsi" w:eastAsiaTheme="minorEastAsia" w:hAnsiTheme="minorHAnsi"/>
              <w:noProof/>
              <w:sz w:val="22"/>
              <w:lang w:val="en-ID" w:eastAsia="en-ID"/>
            </w:rPr>
          </w:pPr>
          <w:hyperlink w:anchor="_Toc223088918"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Karakterisasi Sifat Fisik dan Kimia</w:t>
            </w:r>
            <w:r w:rsidR="00824155">
              <w:rPr>
                <w:noProof/>
                <w:webHidden/>
              </w:rPr>
              <w:tab/>
            </w:r>
            <w:r w:rsidR="00824155">
              <w:rPr>
                <w:noProof/>
                <w:webHidden/>
              </w:rPr>
              <w:fldChar w:fldCharType="begin"/>
            </w:r>
            <w:r w:rsidR="00824155">
              <w:rPr>
                <w:noProof/>
                <w:webHidden/>
              </w:rPr>
              <w:instrText xml:space="preserve"> PAGEREF _Toc223088918 \h </w:instrText>
            </w:r>
            <w:r w:rsidR="00824155">
              <w:rPr>
                <w:noProof/>
                <w:webHidden/>
              </w:rPr>
            </w:r>
            <w:r w:rsidR="00824155">
              <w:rPr>
                <w:noProof/>
                <w:webHidden/>
              </w:rPr>
              <w:fldChar w:fldCharType="separate"/>
            </w:r>
            <w:r w:rsidR="00725D88">
              <w:rPr>
                <w:noProof/>
                <w:webHidden/>
              </w:rPr>
              <w:t>111</w:t>
            </w:r>
            <w:r w:rsidR="00824155">
              <w:rPr>
                <w:noProof/>
                <w:webHidden/>
              </w:rPr>
              <w:fldChar w:fldCharType="end"/>
            </w:r>
          </w:hyperlink>
        </w:p>
        <w:p w14:paraId="1A78F3C8" w14:textId="06F30021" w:rsidR="00824155" w:rsidRDefault="00B648CD">
          <w:pPr>
            <w:pStyle w:val="TOC2"/>
            <w:tabs>
              <w:tab w:val="left" w:pos="1680"/>
            </w:tabs>
            <w:rPr>
              <w:rFonts w:asciiTheme="minorHAnsi" w:eastAsiaTheme="minorEastAsia" w:hAnsiTheme="minorHAnsi"/>
              <w:noProof/>
              <w:sz w:val="22"/>
              <w:lang w:val="en-ID" w:eastAsia="en-ID"/>
            </w:rPr>
          </w:pPr>
          <w:hyperlink w:anchor="_Toc223088919"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Uji Organoleptik dan Identifikasi Awal</w:t>
            </w:r>
            <w:r w:rsidR="00824155">
              <w:rPr>
                <w:noProof/>
                <w:webHidden/>
              </w:rPr>
              <w:tab/>
            </w:r>
            <w:r w:rsidR="00824155">
              <w:rPr>
                <w:noProof/>
                <w:webHidden/>
              </w:rPr>
              <w:fldChar w:fldCharType="begin"/>
            </w:r>
            <w:r w:rsidR="00824155">
              <w:rPr>
                <w:noProof/>
                <w:webHidden/>
              </w:rPr>
              <w:instrText xml:space="preserve"> PAGEREF _Toc223088919 \h </w:instrText>
            </w:r>
            <w:r w:rsidR="00824155">
              <w:rPr>
                <w:noProof/>
                <w:webHidden/>
              </w:rPr>
            </w:r>
            <w:r w:rsidR="00824155">
              <w:rPr>
                <w:noProof/>
                <w:webHidden/>
              </w:rPr>
              <w:fldChar w:fldCharType="separate"/>
            </w:r>
            <w:r w:rsidR="00725D88">
              <w:rPr>
                <w:noProof/>
                <w:webHidden/>
              </w:rPr>
              <w:t>113</w:t>
            </w:r>
            <w:r w:rsidR="00824155">
              <w:rPr>
                <w:noProof/>
                <w:webHidden/>
              </w:rPr>
              <w:fldChar w:fldCharType="end"/>
            </w:r>
          </w:hyperlink>
        </w:p>
        <w:p w14:paraId="2D2CEF76" w14:textId="6B4C3257" w:rsidR="00824155" w:rsidRDefault="00B648CD">
          <w:pPr>
            <w:pStyle w:val="TOC2"/>
            <w:rPr>
              <w:rFonts w:asciiTheme="minorHAnsi" w:eastAsiaTheme="minorEastAsia" w:hAnsiTheme="minorHAnsi"/>
              <w:noProof/>
              <w:sz w:val="22"/>
              <w:lang w:val="en-ID" w:eastAsia="en-ID"/>
            </w:rPr>
          </w:pPr>
          <w:hyperlink w:anchor="_Toc223088920" w:history="1">
            <w:r w:rsidR="00824155" w:rsidRPr="00B11ED9">
              <w:rPr>
                <w:rStyle w:val="Hyperlink"/>
                <w:noProof/>
                <w:highlight w:val="yellow"/>
              </w:rPr>
              <w:t>KESIMPULAN</w:t>
            </w:r>
            <w:r w:rsidR="00824155">
              <w:rPr>
                <w:noProof/>
                <w:webHidden/>
              </w:rPr>
              <w:tab/>
            </w:r>
            <w:r w:rsidR="00824155">
              <w:rPr>
                <w:noProof/>
                <w:webHidden/>
              </w:rPr>
              <w:fldChar w:fldCharType="begin"/>
            </w:r>
            <w:r w:rsidR="00824155">
              <w:rPr>
                <w:noProof/>
                <w:webHidden/>
              </w:rPr>
              <w:instrText xml:space="preserve"> PAGEREF _Toc223088920 \h </w:instrText>
            </w:r>
            <w:r w:rsidR="00824155">
              <w:rPr>
                <w:noProof/>
                <w:webHidden/>
              </w:rPr>
            </w:r>
            <w:r w:rsidR="00824155">
              <w:rPr>
                <w:noProof/>
                <w:webHidden/>
              </w:rPr>
              <w:fldChar w:fldCharType="separate"/>
            </w:r>
            <w:r w:rsidR="00725D88">
              <w:rPr>
                <w:noProof/>
                <w:webHidden/>
              </w:rPr>
              <w:t>117</w:t>
            </w:r>
            <w:r w:rsidR="00824155">
              <w:rPr>
                <w:noProof/>
                <w:webHidden/>
              </w:rPr>
              <w:fldChar w:fldCharType="end"/>
            </w:r>
          </w:hyperlink>
        </w:p>
        <w:p w14:paraId="2FEB575D" w14:textId="1B13E7A5" w:rsidR="00824155" w:rsidRDefault="00B648CD">
          <w:pPr>
            <w:pStyle w:val="TOC2"/>
            <w:rPr>
              <w:rFonts w:asciiTheme="minorHAnsi" w:eastAsiaTheme="minorEastAsia" w:hAnsiTheme="minorHAnsi"/>
              <w:noProof/>
              <w:sz w:val="22"/>
              <w:lang w:val="en-ID" w:eastAsia="en-ID"/>
            </w:rPr>
          </w:pPr>
          <w:hyperlink w:anchor="_Toc223088921" w:history="1">
            <w:r w:rsidR="00824155" w:rsidRPr="00B11ED9">
              <w:rPr>
                <w:rStyle w:val="Hyperlink"/>
                <w:noProof/>
                <w:highlight w:val="yellow"/>
              </w:rPr>
              <w:t>GLOSARIUM</w:t>
            </w:r>
            <w:r w:rsidR="00824155">
              <w:rPr>
                <w:noProof/>
                <w:webHidden/>
              </w:rPr>
              <w:tab/>
            </w:r>
            <w:r w:rsidR="00824155">
              <w:rPr>
                <w:noProof/>
                <w:webHidden/>
              </w:rPr>
              <w:fldChar w:fldCharType="begin"/>
            </w:r>
            <w:r w:rsidR="00824155">
              <w:rPr>
                <w:noProof/>
                <w:webHidden/>
              </w:rPr>
              <w:instrText xml:space="preserve"> PAGEREF _Toc223088921 \h </w:instrText>
            </w:r>
            <w:r w:rsidR="00824155">
              <w:rPr>
                <w:noProof/>
                <w:webHidden/>
              </w:rPr>
            </w:r>
            <w:r w:rsidR="00824155">
              <w:rPr>
                <w:noProof/>
                <w:webHidden/>
              </w:rPr>
              <w:fldChar w:fldCharType="separate"/>
            </w:r>
            <w:r w:rsidR="00725D88">
              <w:rPr>
                <w:noProof/>
                <w:webHidden/>
              </w:rPr>
              <w:t>118</w:t>
            </w:r>
            <w:r w:rsidR="00824155">
              <w:rPr>
                <w:noProof/>
                <w:webHidden/>
              </w:rPr>
              <w:fldChar w:fldCharType="end"/>
            </w:r>
          </w:hyperlink>
        </w:p>
        <w:p w14:paraId="728347ED" w14:textId="56FFC526" w:rsidR="00824155" w:rsidRDefault="00B648CD">
          <w:pPr>
            <w:pStyle w:val="TOC2"/>
            <w:rPr>
              <w:rFonts w:asciiTheme="minorHAnsi" w:eastAsiaTheme="minorEastAsia" w:hAnsiTheme="minorHAnsi"/>
              <w:noProof/>
              <w:sz w:val="22"/>
              <w:lang w:val="en-ID" w:eastAsia="en-ID"/>
            </w:rPr>
          </w:pPr>
          <w:hyperlink w:anchor="_Toc223088922"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_Toc223088922 \h </w:instrText>
            </w:r>
            <w:r w:rsidR="00824155">
              <w:rPr>
                <w:noProof/>
                <w:webHidden/>
              </w:rPr>
            </w:r>
            <w:r w:rsidR="00824155">
              <w:rPr>
                <w:noProof/>
                <w:webHidden/>
              </w:rPr>
              <w:fldChar w:fldCharType="separate"/>
            </w:r>
            <w:r w:rsidR="00725D88">
              <w:rPr>
                <w:noProof/>
                <w:webHidden/>
              </w:rPr>
              <w:t>119</w:t>
            </w:r>
            <w:r w:rsidR="00824155">
              <w:rPr>
                <w:noProof/>
                <w:webHidden/>
              </w:rPr>
              <w:fldChar w:fldCharType="end"/>
            </w:r>
          </w:hyperlink>
        </w:p>
        <w:p w14:paraId="316B3154" w14:textId="516784DC" w:rsidR="00824155" w:rsidRDefault="00B648CD">
          <w:pPr>
            <w:pStyle w:val="TOC1"/>
            <w:rPr>
              <w:rFonts w:asciiTheme="minorHAnsi" w:eastAsiaTheme="minorEastAsia" w:hAnsiTheme="minorHAnsi"/>
              <w:b w:val="0"/>
              <w:sz w:val="22"/>
              <w:lang w:val="en-ID" w:eastAsia="en-ID"/>
            </w:rPr>
          </w:pPr>
          <w:hyperlink w:anchor="_Toc223088923"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9 </w:t>
            </w:r>
            <w:r w:rsidR="00824155">
              <w:rPr>
                <w:rFonts w:asciiTheme="minorHAnsi" w:eastAsiaTheme="minorEastAsia" w:hAnsiTheme="minorHAnsi"/>
                <w:b w:val="0"/>
                <w:sz w:val="22"/>
                <w:lang w:val="en-ID" w:eastAsia="en-ID"/>
              </w:rPr>
              <w:tab/>
            </w:r>
            <w:r w:rsidR="00824155" w:rsidRPr="00B11ED9">
              <w:rPr>
                <w:rStyle w:val="Hyperlink"/>
                <w:lang w:val="en-US"/>
              </w:rPr>
              <w:t>STANDARISASI EKSTRAK HERBAL SEBAGAI AGEN TERAPEUTIK</w:t>
            </w:r>
            <w:r w:rsidR="00824155">
              <w:rPr>
                <w:webHidden/>
              </w:rPr>
              <w:tab/>
            </w:r>
            <w:r w:rsidR="00824155">
              <w:rPr>
                <w:webHidden/>
              </w:rPr>
              <w:fldChar w:fldCharType="begin"/>
            </w:r>
            <w:r w:rsidR="00824155">
              <w:rPr>
                <w:webHidden/>
              </w:rPr>
              <w:instrText xml:space="preserve"> PAGEREF _Toc223088923 \h </w:instrText>
            </w:r>
            <w:r w:rsidR="00824155">
              <w:rPr>
                <w:webHidden/>
              </w:rPr>
            </w:r>
            <w:r w:rsidR="00824155">
              <w:rPr>
                <w:webHidden/>
              </w:rPr>
              <w:fldChar w:fldCharType="separate"/>
            </w:r>
            <w:r w:rsidR="00725D88">
              <w:rPr>
                <w:webHidden/>
              </w:rPr>
              <w:t>121</w:t>
            </w:r>
            <w:r w:rsidR="00824155">
              <w:rPr>
                <w:webHidden/>
              </w:rPr>
              <w:fldChar w:fldCharType="end"/>
            </w:r>
          </w:hyperlink>
        </w:p>
        <w:p w14:paraId="78504272" w14:textId="1CEE203A" w:rsidR="00824155" w:rsidRDefault="00B648CD">
          <w:pPr>
            <w:pStyle w:val="TOC2"/>
            <w:tabs>
              <w:tab w:val="left" w:pos="1680"/>
            </w:tabs>
            <w:rPr>
              <w:rFonts w:asciiTheme="minorHAnsi" w:eastAsiaTheme="minorEastAsia" w:hAnsiTheme="minorHAnsi"/>
              <w:noProof/>
              <w:sz w:val="22"/>
              <w:lang w:val="en-ID" w:eastAsia="en-ID"/>
            </w:rPr>
          </w:pPr>
          <w:hyperlink w:anchor="_Toc223088924"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_Toc223088924 \h </w:instrText>
            </w:r>
            <w:r w:rsidR="00824155">
              <w:rPr>
                <w:noProof/>
                <w:webHidden/>
              </w:rPr>
            </w:r>
            <w:r w:rsidR="00824155">
              <w:rPr>
                <w:noProof/>
                <w:webHidden/>
              </w:rPr>
              <w:fldChar w:fldCharType="separate"/>
            </w:r>
            <w:r w:rsidR="00725D88">
              <w:rPr>
                <w:noProof/>
                <w:webHidden/>
              </w:rPr>
              <w:t>121</w:t>
            </w:r>
            <w:r w:rsidR="00824155">
              <w:rPr>
                <w:noProof/>
                <w:webHidden/>
              </w:rPr>
              <w:fldChar w:fldCharType="end"/>
            </w:r>
          </w:hyperlink>
        </w:p>
        <w:p w14:paraId="3A1214F0" w14:textId="05308B32" w:rsidR="00824155" w:rsidRDefault="00B648CD">
          <w:pPr>
            <w:pStyle w:val="TOC2"/>
            <w:tabs>
              <w:tab w:val="left" w:pos="1260"/>
            </w:tabs>
            <w:rPr>
              <w:rFonts w:asciiTheme="minorHAnsi" w:eastAsiaTheme="minorEastAsia" w:hAnsiTheme="minorHAnsi"/>
              <w:noProof/>
              <w:sz w:val="22"/>
              <w:lang w:val="en-ID" w:eastAsia="en-ID"/>
            </w:rPr>
          </w:pPr>
          <w:hyperlink w:anchor="_Toc223088925"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Pentingnya Standardisasi Bahan Alam</w:t>
            </w:r>
            <w:r w:rsidR="00824155">
              <w:rPr>
                <w:noProof/>
                <w:webHidden/>
              </w:rPr>
              <w:tab/>
            </w:r>
            <w:r w:rsidR="00824155">
              <w:rPr>
                <w:noProof/>
                <w:webHidden/>
              </w:rPr>
              <w:fldChar w:fldCharType="begin"/>
            </w:r>
            <w:r w:rsidR="00824155">
              <w:rPr>
                <w:noProof/>
                <w:webHidden/>
              </w:rPr>
              <w:instrText xml:space="preserve"> PAGEREF _Toc223088925 \h </w:instrText>
            </w:r>
            <w:r w:rsidR="00824155">
              <w:rPr>
                <w:noProof/>
                <w:webHidden/>
              </w:rPr>
            </w:r>
            <w:r w:rsidR="00824155">
              <w:rPr>
                <w:noProof/>
                <w:webHidden/>
              </w:rPr>
              <w:fldChar w:fldCharType="separate"/>
            </w:r>
            <w:r w:rsidR="00725D88">
              <w:rPr>
                <w:noProof/>
                <w:webHidden/>
              </w:rPr>
              <w:t>123</w:t>
            </w:r>
            <w:r w:rsidR="00824155">
              <w:rPr>
                <w:noProof/>
                <w:webHidden/>
              </w:rPr>
              <w:fldChar w:fldCharType="end"/>
            </w:r>
          </w:hyperlink>
        </w:p>
        <w:p w14:paraId="62BA0909" w14:textId="110443AA" w:rsidR="00824155" w:rsidRDefault="00B648CD">
          <w:pPr>
            <w:pStyle w:val="TOC2"/>
            <w:tabs>
              <w:tab w:val="left" w:pos="1680"/>
            </w:tabs>
            <w:rPr>
              <w:rFonts w:asciiTheme="minorHAnsi" w:eastAsiaTheme="minorEastAsia" w:hAnsiTheme="minorHAnsi"/>
              <w:noProof/>
              <w:sz w:val="22"/>
              <w:lang w:val="en-ID" w:eastAsia="en-ID"/>
            </w:rPr>
          </w:pPr>
          <w:hyperlink w:anchor="_Toc223088926"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Analisis Kontaminan dan Logam Berat</w:t>
            </w:r>
            <w:r w:rsidR="00824155">
              <w:rPr>
                <w:noProof/>
                <w:webHidden/>
              </w:rPr>
              <w:tab/>
            </w:r>
            <w:r w:rsidR="00824155">
              <w:rPr>
                <w:noProof/>
                <w:webHidden/>
              </w:rPr>
              <w:fldChar w:fldCharType="begin"/>
            </w:r>
            <w:r w:rsidR="00824155">
              <w:rPr>
                <w:noProof/>
                <w:webHidden/>
              </w:rPr>
              <w:instrText xml:space="preserve"> PAGEREF _Toc223088926 \h </w:instrText>
            </w:r>
            <w:r w:rsidR="00824155">
              <w:rPr>
                <w:noProof/>
                <w:webHidden/>
              </w:rPr>
            </w:r>
            <w:r w:rsidR="00824155">
              <w:rPr>
                <w:noProof/>
                <w:webHidden/>
              </w:rPr>
              <w:fldChar w:fldCharType="separate"/>
            </w:r>
            <w:r w:rsidR="00725D88">
              <w:rPr>
                <w:noProof/>
                <w:webHidden/>
              </w:rPr>
              <w:t>126</w:t>
            </w:r>
            <w:r w:rsidR="00824155">
              <w:rPr>
                <w:noProof/>
                <w:webHidden/>
              </w:rPr>
              <w:fldChar w:fldCharType="end"/>
            </w:r>
          </w:hyperlink>
        </w:p>
        <w:p w14:paraId="15F993E9" w14:textId="239F6A62" w:rsidR="00824155" w:rsidRDefault="00B648CD">
          <w:pPr>
            <w:pStyle w:val="TOC2"/>
            <w:tabs>
              <w:tab w:val="left" w:pos="1680"/>
            </w:tabs>
            <w:rPr>
              <w:rFonts w:asciiTheme="minorHAnsi" w:eastAsiaTheme="minorEastAsia" w:hAnsiTheme="minorHAnsi"/>
              <w:noProof/>
              <w:sz w:val="22"/>
              <w:lang w:val="en-ID" w:eastAsia="en-ID"/>
            </w:rPr>
          </w:pPr>
          <w:hyperlink w:anchor="_Toc223088927"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Penetapan Kadar Senyawa Penanda (Marker)</w:t>
            </w:r>
            <w:r w:rsidR="00824155">
              <w:rPr>
                <w:noProof/>
                <w:webHidden/>
              </w:rPr>
              <w:tab/>
            </w:r>
            <w:r w:rsidR="00824155">
              <w:rPr>
                <w:noProof/>
                <w:webHidden/>
              </w:rPr>
              <w:fldChar w:fldCharType="begin"/>
            </w:r>
            <w:r w:rsidR="00824155">
              <w:rPr>
                <w:noProof/>
                <w:webHidden/>
              </w:rPr>
              <w:instrText xml:space="preserve"> PAGEREF _Toc223088927 \h </w:instrText>
            </w:r>
            <w:r w:rsidR="00824155">
              <w:rPr>
                <w:noProof/>
                <w:webHidden/>
              </w:rPr>
            </w:r>
            <w:r w:rsidR="00824155">
              <w:rPr>
                <w:noProof/>
                <w:webHidden/>
              </w:rPr>
              <w:fldChar w:fldCharType="separate"/>
            </w:r>
            <w:r w:rsidR="00725D88">
              <w:rPr>
                <w:noProof/>
                <w:webHidden/>
              </w:rPr>
              <w:t>128</w:t>
            </w:r>
            <w:r w:rsidR="00824155">
              <w:rPr>
                <w:noProof/>
                <w:webHidden/>
              </w:rPr>
              <w:fldChar w:fldCharType="end"/>
            </w:r>
          </w:hyperlink>
        </w:p>
        <w:p w14:paraId="22AC0BDE" w14:textId="44FB781C" w:rsidR="00824155" w:rsidRDefault="00B648CD">
          <w:pPr>
            <w:pStyle w:val="TOC2"/>
            <w:rPr>
              <w:rFonts w:asciiTheme="minorHAnsi" w:eastAsiaTheme="minorEastAsia" w:hAnsiTheme="minorHAnsi"/>
              <w:noProof/>
              <w:sz w:val="22"/>
              <w:lang w:val="en-ID" w:eastAsia="en-ID"/>
            </w:rPr>
          </w:pPr>
          <w:hyperlink w:anchor="_Toc223088928" w:history="1">
            <w:r w:rsidR="00824155" w:rsidRPr="00B11ED9">
              <w:rPr>
                <w:rStyle w:val="Hyperlink"/>
                <w:bCs/>
                <w:noProof/>
                <w:lang w:val="en"/>
              </w:rPr>
              <w:t>KESIMPULAN</w:t>
            </w:r>
            <w:r w:rsidR="00824155">
              <w:rPr>
                <w:noProof/>
                <w:webHidden/>
              </w:rPr>
              <w:tab/>
            </w:r>
            <w:r w:rsidR="00824155">
              <w:rPr>
                <w:noProof/>
                <w:webHidden/>
              </w:rPr>
              <w:fldChar w:fldCharType="begin"/>
            </w:r>
            <w:r w:rsidR="00824155">
              <w:rPr>
                <w:noProof/>
                <w:webHidden/>
              </w:rPr>
              <w:instrText xml:space="preserve"> PAGEREF _Toc223088928 \h </w:instrText>
            </w:r>
            <w:r w:rsidR="00824155">
              <w:rPr>
                <w:noProof/>
                <w:webHidden/>
              </w:rPr>
            </w:r>
            <w:r w:rsidR="00824155">
              <w:rPr>
                <w:noProof/>
                <w:webHidden/>
              </w:rPr>
              <w:fldChar w:fldCharType="separate"/>
            </w:r>
            <w:r w:rsidR="00725D88">
              <w:rPr>
                <w:noProof/>
                <w:webHidden/>
              </w:rPr>
              <w:t>132</w:t>
            </w:r>
            <w:r w:rsidR="00824155">
              <w:rPr>
                <w:noProof/>
                <w:webHidden/>
              </w:rPr>
              <w:fldChar w:fldCharType="end"/>
            </w:r>
          </w:hyperlink>
        </w:p>
        <w:p w14:paraId="3D4FFC4B" w14:textId="500D2466" w:rsidR="00824155" w:rsidRDefault="00B648CD">
          <w:pPr>
            <w:pStyle w:val="TOC2"/>
            <w:rPr>
              <w:rFonts w:asciiTheme="minorHAnsi" w:eastAsiaTheme="minorEastAsia" w:hAnsiTheme="minorHAnsi"/>
              <w:noProof/>
              <w:sz w:val="22"/>
              <w:lang w:val="en-ID" w:eastAsia="en-ID"/>
            </w:rPr>
          </w:pPr>
          <w:hyperlink w:anchor="_Toc223088929" w:history="1">
            <w:r w:rsidR="00824155" w:rsidRPr="00B11ED9">
              <w:rPr>
                <w:rStyle w:val="Hyperlink"/>
                <w:noProof/>
              </w:rPr>
              <w:t>GLOSARIUM</w:t>
            </w:r>
            <w:r w:rsidR="00824155">
              <w:rPr>
                <w:noProof/>
                <w:webHidden/>
              </w:rPr>
              <w:tab/>
            </w:r>
            <w:r w:rsidR="00824155">
              <w:rPr>
                <w:noProof/>
                <w:webHidden/>
              </w:rPr>
              <w:fldChar w:fldCharType="begin"/>
            </w:r>
            <w:r w:rsidR="00824155">
              <w:rPr>
                <w:noProof/>
                <w:webHidden/>
              </w:rPr>
              <w:instrText xml:space="preserve"> PAGEREF _Toc223088929 \h </w:instrText>
            </w:r>
            <w:r w:rsidR="00824155">
              <w:rPr>
                <w:noProof/>
                <w:webHidden/>
              </w:rPr>
            </w:r>
            <w:r w:rsidR="00824155">
              <w:rPr>
                <w:noProof/>
                <w:webHidden/>
              </w:rPr>
              <w:fldChar w:fldCharType="separate"/>
            </w:r>
            <w:r w:rsidR="00725D88">
              <w:rPr>
                <w:noProof/>
                <w:webHidden/>
              </w:rPr>
              <w:t>133</w:t>
            </w:r>
            <w:r w:rsidR="00824155">
              <w:rPr>
                <w:noProof/>
                <w:webHidden/>
              </w:rPr>
              <w:fldChar w:fldCharType="end"/>
            </w:r>
          </w:hyperlink>
        </w:p>
        <w:p w14:paraId="408EAF60" w14:textId="0F1E956A" w:rsidR="00824155" w:rsidRDefault="00B648CD">
          <w:pPr>
            <w:pStyle w:val="TOC2"/>
            <w:rPr>
              <w:rFonts w:asciiTheme="minorHAnsi" w:eastAsiaTheme="minorEastAsia" w:hAnsiTheme="minorHAnsi"/>
              <w:noProof/>
              <w:sz w:val="22"/>
              <w:lang w:val="en-ID" w:eastAsia="en-ID"/>
            </w:rPr>
          </w:pPr>
          <w:hyperlink w:anchor="_Toc223088930"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_Toc223088930 \h </w:instrText>
            </w:r>
            <w:r w:rsidR="00824155">
              <w:rPr>
                <w:noProof/>
                <w:webHidden/>
              </w:rPr>
            </w:r>
            <w:r w:rsidR="00824155">
              <w:rPr>
                <w:noProof/>
                <w:webHidden/>
              </w:rPr>
              <w:fldChar w:fldCharType="separate"/>
            </w:r>
            <w:r w:rsidR="00725D88">
              <w:rPr>
                <w:noProof/>
                <w:webHidden/>
              </w:rPr>
              <w:t>134</w:t>
            </w:r>
            <w:r w:rsidR="00824155">
              <w:rPr>
                <w:noProof/>
                <w:webHidden/>
              </w:rPr>
              <w:fldChar w:fldCharType="end"/>
            </w:r>
          </w:hyperlink>
        </w:p>
        <w:p w14:paraId="3CEABF75" w14:textId="501B7A34" w:rsidR="00824155" w:rsidRDefault="00B648CD">
          <w:pPr>
            <w:pStyle w:val="TOC1"/>
            <w:rPr>
              <w:rFonts w:asciiTheme="minorHAnsi" w:eastAsiaTheme="minorEastAsia" w:hAnsiTheme="minorHAnsi"/>
              <w:b w:val="0"/>
              <w:sz w:val="22"/>
              <w:lang w:val="en-ID" w:eastAsia="en-ID"/>
            </w:rPr>
          </w:pPr>
          <w:hyperlink w:anchor="_Toc223088931"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10 </w:t>
            </w:r>
            <w:r w:rsidR="00824155">
              <w:rPr>
                <w:rFonts w:asciiTheme="minorHAnsi" w:eastAsiaTheme="minorEastAsia" w:hAnsiTheme="minorHAnsi"/>
                <w:b w:val="0"/>
                <w:sz w:val="22"/>
                <w:lang w:val="en-ID" w:eastAsia="en-ID"/>
              </w:rPr>
              <w:tab/>
            </w:r>
            <w:r w:rsidR="00824155" w:rsidRPr="00B11ED9">
              <w:rPr>
                <w:rStyle w:val="Hyperlink"/>
                <w:lang w:val="en-US"/>
              </w:rPr>
              <w:t xml:space="preserve">AKTIVITAS ANTIOKSIDAN EKSTRAK </w:t>
            </w:r>
            <w:r w:rsidR="00824155" w:rsidRPr="00B11ED9">
              <w:rPr>
                <w:rStyle w:val="Hyperlink"/>
                <w:i/>
                <w:iCs/>
                <w:lang w:val="en-US"/>
              </w:rPr>
              <w:t>Nigella sativa</w:t>
            </w:r>
            <w:r w:rsidR="00824155">
              <w:rPr>
                <w:webHidden/>
              </w:rPr>
              <w:tab/>
            </w:r>
            <w:r w:rsidR="00824155">
              <w:rPr>
                <w:webHidden/>
              </w:rPr>
              <w:fldChar w:fldCharType="begin"/>
            </w:r>
            <w:r w:rsidR="00824155">
              <w:rPr>
                <w:webHidden/>
              </w:rPr>
              <w:instrText xml:space="preserve"> PAGEREF _Toc223088931 \h </w:instrText>
            </w:r>
            <w:r w:rsidR="00824155">
              <w:rPr>
                <w:webHidden/>
              </w:rPr>
            </w:r>
            <w:r w:rsidR="00824155">
              <w:rPr>
                <w:webHidden/>
              </w:rPr>
              <w:fldChar w:fldCharType="separate"/>
            </w:r>
            <w:r w:rsidR="00725D88">
              <w:rPr>
                <w:webHidden/>
              </w:rPr>
              <w:t>137</w:t>
            </w:r>
            <w:r w:rsidR="00824155">
              <w:rPr>
                <w:webHidden/>
              </w:rPr>
              <w:fldChar w:fldCharType="end"/>
            </w:r>
          </w:hyperlink>
        </w:p>
        <w:p w14:paraId="14BFAD38" w14:textId="356EC393" w:rsidR="00824155" w:rsidRDefault="00B648CD">
          <w:pPr>
            <w:pStyle w:val="TOC2"/>
            <w:tabs>
              <w:tab w:val="left" w:pos="1680"/>
            </w:tabs>
            <w:rPr>
              <w:rFonts w:asciiTheme="minorHAnsi" w:eastAsiaTheme="minorEastAsia" w:hAnsiTheme="minorHAnsi"/>
              <w:noProof/>
              <w:sz w:val="22"/>
              <w:lang w:val="en-ID" w:eastAsia="en-ID"/>
            </w:rPr>
          </w:pPr>
          <w:hyperlink w:anchor="_Toc223088932"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_Toc223088932 \h </w:instrText>
            </w:r>
            <w:r w:rsidR="00824155">
              <w:rPr>
                <w:noProof/>
                <w:webHidden/>
              </w:rPr>
            </w:r>
            <w:r w:rsidR="00824155">
              <w:rPr>
                <w:noProof/>
                <w:webHidden/>
              </w:rPr>
              <w:fldChar w:fldCharType="separate"/>
            </w:r>
            <w:r w:rsidR="00725D88">
              <w:rPr>
                <w:noProof/>
                <w:webHidden/>
              </w:rPr>
              <w:t>137</w:t>
            </w:r>
            <w:r w:rsidR="00824155">
              <w:rPr>
                <w:noProof/>
                <w:webHidden/>
              </w:rPr>
              <w:fldChar w:fldCharType="end"/>
            </w:r>
          </w:hyperlink>
        </w:p>
        <w:p w14:paraId="1864FC49" w14:textId="58BA4F5A" w:rsidR="00824155" w:rsidRDefault="00B648CD">
          <w:pPr>
            <w:pStyle w:val="TOC2"/>
            <w:tabs>
              <w:tab w:val="left" w:pos="1260"/>
            </w:tabs>
            <w:rPr>
              <w:rFonts w:asciiTheme="minorHAnsi" w:eastAsiaTheme="minorEastAsia" w:hAnsiTheme="minorHAnsi"/>
              <w:noProof/>
              <w:sz w:val="22"/>
              <w:lang w:val="en-ID" w:eastAsia="en-ID"/>
            </w:rPr>
          </w:pPr>
          <w:hyperlink w:anchor="_Toc223088933"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 xml:space="preserve">Mekanisme </w:t>
            </w:r>
            <w:r w:rsidR="00824155" w:rsidRPr="00B11ED9">
              <w:rPr>
                <w:rStyle w:val="Hyperlink"/>
                <w:i/>
                <w:iCs/>
                <w:noProof/>
              </w:rPr>
              <w:t>Scavenging</w:t>
            </w:r>
            <w:r w:rsidR="00824155" w:rsidRPr="00B11ED9">
              <w:rPr>
                <w:rStyle w:val="Hyperlink"/>
                <w:noProof/>
              </w:rPr>
              <w:t xml:space="preserve"> Radikal Bebas</w:t>
            </w:r>
            <w:r w:rsidR="00824155">
              <w:rPr>
                <w:noProof/>
                <w:webHidden/>
              </w:rPr>
              <w:tab/>
            </w:r>
            <w:r w:rsidR="00824155">
              <w:rPr>
                <w:noProof/>
                <w:webHidden/>
              </w:rPr>
              <w:fldChar w:fldCharType="begin"/>
            </w:r>
            <w:r w:rsidR="00824155">
              <w:rPr>
                <w:noProof/>
                <w:webHidden/>
              </w:rPr>
              <w:instrText xml:space="preserve"> PAGEREF _Toc223088933 \h </w:instrText>
            </w:r>
            <w:r w:rsidR="00824155">
              <w:rPr>
                <w:noProof/>
                <w:webHidden/>
              </w:rPr>
            </w:r>
            <w:r w:rsidR="00824155">
              <w:rPr>
                <w:noProof/>
                <w:webHidden/>
              </w:rPr>
              <w:fldChar w:fldCharType="separate"/>
            </w:r>
            <w:r w:rsidR="00725D88">
              <w:rPr>
                <w:noProof/>
                <w:webHidden/>
              </w:rPr>
              <w:t>139</w:t>
            </w:r>
            <w:r w:rsidR="00824155">
              <w:rPr>
                <w:noProof/>
                <w:webHidden/>
              </w:rPr>
              <w:fldChar w:fldCharType="end"/>
            </w:r>
          </w:hyperlink>
        </w:p>
        <w:p w14:paraId="752F462C" w14:textId="07367A3C" w:rsidR="00824155" w:rsidRDefault="00B648CD">
          <w:pPr>
            <w:pStyle w:val="TOC2"/>
            <w:tabs>
              <w:tab w:val="left" w:pos="1680"/>
            </w:tabs>
            <w:rPr>
              <w:rFonts w:asciiTheme="minorHAnsi" w:eastAsiaTheme="minorEastAsia" w:hAnsiTheme="minorHAnsi"/>
              <w:noProof/>
              <w:sz w:val="22"/>
              <w:lang w:val="en-ID" w:eastAsia="en-ID"/>
            </w:rPr>
          </w:pPr>
          <w:hyperlink w:anchor="_Toc223088934"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 xml:space="preserve">Uji </w:t>
            </w:r>
            <w:r w:rsidR="00824155" w:rsidRPr="00B11ED9">
              <w:rPr>
                <w:rStyle w:val="Hyperlink"/>
                <w:bCs/>
                <w:i/>
                <w:iCs/>
                <w:noProof/>
                <w:lang w:val="en"/>
              </w:rPr>
              <w:t>In Vitro</w:t>
            </w:r>
            <w:r w:rsidR="00824155" w:rsidRPr="00B11ED9">
              <w:rPr>
                <w:rStyle w:val="Hyperlink"/>
                <w:bCs/>
                <w:noProof/>
                <w:lang w:val="en"/>
              </w:rPr>
              <w:t xml:space="preserve"> Potensi Antioksidan</w:t>
            </w:r>
            <w:r w:rsidR="00824155">
              <w:rPr>
                <w:noProof/>
                <w:webHidden/>
              </w:rPr>
              <w:tab/>
            </w:r>
            <w:r w:rsidR="00824155">
              <w:rPr>
                <w:noProof/>
                <w:webHidden/>
              </w:rPr>
              <w:fldChar w:fldCharType="begin"/>
            </w:r>
            <w:r w:rsidR="00824155">
              <w:rPr>
                <w:noProof/>
                <w:webHidden/>
              </w:rPr>
              <w:instrText xml:space="preserve"> PAGEREF _Toc223088934 \h </w:instrText>
            </w:r>
            <w:r w:rsidR="00824155">
              <w:rPr>
                <w:noProof/>
                <w:webHidden/>
              </w:rPr>
            </w:r>
            <w:r w:rsidR="00824155">
              <w:rPr>
                <w:noProof/>
                <w:webHidden/>
              </w:rPr>
              <w:fldChar w:fldCharType="separate"/>
            </w:r>
            <w:r w:rsidR="00725D88">
              <w:rPr>
                <w:noProof/>
                <w:webHidden/>
              </w:rPr>
              <w:t>142</w:t>
            </w:r>
            <w:r w:rsidR="00824155">
              <w:rPr>
                <w:noProof/>
                <w:webHidden/>
              </w:rPr>
              <w:fldChar w:fldCharType="end"/>
            </w:r>
          </w:hyperlink>
        </w:p>
        <w:p w14:paraId="31A3F508" w14:textId="1197EBCC" w:rsidR="00824155" w:rsidRDefault="00B648CD">
          <w:pPr>
            <w:pStyle w:val="TOC2"/>
            <w:tabs>
              <w:tab w:val="left" w:pos="1680"/>
            </w:tabs>
            <w:rPr>
              <w:rFonts w:asciiTheme="minorHAnsi" w:eastAsiaTheme="minorEastAsia" w:hAnsiTheme="minorHAnsi"/>
              <w:noProof/>
              <w:sz w:val="22"/>
              <w:lang w:val="en-ID" w:eastAsia="en-ID"/>
            </w:rPr>
          </w:pPr>
          <w:hyperlink w:anchor="_Toc223088935"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Korelasi Kandungan Fenolik dengan Daya Antioksidan</w:t>
            </w:r>
            <w:r w:rsidR="00824155">
              <w:rPr>
                <w:noProof/>
                <w:webHidden/>
              </w:rPr>
              <w:tab/>
            </w:r>
            <w:r w:rsidR="00824155">
              <w:rPr>
                <w:noProof/>
                <w:webHidden/>
              </w:rPr>
              <w:fldChar w:fldCharType="begin"/>
            </w:r>
            <w:r w:rsidR="00824155">
              <w:rPr>
                <w:noProof/>
                <w:webHidden/>
              </w:rPr>
              <w:instrText xml:space="preserve"> PAGEREF _Toc223088935 \h </w:instrText>
            </w:r>
            <w:r w:rsidR="00824155">
              <w:rPr>
                <w:noProof/>
                <w:webHidden/>
              </w:rPr>
            </w:r>
            <w:r w:rsidR="00824155">
              <w:rPr>
                <w:noProof/>
                <w:webHidden/>
              </w:rPr>
              <w:fldChar w:fldCharType="separate"/>
            </w:r>
            <w:r w:rsidR="00725D88">
              <w:rPr>
                <w:noProof/>
                <w:webHidden/>
              </w:rPr>
              <w:t>144</w:t>
            </w:r>
            <w:r w:rsidR="00824155">
              <w:rPr>
                <w:noProof/>
                <w:webHidden/>
              </w:rPr>
              <w:fldChar w:fldCharType="end"/>
            </w:r>
          </w:hyperlink>
        </w:p>
        <w:p w14:paraId="79FBEEDF" w14:textId="323C330C" w:rsidR="00824155" w:rsidRDefault="00B648CD">
          <w:pPr>
            <w:pStyle w:val="TOC2"/>
            <w:rPr>
              <w:rFonts w:asciiTheme="minorHAnsi" w:eastAsiaTheme="minorEastAsia" w:hAnsiTheme="minorHAnsi"/>
              <w:noProof/>
              <w:sz w:val="22"/>
              <w:lang w:val="en-ID" w:eastAsia="en-ID"/>
            </w:rPr>
          </w:pPr>
          <w:hyperlink w:anchor="_Toc223088936" w:history="1">
            <w:r w:rsidR="00824155" w:rsidRPr="00B11ED9">
              <w:rPr>
                <w:rStyle w:val="Hyperlink"/>
                <w:noProof/>
              </w:rPr>
              <w:t>KESIMPULAN</w:t>
            </w:r>
            <w:r w:rsidR="00824155">
              <w:rPr>
                <w:noProof/>
                <w:webHidden/>
              </w:rPr>
              <w:tab/>
            </w:r>
            <w:r w:rsidR="00824155">
              <w:rPr>
                <w:noProof/>
                <w:webHidden/>
              </w:rPr>
              <w:fldChar w:fldCharType="begin"/>
            </w:r>
            <w:r w:rsidR="00824155">
              <w:rPr>
                <w:noProof/>
                <w:webHidden/>
              </w:rPr>
              <w:instrText xml:space="preserve"> PAGEREF _Toc223088936 \h </w:instrText>
            </w:r>
            <w:r w:rsidR="00824155">
              <w:rPr>
                <w:noProof/>
                <w:webHidden/>
              </w:rPr>
            </w:r>
            <w:r w:rsidR="00824155">
              <w:rPr>
                <w:noProof/>
                <w:webHidden/>
              </w:rPr>
              <w:fldChar w:fldCharType="separate"/>
            </w:r>
            <w:r w:rsidR="00725D88">
              <w:rPr>
                <w:noProof/>
                <w:webHidden/>
              </w:rPr>
              <w:t>148</w:t>
            </w:r>
            <w:r w:rsidR="00824155">
              <w:rPr>
                <w:noProof/>
                <w:webHidden/>
              </w:rPr>
              <w:fldChar w:fldCharType="end"/>
            </w:r>
          </w:hyperlink>
        </w:p>
        <w:p w14:paraId="5107DF57" w14:textId="0A12E4EE" w:rsidR="00824155" w:rsidRDefault="00B648CD">
          <w:pPr>
            <w:pStyle w:val="TOC2"/>
            <w:rPr>
              <w:rFonts w:asciiTheme="minorHAnsi" w:eastAsiaTheme="minorEastAsia" w:hAnsiTheme="minorHAnsi"/>
              <w:noProof/>
              <w:sz w:val="22"/>
              <w:lang w:val="en-ID" w:eastAsia="en-ID"/>
            </w:rPr>
          </w:pPr>
          <w:hyperlink w:anchor="_Toc223088937" w:history="1">
            <w:r w:rsidR="00824155" w:rsidRPr="00B11ED9">
              <w:rPr>
                <w:rStyle w:val="Hyperlink"/>
                <w:noProof/>
              </w:rPr>
              <w:t>GLOSARIUM</w:t>
            </w:r>
            <w:r w:rsidR="00824155">
              <w:rPr>
                <w:noProof/>
                <w:webHidden/>
              </w:rPr>
              <w:tab/>
            </w:r>
            <w:r w:rsidR="00824155">
              <w:rPr>
                <w:noProof/>
                <w:webHidden/>
              </w:rPr>
              <w:fldChar w:fldCharType="begin"/>
            </w:r>
            <w:r w:rsidR="00824155">
              <w:rPr>
                <w:noProof/>
                <w:webHidden/>
              </w:rPr>
              <w:instrText xml:space="preserve"> PAGEREF _Toc223088937 \h </w:instrText>
            </w:r>
            <w:r w:rsidR="00824155">
              <w:rPr>
                <w:noProof/>
                <w:webHidden/>
              </w:rPr>
            </w:r>
            <w:r w:rsidR="00824155">
              <w:rPr>
                <w:noProof/>
                <w:webHidden/>
              </w:rPr>
              <w:fldChar w:fldCharType="separate"/>
            </w:r>
            <w:r w:rsidR="00725D88">
              <w:rPr>
                <w:noProof/>
                <w:webHidden/>
              </w:rPr>
              <w:t>149</w:t>
            </w:r>
            <w:r w:rsidR="00824155">
              <w:rPr>
                <w:noProof/>
                <w:webHidden/>
              </w:rPr>
              <w:fldChar w:fldCharType="end"/>
            </w:r>
          </w:hyperlink>
        </w:p>
        <w:p w14:paraId="360FF009" w14:textId="20ED5389" w:rsidR="00824155" w:rsidRDefault="00B648CD">
          <w:pPr>
            <w:pStyle w:val="TOC2"/>
            <w:rPr>
              <w:rFonts w:asciiTheme="minorHAnsi" w:eastAsiaTheme="minorEastAsia" w:hAnsiTheme="minorHAnsi"/>
              <w:noProof/>
              <w:sz w:val="22"/>
              <w:lang w:val="en-ID" w:eastAsia="en-ID"/>
            </w:rPr>
          </w:pPr>
          <w:hyperlink w:anchor="_Toc223088938"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_Toc223088938 \h </w:instrText>
            </w:r>
            <w:r w:rsidR="00824155">
              <w:rPr>
                <w:noProof/>
                <w:webHidden/>
              </w:rPr>
            </w:r>
            <w:r w:rsidR="00824155">
              <w:rPr>
                <w:noProof/>
                <w:webHidden/>
              </w:rPr>
              <w:fldChar w:fldCharType="separate"/>
            </w:r>
            <w:r w:rsidR="00725D88">
              <w:rPr>
                <w:noProof/>
                <w:webHidden/>
              </w:rPr>
              <w:t>150</w:t>
            </w:r>
            <w:r w:rsidR="00824155">
              <w:rPr>
                <w:noProof/>
                <w:webHidden/>
              </w:rPr>
              <w:fldChar w:fldCharType="end"/>
            </w:r>
          </w:hyperlink>
        </w:p>
        <w:p w14:paraId="1C786489" w14:textId="62D858F0" w:rsidR="00824155" w:rsidRDefault="00B648CD">
          <w:pPr>
            <w:pStyle w:val="TOC1"/>
            <w:rPr>
              <w:rFonts w:asciiTheme="minorHAnsi" w:eastAsiaTheme="minorEastAsia" w:hAnsiTheme="minorHAnsi"/>
              <w:b w:val="0"/>
              <w:sz w:val="22"/>
              <w:lang w:val="en-ID" w:eastAsia="en-ID"/>
            </w:rPr>
          </w:pPr>
          <w:hyperlink w:anchor="_Toc223088939"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11 </w:t>
            </w:r>
            <w:r w:rsidR="00824155">
              <w:rPr>
                <w:rFonts w:asciiTheme="minorHAnsi" w:eastAsiaTheme="minorEastAsia" w:hAnsiTheme="minorHAnsi"/>
                <w:b w:val="0"/>
                <w:sz w:val="22"/>
                <w:lang w:val="en-ID" w:eastAsia="en-ID"/>
              </w:rPr>
              <w:tab/>
            </w:r>
            <w:r w:rsidR="00824155" w:rsidRPr="00B11ED9">
              <w:rPr>
                <w:rStyle w:val="Hyperlink"/>
                <w:lang w:val="en-US"/>
              </w:rPr>
              <w:t>RESPON INFLAMASI PADA MUKOSITIS ORAL</w:t>
            </w:r>
            <w:r w:rsidR="00824155">
              <w:rPr>
                <w:webHidden/>
              </w:rPr>
              <w:tab/>
            </w:r>
            <w:r w:rsidR="00824155">
              <w:rPr>
                <w:webHidden/>
              </w:rPr>
              <w:fldChar w:fldCharType="begin"/>
            </w:r>
            <w:r w:rsidR="00824155">
              <w:rPr>
                <w:webHidden/>
              </w:rPr>
              <w:instrText xml:space="preserve"> PAGEREF _Toc223088939 \h </w:instrText>
            </w:r>
            <w:r w:rsidR="00824155">
              <w:rPr>
                <w:webHidden/>
              </w:rPr>
            </w:r>
            <w:r w:rsidR="00824155">
              <w:rPr>
                <w:webHidden/>
              </w:rPr>
              <w:fldChar w:fldCharType="separate"/>
            </w:r>
            <w:r w:rsidR="00725D88">
              <w:rPr>
                <w:webHidden/>
              </w:rPr>
              <w:t>152</w:t>
            </w:r>
            <w:r w:rsidR="00824155">
              <w:rPr>
                <w:webHidden/>
              </w:rPr>
              <w:fldChar w:fldCharType="end"/>
            </w:r>
          </w:hyperlink>
        </w:p>
        <w:p w14:paraId="51B59863" w14:textId="37882482" w:rsidR="00824155" w:rsidRDefault="00B648CD">
          <w:pPr>
            <w:pStyle w:val="TOC2"/>
            <w:tabs>
              <w:tab w:val="left" w:pos="1680"/>
            </w:tabs>
            <w:rPr>
              <w:rFonts w:asciiTheme="minorHAnsi" w:eastAsiaTheme="minorEastAsia" w:hAnsiTheme="minorHAnsi"/>
              <w:noProof/>
              <w:sz w:val="22"/>
              <w:lang w:val="en-ID" w:eastAsia="en-ID"/>
            </w:rPr>
          </w:pPr>
          <w:hyperlink w:anchor="_Toc223088940"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_Toc223088940 \h </w:instrText>
            </w:r>
            <w:r w:rsidR="00824155">
              <w:rPr>
                <w:noProof/>
                <w:webHidden/>
              </w:rPr>
            </w:r>
            <w:r w:rsidR="00824155">
              <w:rPr>
                <w:noProof/>
                <w:webHidden/>
              </w:rPr>
              <w:fldChar w:fldCharType="separate"/>
            </w:r>
            <w:r w:rsidR="00725D88">
              <w:rPr>
                <w:noProof/>
                <w:webHidden/>
              </w:rPr>
              <w:t>152</w:t>
            </w:r>
            <w:r w:rsidR="00824155">
              <w:rPr>
                <w:noProof/>
                <w:webHidden/>
              </w:rPr>
              <w:fldChar w:fldCharType="end"/>
            </w:r>
          </w:hyperlink>
        </w:p>
        <w:p w14:paraId="3EA3E5C8" w14:textId="3B407EB6" w:rsidR="00824155" w:rsidRDefault="00B648CD">
          <w:pPr>
            <w:pStyle w:val="TOC2"/>
            <w:tabs>
              <w:tab w:val="left" w:pos="1260"/>
            </w:tabs>
            <w:rPr>
              <w:rFonts w:asciiTheme="minorHAnsi" w:eastAsiaTheme="minorEastAsia" w:hAnsiTheme="minorHAnsi"/>
              <w:noProof/>
              <w:sz w:val="22"/>
              <w:lang w:val="en-ID" w:eastAsia="en-ID"/>
            </w:rPr>
          </w:pPr>
          <w:hyperlink w:anchor="_Toc223088941"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Sitokin Pro-Inflamasi dalam Patogenesis Mukositis</w:t>
            </w:r>
            <w:r w:rsidR="00824155">
              <w:rPr>
                <w:noProof/>
                <w:webHidden/>
              </w:rPr>
              <w:tab/>
            </w:r>
            <w:r w:rsidR="00824155">
              <w:rPr>
                <w:noProof/>
                <w:webHidden/>
              </w:rPr>
              <w:fldChar w:fldCharType="begin"/>
            </w:r>
            <w:r w:rsidR="00824155">
              <w:rPr>
                <w:noProof/>
                <w:webHidden/>
              </w:rPr>
              <w:instrText xml:space="preserve"> PAGEREF _Toc223088941 \h </w:instrText>
            </w:r>
            <w:r w:rsidR="00824155">
              <w:rPr>
                <w:noProof/>
                <w:webHidden/>
              </w:rPr>
            </w:r>
            <w:r w:rsidR="00824155">
              <w:rPr>
                <w:noProof/>
                <w:webHidden/>
              </w:rPr>
              <w:fldChar w:fldCharType="separate"/>
            </w:r>
            <w:r w:rsidR="00725D88">
              <w:rPr>
                <w:noProof/>
                <w:webHidden/>
              </w:rPr>
              <w:t>154</w:t>
            </w:r>
            <w:r w:rsidR="00824155">
              <w:rPr>
                <w:noProof/>
                <w:webHidden/>
              </w:rPr>
              <w:fldChar w:fldCharType="end"/>
            </w:r>
          </w:hyperlink>
        </w:p>
        <w:p w14:paraId="30B2FF00" w14:textId="0F78572A" w:rsidR="00824155" w:rsidRDefault="00B648CD">
          <w:pPr>
            <w:pStyle w:val="TOC2"/>
            <w:tabs>
              <w:tab w:val="left" w:pos="1680"/>
            </w:tabs>
            <w:rPr>
              <w:rFonts w:asciiTheme="minorHAnsi" w:eastAsiaTheme="minorEastAsia" w:hAnsiTheme="minorHAnsi"/>
              <w:noProof/>
              <w:sz w:val="22"/>
              <w:lang w:val="en-ID" w:eastAsia="en-ID"/>
            </w:rPr>
          </w:pPr>
          <w:hyperlink w:anchor="_Toc223088942"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Kaskade Sinyal Inflamasi di Tingkat Jaringan</w:t>
            </w:r>
            <w:r w:rsidR="00824155">
              <w:rPr>
                <w:noProof/>
                <w:webHidden/>
              </w:rPr>
              <w:tab/>
            </w:r>
            <w:r w:rsidR="00824155">
              <w:rPr>
                <w:noProof/>
                <w:webHidden/>
              </w:rPr>
              <w:fldChar w:fldCharType="begin"/>
            </w:r>
            <w:r w:rsidR="00824155">
              <w:rPr>
                <w:noProof/>
                <w:webHidden/>
              </w:rPr>
              <w:instrText xml:space="preserve"> PAGEREF _Toc223088942 \h </w:instrText>
            </w:r>
            <w:r w:rsidR="00824155">
              <w:rPr>
                <w:noProof/>
                <w:webHidden/>
              </w:rPr>
            </w:r>
            <w:r w:rsidR="00824155">
              <w:rPr>
                <w:noProof/>
                <w:webHidden/>
              </w:rPr>
              <w:fldChar w:fldCharType="separate"/>
            </w:r>
            <w:r w:rsidR="00725D88">
              <w:rPr>
                <w:noProof/>
                <w:webHidden/>
              </w:rPr>
              <w:t>156</w:t>
            </w:r>
            <w:r w:rsidR="00824155">
              <w:rPr>
                <w:noProof/>
                <w:webHidden/>
              </w:rPr>
              <w:fldChar w:fldCharType="end"/>
            </w:r>
          </w:hyperlink>
        </w:p>
        <w:p w14:paraId="5DED7891" w14:textId="2C3DB328" w:rsidR="00824155" w:rsidRDefault="00B648CD">
          <w:pPr>
            <w:pStyle w:val="TOC2"/>
            <w:tabs>
              <w:tab w:val="left" w:pos="1680"/>
            </w:tabs>
            <w:rPr>
              <w:rFonts w:asciiTheme="minorHAnsi" w:eastAsiaTheme="minorEastAsia" w:hAnsiTheme="minorHAnsi"/>
              <w:noProof/>
              <w:sz w:val="22"/>
              <w:lang w:val="en-ID" w:eastAsia="en-ID"/>
            </w:rPr>
          </w:pPr>
          <w:hyperlink w:anchor="_Toc223088943"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Transisi dari Inflamasi ke Ulserasi</w:t>
            </w:r>
            <w:r w:rsidR="00824155">
              <w:rPr>
                <w:noProof/>
                <w:webHidden/>
              </w:rPr>
              <w:tab/>
            </w:r>
            <w:r w:rsidR="00824155">
              <w:rPr>
                <w:noProof/>
                <w:webHidden/>
              </w:rPr>
              <w:fldChar w:fldCharType="begin"/>
            </w:r>
            <w:r w:rsidR="00824155">
              <w:rPr>
                <w:noProof/>
                <w:webHidden/>
              </w:rPr>
              <w:instrText xml:space="preserve"> PAGEREF _Toc223088943 \h </w:instrText>
            </w:r>
            <w:r w:rsidR="00824155">
              <w:rPr>
                <w:noProof/>
                <w:webHidden/>
              </w:rPr>
            </w:r>
            <w:r w:rsidR="00824155">
              <w:rPr>
                <w:noProof/>
                <w:webHidden/>
              </w:rPr>
              <w:fldChar w:fldCharType="separate"/>
            </w:r>
            <w:r w:rsidR="00725D88">
              <w:rPr>
                <w:noProof/>
                <w:webHidden/>
              </w:rPr>
              <w:t>159</w:t>
            </w:r>
            <w:r w:rsidR="00824155">
              <w:rPr>
                <w:noProof/>
                <w:webHidden/>
              </w:rPr>
              <w:fldChar w:fldCharType="end"/>
            </w:r>
          </w:hyperlink>
        </w:p>
        <w:p w14:paraId="7A373D25" w14:textId="11182E28" w:rsidR="00824155" w:rsidRDefault="00B648CD">
          <w:pPr>
            <w:pStyle w:val="TOC2"/>
            <w:rPr>
              <w:rFonts w:asciiTheme="minorHAnsi" w:eastAsiaTheme="minorEastAsia" w:hAnsiTheme="minorHAnsi"/>
              <w:noProof/>
              <w:sz w:val="22"/>
              <w:lang w:val="en-ID" w:eastAsia="en-ID"/>
            </w:rPr>
          </w:pPr>
          <w:hyperlink w:anchor="_Toc223088944" w:history="1">
            <w:r w:rsidR="00824155" w:rsidRPr="00B11ED9">
              <w:rPr>
                <w:rStyle w:val="Hyperlink"/>
                <w:noProof/>
              </w:rPr>
              <w:t>KESIMPULAN</w:t>
            </w:r>
            <w:r w:rsidR="00824155">
              <w:rPr>
                <w:noProof/>
                <w:webHidden/>
              </w:rPr>
              <w:tab/>
            </w:r>
            <w:r w:rsidR="00824155">
              <w:rPr>
                <w:noProof/>
                <w:webHidden/>
              </w:rPr>
              <w:fldChar w:fldCharType="begin"/>
            </w:r>
            <w:r w:rsidR="00824155">
              <w:rPr>
                <w:noProof/>
                <w:webHidden/>
              </w:rPr>
              <w:instrText xml:space="preserve"> PAGEREF _Toc223088944 \h </w:instrText>
            </w:r>
            <w:r w:rsidR="00824155">
              <w:rPr>
                <w:noProof/>
                <w:webHidden/>
              </w:rPr>
            </w:r>
            <w:r w:rsidR="00824155">
              <w:rPr>
                <w:noProof/>
                <w:webHidden/>
              </w:rPr>
              <w:fldChar w:fldCharType="separate"/>
            </w:r>
            <w:r w:rsidR="00725D88">
              <w:rPr>
                <w:noProof/>
                <w:webHidden/>
              </w:rPr>
              <w:t>162</w:t>
            </w:r>
            <w:r w:rsidR="00824155">
              <w:rPr>
                <w:noProof/>
                <w:webHidden/>
              </w:rPr>
              <w:fldChar w:fldCharType="end"/>
            </w:r>
          </w:hyperlink>
        </w:p>
        <w:p w14:paraId="3431B8EA" w14:textId="4F80A309" w:rsidR="00824155" w:rsidRDefault="00B648CD">
          <w:pPr>
            <w:pStyle w:val="TOC2"/>
            <w:rPr>
              <w:rFonts w:asciiTheme="minorHAnsi" w:eastAsiaTheme="minorEastAsia" w:hAnsiTheme="minorHAnsi"/>
              <w:noProof/>
              <w:sz w:val="22"/>
              <w:lang w:val="en-ID" w:eastAsia="en-ID"/>
            </w:rPr>
          </w:pPr>
          <w:hyperlink w:anchor="_Toc223088945" w:history="1">
            <w:r w:rsidR="00824155" w:rsidRPr="00B11ED9">
              <w:rPr>
                <w:rStyle w:val="Hyperlink"/>
                <w:noProof/>
              </w:rPr>
              <w:t>GLOSARIUM</w:t>
            </w:r>
            <w:r w:rsidR="00824155">
              <w:rPr>
                <w:noProof/>
                <w:webHidden/>
              </w:rPr>
              <w:tab/>
            </w:r>
            <w:r w:rsidR="00824155">
              <w:rPr>
                <w:noProof/>
                <w:webHidden/>
              </w:rPr>
              <w:fldChar w:fldCharType="begin"/>
            </w:r>
            <w:r w:rsidR="00824155">
              <w:rPr>
                <w:noProof/>
                <w:webHidden/>
              </w:rPr>
              <w:instrText xml:space="preserve"> PAGEREF _Toc223088945 \h </w:instrText>
            </w:r>
            <w:r w:rsidR="00824155">
              <w:rPr>
                <w:noProof/>
                <w:webHidden/>
              </w:rPr>
            </w:r>
            <w:r w:rsidR="00824155">
              <w:rPr>
                <w:noProof/>
                <w:webHidden/>
              </w:rPr>
              <w:fldChar w:fldCharType="separate"/>
            </w:r>
            <w:r w:rsidR="00725D88">
              <w:rPr>
                <w:noProof/>
                <w:webHidden/>
              </w:rPr>
              <w:t>163</w:t>
            </w:r>
            <w:r w:rsidR="00824155">
              <w:rPr>
                <w:noProof/>
                <w:webHidden/>
              </w:rPr>
              <w:fldChar w:fldCharType="end"/>
            </w:r>
          </w:hyperlink>
        </w:p>
        <w:p w14:paraId="728FC83D" w14:textId="0D41F8EA" w:rsidR="00824155" w:rsidRDefault="00B648CD">
          <w:pPr>
            <w:pStyle w:val="TOC2"/>
            <w:rPr>
              <w:rFonts w:asciiTheme="minorHAnsi" w:eastAsiaTheme="minorEastAsia" w:hAnsiTheme="minorHAnsi"/>
              <w:noProof/>
              <w:sz w:val="22"/>
              <w:lang w:val="en-ID" w:eastAsia="en-ID"/>
            </w:rPr>
          </w:pPr>
          <w:hyperlink w:anchor="_Toc223088946"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_Toc223088946 \h </w:instrText>
            </w:r>
            <w:r w:rsidR="00824155">
              <w:rPr>
                <w:noProof/>
                <w:webHidden/>
              </w:rPr>
            </w:r>
            <w:r w:rsidR="00824155">
              <w:rPr>
                <w:noProof/>
                <w:webHidden/>
              </w:rPr>
              <w:fldChar w:fldCharType="separate"/>
            </w:r>
            <w:r w:rsidR="00725D88">
              <w:rPr>
                <w:noProof/>
                <w:webHidden/>
              </w:rPr>
              <w:t>164</w:t>
            </w:r>
            <w:r w:rsidR="00824155">
              <w:rPr>
                <w:noProof/>
                <w:webHidden/>
              </w:rPr>
              <w:fldChar w:fldCharType="end"/>
            </w:r>
          </w:hyperlink>
        </w:p>
        <w:p w14:paraId="1101C732" w14:textId="38DF826D" w:rsidR="00824155" w:rsidRDefault="00B648CD">
          <w:pPr>
            <w:pStyle w:val="TOC1"/>
            <w:rPr>
              <w:rFonts w:asciiTheme="minorHAnsi" w:eastAsiaTheme="minorEastAsia" w:hAnsiTheme="minorHAnsi"/>
              <w:b w:val="0"/>
              <w:sz w:val="22"/>
              <w:lang w:val="en-ID" w:eastAsia="en-ID"/>
            </w:rPr>
          </w:pPr>
          <w:hyperlink w:anchor="_Toc223088947"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12 </w:t>
            </w:r>
            <w:r w:rsidR="00824155">
              <w:rPr>
                <w:rFonts w:asciiTheme="minorHAnsi" w:eastAsiaTheme="minorEastAsia" w:hAnsiTheme="minorHAnsi"/>
                <w:b w:val="0"/>
                <w:sz w:val="22"/>
                <w:lang w:val="en-ID" w:eastAsia="en-ID"/>
              </w:rPr>
              <w:tab/>
            </w:r>
            <w:r w:rsidR="00824155" w:rsidRPr="00B11ED9">
              <w:rPr>
                <w:rStyle w:val="Hyperlink"/>
                <w:lang w:val="en-US"/>
              </w:rPr>
              <w:t xml:space="preserve">JALUR </w:t>
            </w:r>
            <w:r w:rsidR="00824155" w:rsidRPr="00B11ED9">
              <w:rPr>
                <w:rStyle w:val="Hyperlink"/>
                <w:i/>
                <w:iCs/>
                <w:lang w:val="en-US"/>
              </w:rPr>
              <w:t>SIGNALING</w:t>
            </w:r>
            <w:r w:rsidR="00824155" w:rsidRPr="00B11ED9">
              <w:rPr>
                <w:rStyle w:val="Hyperlink"/>
                <w:lang w:val="en-US"/>
              </w:rPr>
              <w:t xml:space="preserve"> NF-κB DALAM INFLAMASI</w:t>
            </w:r>
            <w:r w:rsidR="00824155">
              <w:rPr>
                <w:webHidden/>
              </w:rPr>
              <w:tab/>
            </w:r>
            <w:r w:rsidR="00824155">
              <w:rPr>
                <w:webHidden/>
              </w:rPr>
              <w:fldChar w:fldCharType="begin"/>
            </w:r>
            <w:r w:rsidR="00824155">
              <w:rPr>
                <w:webHidden/>
              </w:rPr>
              <w:instrText xml:space="preserve"> PAGEREF _Toc223088947 \h </w:instrText>
            </w:r>
            <w:r w:rsidR="00824155">
              <w:rPr>
                <w:webHidden/>
              </w:rPr>
            </w:r>
            <w:r w:rsidR="00824155">
              <w:rPr>
                <w:webHidden/>
              </w:rPr>
              <w:fldChar w:fldCharType="separate"/>
            </w:r>
            <w:r w:rsidR="00725D88">
              <w:rPr>
                <w:webHidden/>
              </w:rPr>
              <w:t>166</w:t>
            </w:r>
            <w:r w:rsidR="00824155">
              <w:rPr>
                <w:webHidden/>
              </w:rPr>
              <w:fldChar w:fldCharType="end"/>
            </w:r>
          </w:hyperlink>
        </w:p>
        <w:p w14:paraId="0C438689" w14:textId="6F03E391" w:rsidR="00824155" w:rsidRDefault="00B648CD">
          <w:pPr>
            <w:pStyle w:val="TOC2"/>
            <w:tabs>
              <w:tab w:val="left" w:pos="1680"/>
            </w:tabs>
            <w:rPr>
              <w:rFonts w:asciiTheme="minorHAnsi" w:eastAsiaTheme="minorEastAsia" w:hAnsiTheme="minorHAnsi"/>
              <w:noProof/>
              <w:sz w:val="22"/>
              <w:lang w:val="en-ID" w:eastAsia="en-ID"/>
            </w:rPr>
          </w:pPr>
          <w:hyperlink w:anchor="_Toc223088948"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_Toc223088948 \h </w:instrText>
            </w:r>
            <w:r w:rsidR="00824155">
              <w:rPr>
                <w:noProof/>
                <w:webHidden/>
              </w:rPr>
            </w:r>
            <w:r w:rsidR="00824155">
              <w:rPr>
                <w:noProof/>
                <w:webHidden/>
              </w:rPr>
              <w:fldChar w:fldCharType="separate"/>
            </w:r>
            <w:r w:rsidR="00725D88">
              <w:rPr>
                <w:noProof/>
                <w:webHidden/>
              </w:rPr>
              <w:t>166</w:t>
            </w:r>
            <w:r w:rsidR="00824155">
              <w:rPr>
                <w:noProof/>
                <w:webHidden/>
              </w:rPr>
              <w:fldChar w:fldCharType="end"/>
            </w:r>
          </w:hyperlink>
        </w:p>
        <w:p w14:paraId="158CE02F" w14:textId="0473D1D5" w:rsidR="00824155" w:rsidRDefault="00B648CD">
          <w:pPr>
            <w:pStyle w:val="TOC2"/>
            <w:tabs>
              <w:tab w:val="left" w:pos="1260"/>
            </w:tabs>
            <w:rPr>
              <w:rFonts w:asciiTheme="minorHAnsi" w:eastAsiaTheme="minorEastAsia" w:hAnsiTheme="minorHAnsi"/>
              <w:noProof/>
              <w:sz w:val="22"/>
              <w:lang w:val="en-ID" w:eastAsia="en-ID"/>
            </w:rPr>
          </w:pPr>
          <w:hyperlink w:anchor="_Toc223088949"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Struktur dan Klasifikasi Protein NF-κB</w:t>
            </w:r>
            <w:r w:rsidR="00824155">
              <w:rPr>
                <w:noProof/>
                <w:webHidden/>
              </w:rPr>
              <w:tab/>
            </w:r>
            <w:r w:rsidR="00824155">
              <w:rPr>
                <w:noProof/>
                <w:webHidden/>
              </w:rPr>
              <w:fldChar w:fldCharType="begin"/>
            </w:r>
            <w:r w:rsidR="00824155">
              <w:rPr>
                <w:noProof/>
                <w:webHidden/>
              </w:rPr>
              <w:instrText xml:space="preserve"> PAGEREF _Toc223088949 \h </w:instrText>
            </w:r>
            <w:r w:rsidR="00824155">
              <w:rPr>
                <w:noProof/>
                <w:webHidden/>
              </w:rPr>
            </w:r>
            <w:r w:rsidR="00824155">
              <w:rPr>
                <w:noProof/>
                <w:webHidden/>
              </w:rPr>
              <w:fldChar w:fldCharType="separate"/>
            </w:r>
            <w:r w:rsidR="00725D88">
              <w:rPr>
                <w:noProof/>
                <w:webHidden/>
              </w:rPr>
              <w:t>168</w:t>
            </w:r>
            <w:r w:rsidR="00824155">
              <w:rPr>
                <w:noProof/>
                <w:webHidden/>
              </w:rPr>
              <w:fldChar w:fldCharType="end"/>
            </w:r>
          </w:hyperlink>
        </w:p>
        <w:p w14:paraId="58811735" w14:textId="0AD0C52F" w:rsidR="00824155" w:rsidRDefault="00B648CD">
          <w:pPr>
            <w:pStyle w:val="TOC2"/>
            <w:tabs>
              <w:tab w:val="left" w:pos="1680"/>
            </w:tabs>
            <w:rPr>
              <w:rFonts w:asciiTheme="minorHAnsi" w:eastAsiaTheme="minorEastAsia" w:hAnsiTheme="minorHAnsi"/>
              <w:noProof/>
              <w:sz w:val="22"/>
              <w:lang w:val="en-ID" w:eastAsia="en-ID"/>
            </w:rPr>
          </w:pPr>
          <w:hyperlink w:anchor="_Toc223088950"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Aktivasi Jalur Kanonik NF-κB</w:t>
            </w:r>
            <w:r w:rsidR="00824155">
              <w:rPr>
                <w:noProof/>
                <w:webHidden/>
              </w:rPr>
              <w:tab/>
            </w:r>
            <w:r w:rsidR="00824155">
              <w:rPr>
                <w:noProof/>
                <w:webHidden/>
              </w:rPr>
              <w:fldChar w:fldCharType="begin"/>
            </w:r>
            <w:r w:rsidR="00824155">
              <w:rPr>
                <w:noProof/>
                <w:webHidden/>
              </w:rPr>
              <w:instrText xml:space="preserve"> PAGEREF _Toc223088950 \h </w:instrText>
            </w:r>
            <w:r w:rsidR="00824155">
              <w:rPr>
                <w:noProof/>
                <w:webHidden/>
              </w:rPr>
            </w:r>
            <w:r w:rsidR="00824155">
              <w:rPr>
                <w:noProof/>
                <w:webHidden/>
              </w:rPr>
              <w:fldChar w:fldCharType="separate"/>
            </w:r>
            <w:r w:rsidR="00725D88">
              <w:rPr>
                <w:noProof/>
                <w:webHidden/>
              </w:rPr>
              <w:t>170</w:t>
            </w:r>
            <w:r w:rsidR="00824155">
              <w:rPr>
                <w:noProof/>
                <w:webHidden/>
              </w:rPr>
              <w:fldChar w:fldCharType="end"/>
            </w:r>
          </w:hyperlink>
        </w:p>
        <w:p w14:paraId="6B642591" w14:textId="7828B98D" w:rsidR="00824155" w:rsidRDefault="00B648CD">
          <w:pPr>
            <w:pStyle w:val="TOC2"/>
            <w:tabs>
              <w:tab w:val="left" w:pos="1680"/>
            </w:tabs>
            <w:rPr>
              <w:rFonts w:asciiTheme="minorHAnsi" w:eastAsiaTheme="minorEastAsia" w:hAnsiTheme="minorHAnsi"/>
              <w:noProof/>
              <w:sz w:val="22"/>
              <w:lang w:val="en-ID" w:eastAsia="en-ID"/>
            </w:rPr>
          </w:pPr>
          <w:hyperlink w:anchor="_Toc223088951"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Target Genetik dari Aktivasi NF-κB</w:t>
            </w:r>
            <w:r w:rsidR="00824155">
              <w:rPr>
                <w:noProof/>
                <w:webHidden/>
              </w:rPr>
              <w:tab/>
            </w:r>
            <w:r w:rsidR="00824155">
              <w:rPr>
                <w:noProof/>
                <w:webHidden/>
              </w:rPr>
              <w:fldChar w:fldCharType="begin"/>
            </w:r>
            <w:r w:rsidR="00824155">
              <w:rPr>
                <w:noProof/>
                <w:webHidden/>
              </w:rPr>
              <w:instrText xml:space="preserve"> PAGEREF _Toc223088951 \h </w:instrText>
            </w:r>
            <w:r w:rsidR="00824155">
              <w:rPr>
                <w:noProof/>
                <w:webHidden/>
              </w:rPr>
            </w:r>
            <w:r w:rsidR="00824155">
              <w:rPr>
                <w:noProof/>
                <w:webHidden/>
              </w:rPr>
              <w:fldChar w:fldCharType="separate"/>
            </w:r>
            <w:r w:rsidR="00725D88">
              <w:rPr>
                <w:noProof/>
                <w:webHidden/>
              </w:rPr>
              <w:t>173</w:t>
            </w:r>
            <w:r w:rsidR="00824155">
              <w:rPr>
                <w:noProof/>
                <w:webHidden/>
              </w:rPr>
              <w:fldChar w:fldCharType="end"/>
            </w:r>
          </w:hyperlink>
        </w:p>
        <w:p w14:paraId="7C02194B" w14:textId="7309529B" w:rsidR="00824155" w:rsidRDefault="00B648CD">
          <w:pPr>
            <w:pStyle w:val="TOC2"/>
            <w:rPr>
              <w:rFonts w:asciiTheme="minorHAnsi" w:eastAsiaTheme="minorEastAsia" w:hAnsiTheme="minorHAnsi"/>
              <w:noProof/>
              <w:sz w:val="22"/>
              <w:lang w:val="en-ID" w:eastAsia="en-ID"/>
            </w:rPr>
          </w:pPr>
          <w:hyperlink w:anchor="_Toc223088952" w:history="1">
            <w:r w:rsidR="00824155" w:rsidRPr="00B11ED9">
              <w:rPr>
                <w:rStyle w:val="Hyperlink"/>
                <w:bCs/>
                <w:noProof/>
                <w:lang w:val="en"/>
              </w:rPr>
              <w:t>KESIMPULAN</w:t>
            </w:r>
            <w:r w:rsidR="00824155">
              <w:rPr>
                <w:noProof/>
                <w:webHidden/>
              </w:rPr>
              <w:tab/>
            </w:r>
            <w:r w:rsidR="00824155">
              <w:rPr>
                <w:noProof/>
                <w:webHidden/>
              </w:rPr>
              <w:fldChar w:fldCharType="begin"/>
            </w:r>
            <w:r w:rsidR="00824155">
              <w:rPr>
                <w:noProof/>
                <w:webHidden/>
              </w:rPr>
              <w:instrText xml:space="preserve"> PAGEREF _Toc223088952 \h </w:instrText>
            </w:r>
            <w:r w:rsidR="00824155">
              <w:rPr>
                <w:noProof/>
                <w:webHidden/>
              </w:rPr>
            </w:r>
            <w:r w:rsidR="00824155">
              <w:rPr>
                <w:noProof/>
                <w:webHidden/>
              </w:rPr>
              <w:fldChar w:fldCharType="separate"/>
            </w:r>
            <w:r w:rsidR="00725D88">
              <w:rPr>
                <w:noProof/>
                <w:webHidden/>
              </w:rPr>
              <w:t>176</w:t>
            </w:r>
            <w:r w:rsidR="00824155">
              <w:rPr>
                <w:noProof/>
                <w:webHidden/>
              </w:rPr>
              <w:fldChar w:fldCharType="end"/>
            </w:r>
          </w:hyperlink>
        </w:p>
        <w:p w14:paraId="7791488E" w14:textId="386AD6A7" w:rsidR="00824155" w:rsidRDefault="00B648CD">
          <w:pPr>
            <w:pStyle w:val="TOC2"/>
            <w:rPr>
              <w:rFonts w:asciiTheme="minorHAnsi" w:eastAsiaTheme="minorEastAsia" w:hAnsiTheme="minorHAnsi"/>
              <w:noProof/>
              <w:sz w:val="22"/>
              <w:lang w:val="en-ID" w:eastAsia="en-ID"/>
            </w:rPr>
          </w:pPr>
          <w:hyperlink w:anchor="_Toc223088953" w:history="1">
            <w:r w:rsidR="00824155" w:rsidRPr="00B11ED9">
              <w:rPr>
                <w:rStyle w:val="Hyperlink"/>
                <w:noProof/>
              </w:rPr>
              <w:t>GLOSARIUM</w:t>
            </w:r>
            <w:r w:rsidR="00824155">
              <w:rPr>
                <w:noProof/>
                <w:webHidden/>
              </w:rPr>
              <w:tab/>
            </w:r>
            <w:r w:rsidR="00824155">
              <w:rPr>
                <w:noProof/>
                <w:webHidden/>
              </w:rPr>
              <w:fldChar w:fldCharType="begin"/>
            </w:r>
            <w:r w:rsidR="00824155">
              <w:rPr>
                <w:noProof/>
                <w:webHidden/>
              </w:rPr>
              <w:instrText xml:space="preserve"> PAGEREF _Toc223088953 \h </w:instrText>
            </w:r>
            <w:r w:rsidR="00824155">
              <w:rPr>
                <w:noProof/>
                <w:webHidden/>
              </w:rPr>
            </w:r>
            <w:r w:rsidR="00824155">
              <w:rPr>
                <w:noProof/>
                <w:webHidden/>
              </w:rPr>
              <w:fldChar w:fldCharType="separate"/>
            </w:r>
            <w:r w:rsidR="00725D88">
              <w:rPr>
                <w:noProof/>
                <w:webHidden/>
              </w:rPr>
              <w:t>177</w:t>
            </w:r>
            <w:r w:rsidR="00824155">
              <w:rPr>
                <w:noProof/>
                <w:webHidden/>
              </w:rPr>
              <w:fldChar w:fldCharType="end"/>
            </w:r>
          </w:hyperlink>
        </w:p>
        <w:p w14:paraId="1B996899" w14:textId="6BB26207" w:rsidR="00824155" w:rsidRDefault="00B648CD">
          <w:pPr>
            <w:pStyle w:val="TOC2"/>
            <w:rPr>
              <w:rFonts w:asciiTheme="minorHAnsi" w:eastAsiaTheme="minorEastAsia" w:hAnsiTheme="minorHAnsi"/>
              <w:noProof/>
              <w:sz w:val="22"/>
              <w:lang w:val="en-ID" w:eastAsia="en-ID"/>
            </w:rPr>
          </w:pPr>
          <w:hyperlink w:anchor="_Toc223088954"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_Toc223088954 \h </w:instrText>
            </w:r>
            <w:r w:rsidR="00824155">
              <w:rPr>
                <w:noProof/>
                <w:webHidden/>
              </w:rPr>
            </w:r>
            <w:r w:rsidR="00824155">
              <w:rPr>
                <w:noProof/>
                <w:webHidden/>
              </w:rPr>
              <w:fldChar w:fldCharType="separate"/>
            </w:r>
            <w:r w:rsidR="00725D88">
              <w:rPr>
                <w:noProof/>
                <w:webHidden/>
              </w:rPr>
              <w:t>178</w:t>
            </w:r>
            <w:r w:rsidR="00824155">
              <w:rPr>
                <w:noProof/>
                <w:webHidden/>
              </w:rPr>
              <w:fldChar w:fldCharType="end"/>
            </w:r>
          </w:hyperlink>
        </w:p>
        <w:p w14:paraId="674E768B" w14:textId="61EB1C5C" w:rsidR="00824155" w:rsidRDefault="00B648CD">
          <w:pPr>
            <w:pStyle w:val="TOC1"/>
            <w:rPr>
              <w:rFonts w:asciiTheme="minorHAnsi" w:eastAsiaTheme="minorEastAsia" w:hAnsiTheme="minorHAnsi"/>
              <w:b w:val="0"/>
              <w:sz w:val="22"/>
              <w:lang w:val="en-ID" w:eastAsia="en-ID"/>
            </w:rPr>
          </w:pPr>
          <w:hyperlink w:anchor="_Toc223088955"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13 </w:t>
            </w:r>
            <w:r w:rsidR="00824155">
              <w:rPr>
                <w:rFonts w:asciiTheme="minorHAnsi" w:eastAsiaTheme="minorEastAsia" w:hAnsiTheme="minorHAnsi"/>
                <w:b w:val="0"/>
                <w:sz w:val="22"/>
                <w:lang w:val="en-ID" w:eastAsia="en-ID"/>
              </w:rPr>
              <w:tab/>
            </w:r>
            <w:r w:rsidR="00824155" w:rsidRPr="00B11ED9">
              <w:rPr>
                <w:rStyle w:val="Hyperlink"/>
                <w:lang w:val="en-US"/>
              </w:rPr>
              <w:t xml:space="preserve">MEKANISME ANTI-INFLAMASI </w:t>
            </w:r>
            <w:r w:rsidR="00824155" w:rsidRPr="00B11ED9">
              <w:rPr>
                <w:rStyle w:val="Hyperlink"/>
                <w:i/>
                <w:iCs/>
                <w:lang w:val="en-US"/>
              </w:rPr>
              <w:t>Nigella sativa</w:t>
            </w:r>
            <w:r w:rsidR="00824155">
              <w:rPr>
                <w:webHidden/>
              </w:rPr>
              <w:tab/>
            </w:r>
            <w:r w:rsidR="00824155">
              <w:rPr>
                <w:webHidden/>
              </w:rPr>
              <w:fldChar w:fldCharType="begin"/>
            </w:r>
            <w:r w:rsidR="00824155">
              <w:rPr>
                <w:webHidden/>
              </w:rPr>
              <w:instrText xml:space="preserve"> PAGEREF _Toc223088955 \h </w:instrText>
            </w:r>
            <w:r w:rsidR="00824155">
              <w:rPr>
                <w:webHidden/>
              </w:rPr>
            </w:r>
            <w:r w:rsidR="00824155">
              <w:rPr>
                <w:webHidden/>
              </w:rPr>
              <w:fldChar w:fldCharType="separate"/>
            </w:r>
            <w:r w:rsidR="00725D88">
              <w:rPr>
                <w:webHidden/>
              </w:rPr>
              <w:t>179</w:t>
            </w:r>
            <w:r w:rsidR="00824155">
              <w:rPr>
                <w:webHidden/>
              </w:rPr>
              <w:fldChar w:fldCharType="end"/>
            </w:r>
          </w:hyperlink>
        </w:p>
        <w:p w14:paraId="48269ED8" w14:textId="43CD5165" w:rsidR="00824155" w:rsidRDefault="00B648CD">
          <w:pPr>
            <w:pStyle w:val="TOC2"/>
            <w:tabs>
              <w:tab w:val="left" w:pos="1680"/>
            </w:tabs>
            <w:rPr>
              <w:rFonts w:asciiTheme="minorHAnsi" w:eastAsiaTheme="minorEastAsia" w:hAnsiTheme="minorHAnsi"/>
              <w:noProof/>
              <w:sz w:val="22"/>
              <w:lang w:val="en-ID" w:eastAsia="en-ID"/>
            </w:rPr>
          </w:pPr>
          <w:hyperlink w:anchor="_Toc223088956"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_Toc223088956 \h </w:instrText>
            </w:r>
            <w:r w:rsidR="00824155">
              <w:rPr>
                <w:noProof/>
                <w:webHidden/>
              </w:rPr>
            </w:r>
            <w:r w:rsidR="00824155">
              <w:rPr>
                <w:noProof/>
                <w:webHidden/>
              </w:rPr>
              <w:fldChar w:fldCharType="separate"/>
            </w:r>
            <w:r w:rsidR="00725D88">
              <w:rPr>
                <w:noProof/>
                <w:webHidden/>
              </w:rPr>
              <w:t>179</w:t>
            </w:r>
            <w:r w:rsidR="00824155">
              <w:rPr>
                <w:noProof/>
                <w:webHidden/>
              </w:rPr>
              <w:fldChar w:fldCharType="end"/>
            </w:r>
          </w:hyperlink>
        </w:p>
        <w:p w14:paraId="0CA890F9" w14:textId="5DF15E57" w:rsidR="00824155" w:rsidRDefault="00B648CD">
          <w:pPr>
            <w:pStyle w:val="TOC2"/>
            <w:tabs>
              <w:tab w:val="left" w:pos="1260"/>
            </w:tabs>
            <w:rPr>
              <w:rFonts w:asciiTheme="minorHAnsi" w:eastAsiaTheme="minorEastAsia" w:hAnsiTheme="minorHAnsi"/>
              <w:noProof/>
              <w:sz w:val="22"/>
              <w:lang w:val="en-ID" w:eastAsia="en-ID"/>
            </w:rPr>
          </w:pPr>
          <w:hyperlink w:anchor="_Toc223088957"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 xml:space="preserve">Inhibisi Aktivasi NF-kB oleh </w:t>
            </w:r>
            <w:r w:rsidR="00824155" w:rsidRPr="00B11ED9">
              <w:rPr>
                <w:rStyle w:val="Hyperlink"/>
                <w:i/>
                <w:iCs/>
                <w:noProof/>
              </w:rPr>
              <w:t>Thymoquinone</w:t>
            </w:r>
            <w:r w:rsidR="00824155">
              <w:rPr>
                <w:noProof/>
                <w:webHidden/>
              </w:rPr>
              <w:tab/>
            </w:r>
            <w:r w:rsidR="00824155">
              <w:rPr>
                <w:noProof/>
                <w:webHidden/>
              </w:rPr>
              <w:fldChar w:fldCharType="begin"/>
            </w:r>
            <w:r w:rsidR="00824155">
              <w:rPr>
                <w:noProof/>
                <w:webHidden/>
              </w:rPr>
              <w:instrText xml:space="preserve"> PAGEREF _Toc223088957 \h </w:instrText>
            </w:r>
            <w:r w:rsidR="00824155">
              <w:rPr>
                <w:noProof/>
                <w:webHidden/>
              </w:rPr>
            </w:r>
            <w:r w:rsidR="00824155">
              <w:rPr>
                <w:noProof/>
                <w:webHidden/>
              </w:rPr>
              <w:fldChar w:fldCharType="separate"/>
            </w:r>
            <w:r w:rsidR="00725D88">
              <w:rPr>
                <w:noProof/>
                <w:webHidden/>
              </w:rPr>
              <w:t>181</w:t>
            </w:r>
            <w:r w:rsidR="00824155">
              <w:rPr>
                <w:noProof/>
                <w:webHidden/>
              </w:rPr>
              <w:fldChar w:fldCharType="end"/>
            </w:r>
          </w:hyperlink>
        </w:p>
        <w:p w14:paraId="39CE6564" w14:textId="65A3E39B" w:rsidR="00824155" w:rsidRDefault="00B648CD">
          <w:pPr>
            <w:pStyle w:val="TOC2"/>
            <w:tabs>
              <w:tab w:val="left" w:pos="1680"/>
            </w:tabs>
            <w:rPr>
              <w:rFonts w:asciiTheme="minorHAnsi" w:eastAsiaTheme="minorEastAsia" w:hAnsiTheme="minorHAnsi"/>
              <w:noProof/>
              <w:sz w:val="22"/>
              <w:lang w:val="en-ID" w:eastAsia="en-ID"/>
            </w:rPr>
          </w:pPr>
          <w:hyperlink w:anchor="_Toc223088958"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Supresi Mediator Inflamasi Hilir</w:t>
            </w:r>
            <w:r w:rsidR="00824155">
              <w:rPr>
                <w:noProof/>
                <w:webHidden/>
              </w:rPr>
              <w:tab/>
            </w:r>
            <w:r w:rsidR="00824155">
              <w:rPr>
                <w:noProof/>
                <w:webHidden/>
              </w:rPr>
              <w:fldChar w:fldCharType="begin"/>
            </w:r>
            <w:r w:rsidR="00824155">
              <w:rPr>
                <w:noProof/>
                <w:webHidden/>
              </w:rPr>
              <w:instrText xml:space="preserve"> PAGEREF _Toc223088958 \h </w:instrText>
            </w:r>
            <w:r w:rsidR="00824155">
              <w:rPr>
                <w:noProof/>
                <w:webHidden/>
              </w:rPr>
            </w:r>
            <w:r w:rsidR="00824155">
              <w:rPr>
                <w:noProof/>
                <w:webHidden/>
              </w:rPr>
              <w:fldChar w:fldCharType="separate"/>
            </w:r>
            <w:r w:rsidR="00725D88">
              <w:rPr>
                <w:noProof/>
                <w:webHidden/>
              </w:rPr>
              <w:t>184</w:t>
            </w:r>
            <w:r w:rsidR="00824155">
              <w:rPr>
                <w:noProof/>
                <w:webHidden/>
              </w:rPr>
              <w:fldChar w:fldCharType="end"/>
            </w:r>
          </w:hyperlink>
        </w:p>
        <w:p w14:paraId="3E148B5D" w14:textId="7D838A4A" w:rsidR="00824155" w:rsidRDefault="00B648CD">
          <w:pPr>
            <w:pStyle w:val="TOC2"/>
            <w:tabs>
              <w:tab w:val="left" w:pos="1680"/>
            </w:tabs>
            <w:rPr>
              <w:rFonts w:asciiTheme="minorHAnsi" w:eastAsiaTheme="minorEastAsia" w:hAnsiTheme="minorHAnsi"/>
              <w:noProof/>
              <w:sz w:val="22"/>
              <w:lang w:val="en-ID" w:eastAsia="en-ID"/>
            </w:rPr>
          </w:pPr>
          <w:hyperlink w:anchor="_Toc223088959"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Modulasi Respon Imun Seluler</w:t>
            </w:r>
            <w:r w:rsidR="00824155">
              <w:rPr>
                <w:noProof/>
                <w:webHidden/>
              </w:rPr>
              <w:tab/>
            </w:r>
            <w:r w:rsidR="00824155">
              <w:rPr>
                <w:noProof/>
                <w:webHidden/>
              </w:rPr>
              <w:fldChar w:fldCharType="begin"/>
            </w:r>
            <w:r w:rsidR="00824155">
              <w:rPr>
                <w:noProof/>
                <w:webHidden/>
              </w:rPr>
              <w:instrText xml:space="preserve"> PAGEREF _Toc223088959 \h </w:instrText>
            </w:r>
            <w:r w:rsidR="00824155">
              <w:rPr>
                <w:noProof/>
                <w:webHidden/>
              </w:rPr>
            </w:r>
            <w:r w:rsidR="00824155">
              <w:rPr>
                <w:noProof/>
                <w:webHidden/>
              </w:rPr>
              <w:fldChar w:fldCharType="separate"/>
            </w:r>
            <w:r w:rsidR="00725D88">
              <w:rPr>
                <w:noProof/>
                <w:webHidden/>
              </w:rPr>
              <w:t>187</w:t>
            </w:r>
            <w:r w:rsidR="00824155">
              <w:rPr>
                <w:noProof/>
                <w:webHidden/>
              </w:rPr>
              <w:fldChar w:fldCharType="end"/>
            </w:r>
          </w:hyperlink>
        </w:p>
        <w:p w14:paraId="3533470D" w14:textId="24D13943" w:rsidR="00824155" w:rsidRDefault="00B648CD">
          <w:pPr>
            <w:pStyle w:val="TOC2"/>
            <w:rPr>
              <w:rFonts w:asciiTheme="minorHAnsi" w:eastAsiaTheme="minorEastAsia" w:hAnsiTheme="minorHAnsi"/>
              <w:noProof/>
              <w:sz w:val="22"/>
              <w:lang w:val="en-ID" w:eastAsia="en-ID"/>
            </w:rPr>
          </w:pPr>
          <w:hyperlink w:anchor="_Toc223088960" w:history="1">
            <w:r w:rsidR="00824155" w:rsidRPr="00B11ED9">
              <w:rPr>
                <w:rStyle w:val="Hyperlink"/>
                <w:bCs/>
                <w:noProof/>
                <w:lang w:val="en"/>
              </w:rPr>
              <w:t>KESIMPULAN</w:t>
            </w:r>
            <w:r w:rsidR="00824155">
              <w:rPr>
                <w:noProof/>
                <w:webHidden/>
              </w:rPr>
              <w:tab/>
            </w:r>
            <w:r w:rsidR="00824155">
              <w:rPr>
                <w:noProof/>
                <w:webHidden/>
              </w:rPr>
              <w:fldChar w:fldCharType="begin"/>
            </w:r>
            <w:r w:rsidR="00824155">
              <w:rPr>
                <w:noProof/>
                <w:webHidden/>
              </w:rPr>
              <w:instrText xml:space="preserve"> PAGEREF _Toc223088960 \h </w:instrText>
            </w:r>
            <w:r w:rsidR="00824155">
              <w:rPr>
                <w:noProof/>
                <w:webHidden/>
              </w:rPr>
            </w:r>
            <w:r w:rsidR="00824155">
              <w:rPr>
                <w:noProof/>
                <w:webHidden/>
              </w:rPr>
              <w:fldChar w:fldCharType="separate"/>
            </w:r>
            <w:r w:rsidR="00725D88">
              <w:rPr>
                <w:noProof/>
                <w:webHidden/>
              </w:rPr>
              <w:t>190</w:t>
            </w:r>
            <w:r w:rsidR="00824155">
              <w:rPr>
                <w:noProof/>
                <w:webHidden/>
              </w:rPr>
              <w:fldChar w:fldCharType="end"/>
            </w:r>
          </w:hyperlink>
        </w:p>
        <w:p w14:paraId="0B399684" w14:textId="3B868EB0" w:rsidR="00824155" w:rsidRDefault="00B648CD">
          <w:pPr>
            <w:pStyle w:val="TOC2"/>
            <w:rPr>
              <w:rFonts w:asciiTheme="minorHAnsi" w:eastAsiaTheme="minorEastAsia" w:hAnsiTheme="minorHAnsi"/>
              <w:noProof/>
              <w:sz w:val="22"/>
              <w:lang w:val="en-ID" w:eastAsia="en-ID"/>
            </w:rPr>
          </w:pPr>
          <w:hyperlink w:anchor="_Toc223088961" w:history="1">
            <w:r w:rsidR="00824155" w:rsidRPr="00B11ED9">
              <w:rPr>
                <w:rStyle w:val="Hyperlink"/>
                <w:noProof/>
              </w:rPr>
              <w:t>GLOSARIUM</w:t>
            </w:r>
            <w:r w:rsidR="00824155">
              <w:rPr>
                <w:noProof/>
                <w:webHidden/>
              </w:rPr>
              <w:tab/>
            </w:r>
            <w:r w:rsidR="00824155">
              <w:rPr>
                <w:noProof/>
                <w:webHidden/>
              </w:rPr>
              <w:fldChar w:fldCharType="begin"/>
            </w:r>
            <w:r w:rsidR="00824155">
              <w:rPr>
                <w:noProof/>
                <w:webHidden/>
              </w:rPr>
              <w:instrText xml:space="preserve"> PAGEREF _Toc223088961 \h </w:instrText>
            </w:r>
            <w:r w:rsidR="00824155">
              <w:rPr>
                <w:noProof/>
                <w:webHidden/>
              </w:rPr>
            </w:r>
            <w:r w:rsidR="00824155">
              <w:rPr>
                <w:noProof/>
                <w:webHidden/>
              </w:rPr>
              <w:fldChar w:fldCharType="separate"/>
            </w:r>
            <w:r w:rsidR="00725D88">
              <w:rPr>
                <w:noProof/>
                <w:webHidden/>
              </w:rPr>
              <w:t>191</w:t>
            </w:r>
            <w:r w:rsidR="00824155">
              <w:rPr>
                <w:noProof/>
                <w:webHidden/>
              </w:rPr>
              <w:fldChar w:fldCharType="end"/>
            </w:r>
          </w:hyperlink>
        </w:p>
        <w:p w14:paraId="3B5002CC" w14:textId="522AA224" w:rsidR="00824155" w:rsidRDefault="00B648CD">
          <w:pPr>
            <w:pStyle w:val="TOC2"/>
            <w:rPr>
              <w:rFonts w:asciiTheme="minorHAnsi" w:eastAsiaTheme="minorEastAsia" w:hAnsiTheme="minorHAnsi"/>
              <w:noProof/>
              <w:sz w:val="22"/>
              <w:lang w:val="en-ID" w:eastAsia="en-ID"/>
            </w:rPr>
          </w:pPr>
          <w:hyperlink w:anchor="_Toc223088962"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_Toc223088962 \h </w:instrText>
            </w:r>
            <w:r w:rsidR="00824155">
              <w:rPr>
                <w:noProof/>
                <w:webHidden/>
              </w:rPr>
            </w:r>
            <w:r w:rsidR="00824155">
              <w:rPr>
                <w:noProof/>
                <w:webHidden/>
              </w:rPr>
              <w:fldChar w:fldCharType="separate"/>
            </w:r>
            <w:r w:rsidR="00725D88">
              <w:rPr>
                <w:noProof/>
                <w:webHidden/>
              </w:rPr>
              <w:t>192</w:t>
            </w:r>
            <w:r w:rsidR="00824155">
              <w:rPr>
                <w:noProof/>
                <w:webHidden/>
              </w:rPr>
              <w:fldChar w:fldCharType="end"/>
            </w:r>
          </w:hyperlink>
        </w:p>
        <w:p w14:paraId="07881279" w14:textId="05143323" w:rsidR="00824155" w:rsidRDefault="00B648CD">
          <w:pPr>
            <w:pStyle w:val="TOC1"/>
            <w:rPr>
              <w:rFonts w:asciiTheme="minorHAnsi" w:eastAsiaTheme="minorEastAsia" w:hAnsiTheme="minorHAnsi"/>
              <w:b w:val="0"/>
              <w:sz w:val="22"/>
              <w:lang w:val="en-ID" w:eastAsia="en-ID"/>
            </w:rPr>
          </w:pPr>
          <w:hyperlink w:anchor="_Toc223088963"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14 </w:t>
            </w:r>
            <w:r w:rsidR="00824155">
              <w:rPr>
                <w:rFonts w:asciiTheme="minorHAnsi" w:eastAsiaTheme="minorEastAsia" w:hAnsiTheme="minorHAnsi"/>
                <w:b w:val="0"/>
                <w:sz w:val="22"/>
                <w:lang w:val="en-ID" w:eastAsia="en-ID"/>
              </w:rPr>
              <w:tab/>
            </w:r>
            <w:r w:rsidR="00824155" w:rsidRPr="00B11ED9">
              <w:rPr>
                <w:rStyle w:val="Hyperlink"/>
                <w:lang w:val="en-US"/>
              </w:rPr>
              <w:t xml:space="preserve">ANALISIS EKSPRESI PROTEIN P50 DAN P65 </w:t>
            </w:r>
            <w:r w:rsidR="00090B80">
              <w:rPr>
                <w:rStyle w:val="Hyperlink"/>
                <w:lang w:val="en-US"/>
              </w:rPr>
              <w:br/>
            </w:r>
            <w:r w:rsidR="00824155" w:rsidRPr="00B11ED9">
              <w:rPr>
                <w:rStyle w:val="Hyperlink"/>
                <w:lang w:val="en-US"/>
              </w:rPr>
              <w:t>PADA MUKOSA</w:t>
            </w:r>
            <w:r w:rsidR="00824155">
              <w:rPr>
                <w:webHidden/>
              </w:rPr>
              <w:tab/>
            </w:r>
            <w:r w:rsidR="00824155">
              <w:rPr>
                <w:webHidden/>
              </w:rPr>
              <w:fldChar w:fldCharType="begin"/>
            </w:r>
            <w:r w:rsidR="00824155">
              <w:rPr>
                <w:webHidden/>
              </w:rPr>
              <w:instrText xml:space="preserve"> PAGEREF _Toc223088963 \h </w:instrText>
            </w:r>
            <w:r w:rsidR="00824155">
              <w:rPr>
                <w:webHidden/>
              </w:rPr>
            </w:r>
            <w:r w:rsidR="00824155">
              <w:rPr>
                <w:webHidden/>
              </w:rPr>
              <w:fldChar w:fldCharType="separate"/>
            </w:r>
            <w:r w:rsidR="00725D88">
              <w:rPr>
                <w:webHidden/>
              </w:rPr>
              <w:t>194</w:t>
            </w:r>
            <w:r w:rsidR="00824155">
              <w:rPr>
                <w:webHidden/>
              </w:rPr>
              <w:fldChar w:fldCharType="end"/>
            </w:r>
          </w:hyperlink>
        </w:p>
        <w:p w14:paraId="0A394E94" w14:textId="0D30882D" w:rsidR="00824155" w:rsidRDefault="00B648CD">
          <w:pPr>
            <w:pStyle w:val="TOC2"/>
            <w:tabs>
              <w:tab w:val="left" w:pos="1680"/>
            </w:tabs>
            <w:rPr>
              <w:rFonts w:asciiTheme="minorHAnsi" w:eastAsiaTheme="minorEastAsia" w:hAnsiTheme="minorHAnsi"/>
              <w:noProof/>
              <w:sz w:val="22"/>
              <w:lang w:val="en-ID" w:eastAsia="en-ID"/>
            </w:rPr>
          </w:pPr>
          <w:hyperlink w:anchor="_Toc223088964"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_Toc223088964 \h </w:instrText>
            </w:r>
            <w:r w:rsidR="00824155">
              <w:rPr>
                <w:noProof/>
                <w:webHidden/>
              </w:rPr>
            </w:r>
            <w:r w:rsidR="00824155">
              <w:rPr>
                <w:noProof/>
                <w:webHidden/>
              </w:rPr>
              <w:fldChar w:fldCharType="separate"/>
            </w:r>
            <w:r w:rsidR="00725D88">
              <w:rPr>
                <w:noProof/>
                <w:webHidden/>
              </w:rPr>
              <w:t>194</w:t>
            </w:r>
            <w:r w:rsidR="00824155">
              <w:rPr>
                <w:noProof/>
                <w:webHidden/>
              </w:rPr>
              <w:fldChar w:fldCharType="end"/>
            </w:r>
          </w:hyperlink>
        </w:p>
        <w:p w14:paraId="53883418" w14:textId="7BCA4238" w:rsidR="00824155" w:rsidRDefault="00B648CD">
          <w:pPr>
            <w:pStyle w:val="TOC2"/>
            <w:tabs>
              <w:tab w:val="left" w:pos="1260"/>
            </w:tabs>
            <w:rPr>
              <w:rFonts w:asciiTheme="minorHAnsi" w:eastAsiaTheme="minorEastAsia" w:hAnsiTheme="minorHAnsi"/>
              <w:noProof/>
              <w:sz w:val="22"/>
              <w:lang w:val="en-ID" w:eastAsia="en-ID"/>
            </w:rPr>
          </w:pPr>
          <w:hyperlink w:anchor="_Toc223088965"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Teknik Immunohistokimia (IHC) untuk NF-kB</w:t>
            </w:r>
            <w:r w:rsidR="00824155">
              <w:rPr>
                <w:noProof/>
                <w:webHidden/>
              </w:rPr>
              <w:tab/>
            </w:r>
            <w:r w:rsidR="00824155">
              <w:rPr>
                <w:noProof/>
                <w:webHidden/>
              </w:rPr>
              <w:fldChar w:fldCharType="begin"/>
            </w:r>
            <w:r w:rsidR="00824155">
              <w:rPr>
                <w:noProof/>
                <w:webHidden/>
              </w:rPr>
              <w:instrText xml:space="preserve"> PAGEREF _Toc223088965 \h </w:instrText>
            </w:r>
            <w:r w:rsidR="00824155">
              <w:rPr>
                <w:noProof/>
                <w:webHidden/>
              </w:rPr>
            </w:r>
            <w:r w:rsidR="00824155">
              <w:rPr>
                <w:noProof/>
                <w:webHidden/>
              </w:rPr>
              <w:fldChar w:fldCharType="separate"/>
            </w:r>
            <w:r w:rsidR="00725D88">
              <w:rPr>
                <w:noProof/>
                <w:webHidden/>
              </w:rPr>
              <w:t>196</w:t>
            </w:r>
            <w:r w:rsidR="00824155">
              <w:rPr>
                <w:noProof/>
                <w:webHidden/>
              </w:rPr>
              <w:fldChar w:fldCharType="end"/>
            </w:r>
          </w:hyperlink>
        </w:p>
        <w:p w14:paraId="2B435CA1" w14:textId="5DE2D9A9" w:rsidR="00824155" w:rsidRDefault="00B648CD">
          <w:pPr>
            <w:pStyle w:val="TOC2"/>
            <w:tabs>
              <w:tab w:val="left" w:pos="1680"/>
            </w:tabs>
            <w:rPr>
              <w:rFonts w:asciiTheme="minorHAnsi" w:eastAsiaTheme="minorEastAsia" w:hAnsiTheme="minorHAnsi"/>
              <w:noProof/>
              <w:sz w:val="22"/>
              <w:lang w:val="en-ID" w:eastAsia="en-ID"/>
            </w:rPr>
          </w:pPr>
          <w:hyperlink w:anchor="_Toc223088966"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 xml:space="preserve">Perubahan Ekspresi p50 Akibat Pemberian </w:t>
            </w:r>
            <w:r w:rsidR="00824155" w:rsidRPr="00B11ED9">
              <w:rPr>
                <w:rStyle w:val="Hyperlink"/>
                <w:bCs/>
                <w:i/>
                <w:iCs/>
                <w:noProof/>
                <w:lang w:val="en"/>
              </w:rPr>
              <w:t>Nigella sativa</w:t>
            </w:r>
            <w:r w:rsidR="00824155">
              <w:rPr>
                <w:noProof/>
                <w:webHidden/>
              </w:rPr>
              <w:tab/>
            </w:r>
            <w:r w:rsidR="00824155">
              <w:rPr>
                <w:noProof/>
                <w:webHidden/>
              </w:rPr>
              <w:fldChar w:fldCharType="begin"/>
            </w:r>
            <w:r w:rsidR="00824155">
              <w:rPr>
                <w:noProof/>
                <w:webHidden/>
              </w:rPr>
              <w:instrText xml:space="preserve"> PAGEREF _Toc223088966 \h </w:instrText>
            </w:r>
            <w:r w:rsidR="00824155">
              <w:rPr>
                <w:noProof/>
                <w:webHidden/>
              </w:rPr>
            </w:r>
            <w:r w:rsidR="00824155">
              <w:rPr>
                <w:noProof/>
                <w:webHidden/>
              </w:rPr>
              <w:fldChar w:fldCharType="separate"/>
            </w:r>
            <w:r w:rsidR="00725D88">
              <w:rPr>
                <w:noProof/>
                <w:webHidden/>
              </w:rPr>
              <w:t>198</w:t>
            </w:r>
            <w:r w:rsidR="00824155">
              <w:rPr>
                <w:noProof/>
                <w:webHidden/>
              </w:rPr>
              <w:fldChar w:fldCharType="end"/>
            </w:r>
          </w:hyperlink>
        </w:p>
        <w:p w14:paraId="52455325" w14:textId="3E7740FD" w:rsidR="00824155" w:rsidRDefault="00B648CD">
          <w:pPr>
            <w:pStyle w:val="TOC2"/>
            <w:tabs>
              <w:tab w:val="left" w:pos="1680"/>
            </w:tabs>
            <w:rPr>
              <w:rFonts w:asciiTheme="minorHAnsi" w:eastAsiaTheme="minorEastAsia" w:hAnsiTheme="minorHAnsi"/>
              <w:noProof/>
              <w:sz w:val="22"/>
              <w:lang w:val="en-ID" w:eastAsia="en-ID"/>
            </w:rPr>
          </w:pPr>
          <w:hyperlink w:anchor="_Toc223088967"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 xml:space="preserve">Perubahan Ekspresi p65 dan Signifikansi </w:t>
            </w:r>
            <w:r w:rsidR="00090B80">
              <w:rPr>
                <w:rStyle w:val="Hyperlink"/>
                <w:bCs/>
                <w:noProof/>
                <w:lang w:val="en"/>
              </w:rPr>
              <w:br/>
            </w:r>
            <w:r w:rsidR="00824155" w:rsidRPr="00B11ED9">
              <w:rPr>
                <w:rStyle w:val="Hyperlink"/>
                <w:bCs/>
                <w:noProof/>
                <w:lang w:val="en"/>
              </w:rPr>
              <w:t>Biologisnya</w:t>
            </w:r>
            <w:r w:rsidR="00824155">
              <w:rPr>
                <w:noProof/>
                <w:webHidden/>
              </w:rPr>
              <w:tab/>
            </w:r>
            <w:r w:rsidR="00824155">
              <w:rPr>
                <w:noProof/>
                <w:webHidden/>
              </w:rPr>
              <w:fldChar w:fldCharType="begin"/>
            </w:r>
            <w:r w:rsidR="00824155">
              <w:rPr>
                <w:noProof/>
                <w:webHidden/>
              </w:rPr>
              <w:instrText xml:space="preserve"> PAGEREF _Toc223088967 \h </w:instrText>
            </w:r>
            <w:r w:rsidR="00824155">
              <w:rPr>
                <w:noProof/>
                <w:webHidden/>
              </w:rPr>
            </w:r>
            <w:r w:rsidR="00824155">
              <w:rPr>
                <w:noProof/>
                <w:webHidden/>
              </w:rPr>
              <w:fldChar w:fldCharType="separate"/>
            </w:r>
            <w:r w:rsidR="00725D88">
              <w:rPr>
                <w:noProof/>
                <w:webHidden/>
              </w:rPr>
              <w:t>201</w:t>
            </w:r>
            <w:r w:rsidR="00824155">
              <w:rPr>
                <w:noProof/>
                <w:webHidden/>
              </w:rPr>
              <w:fldChar w:fldCharType="end"/>
            </w:r>
          </w:hyperlink>
        </w:p>
        <w:p w14:paraId="4893974B" w14:textId="5D87363D" w:rsidR="00824155" w:rsidRDefault="00B648CD">
          <w:pPr>
            <w:pStyle w:val="TOC2"/>
            <w:rPr>
              <w:rFonts w:asciiTheme="minorHAnsi" w:eastAsiaTheme="minorEastAsia" w:hAnsiTheme="minorHAnsi"/>
              <w:noProof/>
              <w:sz w:val="22"/>
              <w:lang w:val="en-ID" w:eastAsia="en-ID"/>
            </w:rPr>
          </w:pPr>
          <w:hyperlink w:anchor="_Toc223088968" w:history="1">
            <w:r w:rsidR="00824155" w:rsidRPr="00B11ED9">
              <w:rPr>
                <w:rStyle w:val="Hyperlink"/>
                <w:bCs/>
                <w:noProof/>
                <w:lang w:val="en"/>
              </w:rPr>
              <w:t>KESIMPULAN</w:t>
            </w:r>
            <w:r w:rsidR="00824155">
              <w:rPr>
                <w:noProof/>
                <w:webHidden/>
              </w:rPr>
              <w:tab/>
            </w:r>
            <w:r w:rsidR="00824155">
              <w:rPr>
                <w:noProof/>
                <w:webHidden/>
              </w:rPr>
              <w:fldChar w:fldCharType="begin"/>
            </w:r>
            <w:r w:rsidR="00824155">
              <w:rPr>
                <w:noProof/>
                <w:webHidden/>
              </w:rPr>
              <w:instrText xml:space="preserve"> PAGEREF _Toc223088968 \h </w:instrText>
            </w:r>
            <w:r w:rsidR="00824155">
              <w:rPr>
                <w:noProof/>
                <w:webHidden/>
              </w:rPr>
            </w:r>
            <w:r w:rsidR="00824155">
              <w:rPr>
                <w:noProof/>
                <w:webHidden/>
              </w:rPr>
              <w:fldChar w:fldCharType="separate"/>
            </w:r>
            <w:r w:rsidR="00725D88">
              <w:rPr>
                <w:noProof/>
                <w:webHidden/>
              </w:rPr>
              <w:t>204</w:t>
            </w:r>
            <w:r w:rsidR="00824155">
              <w:rPr>
                <w:noProof/>
                <w:webHidden/>
              </w:rPr>
              <w:fldChar w:fldCharType="end"/>
            </w:r>
          </w:hyperlink>
        </w:p>
        <w:p w14:paraId="612004D1" w14:textId="4132F221" w:rsidR="00824155" w:rsidRDefault="00B648CD">
          <w:pPr>
            <w:pStyle w:val="TOC2"/>
            <w:rPr>
              <w:rFonts w:asciiTheme="minorHAnsi" w:eastAsiaTheme="minorEastAsia" w:hAnsiTheme="minorHAnsi"/>
              <w:noProof/>
              <w:sz w:val="22"/>
              <w:lang w:val="en-ID" w:eastAsia="en-ID"/>
            </w:rPr>
          </w:pPr>
          <w:hyperlink w:anchor="_Toc223088969" w:history="1">
            <w:r w:rsidR="00824155" w:rsidRPr="00B11ED9">
              <w:rPr>
                <w:rStyle w:val="Hyperlink"/>
                <w:noProof/>
              </w:rPr>
              <w:t>GLOSARIUM</w:t>
            </w:r>
            <w:r w:rsidR="00824155">
              <w:rPr>
                <w:noProof/>
                <w:webHidden/>
              </w:rPr>
              <w:tab/>
            </w:r>
            <w:r w:rsidR="00824155">
              <w:rPr>
                <w:noProof/>
                <w:webHidden/>
              </w:rPr>
              <w:fldChar w:fldCharType="begin"/>
            </w:r>
            <w:r w:rsidR="00824155">
              <w:rPr>
                <w:noProof/>
                <w:webHidden/>
              </w:rPr>
              <w:instrText xml:space="preserve"> PAGEREF _Toc223088969 \h </w:instrText>
            </w:r>
            <w:r w:rsidR="00824155">
              <w:rPr>
                <w:noProof/>
                <w:webHidden/>
              </w:rPr>
            </w:r>
            <w:r w:rsidR="00824155">
              <w:rPr>
                <w:noProof/>
                <w:webHidden/>
              </w:rPr>
              <w:fldChar w:fldCharType="separate"/>
            </w:r>
            <w:r w:rsidR="00725D88">
              <w:rPr>
                <w:noProof/>
                <w:webHidden/>
              </w:rPr>
              <w:t>205</w:t>
            </w:r>
            <w:r w:rsidR="00824155">
              <w:rPr>
                <w:noProof/>
                <w:webHidden/>
              </w:rPr>
              <w:fldChar w:fldCharType="end"/>
            </w:r>
          </w:hyperlink>
        </w:p>
        <w:p w14:paraId="2465A756" w14:textId="70D6D307" w:rsidR="00824155" w:rsidRDefault="00B648CD">
          <w:pPr>
            <w:pStyle w:val="TOC2"/>
            <w:rPr>
              <w:rFonts w:asciiTheme="minorHAnsi" w:eastAsiaTheme="minorEastAsia" w:hAnsiTheme="minorHAnsi"/>
              <w:noProof/>
              <w:sz w:val="22"/>
              <w:lang w:val="en-ID" w:eastAsia="en-ID"/>
            </w:rPr>
          </w:pPr>
          <w:hyperlink w:anchor="_Toc223088970"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_Toc223088970 \h </w:instrText>
            </w:r>
            <w:r w:rsidR="00824155">
              <w:rPr>
                <w:noProof/>
                <w:webHidden/>
              </w:rPr>
            </w:r>
            <w:r w:rsidR="00824155">
              <w:rPr>
                <w:noProof/>
                <w:webHidden/>
              </w:rPr>
              <w:fldChar w:fldCharType="separate"/>
            </w:r>
            <w:r w:rsidR="00725D88">
              <w:rPr>
                <w:noProof/>
                <w:webHidden/>
              </w:rPr>
              <w:t>206</w:t>
            </w:r>
            <w:r w:rsidR="00824155">
              <w:rPr>
                <w:noProof/>
                <w:webHidden/>
              </w:rPr>
              <w:fldChar w:fldCharType="end"/>
            </w:r>
          </w:hyperlink>
        </w:p>
        <w:p w14:paraId="6AD146D0" w14:textId="2530B01E" w:rsidR="00824155" w:rsidRDefault="00B648CD">
          <w:pPr>
            <w:pStyle w:val="TOC1"/>
            <w:rPr>
              <w:rFonts w:asciiTheme="minorHAnsi" w:eastAsiaTheme="minorEastAsia" w:hAnsiTheme="minorHAnsi"/>
              <w:b w:val="0"/>
              <w:sz w:val="22"/>
              <w:lang w:val="en-ID" w:eastAsia="en-ID"/>
            </w:rPr>
          </w:pPr>
          <w:hyperlink w:anchor="_Toc223088971"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15 </w:t>
            </w:r>
            <w:r w:rsidR="00824155">
              <w:rPr>
                <w:rFonts w:asciiTheme="minorHAnsi" w:eastAsiaTheme="minorEastAsia" w:hAnsiTheme="minorHAnsi"/>
                <w:b w:val="0"/>
                <w:sz w:val="22"/>
                <w:lang w:val="en-ID" w:eastAsia="en-ID"/>
              </w:rPr>
              <w:tab/>
            </w:r>
            <w:r w:rsidR="00824155" w:rsidRPr="00B11ED9">
              <w:rPr>
                <w:rStyle w:val="Hyperlink"/>
                <w:lang w:val="en-US"/>
              </w:rPr>
              <w:t xml:space="preserve">ANALISIS EKSPRESI TNF-ALPHA </w:t>
            </w:r>
            <w:r w:rsidR="00090B80">
              <w:rPr>
                <w:rStyle w:val="Hyperlink"/>
                <w:lang w:val="en-US"/>
              </w:rPr>
              <w:br/>
            </w:r>
            <w:r w:rsidR="00824155" w:rsidRPr="00B11ED9">
              <w:rPr>
                <w:rStyle w:val="Hyperlink"/>
                <w:lang w:val="en-US"/>
              </w:rPr>
              <w:t xml:space="preserve">DALAM TERAPI </w:t>
            </w:r>
            <w:r w:rsidR="00824155" w:rsidRPr="00B11ED9">
              <w:rPr>
                <w:rStyle w:val="Hyperlink"/>
                <w:i/>
                <w:iCs/>
                <w:lang w:val="en-US"/>
              </w:rPr>
              <w:t>Nigella sativa</w:t>
            </w:r>
            <w:r w:rsidR="00824155">
              <w:rPr>
                <w:webHidden/>
              </w:rPr>
              <w:tab/>
            </w:r>
            <w:r w:rsidR="00824155">
              <w:rPr>
                <w:webHidden/>
              </w:rPr>
              <w:fldChar w:fldCharType="begin"/>
            </w:r>
            <w:r w:rsidR="00824155">
              <w:rPr>
                <w:webHidden/>
              </w:rPr>
              <w:instrText xml:space="preserve"> PAGEREF _Toc223088971 \h </w:instrText>
            </w:r>
            <w:r w:rsidR="00824155">
              <w:rPr>
                <w:webHidden/>
              </w:rPr>
            </w:r>
            <w:r w:rsidR="00824155">
              <w:rPr>
                <w:webHidden/>
              </w:rPr>
              <w:fldChar w:fldCharType="separate"/>
            </w:r>
            <w:r w:rsidR="00725D88">
              <w:rPr>
                <w:webHidden/>
              </w:rPr>
              <w:t>207</w:t>
            </w:r>
            <w:r w:rsidR="00824155">
              <w:rPr>
                <w:webHidden/>
              </w:rPr>
              <w:fldChar w:fldCharType="end"/>
            </w:r>
          </w:hyperlink>
        </w:p>
        <w:p w14:paraId="799678B8" w14:textId="75E1ACA9" w:rsidR="00824155" w:rsidRDefault="00B648CD">
          <w:pPr>
            <w:pStyle w:val="TOC2"/>
            <w:tabs>
              <w:tab w:val="left" w:pos="1680"/>
            </w:tabs>
            <w:rPr>
              <w:rFonts w:asciiTheme="minorHAnsi" w:eastAsiaTheme="minorEastAsia" w:hAnsiTheme="minorHAnsi"/>
              <w:noProof/>
              <w:sz w:val="22"/>
              <w:lang w:val="en-ID" w:eastAsia="en-ID"/>
            </w:rPr>
          </w:pPr>
          <w:hyperlink w:anchor="_Toc223088972"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_Toc223088972 \h </w:instrText>
            </w:r>
            <w:r w:rsidR="00824155">
              <w:rPr>
                <w:noProof/>
                <w:webHidden/>
              </w:rPr>
            </w:r>
            <w:r w:rsidR="00824155">
              <w:rPr>
                <w:noProof/>
                <w:webHidden/>
              </w:rPr>
              <w:fldChar w:fldCharType="separate"/>
            </w:r>
            <w:r w:rsidR="00725D88">
              <w:rPr>
                <w:noProof/>
                <w:webHidden/>
              </w:rPr>
              <w:t>207</w:t>
            </w:r>
            <w:r w:rsidR="00824155">
              <w:rPr>
                <w:noProof/>
                <w:webHidden/>
              </w:rPr>
              <w:fldChar w:fldCharType="end"/>
            </w:r>
          </w:hyperlink>
        </w:p>
        <w:p w14:paraId="1CA21F0F" w14:textId="25A7FCAD" w:rsidR="00824155" w:rsidRDefault="00B648CD">
          <w:pPr>
            <w:pStyle w:val="TOC2"/>
            <w:tabs>
              <w:tab w:val="left" w:pos="1260"/>
            </w:tabs>
            <w:rPr>
              <w:rFonts w:asciiTheme="minorHAnsi" w:eastAsiaTheme="minorEastAsia" w:hAnsiTheme="minorHAnsi"/>
              <w:noProof/>
              <w:sz w:val="22"/>
              <w:lang w:val="en-ID" w:eastAsia="en-ID"/>
            </w:rPr>
          </w:pPr>
          <w:hyperlink w:anchor="_Toc223088973"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Hubungan NF-kB dengan Produksi TNF-a</w:t>
            </w:r>
            <w:r w:rsidR="00824155">
              <w:rPr>
                <w:noProof/>
                <w:webHidden/>
              </w:rPr>
              <w:tab/>
            </w:r>
            <w:r w:rsidR="00824155">
              <w:rPr>
                <w:noProof/>
                <w:webHidden/>
              </w:rPr>
              <w:fldChar w:fldCharType="begin"/>
            </w:r>
            <w:r w:rsidR="00824155">
              <w:rPr>
                <w:noProof/>
                <w:webHidden/>
              </w:rPr>
              <w:instrText xml:space="preserve"> PAGEREF _Toc223088973 \h </w:instrText>
            </w:r>
            <w:r w:rsidR="00824155">
              <w:rPr>
                <w:noProof/>
                <w:webHidden/>
              </w:rPr>
            </w:r>
            <w:r w:rsidR="00824155">
              <w:rPr>
                <w:noProof/>
                <w:webHidden/>
              </w:rPr>
              <w:fldChar w:fldCharType="separate"/>
            </w:r>
            <w:r w:rsidR="00725D88">
              <w:rPr>
                <w:noProof/>
                <w:webHidden/>
              </w:rPr>
              <w:t>209</w:t>
            </w:r>
            <w:r w:rsidR="00824155">
              <w:rPr>
                <w:noProof/>
                <w:webHidden/>
              </w:rPr>
              <w:fldChar w:fldCharType="end"/>
            </w:r>
          </w:hyperlink>
        </w:p>
        <w:p w14:paraId="128E51CD" w14:textId="52390B21" w:rsidR="00824155" w:rsidRDefault="00B648CD">
          <w:pPr>
            <w:pStyle w:val="TOC2"/>
            <w:tabs>
              <w:tab w:val="left" w:pos="1680"/>
            </w:tabs>
            <w:rPr>
              <w:rFonts w:asciiTheme="minorHAnsi" w:eastAsiaTheme="minorEastAsia" w:hAnsiTheme="minorHAnsi"/>
              <w:noProof/>
              <w:sz w:val="22"/>
              <w:lang w:val="en-ID" w:eastAsia="en-ID"/>
            </w:rPr>
          </w:pPr>
          <w:hyperlink w:anchor="_Toc223088974"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Deteksi Kadar TNF-a dalam Jaringan dan Serum</w:t>
            </w:r>
            <w:r w:rsidR="00824155">
              <w:rPr>
                <w:noProof/>
                <w:webHidden/>
              </w:rPr>
              <w:tab/>
            </w:r>
            <w:r w:rsidR="00824155">
              <w:rPr>
                <w:noProof/>
                <w:webHidden/>
              </w:rPr>
              <w:fldChar w:fldCharType="begin"/>
            </w:r>
            <w:r w:rsidR="00824155">
              <w:rPr>
                <w:noProof/>
                <w:webHidden/>
              </w:rPr>
              <w:instrText xml:space="preserve"> PAGEREF _Toc223088974 \h </w:instrText>
            </w:r>
            <w:r w:rsidR="00824155">
              <w:rPr>
                <w:noProof/>
                <w:webHidden/>
              </w:rPr>
            </w:r>
            <w:r w:rsidR="00824155">
              <w:rPr>
                <w:noProof/>
                <w:webHidden/>
              </w:rPr>
              <w:fldChar w:fldCharType="separate"/>
            </w:r>
            <w:r w:rsidR="00725D88">
              <w:rPr>
                <w:noProof/>
                <w:webHidden/>
              </w:rPr>
              <w:t>211</w:t>
            </w:r>
            <w:r w:rsidR="00824155">
              <w:rPr>
                <w:noProof/>
                <w:webHidden/>
              </w:rPr>
              <w:fldChar w:fldCharType="end"/>
            </w:r>
          </w:hyperlink>
        </w:p>
        <w:p w14:paraId="78E4E6A8" w14:textId="74FBC0B4" w:rsidR="00824155" w:rsidRDefault="00B648CD">
          <w:pPr>
            <w:pStyle w:val="TOC2"/>
            <w:tabs>
              <w:tab w:val="left" w:pos="1680"/>
            </w:tabs>
            <w:rPr>
              <w:rFonts w:asciiTheme="minorHAnsi" w:eastAsiaTheme="minorEastAsia" w:hAnsiTheme="minorHAnsi"/>
              <w:noProof/>
              <w:sz w:val="22"/>
              <w:lang w:val="en-ID" w:eastAsia="en-ID"/>
            </w:rPr>
          </w:pPr>
          <w:hyperlink w:anchor="_Toc223088975"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 xml:space="preserve">Dampak Penurunan TNF-a terhadap </w:t>
            </w:r>
            <w:r w:rsidR="00090B80">
              <w:rPr>
                <w:rStyle w:val="Hyperlink"/>
                <w:bCs/>
                <w:noProof/>
                <w:lang w:val="en"/>
              </w:rPr>
              <w:br/>
            </w:r>
            <w:r w:rsidR="00824155" w:rsidRPr="00B11ED9">
              <w:rPr>
                <w:rStyle w:val="Hyperlink"/>
                <w:bCs/>
                <w:noProof/>
                <w:lang w:val="en"/>
              </w:rPr>
              <w:t>Penyembuhan Mukosa</w:t>
            </w:r>
            <w:r w:rsidR="00824155">
              <w:rPr>
                <w:noProof/>
                <w:webHidden/>
              </w:rPr>
              <w:tab/>
            </w:r>
            <w:r w:rsidR="00824155">
              <w:rPr>
                <w:noProof/>
                <w:webHidden/>
              </w:rPr>
              <w:fldChar w:fldCharType="begin"/>
            </w:r>
            <w:r w:rsidR="00824155">
              <w:rPr>
                <w:noProof/>
                <w:webHidden/>
              </w:rPr>
              <w:instrText xml:space="preserve"> PAGEREF _Toc223088975 \h </w:instrText>
            </w:r>
            <w:r w:rsidR="00824155">
              <w:rPr>
                <w:noProof/>
                <w:webHidden/>
              </w:rPr>
            </w:r>
            <w:r w:rsidR="00824155">
              <w:rPr>
                <w:noProof/>
                <w:webHidden/>
              </w:rPr>
              <w:fldChar w:fldCharType="separate"/>
            </w:r>
            <w:r w:rsidR="00725D88">
              <w:rPr>
                <w:noProof/>
                <w:webHidden/>
              </w:rPr>
              <w:t>214</w:t>
            </w:r>
            <w:r w:rsidR="00824155">
              <w:rPr>
                <w:noProof/>
                <w:webHidden/>
              </w:rPr>
              <w:fldChar w:fldCharType="end"/>
            </w:r>
          </w:hyperlink>
        </w:p>
        <w:p w14:paraId="0071BC49" w14:textId="5C03653E" w:rsidR="00824155" w:rsidRDefault="00B648CD">
          <w:pPr>
            <w:pStyle w:val="TOC2"/>
            <w:rPr>
              <w:rFonts w:asciiTheme="minorHAnsi" w:eastAsiaTheme="minorEastAsia" w:hAnsiTheme="minorHAnsi"/>
              <w:noProof/>
              <w:sz w:val="22"/>
              <w:lang w:val="en-ID" w:eastAsia="en-ID"/>
            </w:rPr>
          </w:pPr>
          <w:hyperlink w:anchor="_Toc223088976" w:history="1">
            <w:r w:rsidR="00824155" w:rsidRPr="00B11ED9">
              <w:rPr>
                <w:rStyle w:val="Hyperlink"/>
                <w:bCs/>
                <w:noProof/>
                <w:lang w:val="en"/>
              </w:rPr>
              <w:t>KESIMPULAN</w:t>
            </w:r>
            <w:r w:rsidR="00824155">
              <w:rPr>
                <w:noProof/>
                <w:webHidden/>
              </w:rPr>
              <w:tab/>
            </w:r>
            <w:r w:rsidR="00824155">
              <w:rPr>
                <w:noProof/>
                <w:webHidden/>
              </w:rPr>
              <w:fldChar w:fldCharType="begin"/>
            </w:r>
            <w:r w:rsidR="00824155">
              <w:rPr>
                <w:noProof/>
                <w:webHidden/>
              </w:rPr>
              <w:instrText xml:space="preserve"> PAGEREF _Toc223088976 \h </w:instrText>
            </w:r>
            <w:r w:rsidR="00824155">
              <w:rPr>
                <w:noProof/>
                <w:webHidden/>
              </w:rPr>
            </w:r>
            <w:r w:rsidR="00824155">
              <w:rPr>
                <w:noProof/>
                <w:webHidden/>
              </w:rPr>
              <w:fldChar w:fldCharType="separate"/>
            </w:r>
            <w:r w:rsidR="00725D88">
              <w:rPr>
                <w:noProof/>
                <w:webHidden/>
              </w:rPr>
              <w:t>217</w:t>
            </w:r>
            <w:r w:rsidR="00824155">
              <w:rPr>
                <w:noProof/>
                <w:webHidden/>
              </w:rPr>
              <w:fldChar w:fldCharType="end"/>
            </w:r>
          </w:hyperlink>
        </w:p>
        <w:p w14:paraId="2650FCBC" w14:textId="59A480D5" w:rsidR="00824155" w:rsidRDefault="00B648CD">
          <w:pPr>
            <w:pStyle w:val="TOC2"/>
            <w:rPr>
              <w:rFonts w:asciiTheme="minorHAnsi" w:eastAsiaTheme="minorEastAsia" w:hAnsiTheme="minorHAnsi"/>
              <w:noProof/>
              <w:sz w:val="22"/>
              <w:lang w:val="en-ID" w:eastAsia="en-ID"/>
            </w:rPr>
          </w:pPr>
          <w:hyperlink w:anchor="_Toc223088977" w:history="1">
            <w:r w:rsidR="00824155" w:rsidRPr="00B11ED9">
              <w:rPr>
                <w:rStyle w:val="Hyperlink"/>
                <w:noProof/>
              </w:rPr>
              <w:t>GLOSARIUM</w:t>
            </w:r>
            <w:r w:rsidR="00824155">
              <w:rPr>
                <w:noProof/>
                <w:webHidden/>
              </w:rPr>
              <w:tab/>
            </w:r>
            <w:r w:rsidR="00824155">
              <w:rPr>
                <w:noProof/>
                <w:webHidden/>
              </w:rPr>
              <w:fldChar w:fldCharType="begin"/>
            </w:r>
            <w:r w:rsidR="00824155">
              <w:rPr>
                <w:noProof/>
                <w:webHidden/>
              </w:rPr>
              <w:instrText xml:space="preserve"> PAGEREF _Toc223088977 \h </w:instrText>
            </w:r>
            <w:r w:rsidR="00824155">
              <w:rPr>
                <w:noProof/>
                <w:webHidden/>
              </w:rPr>
            </w:r>
            <w:r w:rsidR="00824155">
              <w:rPr>
                <w:noProof/>
                <w:webHidden/>
              </w:rPr>
              <w:fldChar w:fldCharType="separate"/>
            </w:r>
            <w:r w:rsidR="00725D88">
              <w:rPr>
                <w:noProof/>
                <w:webHidden/>
              </w:rPr>
              <w:t>218</w:t>
            </w:r>
            <w:r w:rsidR="00824155">
              <w:rPr>
                <w:noProof/>
                <w:webHidden/>
              </w:rPr>
              <w:fldChar w:fldCharType="end"/>
            </w:r>
          </w:hyperlink>
        </w:p>
        <w:p w14:paraId="0BFC8554" w14:textId="74958322" w:rsidR="00824155" w:rsidRDefault="00B648CD">
          <w:pPr>
            <w:pStyle w:val="TOC2"/>
            <w:rPr>
              <w:rFonts w:asciiTheme="minorHAnsi" w:eastAsiaTheme="minorEastAsia" w:hAnsiTheme="minorHAnsi"/>
              <w:noProof/>
              <w:sz w:val="22"/>
              <w:lang w:val="en-ID" w:eastAsia="en-ID"/>
            </w:rPr>
          </w:pPr>
          <w:hyperlink w:anchor="_Toc223088978"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_Toc223088978 \h </w:instrText>
            </w:r>
            <w:r w:rsidR="00824155">
              <w:rPr>
                <w:noProof/>
                <w:webHidden/>
              </w:rPr>
            </w:r>
            <w:r w:rsidR="00824155">
              <w:rPr>
                <w:noProof/>
                <w:webHidden/>
              </w:rPr>
              <w:fldChar w:fldCharType="separate"/>
            </w:r>
            <w:r w:rsidR="00725D88">
              <w:rPr>
                <w:noProof/>
                <w:webHidden/>
              </w:rPr>
              <w:t>219</w:t>
            </w:r>
            <w:r w:rsidR="00824155">
              <w:rPr>
                <w:noProof/>
                <w:webHidden/>
              </w:rPr>
              <w:fldChar w:fldCharType="end"/>
            </w:r>
          </w:hyperlink>
        </w:p>
        <w:p w14:paraId="71939C00" w14:textId="4706BBDA" w:rsidR="00824155" w:rsidRDefault="00B648CD">
          <w:pPr>
            <w:pStyle w:val="TOC1"/>
            <w:rPr>
              <w:rFonts w:asciiTheme="minorHAnsi" w:eastAsiaTheme="minorEastAsia" w:hAnsiTheme="minorHAnsi"/>
              <w:b w:val="0"/>
              <w:sz w:val="22"/>
              <w:lang w:val="en-ID" w:eastAsia="en-ID"/>
            </w:rPr>
          </w:pPr>
          <w:hyperlink w:anchor="_Toc223088979"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16 </w:t>
            </w:r>
            <w:r w:rsidR="00824155">
              <w:rPr>
                <w:rFonts w:asciiTheme="minorHAnsi" w:eastAsiaTheme="minorEastAsia" w:hAnsiTheme="minorHAnsi"/>
                <w:b w:val="0"/>
                <w:sz w:val="22"/>
                <w:lang w:val="en-ID" w:eastAsia="en-ID"/>
              </w:rPr>
              <w:tab/>
            </w:r>
            <w:r w:rsidR="00824155" w:rsidRPr="00B11ED9">
              <w:rPr>
                <w:rStyle w:val="Hyperlink"/>
                <w:lang w:val="en-US"/>
              </w:rPr>
              <w:t>GAMBARAN HISTOPATOLOGI MUKOSA ORAL</w:t>
            </w:r>
            <w:r w:rsidR="00824155">
              <w:rPr>
                <w:webHidden/>
              </w:rPr>
              <w:tab/>
            </w:r>
            <w:r w:rsidR="00824155">
              <w:rPr>
                <w:webHidden/>
              </w:rPr>
              <w:fldChar w:fldCharType="begin"/>
            </w:r>
            <w:r w:rsidR="00824155">
              <w:rPr>
                <w:webHidden/>
              </w:rPr>
              <w:instrText xml:space="preserve"> PAGEREF _Toc223088979 \h </w:instrText>
            </w:r>
            <w:r w:rsidR="00824155">
              <w:rPr>
                <w:webHidden/>
              </w:rPr>
            </w:r>
            <w:r w:rsidR="00824155">
              <w:rPr>
                <w:webHidden/>
              </w:rPr>
              <w:fldChar w:fldCharType="separate"/>
            </w:r>
            <w:r w:rsidR="00725D88">
              <w:rPr>
                <w:webHidden/>
              </w:rPr>
              <w:t>221</w:t>
            </w:r>
            <w:r w:rsidR="00824155">
              <w:rPr>
                <w:webHidden/>
              </w:rPr>
              <w:fldChar w:fldCharType="end"/>
            </w:r>
          </w:hyperlink>
        </w:p>
        <w:p w14:paraId="46D4A233" w14:textId="7E066AEE" w:rsidR="00824155" w:rsidRDefault="00B648CD">
          <w:pPr>
            <w:pStyle w:val="TOC2"/>
            <w:tabs>
              <w:tab w:val="left" w:pos="1680"/>
            </w:tabs>
            <w:rPr>
              <w:rFonts w:asciiTheme="minorHAnsi" w:eastAsiaTheme="minorEastAsia" w:hAnsiTheme="minorHAnsi"/>
              <w:noProof/>
              <w:sz w:val="22"/>
              <w:lang w:val="en-ID" w:eastAsia="en-ID"/>
            </w:rPr>
          </w:pPr>
          <w:hyperlink w:anchor="_Toc223088980"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_Toc223088980 \h </w:instrText>
            </w:r>
            <w:r w:rsidR="00824155">
              <w:rPr>
                <w:noProof/>
                <w:webHidden/>
              </w:rPr>
            </w:r>
            <w:r w:rsidR="00824155">
              <w:rPr>
                <w:noProof/>
                <w:webHidden/>
              </w:rPr>
              <w:fldChar w:fldCharType="separate"/>
            </w:r>
            <w:r w:rsidR="00725D88">
              <w:rPr>
                <w:noProof/>
                <w:webHidden/>
              </w:rPr>
              <w:t>221</w:t>
            </w:r>
            <w:r w:rsidR="00824155">
              <w:rPr>
                <w:noProof/>
                <w:webHidden/>
              </w:rPr>
              <w:fldChar w:fldCharType="end"/>
            </w:r>
          </w:hyperlink>
        </w:p>
        <w:p w14:paraId="665F59DD" w14:textId="78643E0F" w:rsidR="00824155" w:rsidRDefault="00B648CD">
          <w:pPr>
            <w:pStyle w:val="TOC2"/>
            <w:tabs>
              <w:tab w:val="left" w:pos="1260"/>
            </w:tabs>
            <w:rPr>
              <w:rFonts w:asciiTheme="minorHAnsi" w:eastAsiaTheme="minorEastAsia" w:hAnsiTheme="minorHAnsi"/>
              <w:noProof/>
              <w:sz w:val="22"/>
              <w:lang w:val="en-ID" w:eastAsia="en-ID"/>
            </w:rPr>
          </w:pPr>
          <w:hyperlink w:anchor="_Toc223088981"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Teknik Pembuatan Preparat Histologi</w:t>
            </w:r>
            <w:r w:rsidR="00824155">
              <w:rPr>
                <w:noProof/>
                <w:webHidden/>
              </w:rPr>
              <w:tab/>
            </w:r>
            <w:r w:rsidR="00824155">
              <w:rPr>
                <w:noProof/>
                <w:webHidden/>
              </w:rPr>
              <w:fldChar w:fldCharType="begin"/>
            </w:r>
            <w:r w:rsidR="00824155">
              <w:rPr>
                <w:noProof/>
                <w:webHidden/>
              </w:rPr>
              <w:instrText xml:space="preserve"> PAGEREF _Toc223088981 \h </w:instrText>
            </w:r>
            <w:r w:rsidR="00824155">
              <w:rPr>
                <w:noProof/>
                <w:webHidden/>
              </w:rPr>
            </w:r>
            <w:r w:rsidR="00824155">
              <w:rPr>
                <w:noProof/>
                <w:webHidden/>
              </w:rPr>
              <w:fldChar w:fldCharType="separate"/>
            </w:r>
            <w:r w:rsidR="00725D88">
              <w:rPr>
                <w:noProof/>
                <w:webHidden/>
              </w:rPr>
              <w:t>223</w:t>
            </w:r>
            <w:r w:rsidR="00824155">
              <w:rPr>
                <w:noProof/>
                <w:webHidden/>
              </w:rPr>
              <w:fldChar w:fldCharType="end"/>
            </w:r>
          </w:hyperlink>
        </w:p>
        <w:p w14:paraId="73075D3B" w14:textId="7C4B1795" w:rsidR="00824155" w:rsidRDefault="00B648CD">
          <w:pPr>
            <w:pStyle w:val="TOC2"/>
            <w:tabs>
              <w:tab w:val="left" w:pos="1680"/>
            </w:tabs>
            <w:rPr>
              <w:rFonts w:asciiTheme="minorHAnsi" w:eastAsiaTheme="minorEastAsia" w:hAnsiTheme="minorHAnsi"/>
              <w:noProof/>
              <w:sz w:val="22"/>
              <w:lang w:val="en-ID" w:eastAsia="en-ID"/>
            </w:rPr>
          </w:pPr>
          <w:hyperlink w:anchor="_Toc223088982"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Analisis Struktur Epitel dan Jaringan Ikat</w:t>
            </w:r>
            <w:r w:rsidR="00824155">
              <w:rPr>
                <w:noProof/>
                <w:webHidden/>
              </w:rPr>
              <w:tab/>
            </w:r>
            <w:r w:rsidR="00824155">
              <w:rPr>
                <w:noProof/>
                <w:webHidden/>
              </w:rPr>
              <w:fldChar w:fldCharType="begin"/>
            </w:r>
            <w:r w:rsidR="00824155">
              <w:rPr>
                <w:noProof/>
                <w:webHidden/>
              </w:rPr>
              <w:instrText xml:space="preserve"> PAGEREF _Toc223088982 \h </w:instrText>
            </w:r>
            <w:r w:rsidR="00824155">
              <w:rPr>
                <w:noProof/>
                <w:webHidden/>
              </w:rPr>
            </w:r>
            <w:r w:rsidR="00824155">
              <w:rPr>
                <w:noProof/>
                <w:webHidden/>
              </w:rPr>
              <w:fldChar w:fldCharType="separate"/>
            </w:r>
            <w:r w:rsidR="00725D88">
              <w:rPr>
                <w:noProof/>
                <w:webHidden/>
              </w:rPr>
              <w:t>226</w:t>
            </w:r>
            <w:r w:rsidR="00824155">
              <w:rPr>
                <w:noProof/>
                <w:webHidden/>
              </w:rPr>
              <w:fldChar w:fldCharType="end"/>
            </w:r>
          </w:hyperlink>
        </w:p>
        <w:p w14:paraId="7C909A7D" w14:textId="65B03DB1" w:rsidR="00824155" w:rsidRDefault="00B648CD">
          <w:pPr>
            <w:pStyle w:val="TOC2"/>
            <w:tabs>
              <w:tab w:val="left" w:pos="1680"/>
            </w:tabs>
            <w:rPr>
              <w:rFonts w:asciiTheme="minorHAnsi" w:eastAsiaTheme="minorEastAsia" w:hAnsiTheme="minorHAnsi"/>
              <w:noProof/>
              <w:sz w:val="22"/>
              <w:lang w:val="en-ID" w:eastAsia="en-ID"/>
            </w:rPr>
          </w:pPr>
          <w:hyperlink w:anchor="_Toc223088983"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Skor Histopatologis Kerusakan Mukosa</w:t>
            </w:r>
            <w:r w:rsidR="00824155">
              <w:rPr>
                <w:noProof/>
                <w:webHidden/>
              </w:rPr>
              <w:tab/>
            </w:r>
            <w:r w:rsidR="00824155">
              <w:rPr>
                <w:noProof/>
                <w:webHidden/>
              </w:rPr>
              <w:fldChar w:fldCharType="begin"/>
            </w:r>
            <w:r w:rsidR="00824155">
              <w:rPr>
                <w:noProof/>
                <w:webHidden/>
              </w:rPr>
              <w:instrText xml:space="preserve"> PAGEREF _Toc223088983 \h </w:instrText>
            </w:r>
            <w:r w:rsidR="00824155">
              <w:rPr>
                <w:noProof/>
                <w:webHidden/>
              </w:rPr>
            </w:r>
            <w:r w:rsidR="00824155">
              <w:rPr>
                <w:noProof/>
                <w:webHidden/>
              </w:rPr>
              <w:fldChar w:fldCharType="separate"/>
            </w:r>
            <w:r w:rsidR="00725D88">
              <w:rPr>
                <w:noProof/>
                <w:webHidden/>
              </w:rPr>
              <w:t>229</w:t>
            </w:r>
            <w:r w:rsidR="00824155">
              <w:rPr>
                <w:noProof/>
                <w:webHidden/>
              </w:rPr>
              <w:fldChar w:fldCharType="end"/>
            </w:r>
          </w:hyperlink>
        </w:p>
        <w:p w14:paraId="5283A991" w14:textId="48289A54" w:rsidR="00824155" w:rsidRDefault="00B648CD">
          <w:pPr>
            <w:pStyle w:val="TOC2"/>
            <w:rPr>
              <w:rFonts w:asciiTheme="minorHAnsi" w:eastAsiaTheme="minorEastAsia" w:hAnsiTheme="minorHAnsi"/>
              <w:noProof/>
              <w:sz w:val="22"/>
              <w:lang w:val="en-ID" w:eastAsia="en-ID"/>
            </w:rPr>
          </w:pPr>
          <w:hyperlink w:anchor="_Toc223088984" w:history="1">
            <w:r w:rsidR="00824155" w:rsidRPr="00B11ED9">
              <w:rPr>
                <w:rStyle w:val="Hyperlink"/>
                <w:noProof/>
              </w:rPr>
              <w:t>KESIMPULAN</w:t>
            </w:r>
            <w:r w:rsidR="00824155">
              <w:rPr>
                <w:noProof/>
                <w:webHidden/>
              </w:rPr>
              <w:tab/>
            </w:r>
            <w:r w:rsidR="00824155">
              <w:rPr>
                <w:noProof/>
                <w:webHidden/>
              </w:rPr>
              <w:fldChar w:fldCharType="begin"/>
            </w:r>
            <w:r w:rsidR="00824155">
              <w:rPr>
                <w:noProof/>
                <w:webHidden/>
              </w:rPr>
              <w:instrText xml:space="preserve"> PAGEREF _Toc223088984 \h </w:instrText>
            </w:r>
            <w:r w:rsidR="00824155">
              <w:rPr>
                <w:noProof/>
                <w:webHidden/>
              </w:rPr>
            </w:r>
            <w:r w:rsidR="00824155">
              <w:rPr>
                <w:noProof/>
                <w:webHidden/>
              </w:rPr>
              <w:fldChar w:fldCharType="separate"/>
            </w:r>
            <w:r w:rsidR="00725D88">
              <w:rPr>
                <w:noProof/>
                <w:webHidden/>
              </w:rPr>
              <w:t>233</w:t>
            </w:r>
            <w:r w:rsidR="00824155">
              <w:rPr>
                <w:noProof/>
                <w:webHidden/>
              </w:rPr>
              <w:fldChar w:fldCharType="end"/>
            </w:r>
          </w:hyperlink>
        </w:p>
        <w:p w14:paraId="200CF8C5" w14:textId="406E7B89" w:rsidR="00824155" w:rsidRDefault="00B648CD">
          <w:pPr>
            <w:pStyle w:val="TOC2"/>
            <w:rPr>
              <w:rFonts w:asciiTheme="minorHAnsi" w:eastAsiaTheme="minorEastAsia" w:hAnsiTheme="minorHAnsi"/>
              <w:noProof/>
              <w:sz w:val="22"/>
              <w:lang w:val="en-ID" w:eastAsia="en-ID"/>
            </w:rPr>
          </w:pPr>
          <w:hyperlink w:anchor="_Toc223088985" w:history="1">
            <w:r w:rsidR="00824155" w:rsidRPr="00B11ED9">
              <w:rPr>
                <w:rStyle w:val="Hyperlink"/>
                <w:noProof/>
              </w:rPr>
              <w:t>GLOSARIUM</w:t>
            </w:r>
            <w:r w:rsidR="00824155">
              <w:rPr>
                <w:noProof/>
                <w:webHidden/>
              </w:rPr>
              <w:tab/>
            </w:r>
            <w:r w:rsidR="00824155">
              <w:rPr>
                <w:noProof/>
                <w:webHidden/>
              </w:rPr>
              <w:fldChar w:fldCharType="begin"/>
            </w:r>
            <w:r w:rsidR="00824155">
              <w:rPr>
                <w:noProof/>
                <w:webHidden/>
              </w:rPr>
              <w:instrText xml:space="preserve"> PAGEREF _Toc223088985 \h </w:instrText>
            </w:r>
            <w:r w:rsidR="00824155">
              <w:rPr>
                <w:noProof/>
                <w:webHidden/>
              </w:rPr>
            </w:r>
            <w:r w:rsidR="00824155">
              <w:rPr>
                <w:noProof/>
                <w:webHidden/>
              </w:rPr>
              <w:fldChar w:fldCharType="separate"/>
            </w:r>
            <w:r w:rsidR="00725D88">
              <w:rPr>
                <w:noProof/>
                <w:webHidden/>
              </w:rPr>
              <w:t>234</w:t>
            </w:r>
            <w:r w:rsidR="00824155">
              <w:rPr>
                <w:noProof/>
                <w:webHidden/>
              </w:rPr>
              <w:fldChar w:fldCharType="end"/>
            </w:r>
          </w:hyperlink>
        </w:p>
        <w:p w14:paraId="2CB04FEB" w14:textId="550D3B4D" w:rsidR="00824155" w:rsidRDefault="00B648CD">
          <w:pPr>
            <w:pStyle w:val="TOC2"/>
            <w:rPr>
              <w:rFonts w:asciiTheme="minorHAnsi" w:eastAsiaTheme="minorEastAsia" w:hAnsiTheme="minorHAnsi"/>
              <w:noProof/>
              <w:sz w:val="22"/>
              <w:lang w:val="en-ID" w:eastAsia="en-ID"/>
            </w:rPr>
          </w:pPr>
          <w:hyperlink w:anchor="_Toc223088986"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_Toc223088986 \h </w:instrText>
            </w:r>
            <w:r w:rsidR="00824155">
              <w:rPr>
                <w:noProof/>
                <w:webHidden/>
              </w:rPr>
            </w:r>
            <w:r w:rsidR="00824155">
              <w:rPr>
                <w:noProof/>
                <w:webHidden/>
              </w:rPr>
              <w:fldChar w:fldCharType="separate"/>
            </w:r>
            <w:r w:rsidR="00725D88">
              <w:rPr>
                <w:noProof/>
                <w:webHidden/>
              </w:rPr>
              <w:t>235</w:t>
            </w:r>
            <w:r w:rsidR="00824155">
              <w:rPr>
                <w:noProof/>
                <w:webHidden/>
              </w:rPr>
              <w:fldChar w:fldCharType="end"/>
            </w:r>
          </w:hyperlink>
        </w:p>
        <w:p w14:paraId="02F6C69D" w14:textId="26D0F784" w:rsidR="00824155" w:rsidRDefault="00B648CD">
          <w:pPr>
            <w:pStyle w:val="TOC1"/>
            <w:rPr>
              <w:rFonts w:asciiTheme="minorHAnsi" w:eastAsiaTheme="minorEastAsia" w:hAnsiTheme="minorHAnsi"/>
              <w:b w:val="0"/>
              <w:sz w:val="22"/>
              <w:lang w:val="en-ID" w:eastAsia="en-ID"/>
            </w:rPr>
          </w:pPr>
          <w:hyperlink w:anchor="_Toc223088987"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17 </w:t>
            </w:r>
            <w:r w:rsidR="00824155">
              <w:rPr>
                <w:rFonts w:asciiTheme="minorHAnsi" w:eastAsiaTheme="minorEastAsia" w:hAnsiTheme="minorHAnsi"/>
                <w:b w:val="0"/>
                <w:sz w:val="22"/>
                <w:lang w:val="en-ID" w:eastAsia="en-ID"/>
              </w:rPr>
              <w:tab/>
            </w:r>
            <w:r w:rsidR="00824155" w:rsidRPr="00B11ED9">
              <w:rPr>
                <w:rStyle w:val="Hyperlink"/>
                <w:lang w:val="en-US"/>
              </w:rPr>
              <w:t xml:space="preserve">EFEK PROTEKTIF </w:t>
            </w:r>
            <w:r w:rsidR="00824155" w:rsidRPr="00B11ED9">
              <w:rPr>
                <w:rStyle w:val="Hyperlink"/>
                <w:i/>
                <w:iCs/>
                <w:lang w:val="en-US"/>
              </w:rPr>
              <w:t>Nigella sativa</w:t>
            </w:r>
            <w:r w:rsidR="00824155" w:rsidRPr="00B11ED9">
              <w:rPr>
                <w:rStyle w:val="Hyperlink"/>
                <w:lang w:val="en-US"/>
              </w:rPr>
              <w:t xml:space="preserve"> PADA </w:t>
            </w:r>
            <w:r w:rsidR="00090B80">
              <w:rPr>
                <w:rStyle w:val="Hyperlink"/>
                <w:lang w:val="en-US"/>
              </w:rPr>
              <w:br/>
            </w:r>
            <w:r w:rsidR="00824155" w:rsidRPr="00B11ED9">
              <w:rPr>
                <w:rStyle w:val="Hyperlink"/>
                <w:lang w:val="en-US"/>
              </w:rPr>
              <w:t>BERBAGAI DOSIS</w:t>
            </w:r>
            <w:r w:rsidR="00824155">
              <w:rPr>
                <w:webHidden/>
              </w:rPr>
              <w:tab/>
            </w:r>
            <w:r w:rsidR="00824155">
              <w:rPr>
                <w:webHidden/>
              </w:rPr>
              <w:fldChar w:fldCharType="begin"/>
            </w:r>
            <w:r w:rsidR="00824155">
              <w:rPr>
                <w:webHidden/>
              </w:rPr>
              <w:instrText xml:space="preserve"> PAGEREF _Toc223088987 \h </w:instrText>
            </w:r>
            <w:r w:rsidR="00824155">
              <w:rPr>
                <w:webHidden/>
              </w:rPr>
            </w:r>
            <w:r w:rsidR="00824155">
              <w:rPr>
                <w:webHidden/>
              </w:rPr>
              <w:fldChar w:fldCharType="separate"/>
            </w:r>
            <w:r w:rsidR="00725D88">
              <w:rPr>
                <w:webHidden/>
              </w:rPr>
              <w:t>236</w:t>
            </w:r>
            <w:r w:rsidR="00824155">
              <w:rPr>
                <w:webHidden/>
              </w:rPr>
              <w:fldChar w:fldCharType="end"/>
            </w:r>
          </w:hyperlink>
        </w:p>
        <w:p w14:paraId="502E1926" w14:textId="539E545A" w:rsidR="00824155" w:rsidRDefault="00B648CD">
          <w:pPr>
            <w:pStyle w:val="TOC2"/>
            <w:tabs>
              <w:tab w:val="left" w:pos="1680"/>
            </w:tabs>
            <w:rPr>
              <w:rFonts w:asciiTheme="minorHAnsi" w:eastAsiaTheme="minorEastAsia" w:hAnsiTheme="minorHAnsi"/>
              <w:noProof/>
              <w:sz w:val="22"/>
              <w:lang w:val="en-ID" w:eastAsia="en-ID"/>
            </w:rPr>
          </w:pPr>
          <w:hyperlink w:anchor="_Toc223088988"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_Toc223088988 \h </w:instrText>
            </w:r>
            <w:r w:rsidR="00824155">
              <w:rPr>
                <w:noProof/>
                <w:webHidden/>
              </w:rPr>
            </w:r>
            <w:r w:rsidR="00824155">
              <w:rPr>
                <w:noProof/>
                <w:webHidden/>
              </w:rPr>
              <w:fldChar w:fldCharType="separate"/>
            </w:r>
            <w:r w:rsidR="00725D88">
              <w:rPr>
                <w:noProof/>
                <w:webHidden/>
              </w:rPr>
              <w:t>236</w:t>
            </w:r>
            <w:r w:rsidR="00824155">
              <w:rPr>
                <w:noProof/>
                <w:webHidden/>
              </w:rPr>
              <w:fldChar w:fldCharType="end"/>
            </w:r>
          </w:hyperlink>
        </w:p>
        <w:p w14:paraId="1387B5C7" w14:textId="178AA040" w:rsidR="00824155" w:rsidRDefault="00B648CD">
          <w:pPr>
            <w:pStyle w:val="TOC2"/>
            <w:tabs>
              <w:tab w:val="left" w:pos="1260"/>
            </w:tabs>
            <w:rPr>
              <w:rFonts w:asciiTheme="minorHAnsi" w:eastAsiaTheme="minorEastAsia" w:hAnsiTheme="minorHAnsi"/>
              <w:noProof/>
              <w:sz w:val="22"/>
              <w:lang w:val="en-ID" w:eastAsia="en-ID"/>
            </w:rPr>
          </w:pPr>
          <w:hyperlink w:anchor="_Toc223088989"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Efektivitas Dosis Rendah dalam Pencegahan</w:t>
            </w:r>
            <w:r w:rsidR="00824155">
              <w:rPr>
                <w:noProof/>
                <w:webHidden/>
              </w:rPr>
              <w:tab/>
            </w:r>
            <w:r w:rsidR="00824155">
              <w:rPr>
                <w:noProof/>
                <w:webHidden/>
              </w:rPr>
              <w:fldChar w:fldCharType="begin"/>
            </w:r>
            <w:r w:rsidR="00824155">
              <w:rPr>
                <w:noProof/>
                <w:webHidden/>
              </w:rPr>
              <w:instrText xml:space="preserve"> PAGEREF _Toc223088989 \h </w:instrText>
            </w:r>
            <w:r w:rsidR="00824155">
              <w:rPr>
                <w:noProof/>
                <w:webHidden/>
              </w:rPr>
            </w:r>
            <w:r w:rsidR="00824155">
              <w:rPr>
                <w:noProof/>
                <w:webHidden/>
              </w:rPr>
              <w:fldChar w:fldCharType="separate"/>
            </w:r>
            <w:r w:rsidR="00725D88">
              <w:rPr>
                <w:noProof/>
                <w:webHidden/>
              </w:rPr>
              <w:t>238</w:t>
            </w:r>
            <w:r w:rsidR="00824155">
              <w:rPr>
                <w:noProof/>
                <w:webHidden/>
              </w:rPr>
              <w:fldChar w:fldCharType="end"/>
            </w:r>
          </w:hyperlink>
        </w:p>
        <w:p w14:paraId="58555E25" w14:textId="75D62BFF" w:rsidR="00824155" w:rsidRDefault="00B648CD">
          <w:pPr>
            <w:pStyle w:val="TOC2"/>
            <w:tabs>
              <w:tab w:val="left" w:pos="1680"/>
            </w:tabs>
            <w:rPr>
              <w:rFonts w:asciiTheme="minorHAnsi" w:eastAsiaTheme="minorEastAsia" w:hAnsiTheme="minorHAnsi"/>
              <w:noProof/>
              <w:sz w:val="22"/>
              <w:lang w:val="en-ID" w:eastAsia="en-ID"/>
            </w:rPr>
          </w:pPr>
          <w:hyperlink w:anchor="_Toc223088990"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Respon Dosis Optimal untuk Efek Maksimal</w:t>
            </w:r>
            <w:r w:rsidR="00824155">
              <w:rPr>
                <w:noProof/>
                <w:webHidden/>
              </w:rPr>
              <w:tab/>
            </w:r>
            <w:r w:rsidR="00824155">
              <w:rPr>
                <w:noProof/>
                <w:webHidden/>
              </w:rPr>
              <w:fldChar w:fldCharType="begin"/>
            </w:r>
            <w:r w:rsidR="00824155">
              <w:rPr>
                <w:noProof/>
                <w:webHidden/>
              </w:rPr>
              <w:instrText xml:space="preserve"> PAGEREF _Toc223088990 \h </w:instrText>
            </w:r>
            <w:r w:rsidR="00824155">
              <w:rPr>
                <w:noProof/>
                <w:webHidden/>
              </w:rPr>
            </w:r>
            <w:r w:rsidR="00824155">
              <w:rPr>
                <w:noProof/>
                <w:webHidden/>
              </w:rPr>
              <w:fldChar w:fldCharType="separate"/>
            </w:r>
            <w:r w:rsidR="00725D88">
              <w:rPr>
                <w:noProof/>
                <w:webHidden/>
              </w:rPr>
              <w:t>240</w:t>
            </w:r>
            <w:r w:rsidR="00824155">
              <w:rPr>
                <w:noProof/>
                <w:webHidden/>
              </w:rPr>
              <w:fldChar w:fldCharType="end"/>
            </w:r>
          </w:hyperlink>
        </w:p>
        <w:p w14:paraId="5E099CE3" w14:textId="4E8A2CAA" w:rsidR="00824155" w:rsidRDefault="00B648CD">
          <w:pPr>
            <w:pStyle w:val="TOC2"/>
            <w:tabs>
              <w:tab w:val="left" w:pos="1680"/>
            </w:tabs>
            <w:rPr>
              <w:rFonts w:asciiTheme="minorHAnsi" w:eastAsiaTheme="minorEastAsia" w:hAnsiTheme="minorHAnsi"/>
              <w:noProof/>
              <w:sz w:val="22"/>
              <w:lang w:val="en-ID" w:eastAsia="en-ID"/>
            </w:rPr>
          </w:pPr>
          <w:hyperlink w:anchor="_Toc223088991"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Evaluasi Keamanan pada Dosis Tinggi</w:t>
            </w:r>
            <w:r w:rsidR="00824155">
              <w:rPr>
                <w:noProof/>
                <w:webHidden/>
              </w:rPr>
              <w:tab/>
            </w:r>
            <w:r w:rsidR="00824155">
              <w:rPr>
                <w:noProof/>
                <w:webHidden/>
              </w:rPr>
              <w:fldChar w:fldCharType="begin"/>
            </w:r>
            <w:r w:rsidR="00824155">
              <w:rPr>
                <w:noProof/>
                <w:webHidden/>
              </w:rPr>
              <w:instrText xml:space="preserve"> PAGEREF _Toc223088991 \h </w:instrText>
            </w:r>
            <w:r w:rsidR="00824155">
              <w:rPr>
                <w:noProof/>
                <w:webHidden/>
              </w:rPr>
            </w:r>
            <w:r w:rsidR="00824155">
              <w:rPr>
                <w:noProof/>
                <w:webHidden/>
              </w:rPr>
              <w:fldChar w:fldCharType="separate"/>
            </w:r>
            <w:r w:rsidR="00725D88">
              <w:rPr>
                <w:noProof/>
                <w:webHidden/>
              </w:rPr>
              <w:t>242</w:t>
            </w:r>
            <w:r w:rsidR="00824155">
              <w:rPr>
                <w:noProof/>
                <w:webHidden/>
              </w:rPr>
              <w:fldChar w:fldCharType="end"/>
            </w:r>
          </w:hyperlink>
        </w:p>
        <w:p w14:paraId="31D49C70" w14:textId="277A67DA" w:rsidR="00824155" w:rsidRDefault="00B648CD">
          <w:pPr>
            <w:pStyle w:val="TOC2"/>
            <w:rPr>
              <w:rFonts w:asciiTheme="minorHAnsi" w:eastAsiaTheme="minorEastAsia" w:hAnsiTheme="minorHAnsi"/>
              <w:noProof/>
              <w:sz w:val="22"/>
              <w:lang w:val="en-ID" w:eastAsia="en-ID"/>
            </w:rPr>
          </w:pPr>
          <w:hyperlink w:anchor="_Toc223088992" w:history="1">
            <w:r w:rsidR="00824155" w:rsidRPr="00B11ED9">
              <w:rPr>
                <w:rStyle w:val="Hyperlink"/>
                <w:noProof/>
              </w:rPr>
              <w:t>KESIMPULAN</w:t>
            </w:r>
            <w:r w:rsidR="00824155">
              <w:rPr>
                <w:noProof/>
                <w:webHidden/>
              </w:rPr>
              <w:tab/>
            </w:r>
            <w:r w:rsidR="00824155">
              <w:rPr>
                <w:noProof/>
                <w:webHidden/>
              </w:rPr>
              <w:fldChar w:fldCharType="begin"/>
            </w:r>
            <w:r w:rsidR="00824155">
              <w:rPr>
                <w:noProof/>
                <w:webHidden/>
              </w:rPr>
              <w:instrText xml:space="preserve"> PAGEREF _Toc223088992 \h </w:instrText>
            </w:r>
            <w:r w:rsidR="00824155">
              <w:rPr>
                <w:noProof/>
                <w:webHidden/>
              </w:rPr>
            </w:r>
            <w:r w:rsidR="00824155">
              <w:rPr>
                <w:noProof/>
                <w:webHidden/>
              </w:rPr>
              <w:fldChar w:fldCharType="separate"/>
            </w:r>
            <w:r w:rsidR="00725D88">
              <w:rPr>
                <w:noProof/>
                <w:webHidden/>
              </w:rPr>
              <w:t>245</w:t>
            </w:r>
            <w:r w:rsidR="00824155">
              <w:rPr>
                <w:noProof/>
                <w:webHidden/>
              </w:rPr>
              <w:fldChar w:fldCharType="end"/>
            </w:r>
          </w:hyperlink>
        </w:p>
        <w:p w14:paraId="448244B6" w14:textId="7210FFB9" w:rsidR="00824155" w:rsidRDefault="00B648CD">
          <w:pPr>
            <w:pStyle w:val="TOC2"/>
            <w:rPr>
              <w:rFonts w:asciiTheme="minorHAnsi" w:eastAsiaTheme="minorEastAsia" w:hAnsiTheme="minorHAnsi"/>
              <w:noProof/>
              <w:sz w:val="22"/>
              <w:lang w:val="en-ID" w:eastAsia="en-ID"/>
            </w:rPr>
          </w:pPr>
          <w:hyperlink w:anchor="_Toc223088993" w:history="1">
            <w:r w:rsidR="00824155" w:rsidRPr="00B11ED9">
              <w:rPr>
                <w:rStyle w:val="Hyperlink"/>
                <w:noProof/>
              </w:rPr>
              <w:t>GLOSARIUM</w:t>
            </w:r>
            <w:r w:rsidR="00824155">
              <w:rPr>
                <w:noProof/>
                <w:webHidden/>
              </w:rPr>
              <w:tab/>
            </w:r>
            <w:r w:rsidR="00824155">
              <w:rPr>
                <w:noProof/>
                <w:webHidden/>
              </w:rPr>
              <w:fldChar w:fldCharType="begin"/>
            </w:r>
            <w:r w:rsidR="00824155">
              <w:rPr>
                <w:noProof/>
                <w:webHidden/>
              </w:rPr>
              <w:instrText xml:space="preserve"> PAGEREF _Toc223088993 \h </w:instrText>
            </w:r>
            <w:r w:rsidR="00824155">
              <w:rPr>
                <w:noProof/>
                <w:webHidden/>
              </w:rPr>
            </w:r>
            <w:r w:rsidR="00824155">
              <w:rPr>
                <w:noProof/>
                <w:webHidden/>
              </w:rPr>
              <w:fldChar w:fldCharType="separate"/>
            </w:r>
            <w:r w:rsidR="00725D88">
              <w:rPr>
                <w:noProof/>
                <w:webHidden/>
              </w:rPr>
              <w:t>246</w:t>
            </w:r>
            <w:r w:rsidR="00824155">
              <w:rPr>
                <w:noProof/>
                <w:webHidden/>
              </w:rPr>
              <w:fldChar w:fldCharType="end"/>
            </w:r>
          </w:hyperlink>
        </w:p>
        <w:p w14:paraId="5492D3A8" w14:textId="60C25C46" w:rsidR="00824155" w:rsidRDefault="00B648CD">
          <w:pPr>
            <w:pStyle w:val="TOC2"/>
            <w:rPr>
              <w:rFonts w:asciiTheme="minorHAnsi" w:eastAsiaTheme="minorEastAsia" w:hAnsiTheme="minorHAnsi"/>
              <w:noProof/>
              <w:sz w:val="22"/>
              <w:lang w:val="en-ID" w:eastAsia="en-ID"/>
            </w:rPr>
          </w:pPr>
          <w:hyperlink w:anchor="_Toc223088994"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_Toc223088994 \h </w:instrText>
            </w:r>
            <w:r w:rsidR="00824155">
              <w:rPr>
                <w:noProof/>
                <w:webHidden/>
              </w:rPr>
            </w:r>
            <w:r w:rsidR="00824155">
              <w:rPr>
                <w:noProof/>
                <w:webHidden/>
              </w:rPr>
              <w:fldChar w:fldCharType="separate"/>
            </w:r>
            <w:r w:rsidR="00725D88">
              <w:rPr>
                <w:noProof/>
                <w:webHidden/>
              </w:rPr>
              <w:t>247</w:t>
            </w:r>
            <w:r w:rsidR="00824155">
              <w:rPr>
                <w:noProof/>
                <w:webHidden/>
              </w:rPr>
              <w:fldChar w:fldCharType="end"/>
            </w:r>
          </w:hyperlink>
        </w:p>
        <w:p w14:paraId="1FCEB032" w14:textId="042D1DCD" w:rsidR="00824155" w:rsidRDefault="00B648CD">
          <w:pPr>
            <w:pStyle w:val="TOC1"/>
            <w:rPr>
              <w:rFonts w:asciiTheme="minorHAnsi" w:eastAsiaTheme="minorEastAsia" w:hAnsiTheme="minorHAnsi"/>
              <w:b w:val="0"/>
              <w:sz w:val="22"/>
              <w:lang w:val="en-ID" w:eastAsia="en-ID"/>
            </w:rPr>
          </w:pPr>
          <w:hyperlink w:anchor="_Toc223088995"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18 </w:t>
            </w:r>
            <w:r w:rsidR="00824155">
              <w:rPr>
                <w:rFonts w:asciiTheme="minorHAnsi" w:eastAsiaTheme="minorEastAsia" w:hAnsiTheme="minorHAnsi"/>
                <w:b w:val="0"/>
                <w:sz w:val="22"/>
                <w:lang w:val="en-ID" w:eastAsia="en-ID"/>
              </w:rPr>
              <w:tab/>
            </w:r>
            <w:r w:rsidR="00824155" w:rsidRPr="00B11ED9">
              <w:rPr>
                <w:rStyle w:val="Hyperlink"/>
                <w:lang w:val="en-US"/>
              </w:rPr>
              <w:t>PERBANDINGAN DENGAN TERAPI SUPORTIF STANDAR</w:t>
            </w:r>
            <w:r w:rsidR="00824155">
              <w:rPr>
                <w:webHidden/>
              </w:rPr>
              <w:tab/>
            </w:r>
            <w:r w:rsidR="00824155">
              <w:rPr>
                <w:webHidden/>
              </w:rPr>
              <w:fldChar w:fldCharType="begin"/>
            </w:r>
            <w:r w:rsidR="00824155">
              <w:rPr>
                <w:webHidden/>
              </w:rPr>
              <w:instrText xml:space="preserve"> PAGEREF _Toc223088995 \h </w:instrText>
            </w:r>
            <w:r w:rsidR="00824155">
              <w:rPr>
                <w:webHidden/>
              </w:rPr>
            </w:r>
            <w:r w:rsidR="00824155">
              <w:rPr>
                <w:webHidden/>
              </w:rPr>
              <w:fldChar w:fldCharType="separate"/>
            </w:r>
            <w:r w:rsidR="00725D88">
              <w:rPr>
                <w:webHidden/>
              </w:rPr>
              <w:t>249</w:t>
            </w:r>
            <w:r w:rsidR="00824155">
              <w:rPr>
                <w:webHidden/>
              </w:rPr>
              <w:fldChar w:fldCharType="end"/>
            </w:r>
          </w:hyperlink>
        </w:p>
        <w:p w14:paraId="574A31AC" w14:textId="26D8A6FE" w:rsidR="00824155" w:rsidRDefault="00B648CD">
          <w:pPr>
            <w:pStyle w:val="TOC2"/>
            <w:tabs>
              <w:tab w:val="left" w:pos="1680"/>
            </w:tabs>
            <w:rPr>
              <w:rFonts w:asciiTheme="minorHAnsi" w:eastAsiaTheme="minorEastAsia" w:hAnsiTheme="minorHAnsi"/>
              <w:noProof/>
              <w:sz w:val="22"/>
              <w:lang w:val="en-ID" w:eastAsia="en-ID"/>
            </w:rPr>
          </w:pPr>
          <w:hyperlink w:anchor="_Toc223088996"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_Toc223088996 \h </w:instrText>
            </w:r>
            <w:r w:rsidR="00824155">
              <w:rPr>
                <w:noProof/>
                <w:webHidden/>
              </w:rPr>
            </w:r>
            <w:r w:rsidR="00824155">
              <w:rPr>
                <w:noProof/>
                <w:webHidden/>
              </w:rPr>
              <w:fldChar w:fldCharType="separate"/>
            </w:r>
            <w:r w:rsidR="00725D88">
              <w:rPr>
                <w:noProof/>
                <w:webHidden/>
              </w:rPr>
              <w:t>249</w:t>
            </w:r>
            <w:r w:rsidR="00824155">
              <w:rPr>
                <w:noProof/>
                <w:webHidden/>
              </w:rPr>
              <w:fldChar w:fldCharType="end"/>
            </w:r>
          </w:hyperlink>
        </w:p>
        <w:p w14:paraId="54608693" w14:textId="53AD537B" w:rsidR="00824155" w:rsidRDefault="00B648CD">
          <w:pPr>
            <w:pStyle w:val="TOC2"/>
            <w:tabs>
              <w:tab w:val="left" w:pos="1260"/>
            </w:tabs>
            <w:rPr>
              <w:rFonts w:asciiTheme="minorHAnsi" w:eastAsiaTheme="minorEastAsia" w:hAnsiTheme="minorHAnsi"/>
              <w:noProof/>
              <w:sz w:val="22"/>
              <w:lang w:val="en-ID" w:eastAsia="en-ID"/>
            </w:rPr>
          </w:pPr>
          <w:hyperlink w:anchor="_Toc223088997"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Penggunaan Agen Topikal dan Sistemik Saat Ini</w:t>
            </w:r>
            <w:r w:rsidR="00824155">
              <w:rPr>
                <w:noProof/>
                <w:webHidden/>
              </w:rPr>
              <w:tab/>
            </w:r>
            <w:r w:rsidR="00824155">
              <w:rPr>
                <w:noProof/>
                <w:webHidden/>
              </w:rPr>
              <w:fldChar w:fldCharType="begin"/>
            </w:r>
            <w:r w:rsidR="00824155">
              <w:rPr>
                <w:noProof/>
                <w:webHidden/>
              </w:rPr>
              <w:instrText xml:space="preserve"> PAGEREF _Toc223088997 \h </w:instrText>
            </w:r>
            <w:r w:rsidR="00824155">
              <w:rPr>
                <w:noProof/>
                <w:webHidden/>
              </w:rPr>
            </w:r>
            <w:r w:rsidR="00824155">
              <w:rPr>
                <w:noProof/>
                <w:webHidden/>
              </w:rPr>
              <w:fldChar w:fldCharType="separate"/>
            </w:r>
            <w:r w:rsidR="00725D88">
              <w:rPr>
                <w:noProof/>
                <w:webHidden/>
              </w:rPr>
              <w:t>251</w:t>
            </w:r>
            <w:r w:rsidR="00824155">
              <w:rPr>
                <w:noProof/>
                <w:webHidden/>
              </w:rPr>
              <w:fldChar w:fldCharType="end"/>
            </w:r>
          </w:hyperlink>
        </w:p>
        <w:p w14:paraId="16178F3F" w14:textId="300F9EEA" w:rsidR="00824155" w:rsidRDefault="00B648CD">
          <w:pPr>
            <w:pStyle w:val="TOC2"/>
            <w:tabs>
              <w:tab w:val="left" w:pos="1680"/>
            </w:tabs>
            <w:rPr>
              <w:rFonts w:asciiTheme="minorHAnsi" w:eastAsiaTheme="minorEastAsia" w:hAnsiTheme="minorHAnsi"/>
              <w:noProof/>
              <w:sz w:val="22"/>
              <w:lang w:val="en-ID" w:eastAsia="en-ID"/>
            </w:rPr>
          </w:pPr>
          <w:hyperlink w:anchor="_Toc223088998"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 xml:space="preserve">Keunggulan </w:t>
            </w:r>
            <w:r w:rsidR="00824155" w:rsidRPr="00B11ED9">
              <w:rPr>
                <w:rStyle w:val="Hyperlink"/>
                <w:bCs/>
                <w:i/>
                <w:iCs/>
                <w:noProof/>
                <w:lang w:val="en"/>
              </w:rPr>
              <w:t>Nigella sativa</w:t>
            </w:r>
            <w:r w:rsidR="00824155" w:rsidRPr="00B11ED9">
              <w:rPr>
                <w:rStyle w:val="Hyperlink"/>
                <w:bCs/>
                <w:noProof/>
                <w:lang w:val="en"/>
              </w:rPr>
              <w:t xml:space="preserve"> Dibandingkan Terapi Konvensional</w:t>
            </w:r>
            <w:r w:rsidR="00824155">
              <w:rPr>
                <w:noProof/>
                <w:webHidden/>
              </w:rPr>
              <w:tab/>
            </w:r>
            <w:r w:rsidR="00824155">
              <w:rPr>
                <w:noProof/>
                <w:webHidden/>
              </w:rPr>
              <w:fldChar w:fldCharType="begin"/>
            </w:r>
            <w:r w:rsidR="00824155">
              <w:rPr>
                <w:noProof/>
                <w:webHidden/>
              </w:rPr>
              <w:instrText xml:space="preserve"> PAGEREF _Toc223088998 \h </w:instrText>
            </w:r>
            <w:r w:rsidR="00824155">
              <w:rPr>
                <w:noProof/>
                <w:webHidden/>
              </w:rPr>
            </w:r>
            <w:r w:rsidR="00824155">
              <w:rPr>
                <w:noProof/>
                <w:webHidden/>
              </w:rPr>
              <w:fldChar w:fldCharType="separate"/>
            </w:r>
            <w:r w:rsidR="00725D88">
              <w:rPr>
                <w:noProof/>
                <w:webHidden/>
              </w:rPr>
              <w:t>254</w:t>
            </w:r>
            <w:r w:rsidR="00824155">
              <w:rPr>
                <w:noProof/>
                <w:webHidden/>
              </w:rPr>
              <w:fldChar w:fldCharType="end"/>
            </w:r>
          </w:hyperlink>
        </w:p>
        <w:p w14:paraId="20DF0F33" w14:textId="3BF8A080" w:rsidR="00824155" w:rsidRDefault="00B648CD">
          <w:pPr>
            <w:pStyle w:val="TOC2"/>
            <w:tabs>
              <w:tab w:val="left" w:pos="1680"/>
            </w:tabs>
            <w:rPr>
              <w:rFonts w:asciiTheme="minorHAnsi" w:eastAsiaTheme="minorEastAsia" w:hAnsiTheme="minorHAnsi"/>
              <w:noProof/>
              <w:sz w:val="22"/>
              <w:lang w:val="en-ID" w:eastAsia="en-ID"/>
            </w:rPr>
          </w:pPr>
          <w:hyperlink w:anchor="_Toc223088999"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Potensi Terapi Kombinasi</w:t>
            </w:r>
            <w:r w:rsidR="00824155">
              <w:rPr>
                <w:noProof/>
                <w:webHidden/>
              </w:rPr>
              <w:tab/>
            </w:r>
            <w:r w:rsidR="00824155">
              <w:rPr>
                <w:noProof/>
                <w:webHidden/>
              </w:rPr>
              <w:fldChar w:fldCharType="begin"/>
            </w:r>
            <w:r w:rsidR="00824155">
              <w:rPr>
                <w:noProof/>
                <w:webHidden/>
              </w:rPr>
              <w:instrText xml:space="preserve"> PAGEREF _Toc223088999 \h </w:instrText>
            </w:r>
            <w:r w:rsidR="00824155">
              <w:rPr>
                <w:noProof/>
                <w:webHidden/>
              </w:rPr>
            </w:r>
            <w:r w:rsidR="00824155">
              <w:rPr>
                <w:noProof/>
                <w:webHidden/>
              </w:rPr>
              <w:fldChar w:fldCharType="separate"/>
            </w:r>
            <w:r w:rsidR="00725D88">
              <w:rPr>
                <w:noProof/>
                <w:webHidden/>
              </w:rPr>
              <w:t>256</w:t>
            </w:r>
            <w:r w:rsidR="00824155">
              <w:rPr>
                <w:noProof/>
                <w:webHidden/>
              </w:rPr>
              <w:fldChar w:fldCharType="end"/>
            </w:r>
          </w:hyperlink>
        </w:p>
        <w:p w14:paraId="2856CA8E" w14:textId="38D85F15" w:rsidR="00824155" w:rsidRDefault="00B648CD">
          <w:pPr>
            <w:pStyle w:val="TOC2"/>
            <w:rPr>
              <w:rFonts w:asciiTheme="minorHAnsi" w:eastAsiaTheme="minorEastAsia" w:hAnsiTheme="minorHAnsi"/>
              <w:noProof/>
              <w:sz w:val="22"/>
              <w:lang w:val="en-ID" w:eastAsia="en-ID"/>
            </w:rPr>
          </w:pPr>
          <w:hyperlink w:anchor="_Toc223089000" w:history="1">
            <w:r w:rsidR="00824155" w:rsidRPr="00B11ED9">
              <w:rPr>
                <w:rStyle w:val="Hyperlink"/>
                <w:rFonts w:eastAsia="DengXian"/>
                <w:noProof/>
                <w:lang w:eastAsia="zh-CN"/>
              </w:rPr>
              <w:t>KESIMPULAN</w:t>
            </w:r>
            <w:r w:rsidR="00824155">
              <w:rPr>
                <w:noProof/>
                <w:webHidden/>
              </w:rPr>
              <w:tab/>
            </w:r>
            <w:r w:rsidR="00824155">
              <w:rPr>
                <w:noProof/>
                <w:webHidden/>
              </w:rPr>
              <w:fldChar w:fldCharType="begin"/>
            </w:r>
            <w:r w:rsidR="00824155">
              <w:rPr>
                <w:noProof/>
                <w:webHidden/>
              </w:rPr>
              <w:instrText xml:space="preserve"> PAGEREF _Toc223089000 \h </w:instrText>
            </w:r>
            <w:r w:rsidR="00824155">
              <w:rPr>
                <w:noProof/>
                <w:webHidden/>
              </w:rPr>
            </w:r>
            <w:r w:rsidR="00824155">
              <w:rPr>
                <w:noProof/>
                <w:webHidden/>
              </w:rPr>
              <w:fldChar w:fldCharType="separate"/>
            </w:r>
            <w:r w:rsidR="00725D88">
              <w:rPr>
                <w:noProof/>
                <w:webHidden/>
              </w:rPr>
              <w:t>259</w:t>
            </w:r>
            <w:r w:rsidR="00824155">
              <w:rPr>
                <w:noProof/>
                <w:webHidden/>
              </w:rPr>
              <w:fldChar w:fldCharType="end"/>
            </w:r>
          </w:hyperlink>
        </w:p>
        <w:p w14:paraId="24A577D0" w14:textId="1149A1B5" w:rsidR="00824155" w:rsidRDefault="00B648CD">
          <w:pPr>
            <w:pStyle w:val="TOC2"/>
            <w:rPr>
              <w:rFonts w:asciiTheme="minorHAnsi" w:eastAsiaTheme="minorEastAsia" w:hAnsiTheme="minorHAnsi"/>
              <w:noProof/>
              <w:sz w:val="22"/>
              <w:lang w:val="en-ID" w:eastAsia="en-ID"/>
            </w:rPr>
          </w:pPr>
          <w:hyperlink w:anchor="_Toc223089001" w:history="1">
            <w:r w:rsidR="00824155" w:rsidRPr="00B11ED9">
              <w:rPr>
                <w:rStyle w:val="Hyperlink"/>
                <w:noProof/>
              </w:rPr>
              <w:t>GLOSARIUM</w:t>
            </w:r>
            <w:r w:rsidR="00824155">
              <w:rPr>
                <w:noProof/>
                <w:webHidden/>
              </w:rPr>
              <w:tab/>
            </w:r>
            <w:r w:rsidR="00824155">
              <w:rPr>
                <w:noProof/>
                <w:webHidden/>
              </w:rPr>
              <w:fldChar w:fldCharType="begin"/>
            </w:r>
            <w:r w:rsidR="00824155">
              <w:rPr>
                <w:noProof/>
                <w:webHidden/>
              </w:rPr>
              <w:instrText xml:space="preserve"> PAGEREF _Toc223089001 \h </w:instrText>
            </w:r>
            <w:r w:rsidR="00824155">
              <w:rPr>
                <w:noProof/>
                <w:webHidden/>
              </w:rPr>
            </w:r>
            <w:r w:rsidR="00824155">
              <w:rPr>
                <w:noProof/>
                <w:webHidden/>
              </w:rPr>
              <w:fldChar w:fldCharType="separate"/>
            </w:r>
            <w:r w:rsidR="00725D88">
              <w:rPr>
                <w:noProof/>
                <w:webHidden/>
              </w:rPr>
              <w:t>260</w:t>
            </w:r>
            <w:r w:rsidR="00824155">
              <w:rPr>
                <w:noProof/>
                <w:webHidden/>
              </w:rPr>
              <w:fldChar w:fldCharType="end"/>
            </w:r>
          </w:hyperlink>
        </w:p>
        <w:p w14:paraId="7AF23250" w14:textId="71AB00A9" w:rsidR="00824155" w:rsidRDefault="00B648CD">
          <w:pPr>
            <w:pStyle w:val="TOC2"/>
            <w:rPr>
              <w:rFonts w:asciiTheme="minorHAnsi" w:eastAsiaTheme="minorEastAsia" w:hAnsiTheme="minorHAnsi"/>
              <w:noProof/>
              <w:sz w:val="22"/>
              <w:lang w:val="en-ID" w:eastAsia="en-ID"/>
            </w:rPr>
          </w:pPr>
          <w:hyperlink w:anchor="_Toc223089002"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_Toc223089002 \h </w:instrText>
            </w:r>
            <w:r w:rsidR="00824155">
              <w:rPr>
                <w:noProof/>
                <w:webHidden/>
              </w:rPr>
            </w:r>
            <w:r w:rsidR="00824155">
              <w:rPr>
                <w:noProof/>
                <w:webHidden/>
              </w:rPr>
              <w:fldChar w:fldCharType="separate"/>
            </w:r>
            <w:r w:rsidR="00725D88">
              <w:rPr>
                <w:noProof/>
                <w:webHidden/>
              </w:rPr>
              <w:t>261</w:t>
            </w:r>
            <w:r w:rsidR="00824155">
              <w:rPr>
                <w:noProof/>
                <w:webHidden/>
              </w:rPr>
              <w:fldChar w:fldCharType="end"/>
            </w:r>
          </w:hyperlink>
        </w:p>
        <w:p w14:paraId="38811967" w14:textId="24D61B3A" w:rsidR="00824155" w:rsidRDefault="00B648CD">
          <w:pPr>
            <w:pStyle w:val="TOC1"/>
            <w:rPr>
              <w:rFonts w:asciiTheme="minorHAnsi" w:eastAsiaTheme="minorEastAsia" w:hAnsiTheme="minorHAnsi"/>
              <w:b w:val="0"/>
              <w:sz w:val="22"/>
              <w:lang w:val="en-ID" w:eastAsia="en-ID"/>
            </w:rPr>
          </w:pPr>
          <w:hyperlink w:anchor="_Toc223089003"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19 </w:t>
            </w:r>
            <w:r w:rsidR="00824155">
              <w:rPr>
                <w:rFonts w:asciiTheme="minorHAnsi" w:eastAsiaTheme="minorEastAsia" w:hAnsiTheme="minorHAnsi"/>
                <w:b w:val="0"/>
                <w:sz w:val="22"/>
                <w:lang w:val="en-ID" w:eastAsia="en-ID"/>
              </w:rPr>
              <w:tab/>
            </w:r>
            <w:r w:rsidR="00824155" w:rsidRPr="00B11ED9">
              <w:rPr>
                <w:rStyle w:val="Hyperlink"/>
                <w:lang w:val="en-US"/>
              </w:rPr>
              <w:t>TANTANGAN DAN PROSPEK KLINIS DI MASA DEPAN</w:t>
            </w:r>
            <w:r w:rsidR="00824155">
              <w:rPr>
                <w:webHidden/>
              </w:rPr>
              <w:tab/>
            </w:r>
            <w:r w:rsidR="00824155">
              <w:rPr>
                <w:webHidden/>
              </w:rPr>
              <w:fldChar w:fldCharType="begin"/>
            </w:r>
            <w:r w:rsidR="00824155">
              <w:rPr>
                <w:webHidden/>
              </w:rPr>
              <w:instrText xml:space="preserve"> PAGEREF _Toc223089003 \h </w:instrText>
            </w:r>
            <w:r w:rsidR="00824155">
              <w:rPr>
                <w:webHidden/>
              </w:rPr>
            </w:r>
            <w:r w:rsidR="00824155">
              <w:rPr>
                <w:webHidden/>
              </w:rPr>
              <w:fldChar w:fldCharType="separate"/>
            </w:r>
            <w:r w:rsidR="00725D88">
              <w:rPr>
                <w:webHidden/>
              </w:rPr>
              <w:t>263</w:t>
            </w:r>
            <w:r w:rsidR="00824155">
              <w:rPr>
                <w:webHidden/>
              </w:rPr>
              <w:fldChar w:fldCharType="end"/>
            </w:r>
          </w:hyperlink>
        </w:p>
        <w:p w14:paraId="4BB86573" w14:textId="4580C8B9" w:rsidR="00824155" w:rsidRDefault="00B648CD">
          <w:pPr>
            <w:pStyle w:val="TOC2"/>
            <w:tabs>
              <w:tab w:val="left" w:pos="1680"/>
            </w:tabs>
            <w:rPr>
              <w:rFonts w:asciiTheme="minorHAnsi" w:eastAsiaTheme="minorEastAsia" w:hAnsiTheme="minorHAnsi"/>
              <w:noProof/>
              <w:sz w:val="22"/>
              <w:lang w:val="en-ID" w:eastAsia="en-ID"/>
            </w:rPr>
          </w:pPr>
          <w:hyperlink w:anchor="_Toc223089004"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_Toc223089004 \h </w:instrText>
            </w:r>
            <w:r w:rsidR="00824155">
              <w:rPr>
                <w:noProof/>
                <w:webHidden/>
              </w:rPr>
            </w:r>
            <w:r w:rsidR="00824155">
              <w:rPr>
                <w:noProof/>
                <w:webHidden/>
              </w:rPr>
              <w:fldChar w:fldCharType="separate"/>
            </w:r>
            <w:r w:rsidR="00725D88">
              <w:rPr>
                <w:noProof/>
                <w:webHidden/>
              </w:rPr>
              <w:t>263</w:t>
            </w:r>
            <w:r w:rsidR="00824155">
              <w:rPr>
                <w:noProof/>
                <w:webHidden/>
              </w:rPr>
              <w:fldChar w:fldCharType="end"/>
            </w:r>
          </w:hyperlink>
        </w:p>
        <w:p w14:paraId="7C18CF3B" w14:textId="5EDE5073" w:rsidR="00824155" w:rsidRDefault="00B648CD">
          <w:pPr>
            <w:pStyle w:val="TOC2"/>
            <w:tabs>
              <w:tab w:val="left" w:pos="1260"/>
            </w:tabs>
            <w:rPr>
              <w:rFonts w:asciiTheme="minorHAnsi" w:eastAsiaTheme="minorEastAsia" w:hAnsiTheme="minorHAnsi"/>
              <w:noProof/>
              <w:sz w:val="22"/>
              <w:lang w:val="en-ID" w:eastAsia="en-ID"/>
            </w:rPr>
          </w:pPr>
          <w:hyperlink w:anchor="_Toc223089005" w:history="1">
            <w:r w:rsidR="00824155" w:rsidRPr="00B11ED9">
              <w:rPr>
                <w:rStyle w:val="Hyperlink"/>
                <w:noProof/>
              </w:rPr>
              <w:t>B.</w:t>
            </w:r>
            <w:r w:rsidR="00824155">
              <w:rPr>
                <w:rFonts w:asciiTheme="minorHAnsi" w:eastAsiaTheme="minorEastAsia" w:hAnsiTheme="minorHAnsi"/>
                <w:noProof/>
                <w:sz w:val="22"/>
                <w:lang w:val="en-ID" w:eastAsia="en-ID"/>
              </w:rPr>
              <w:tab/>
            </w:r>
            <w:r w:rsidR="00824155" w:rsidRPr="00B11ED9">
              <w:rPr>
                <w:rStyle w:val="Hyperlink"/>
                <w:noProof/>
              </w:rPr>
              <w:t xml:space="preserve">Hambatan dalam Translasi dari Hewan </w:t>
            </w:r>
            <w:r w:rsidR="00090B80">
              <w:rPr>
                <w:rStyle w:val="Hyperlink"/>
                <w:noProof/>
              </w:rPr>
              <w:br/>
            </w:r>
            <w:r w:rsidR="00824155" w:rsidRPr="00B11ED9">
              <w:rPr>
                <w:rStyle w:val="Hyperlink"/>
                <w:noProof/>
              </w:rPr>
              <w:t>ke Manusia</w:t>
            </w:r>
            <w:r w:rsidR="00824155">
              <w:rPr>
                <w:noProof/>
                <w:webHidden/>
              </w:rPr>
              <w:tab/>
            </w:r>
            <w:r w:rsidR="00824155">
              <w:rPr>
                <w:noProof/>
                <w:webHidden/>
              </w:rPr>
              <w:fldChar w:fldCharType="begin"/>
            </w:r>
            <w:r w:rsidR="00824155">
              <w:rPr>
                <w:noProof/>
                <w:webHidden/>
              </w:rPr>
              <w:instrText xml:space="preserve"> PAGEREF _Toc223089005 \h </w:instrText>
            </w:r>
            <w:r w:rsidR="00824155">
              <w:rPr>
                <w:noProof/>
                <w:webHidden/>
              </w:rPr>
            </w:r>
            <w:r w:rsidR="00824155">
              <w:rPr>
                <w:noProof/>
                <w:webHidden/>
              </w:rPr>
              <w:fldChar w:fldCharType="separate"/>
            </w:r>
            <w:r w:rsidR="00725D88">
              <w:rPr>
                <w:noProof/>
                <w:webHidden/>
              </w:rPr>
              <w:t>265</w:t>
            </w:r>
            <w:r w:rsidR="00824155">
              <w:rPr>
                <w:noProof/>
                <w:webHidden/>
              </w:rPr>
              <w:fldChar w:fldCharType="end"/>
            </w:r>
          </w:hyperlink>
        </w:p>
        <w:p w14:paraId="5ED2FE32" w14:textId="3B3CDF84" w:rsidR="00824155" w:rsidRDefault="00B648CD">
          <w:pPr>
            <w:pStyle w:val="TOC2"/>
            <w:tabs>
              <w:tab w:val="left" w:pos="1680"/>
            </w:tabs>
            <w:rPr>
              <w:rFonts w:asciiTheme="minorHAnsi" w:eastAsiaTheme="minorEastAsia" w:hAnsiTheme="minorHAnsi"/>
              <w:noProof/>
              <w:sz w:val="22"/>
              <w:lang w:val="en-ID" w:eastAsia="en-ID"/>
            </w:rPr>
          </w:pPr>
          <w:hyperlink w:anchor="_Toc223089006"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Kebutuhan Uji Klinis Fase Lanjutan</w:t>
            </w:r>
            <w:r w:rsidR="00824155">
              <w:rPr>
                <w:noProof/>
                <w:webHidden/>
              </w:rPr>
              <w:tab/>
            </w:r>
            <w:r w:rsidR="00824155">
              <w:rPr>
                <w:noProof/>
                <w:webHidden/>
              </w:rPr>
              <w:fldChar w:fldCharType="begin"/>
            </w:r>
            <w:r w:rsidR="00824155">
              <w:rPr>
                <w:noProof/>
                <w:webHidden/>
              </w:rPr>
              <w:instrText xml:space="preserve"> PAGEREF _Toc223089006 \h </w:instrText>
            </w:r>
            <w:r w:rsidR="00824155">
              <w:rPr>
                <w:noProof/>
                <w:webHidden/>
              </w:rPr>
            </w:r>
            <w:r w:rsidR="00824155">
              <w:rPr>
                <w:noProof/>
                <w:webHidden/>
              </w:rPr>
              <w:fldChar w:fldCharType="separate"/>
            </w:r>
            <w:r w:rsidR="00725D88">
              <w:rPr>
                <w:noProof/>
                <w:webHidden/>
              </w:rPr>
              <w:t>269</w:t>
            </w:r>
            <w:r w:rsidR="00824155">
              <w:rPr>
                <w:noProof/>
                <w:webHidden/>
              </w:rPr>
              <w:fldChar w:fldCharType="end"/>
            </w:r>
          </w:hyperlink>
        </w:p>
        <w:p w14:paraId="5F6EB66E" w14:textId="23B881A4" w:rsidR="00824155" w:rsidRDefault="00B648CD">
          <w:pPr>
            <w:pStyle w:val="TOC2"/>
            <w:tabs>
              <w:tab w:val="left" w:pos="1680"/>
            </w:tabs>
            <w:rPr>
              <w:rFonts w:asciiTheme="minorHAnsi" w:eastAsiaTheme="minorEastAsia" w:hAnsiTheme="minorHAnsi"/>
              <w:noProof/>
              <w:sz w:val="22"/>
              <w:lang w:val="en-ID" w:eastAsia="en-ID"/>
            </w:rPr>
          </w:pPr>
          <w:hyperlink w:anchor="_Toc223089007" w:history="1">
            <w:r w:rsidR="00824155" w:rsidRPr="00B11ED9">
              <w:rPr>
                <w:rStyle w:val="Hyperlink"/>
                <w:bCs/>
                <w:noProof/>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 xml:space="preserve">Inovasi Formulasi </w:t>
            </w:r>
            <w:r w:rsidR="00824155" w:rsidRPr="00B11ED9">
              <w:rPr>
                <w:rStyle w:val="Hyperlink"/>
                <w:bCs/>
                <w:i/>
                <w:iCs/>
                <w:noProof/>
                <w:lang w:val="en"/>
              </w:rPr>
              <w:t>Nigella sativa</w:t>
            </w:r>
            <w:r w:rsidR="00824155">
              <w:rPr>
                <w:noProof/>
                <w:webHidden/>
              </w:rPr>
              <w:tab/>
            </w:r>
            <w:r w:rsidR="00824155">
              <w:rPr>
                <w:noProof/>
                <w:webHidden/>
              </w:rPr>
              <w:fldChar w:fldCharType="begin"/>
            </w:r>
            <w:r w:rsidR="00824155">
              <w:rPr>
                <w:noProof/>
                <w:webHidden/>
              </w:rPr>
              <w:instrText xml:space="preserve"> PAGEREF _Toc223089007 \h </w:instrText>
            </w:r>
            <w:r w:rsidR="00824155">
              <w:rPr>
                <w:noProof/>
                <w:webHidden/>
              </w:rPr>
            </w:r>
            <w:r w:rsidR="00824155">
              <w:rPr>
                <w:noProof/>
                <w:webHidden/>
              </w:rPr>
              <w:fldChar w:fldCharType="separate"/>
            </w:r>
            <w:r w:rsidR="00725D88">
              <w:rPr>
                <w:noProof/>
                <w:webHidden/>
              </w:rPr>
              <w:t>273</w:t>
            </w:r>
            <w:r w:rsidR="00824155">
              <w:rPr>
                <w:noProof/>
                <w:webHidden/>
              </w:rPr>
              <w:fldChar w:fldCharType="end"/>
            </w:r>
          </w:hyperlink>
        </w:p>
        <w:p w14:paraId="355973E0" w14:textId="0751444E" w:rsidR="00824155" w:rsidRDefault="00B648CD">
          <w:pPr>
            <w:pStyle w:val="TOC2"/>
            <w:rPr>
              <w:rFonts w:asciiTheme="minorHAnsi" w:eastAsiaTheme="minorEastAsia" w:hAnsiTheme="minorHAnsi"/>
              <w:noProof/>
              <w:sz w:val="22"/>
              <w:lang w:val="en-ID" w:eastAsia="en-ID"/>
            </w:rPr>
          </w:pPr>
          <w:hyperlink w:anchor="_Toc223089008" w:history="1">
            <w:r w:rsidR="00824155" w:rsidRPr="00B11ED9">
              <w:rPr>
                <w:rStyle w:val="Hyperlink"/>
                <w:noProof/>
              </w:rPr>
              <w:t>KESIMPULAN</w:t>
            </w:r>
            <w:r w:rsidR="00824155">
              <w:rPr>
                <w:noProof/>
                <w:webHidden/>
              </w:rPr>
              <w:tab/>
            </w:r>
            <w:r w:rsidR="00824155">
              <w:rPr>
                <w:noProof/>
                <w:webHidden/>
              </w:rPr>
              <w:fldChar w:fldCharType="begin"/>
            </w:r>
            <w:r w:rsidR="00824155">
              <w:rPr>
                <w:noProof/>
                <w:webHidden/>
              </w:rPr>
              <w:instrText xml:space="preserve"> PAGEREF _Toc223089008 \h </w:instrText>
            </w:r>
            <w:r w:rsidR="00824155">
              <w:rPr>
                <w:noProof/>
                <w:webHidden/>
              </w:rPr>
            </w:r>
            <w:r w:rsidR="00824155">
              <w:rPr>
                <w:noProof/>
                <w:webHidden/>
              </w:rPr>
              <w:fldChar w:fldCharType="separate"/>
            </w:r>
            <w:r w:rsidR="00725D88">
              <w:rPr>
                <w:noProof/>
                <w:webHidden/>
              </w:rPr>
              <w:t>277</w:t>
            </w:r>
            <w:r w:rsidR="00824155">
              <w:rPr>
                <w:noProof/>
                <w:webHidden/>
              </w:rPr>
              <w:fldChar w:fldCharType="end"/>
            </w:r>
          </w:hyperlink>
        </w:p>
        <w:p w14:paraId="43BF3104" w14:textId="0E403B45" w:rsidR="00824155" w:rsidRDefault="00B648CD">
          <w:pPr>
            <w:pStyle w:val="TOC2"/>
            <w:rPr>
              <w:rFonts w:asciiTheme="minorHAnsi" w:eastAsiaTheme="minorEastAsia" w:hAnsiTheme="minorHAnsi"/>
              <w:noProof/>
              <w:sz w:val="22"/>
              <w:lang w:val="en-ID" w:eastAsia="en-ID"/>
            </w:rPr>
          </w:pPr>
          <w:hyperlink w:anchor="_Toc223089009" w:history="1">
            <w:r w:rsidR="00824155" w:rsidRPr="00B11ED9">
              <w:rPr>
                <w:rStyle w:val="Hyperlink"/>
                <w:noProof/>
              </w:rPr>
              <w:t>GLOSARIUM</w:t>
            </w:r>
            <w:r w:rsidR="00824155">
              <w:rPr>
                <w:noProof/>
                <w:webHidden/>
              </w:rPr>
              <w:tab/>
            </w:r>
            <w:r w:rsidR="00824155">
              <w:rPr>
                <w:noProof/>
                <w:webHidden/>
              </w:rPr>
              <w:fldChar w:fldCharType="begin"/>
            </w:r>
            <w:r w:rsidR="00824155">
              <w:rPr>
                <w:noProof/>
                <w:webHidden/>
              </w:rPr>
              <w:instrText xml:space="preserve"> PAGEREF _Toc223089009 \h </w:instrText>
            </w:r>
            <w:r w:rsidR="00824155">
              <w:rPr>
                <w:noProof/>
                <w:webHidden/>
              </w:rPr>
            </w:r>
            <w:r w:rsidR="00824155">
              <w:rPr>
                <w:noProof/>
                <w:webHidden/>
              </w:rPr>
              <w:fldChar w:fldCharType="separate"/>
            </w:r>
            <w:r w:rsidR="00725D88">
              <w:rPr>
                <w:noProof/>
                <w:webHidden/>
              </w:rPr>
              <w:t>278</w:t>
            </w:r>
            <w:r w:rsidR="00824155">
              <w:rPr>
                <w:noProof/>
                <w:webHidden/>
              </w:rPr>
              <w:fldChar w:fldCharType="end"/>
            </w:r>
          </w:hyperlink>
        </w:p>
        <w:p w14:paraId="18C83BB9" w14:textId="7E8C6014" w:rsidR="00824155" w:rsidRDefault="00B648CD">
          <w:pPr>
            <w:pStyle w:val="TOC2"/>
            <w:rPr>
              <w:rFonts w:asciiTheme="minorHAnsi" w:eastAsiaTheme="minorEastAsia" w:hAnsiTheme="minorHAnsi"/>
              <w:noProof/>
              <w:sz w:val="22"/>
              <w:lang w:val="en-ID" w:eastAsia="en-ID"/>
            </w:rPr>
          </w:pPr>
          <w:hyperlink w:anchor="_Toc223089010"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_Toc223089010 \h </w:instrText>
            </w:r>
            <w:r w:rsidR="00824155">
              <w:rPr>
                <w:noProof/>
                <w:webHidden/>
              </w:rPr>
            </w:r>
            <w:r w:rsidR="00824155">
              <w:rPr>
                <w:noProof/>
                <w:webHidden/>
              </w:rPr>
              <w:fldChar w:fldCharType="separate"/>
            </w:r>
            <w:r w:rsidR="00725D88">
              <w:rPr>
                <w:noProof/>
                <w:webHidden/>
              </w:rPr>
              <w:t>279</w:t>
            </w:r>
            <w:r w:rsidR="00824155">
              <w:rPr>
                <w:noProof/>
                <w:webHidden/>
              </w:rPr>
              <w:fldChar w:fldCharType="end"/>
            </w:r>
          </w:hyperlink>
        </w:p>
        <w:p w14:paraId="54A7F6CE" w14:textId="6F474BAF" w:rsidR="00824155" w:rsidRDefault="00B648CD">
          <w:pPr>
            <w:pStyle w:val="TOC1"/>
            <w:rPr>
              <w:rFonts w:asciiTheme="minorHAnsi" w:eastAsiaTheme="minorEastAsia" w:hAnsiTheme="minorHAnsi"/>
              <w:b w:val="0"/>
              <w:sz w:val="22"/>
              <w:lang w:val="en-ID" w:eastAsia="en-ID"/>
            </w:rPr>
          </w:pPr>
          <w:hyperlink w:anchor="_Toc223089011" w:history="1">
            <w:r w:rsidR="00824155" w:rsidRPr="00B11ED9">
              <w:rPr>
                <w:rStyle w:val="Hyperlink"/>
                <w:lang w:val="en-US"/>
              </w:rPr>
              <w:t>BAB</w:t>
            </w:r>
            <w:r w:rsidR="00824155" w:rsidRPr="00B11ED9">
              <w:rPr>
                <w:rStyle w:val="Hyperlink"/>
              </w:rPr>
              <w:t xml:space="preserve"> </w:t>
            </w:r>
            <w:r w:rsidR="00824155" w:rsidRPr="00B11ED9">
              <w:rPr>
                <w:rStyle w:val="Hyperlink"/>
                <w:lang w:val="en-US"/>
              </w:rPr>
              <w:t xml:space="preserve">20 </w:t>
            </w:r>
            <w:r w:rsidR="00824155">
              <w:rPr>
                <w:rFonts w:asciiTheme="minorHAnsi" w:eastAsiaTheme="minorEastAsia" w:hAnsiTheme="minorHAnsi"/>
                <w:b w:val="0"/>
                <w:sz w:val="22"/>
                <w:lang w:val="en-ID" w:eastAsia="en-ID"/>
              </w:rPr>
              <w:tab/>
            </w:r>
            <w:r w:rsidR="00824155" w:rsidRPr="00B11ED9">
              <w:rPr>
                <w:rStyle w:val="Hyperlink"/>
                <w:lang w:val="en-US"/>
              </w:rPr>
              <w:t>KESIMPULAN DAN REKOMENDASI TERINTEGRASI</w:t>
            </w:r>
            <w:r w:rsidR="00824155">
              <w:rPr>
                <w:webHidden/>
              </w:rPr>
              <w:tab/>
            </w:r>
            <w:r w:rsidR="00824155">
              <w:rPr>
                <w:webHidden/>
              </w:rPr>
              <w:fldChar w:fldCharType="begin"/>
            </w:r>
            <w:r w:rsidR="00824155">
              <w:rPr>
                <w:webHidden/>
              </w:rPr>
              <w:instrText xml:space="preserve"> PAGEREF _Toc223089011 \h </w:instrText>
            </w:r>
            <w:r w:rsidR="00824155">
              <w:rPr>
                <w:webHidden/>
              </w:rPr>
            </w:r>
            <w:r w:rsidR="00824155">
              <w:rPr>
                <w:webHidden/>
              </w:rPr>
              <w:fldChar w:fldCharType="separate"/>
            </w:r>
            <w:r w:rsidR="00725D88">
              <w:rPr>
                <w:webHidden/>
              </w:rPr>
              <w:t>281</w:t>
            </w:r>
            <w:r w:rsidR="00824155">
              <w:rPr>
                <w:webHidden/>
              </w:rPr>
              <w:fldChar w:fldCharType="end"/>
            </w:r>
          </w:hyperlink>
        </w:p>
        <w:p w14:paraId="4AB42B6E" w14:textId="3D370A49" w:rsidR="00824155" w:rsidRDefault="00B648CD">
          <w:pPr>
            <w:pStyle w:val="TOC2"/>
            <w:tabs>
              <w:tab w:val="left" w:pos="1680"/>
            </w:tabs>
            <w:rPr>
              <w:rFonts w:asciiTheme="minorHAnsi" w:eastAsiaTheme="minorEastAsia" w:hAnsiTheme="minorHAnsi"/>
              <w:noProof/>
              <w:sz w:val="22"/>
              <w:lang w:val="en-ID" w:eastAsia="en-ID"/>
            </w:rPr>
          </w:pPr>
          <w:hyperlink w:anchor="_Toc223089012" w:history="1">
            <w:r w:rsidR="00824155" w:rsidRPr="00B11ED9">
              <w:rPr>
                <w:rStyle w:val="Hyperlink"/>
                <w:noProof/>
              </w:rPr>
              <w:t>A.</w:t>
            </w:r>
            <w:r w:rsidR="00824155">
              <w:rPr>
                <w:rFonts w:asciiTheme="minorHAnsi" w:eastAsiaTheme="minorEastAsia" w:hAnsiTheme="minorHAnsi"/>
                <w:noProof/>
                <w:sz w:val="22"/>
                <w:lang w:val="en-ID" w:eastAsia="en-ID"/>
              </w:rPr>
              <w:tab/>
            </w:r>
            <w:r w:rsidR="00824155" w:rsidRPr="00B11ED9">
              <w:rPr>
                <w:rStyle w:val="Hyperlink"/>
                <w:noProof/>
              </w:rPr>
              <w:t>Pendahuluan</w:t>
            </w:r>
            <w:r w:rsidR="00824155">
              <w:rPr>
                <w:noProof/>
                <w:webHidden/>
              </w:rPr>
              <w:tab/>
            </w:r>
            <w:r w:rsidR="00824155">
              <w:rPr>
                <w:noProof/>
                <w:webHidden/>
              </w:rPr>
              <w:fldChar w:fldCharType="begin"/>
            </w:r>
            <w:r w:rsidR="00824155">
              <w:rPr>
                <w:noProof/>
                <w:webHidden/>
              </w:rPr>
              <w:instrText xml:space="preserve"> PAGEREF _Toc223089012 \h </w:instrText>
            </w:r>
            <w:r w:rsidR="00824155">
              <w:rPr>
                <w:noProof/>
                <w:webHidden/>
              </w:rPr>
            </w:r>
            <w:r w:rsidR="00824155">
              <w:rPr>
                <w:noProof/>
                <w:webHidden/>
              </w:rPr>
              <w:fldChar w:fldCharType="separate"/>
            </w:r>
            <w:r w:rsidR="00725D88">
              <w:rPr>
                <w:noProof/>
                <w:webHidden/>
              </w:rPr>
              <w:t>281</w:t>
            </w:r>
            <w:r w:rsidR="00824155">
              <w:rPr>
                <w:noProof/>
                <w:webHidden/>
              </w:rPr>
              <w:fldChar w:fldCharType="end"/>
            </w:r>
          </w:hyperlink>
        </w:p>
        <w:p w14:paraId="7CF2F8B1" w14:textId="219C0AE2" w:rsidR="00824155" w:rsidRDefault="00B648CD">
          <w:pPr>
            <w:pStyle w:val="TOC2"/>
            <w:tabs>
              <w:tab w:val="left" w:pos="1260"/>
            </w:tabs>
            <w:rPr>
              <w:rFonts w:asciiTheme="minorHAnsi" w:eastAsiaTheme="minorEastAsia" w:hAnsiTheme="minorHAnsi"/>
              <w:noProof/>
              <w:sz w:val="22"/>
              <w:lang w:val="en-ID" w:eastAsia="en-ID"/>
            </w:rPr>
          </w:pPr>
          <w:hyperlink w:anchor="_Toc223089013" w:history="1">
            <w:r w:rsidR="00824155" w:rsidRPr="00B11ED9">
              <w:rPr>
                <w:rStyle w:val="Hyperlink"/>
                <w:noProof/>
                <w:highlight w:val="cyan"/>
              </w:rPr>
              <w:t>B.</w:t>
            </w:r>
            <w:r w:rsidR="00824155">
              <w:rPr>
                <w:rFonts w:asciiTheme="minorHAnsi" w:eastAsiaTheme="minorEastAsia" w:hAnsiTheme="minorHAnsi"/>
                <w:noProof/>
                <w:sz w:val="22"/>
                <w:lang w:val="en-ID" w:eastAsia="en-ID"/>
              </w:rPr>
              <w:tab/>
            </w:r>
            <w:r w:rsidR="00824155" w:rsidRPr="00B11ED9">
              <w:rPr>
                <w:rStyle w:val="Hyperlink"/>
                <w:noProof/>
                <w:highlight w:val="cyan"/>
              </w:rPr>
              <w:t>Sintesis Hasil Penelitian terhadap Mukositis</w:t>
            </w:r>
            <w:r w:rsidR="00824155">
              <w:rPr>
                <w:noProof/>
                <w:webHidden/>
              </w:rPr>
              <w:tab/>
            </w:r>
            <w:r w:rsidR="00824155">
              <w:rPr>
                <w:noProof/>
                <w:webHidden/>
              </w:rPr>
              <w:fldChar w:fldCharType="begin"/>
            </w:r>
            <w:r w:rsidR="00824155">
              <w:rPr>
                <w:noProof/>
                <w:webHidden/>
              </w:rPr>
              <w:instrText xml:space="preserve"> PAGEREF _Toc223089013 \h </w:instrText>
            </w:r>
            <w:r w:rsidR="00824155">
              <w:rPr>
                <w:noProof/>
                <w:webHidden/>
              </w:rPr>
            </w:r>
            <w:r w:rsidR="00824155">
              <w:rPr>
                <w:noProof/>
                <w:webHidden/>
              </w:rPr>
              <w:fldChar w:fldCharType="separate"/>
            </w:r>
            <w:r w:rsidR="00725D88">
              <w:rPr>
                <w:noProof/>
                <w:webHidden/>
              </w:rPr>
              <w:t>282</w:t>
            </w:r>
            <w:r w:rsidR="00824155">
              <w:rPr>
                <w:noProof/>
                <w:webHidden/>
              </w:rPr>
              <w:fldChar w:fldCharType="end"/>
            </w:r>
          </w:hyperlink>
        </w:p>
        <w:p w14:paraId="103BA76C" w14:textId="73E94A5F" w:rsidR="00824155" w:rsidRDefault="00B648CD">
          <w:pPr>
            <w:pStyle w:val="TOC2"/>
            <w:tabs>
              <w:tab w:val="left" w:pos="1680"/>
            </w:tabs>
            <w:rPr>
              <w:rFonts w:asciiTheme="minorHAnsi" w:eastAsiaTheme="minorEastAsia" w:hAnsiTheme="minorHAnsi"/>
              <w:noProof/>
              <w:sz w:val="22"/>
              <w:lang w:val="en-ID" w:eastAsia="en-ID"/>
            </w:rPr>
          </w:pPr>
          <w:hyperlink w:anchor="_Toc223089014" w:history="1">
            <w:r w:rsidR="00824155" w:rsidRPr="00B11ED9">
              <w:rPr>
                <w:rStyle w:val="Hyperlink"/>
                <w:bCs/>
                <w:noProof/>
                <w:lang w:val="en"/>
              </w:rPr>
              <w:t>C.</w:t>
            </w:r>
            <w:r w:rsidR="00824155">
              <w:rPr>
                <w:rFonts w:asciiTheme="minorHAnsi" w:eastAsiaTheme="minorEastAsia" w:hAnsiTheme="minorHAnsi"/>
                <w:noProof/>
                <w:sz w:val="22"/>
                <w:lang w:val="en-ID" w:eastAsia="en-ID"/>
              </w:rPr>
              <w:tab/>
            </w:r>
            <w:r w:rsidR="00824155" w:rsidRPr="00B11ED9">
              <w:rPr>
                <w:rStyle w:val="Hyperlink"/>
                <w:bCs/>
                <w:noProof/>
                <w:lang w:val="en"/>
              </w:rPr>
              <w:t>Implikasi bagi Praktik Kedokteran dan Farmasi</w:t>
            </w:r>
            <w:r w:rsidR="00824155">
              <w:rPr>
                <w:noProof/>
                <w:webHidden/>
              </w:rPr>
              <w:tab/>
            </w:r>
            <w:r w:rsidR="00824155">
              <w:rPr>
                <w:noProof/>
                <w:webHidden/>
              </w:rPr>
              <w:fldChar w:fldCharType="begin"/>
            </w:r>
            <w:r w:rsidR="00824155">
              <w:rPr>
                <w:noProof/>
                <w:webHidden/>
              </w:rPr>
              <w:instrText xml:space="preserve"> PAGEREF _Toc223089014 \h </w:instrText>
            </w:r>
            <w:r w:rsidR="00824155">
              <w:rPr>
                <w:noProof/>
                <w:webHidden/>
              </w:rPr>
            </w:r>
            <w:r w:rsidR="00824155">
              <w:rPr>
                <w:noProof/>
                <w:webHidden/>
              </w:rPr>
              <w:fldChar w:fldCharType="separate"/>
            </w:r>
            <w:r w:rsidR="00725D88">
              <w:rPr>
                <w:noProof/>
                <w:webHidden/>
              </w:rPr>
              <w:t>285</w:t>
            </w:r>
            <w:r w:rsidR="00824155">
              <w:rPr>
                <w:noProof/>
                <w:webHidden/>
              </w:rPr>
              <w:fldChar w:fldCharType="end"/>
            </w:r>
          </w:hyperlink>
        </w:p>
        <w:p w14:paraId="5B929D4B" w14:textId="70EAB96F" w:rsidR="00824155" w:rsidRDefault="00B648CD">
          <w:pPr>
            <w:pStyle w:val="TOC2"/>
            <w:tabs>
              <w:tab w:val="left" w:pos="1680"/>
            </w:tabs>
            <w:rPr>
              <w:rFonts w:asciiTheme="minorHAnsi" w:eastAsiaTheme="minorEastAsia" w:hAnsiTheme="minorHAnsi"/>
              <w:noProof/>
              <w:sz w:val="22"/>
              <w:lang w:val="en-ID" w:eastAsia="en-ID"/>
            </w:rPr>
          </w:pPr>
          <w:hyperlink w:anchor="_Toc223089015" w:history="1">
            <w:r w:rsidR="00824155" w:rsidRPr="00B11ED9">
              <w:rPr>
                <w:rStyle w:val="Hyperlink"/>
                <w:bCs/>
                <w:noProof/>
                <w:highlight w:val="cyan"/>
                <w:lang w:val="en"/>
              </w:rPr>
              <w:t>D.</w:t>
            </w:r>
            <w:r w:rsidR="00824155">
              <w:rPr>
                <w:rFonts w:asciiTheme="minorHAnsi" w:eastAsiaTheme="minorEastAsia" w:hAnsiTheme="minorHAnsi"/>
                <w:noProof/>
                <w:sz w:val="22"/>
                <w:lang w:val="en-ID" w:eastAsia="en-ID"/>
              </w:rPr>
              <w:tab/>
            </w:r>
            <w:r w:rsidR="00824155" w:rsidRPr="00B11ED9">
              <w:rPr>
                <w:rStyle w:val="Hyperlink"/>
                <w:bCs/>
                <w:noProof/>
                <w:lang w:val="en"/>
              </w:rPr>
              <w:t xml:space="preserve">Kata Penutup dan </w:t>
            </w:r>
            <w:r w:rsidR="00824155" w:rsidRPr="00B11ED9">
              <w:rPr>
                <w:rStyle w:val="Hyperlink"/>
                <w:bCs/>
                <w:noProof/>
                <w:highlight w:val="cyan"/>
                <w:lang w:val="en"/>
              </w:rPr>
              <w:t>Arahan Penelitian Selanjutnya</w:t>
            </w:r>
            <w:r w:rsidR="00824155">
              <w:rPr>
                <w:noProof/>
                <w:webHidden/>
              </w:rPr>
              <w:tab/>
            </w:r>
            <w:r w:rsidR="00824155">
              <w:rPr>
                <w:noProof/>
                <w:webHidden/>
              </w:rPr>
              <w:fldChar w:fldCharType="begin"/>
            </w:r>
            <w:r w:rsidR="00824155">
              <w:rPr>
                <w:noProof/>
                <w:webHidden/>
              </w:rPr>
              <w:instrText xml:space="preserve"> PAGEREF _Toc223089015 \h </w:instrText>
            </w:r>
            <w:r w:rsidR="00824155">
              <w:rPr>
                <w:noProof/>
                <w:webHidden/>
              </w:rPr>
            </w:r>
            <w:r w:rsidR="00824155">
              <w:rPr>
                <w:noProof/>
                <w:webHidden/>
              </w:rPr>
              <w:fldChar w:fldCharType="separate"/>
            </w:r>
            <w:r w:rsidR="00725D88">
              <w:rPr>
                <w:noProof/>
                <w:webHidden/>
              </w:rPr>
              <w:t>287</w:t>
            </w:r>
            <w:r w:rsidR="00824155">
              <w:rPr>
                <w:noProof/>
                <w:webHidden/>
              </w:rPr>
              <w:fldChar w:fldCharType="end"/>
            </w:r>
          </w:hyperlink>
        </w:p>
        <w:p w14:paraId="22A935E4" w14:textId="5397D5F6" w:rsidR="00824155" w:rsidRDefault="00B648CD">
          <w:pPr>
            <w:pStyle w:val="TOC2"/>
            <w:rPr>
              <w:rFonts w:asciiTheme="minorHAnsi" w:eastAsiaTheme="minorEastAsia" w:hAnsiTheme="minorHAnsi"/>
              <w:noProof/>
              <w:sz w:val="22"/>
              <w:lang w:val="en-ID" w:eastAsia="en-ID"/>
            </w:rPr>
          </w:pPr>
          <w:hyperlink w:anchor="_Toc223089016" w:history="1">
            <w:r w:rsidR="00824155" w:rsidRPr="00B11ED9">
              <w:rPr>
                <w:rStyle w:val="Hyperlink"/>
                <w:noProof/>
              </w:rPr>
              <w:t>KESIMPULAN</w:t>
            </w:r>
            <w:r w:rsidR="00824155">
              <w:rPr>
                <w:noProof/>
                <w:webHidden/>
              </w:rPr>
              <w:tab/>
            </w:r>
            <w:r w:rsidR="00824155">
              <w:rPr>
                <w:noProof/>
                <w:webHidden/>
              </w:rPr>
              <w:fldChar w:fldCharType="begin"/>
            </w:r>
            <w:r w:rsidR="00824155">
              <w:rPr>
                <w:noProof/>
                <w:webHidden/>
              </w:rPr>
              <w:instrText xml:space="preserve"> PAGEREF _Toc223089016 \h </w:instrText>
            </w:r>
            <w:r w:rsidR="00824155">
              <w:rPr>
                <w:noProof/>
                <w:webHidden/>
              </w:rPr>
            </w:r>
            <w:r w:rsidR="00824155">
              <w:rPr>
                <w:noProof/>
                <w:webHidden/>
              </w:rPr>
              <w:fldChar w:fldCharType="separate"/>
            </w:r>
            <w:r w:rsidR="00725D88">
              <w:rPr>
                <w:noProof/>
                <w:webHidden/>
              </w:rPr>
              <w:t>289</w:t>
            </w:r>
            <w:r w:rsidR="00824155">
              <w:rPr>
                <w:noProof/>
                <w:webHidden/>
              </w:rPr>
              <w:fldChar w:fldCharType="end"/>
            </w:r>
          </w:hyperlink>
        </w:p>
        <w:p w14:paraId="50853808" w14:textId="032176CB" w:rsidR="00824155" w:rsidRDefault="00B648CD">
          <w:pPr>
            <w:pStyle w:val="TOC2"/>
            <w:rPr>
              <w:rFonts w:asciiTheme="minorHAnsi" w:eastAsiaTheme="minorEastAsia" w:hAnsiTheme="minorHAnsi"/>
              <w:noProof/>
              <w:sz w:val="22"/>
              <w:lang w:val="en-ID" w:eastAsia="en-ID"/>
            </w:rPr>
          </w:pPr>
          <w:hyperlink w:anchor="_Toc223089017" w:history="1">
            <w:r w:rsidR="00824155" w:rsidRPr="00B11ED9">
              <w:rPr>
                <w:rStyle w:val="Hyperlink"/>
                <w:noProof/>
              </w:rPr>
              <w:t>GLOSARIUM</w:t>
            </w:r>
            <w:r w:rsidR="00824155">
              <w:rPr>
                <w:noProof/>
                <w:webHidden/>
              </w:rPr>
              <w:tab/>
            </w:r>
            <w:r w:rsidR="00824155">
              <w:rPr>
                <w:noProof/>
                <w:webHidden/>
              </w:rPr>
              <w:fldChar w:fldCharType="begin"/>
            </w:r>
            <w:r w:rsidR="00824155">
              <w:rPr>
                <w:noProof/>
                <w:webHidden/>
              </w:rPr>
              <w:instrText xml:space="preserve"> PAGEREF _Toc223089017 \h </w:instrText>
            </w:r>
            <w:r w:rsidR="00824155">
              <w:rPr>
                <w:noProof/>
                <w:webHidden/>
              </w:rPr>
            </w:r>
            <w:r w:rsidR="00824155">
              <w:rPr>
                <w:noProof/>
                <w:webHidden/>
              </w:rPr>
              <w:fldChar w:fldCharType="separate"/>
            </w:r>
            <w:r w:rsidR="00725D88">
              <w:rPr>
                <w:noProof/>
                <w:webHidden/>
              </w:rPr>
              <w:t>290</w:t>
            </w:r>
            <w:r w:rsidR="00824155">
              <w:rPr>
                <w:noProof/>
                <w:webHidden/>
              </w:rPr>
              <w:fldChar w:fldCharType="end"/>
            </w:r>
          </w:hyperlink>
        </w:p>
        <w:p w14:paraId="21C35A55" w14:textId="11283A20" w:rsidR="00824155" w:rsidRDefault="00B648CD">
          <w:pPr>
            <w:pStyle w:val="TOC2"/>
            <w:rPr>
              <w:rFonts w:asciiTheme="minorHAnsi" w:eastAsiaTheme="minorEastAsia" w:hAnsiTheme="minorHAnsi"/>
              <w:noProof/>
              <w:sz w:val="22"/>
              <w:lang w:val="en-ID" w:eastAsia="en-ID"/>
            </w:rPr>
          </w:pPr>
          <w:hyperlink w:anchor="_Toc223089018" w:history="1">
            <w:r w:rsidR="00824155" w:rsidRPr="00B11ED9">
              <w:rPr>
                <w:rStyle w:val="Hyperlink"/>
                <w:noProof/>
              </w:rPr>
              <w:t>DAFTAR PUSTAKA</w:t>
            </w:r>
            <w:r w:rsidR="00824155">
              <w:rPr>
                <w:noProof/>
                <w:webHidden/>
              </w:rPr>
              <w:tab/>
            </w:r>
            <w:r w:rsidR="00824155">
              <w:rPr>
                <w:noProof/>
                <w:webHidden/>
              </w:rPr>
              <w:fldChar w:fldCharType="begin"/>
            </w:r>
            <w:r w:rsidR="00824155">
              <w:rPr>
                <w:noProof/>
                <w:webHidden/>
              </w:rPr>
              <w:instrText xml:space="preserve"> PAGEREF _Toc223089018 \h </w:instrText>
            </w:r>
            <w:r w:rsidR="00824155">
              <w:rPr>
                <w:noProof/>
                <w:webHidden/>
              </w:rPr>
            </w:r>
            <w:r w:rsidR="00824155">
              <w:rPr>
                <w:noProof/>
                <w:webHidden/>
              </w:rPr>
              <w:fldChar w:fldCharType="separate"/>
            </w:r>
            <w:r w:rsidR="00725D88">
              <w:rPr>
                <w:noProof/>
                <w:webHidden/>
              </w:rPr>
              <w:t>291</w:t>
            </w:r>
            <w:r w:rsidR="00824155">
              <w:rPr>
                <w:noProof/>
                <w:webHidden/>
              </w:rPr>
              <w:fldChar w:fldCharType="end"/>
            </w:r>
          </w:hyperlink>
        </w:p>
        <w:p w14:paraId="5E6D3709" w14:textId="7C2BB2EA" w:rsidR="00824155" w:rsidRDefault="00B648CD">
          <w:pPr>
            <w:pStyle w:val="TOC1"/>
            <w:rPr>
              <w:rFonts w:asciiTheme="minorHAnsi" w:eastAsiaTheme="minorEastAsia" w:hAnsiTheme="minorHAnsi"/>
              <w:b w:val="0"/>
              <w:sz w:val="22"/>
              <w:lang w:val="en-ID" w:eastAsia="en-ID"/>
            </w:rPr>
          </w:pPr>
          <w:hyperlink w:anchor="_Toc223089019" w:history="1">
            <w:r w:rsidR="00824155" w:rsidRPr="00B11ED9">
              <w:rPr>
                <w:rStyle w:val="Hyperlink"/>
                <w:bCs/>
              </w:rPr>
              <w:t>DAFTAR PUSTAKA</w:t>
            </w:r>
            <w:r w:rsidR="00824155">
              <w:rPr>
                <w:webHidden/>
              </w:rPr>
              <w:tab/>
            </w:r>
            <w:r w:rsidR="00824155">
              <w:rPr>
                <w:webHidden/>
              </w:rPr>
              <w:fldChar w:fldCharType="begin"/>
            </w:r>
            <w:r w:rsidR="00824155">
              <w:rPr>
                <w:webHidden/>
              </w:rPr>
              <w:instrText xml:space="preserve"> PAGEREF _Toc223089019 \h </w:instrText>
            </w:r>
            <w:r w:rsidR="00824155">
              <w:rPr>
                <w:webHidden/>
              </w:rPr>
            </w:r>
            <w:r w:rsidR="00824155">
              <w:rPr>
                <w:webHidden/>
              </w:rPr>
              <w:fldChar w:fldCharType="separate"/>
            </w:r>
            <w:r w:rsidR="00725D88">
              <w:rPr>
                <w:webHidden/>
              </w:rPr>
              <w:t>293</w:t>
            </w:r>
            <w:r w:rsidR="00824155">
              <w:rPr>
                <w:webHidden/>
              </w:rPr>
              <w:fldChar w:fldCharType="end"/>
            </w:r>
          </w:hyperlink>
        </w:p>
        <w:p w14:paraId="1EE52B0A" w14:textId="2B120C3A" w:rsidR="00824155" w:rsidRDefault="00B648CD">
          <w:pPr>
            <w:pStyle w:val="TOC1"/>
            <w:rPr>
              <w:rFonts w:asciiTheme="minorHAnsi" w:eastAsiaTheme="minorEastAsia" w:hAnsiTheme="minorHAnsi"/>
              <w:b w:val="0"/>
              <w:sz w:val="22"/>
              <w:lang w:val="en-ID" w:eastAsia="en-ID"/>
            </w:rPr>
          </w:pPr>
          <w:hyperlink w:anchor="_Toc223089020" w:history="1">
            <w:r w:rsidR="00824155" w:rsidRPr="00B11ED9">
              <w:rPr>
                <w:rStyle w:val="Hyperlink"/>
                <w:bCs/>
              </w:rPr>
              <w:t>GLOS</w:t>
            </w:r>
            <w:r w:rsidR="00824155" w:rsidRPr="00B11ED9">
              <w:rPr>
                <w:rStyle w:val="Hyperlink"/>
                <w:bCs/>
                <w:lang w:val="en-US"/>
              </w:rPr>
              <w:t>ARIUM</w:t>
            </w:r>
            <w:r w:rsidR="00824155">
              <w:rPr>
                <w:webHidden/>
              </w:rPr>
              <w:tab/>
            </w:r>
            <w:r w:rsidR="00824155">
              <w:rPr>
                <w:webHidden/>
              </w:rPr>
              <w:fldChar w:fldCharType="begin"/>
            </w:r>
            <w:r w:rsidR="00824155">
              <w:rPr>
                <w:webHidden/>
              </w:rPr>
              <w:instrText xml:space="preserve"> PAGEREF _Toc223089020 \h </w:instrText>
            </w:r>
            <w:r w:rsidR="00824155">
              <w:rPr>
                <w:webHidden/>
              </w:rPr>
            </w:r>
            <w:r w:rsidR="00824155">
              <w:rPr>
                <w:webHidden/>
              </w:rPr>
              <w:fldChar w:fldCharType="separate"/>
            </w:r>
            <w:r w:rsidR="00725D88">
              <w:rPr>
                <w:webHidden/>
              </w:rPr>
              <w:t>305</w:t>
            </w:r>
            <w:r w:rsidR="00824155">
              <w:rPr>
                <w:webHidden/>
              </w:rPr>
              <w:fldChar w:fldCharType="end"/>
            </w:r>
          </w:hyperlink>
        </w:p>
        <w:p w14:paraId="58B0DF25" w14:textId="3B4CF86A" w:rsidR="00824155" w:rsidRDefault="00B648CD">
          <w:pPr>
            <w:pStyle w:val="TOC1"/>
            <w:rPr>
              <w:rFonts w:asciiTheme="minorHAnsi" w:eastAsiaTheme="minorEastAsia" w:hAnsiTheme="minorHAnsi"/>
              <w:b w:val="0"/>
              <w:sz w:val="22"/>
              <w:lang w:val="en-ID" w:eastAsia="en-ID"/>
            </w:rPr>
          </w:pPr>
          <w:hyperlink w:anchor="_Toc223089021" w:history="1">
            <w:r w:rsidR="00824155" w:rsidRPr="00B11ED9">
              <w:rPr>
                <w:rStyle w:val="Hyperlink"/>
                <w:rFonts w:cs="Arial"/>
                <w:highlight w:val="yellow"/>
                <w:lang w:val="en-US"/>
              </w:rPr>
              <w:t>TENTANG PENULIS</w:t>
            </w:r>
            <w:r w:rsidR="00824155">
              <w:rPr>
                <w:webHidden/>
              </w:rPr>
              <w:tab/>
            </w:r>
            <w:r w:rsidR="00824155">
              <w:rPr>
                <w:webHidden/>
              </w:rPr>
              <w:fldChar w:fldCharType="begin"/>
            </w:r>
            <w:r w:rsidR="00824155">
              <w:rPr>
                <w:webHidden/>
              </w:rPr>
              <w:instrText xml:space="preserve"> PAGEREF _Toc223089021 \h </w:instrText>
            </w:r>
            <w:r w:rsidR="00824155">
              <w:rPr>
                <w:webHidden/>
              </w:rPr>
            </w:r>
            <w:r w:rsidR="00824155">
              <w:rPr>
                <w:webHidden/>
              </w:rPr>
              <w:fldChar w:fldCharType="separate"/>
            </w:r>
            <w:r w:rsidR="00725D88">
              <w:rPr>
                <w:webHidden/>
              </w:rPr>
              <w:t>310</w:t>
            </w:r>
            <w:r w:rsidR="00824155">
              <w:rPr>
                <w:webHidden/>
              </w:rPr>
              <w:fldChar w:fldCharType="end"/>
            </w:r>
          </w:hyperlink>
        </w:p>
        <w:p w14:paraId="719B7ED8" w14:textId="146D7758" w:rsidR="001E5B0A" w:rsidRPr="006810DB" w:rsidRDefault="00CC3565" w:rsidP="006810DB">
          <w:pPr>
            <w:spacing w:line="276" w:lineRule="auto"/>
            <w:rPr>
              <w:rFonts w:ascii="Book Antiqua" w:hAnsi="Book Antiqua"/>
              <w:b/>
            </w:rPr>
          </w:pPr>
          <w:r w:rsidRPr="006810DB">
            <w:rPr>
              <w:rFonts w:ascii="Book Antiqua" w:hAnsi="Book Antiqua"/>
              <w:noProof/>
              <w:sz w:val="20"/>
            </w:rPr>
            <w:fldChar w:fldCharType="end"/>
          </w:r>
        </w:p>
      </w:sdtContent>
    </w:sdt>
    <w:p w14:paraId="1DBB514D" w14:textId="419ED4B3" w:rsidR="00753779" w:rsidRPr="006810DB" w:rsidRDefault="00753779" w:rsidP="006810DB">
      <w:pPr>
        <w:spacing w:after="0" w:line="276" w:lineRule="auto"/>
        <w:rPr>
          <w:rFonts w:ascii="Book Antiqua" w:hAnsi="Book Antiqua"/>
          <w:noProof/>
          <w:sz w:val="20"/>
          <w:szCs w:val="20"/>
          <w:lang w:eastAsia="zh-CN"/>
        </w:rPr>
      </w:pPr>
    </w:p>
    <w:p w14:paraId="74ABA713" w14:textId="75BD58D3" w:rsidR="00753779" w:rsidRPr="006810DB" w:rsidRDefault="00753779" w:rsidP="006810DB">
      <w:pPr>
        <w:spacing w:after="0" w:line="276" w:lineRule="auto"/>
        <w:rPr>
          <w:rFonts w:ascii="Book Antiqua" w:hAnsi="Book Antiqua"/>
          <w:noProof/>
          <w:sz w:val="20"/>
          <w:szCs w:val="20"/>
          <w:lang w:eastAsia="zh-CN"/>
        </w:rPr>
      </w:pPr>
    </w:p>
    <w:p w14:paraId="3B0B2CCC" w14:textId="77777777" w:rsidR="008E2BC0" w:rsidRPr="006810DB" w:rsidRDefault="008E2BC0" w:rsidP="006810DB">
      <w:pPr>
        <w:spacing w:after="0" w:line="276" w:lineRule="auto"/>
        <w:rPr>
          <w:rFonts w:ascii="Book Antiqua" w:hAnsi="Book Antiqua"/>
          <w:noProof/>
          <w:sz w:val="20"/>
          <w:szCs w:val="20"/>
          <w:lang w:eastAsia="zh-CN"/>
        </w:rPr>
      </w:pPr>
    </w:p>
    <w:p w14:paraId="11887D29" w14:textId="56274191" w:rsidR="003C38A8" w:rsidRPr="006810DB" w:rsidRDefault="00211CE6" w:rsidP="006810DB">
      <w:pPr>
        <w:spacing w:after="0" w:line="276" w:lineRule="auto"/>
        <w:rPr>
          <w:rFonts w:ascii="Book Antiqua" w:hAnsi="Book Antiqua"/>
          <w:noProof/>
          <w:sz w:val="20"/>
          <w:szCs w:val="20"/>
          <w:lang w:eastAsia="zh-CN"/>
        </w:rPr>
      </w:pPr>
      <w:r w:rsidRPr="006810DB">
        <w:rPr>
          <w:rFonts w:ascii="Book Antiqua" w:hAnsi="Book Antiqua"/>
          <w:noProof/>
          <w:sz w:val="20"/>
          <w:szCs w:val="20"/>
          <w:lang w:eastAsia="zh-CN"/>
        </w:rPr>
        <w:br w:type="page"/>
      </w:r>
    </w:p>
    <w:p w14:paraId="436BF7BF" w14:textId="77777777" w:rsidR="008E2BC0" w:rsidRPr="006810DB" w:rsidRDefault="008E2BC0" w:rsidP="006810DB">
      <w:pPr>
        <w:spacing w:after="0" w:line="276" w:lineRule="auto"/>
        <w:rPr>
          <w:rFonts w:ascii="Book Antiqua" w:hAnsi="Book Antiqua"/>
          <w:sz w:val="20"/>
          <w:szCs w:val="20"/>
          <w:lang w:val="en-US"/>
        </w:rPr>
        <w:sectPr w:rsidR="008E2BC0" w:rsidRPr="006810DB" w:rsidSect="007043CC">
          <w:footerReference w:type="even" r:id="rId9"/>
          <w:footerReference w:type="default" r:id="rId10"/>
          <w:type w:val="continuous"/>
          <w:pgSz w:w="8505" w:h="13041" w:code="13"/>
          <w:pgMar w:top="1134" w:right="1134" w:bottom="1418" w:left="1418" w:header="709" w:footer="709" w:gutter="0"/>
          <w:pgNumType w:fmt="lowerRoman"/>
          <w:cols w:space="708"/>
          <w:docGrid w:linePitch="360"/>
        </w:sectPr>
      </w:pPr>
    </w:p>
    <w:p w14:paraId="6B2E7730" w14:textId="49CDCF09" w:rsidR="00BC1D95" w:rsidRPr="006810DB" w:rsidRDefault="001F5577" w:rsidP="006810DB">
      <w:pPr>
        <w:pStyle w:val="Heading1"/>
        <w:spacing w:before="0" w:line="276" w:lineRule="auto"/>
        <w:ind w:left="142" w:hanging="142"/>
        <w:rPr>
          <w:szCs w:val="20"/>
          <w:lang w:val="en-ID"/>
        </w:rPr>
      </w:pPr>
      <w:bookmarkStart w:id="10" w:name="_Toc83983424"/>
      <w:bookmarkStart w:id="11" w:name="_Toc223088859"/>
      <w:r w:rsidRPr="006810DB">
        <w:rPr>
          <w:b/>
          <w:noProof/>
          <w:sz w:val="48"/>
          <w:szCs w:val="20"/>
          <w:lang w:val="en-US"/>
        </w:rPr>
        <w:lastRenderedPageBreak/>
        <mc:AlternateContent>
          <mc:Choice Requires="wps">
            <w:drawing>
              <wp:anchor distT="0" distB="0" distL="114300" distR="114300" simplePos="0" relativeHeight="251666432" behindDoc="0" locked="0" layoutInCell="1" allowOverlap="1" wp14:anchorId="6AFAF904" wp14:editId="29EAF73A">
                <wp:simplePos x="0" y="0"/>
                <wp:positionH relativeFrom="column">
                  <wp:posOffset>913130</wp:posOffset>
                </wp:positionH>
                <wp:positionV relativeFrom="paragraph">
                  <wp:posOffset>133350</wp:posOffset>
                </wp:positionV>
                <wp:extent cx="2820035" cy="1109980"/>
                <wp:effectExtent l="0" t="0" r="0" b="0"/>
                <wp:wrapNone/>
                <wp:docPr id="3" name="Rectangle 3"/>
                <wp:cNvGraphicFramePr/>
                <a:graphic xmlns:a="http://schemas.openxmlformats.org/drawingml/2006/main">
                  <a:graphicData uri="http://schemas.microsoft.com/office/word/2010/wordprocessingShape">
                    <wps:wsp>
                      <wps:cNvSpPr/>
                      <wps:spPr>
                        <a:xfrm>
                          <a:off x="0" y="0"/>
                          <a:ext cx="2820035"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4CD1553" w14:textId="5F830B5A" w:rsidR="00B258B7" w:rsidRPr="00F95D8D" w:rsidRDefault="00B258B7" w:rsidP="00B258B7">
                            <w:pPr>
                              <w:spacing w:after="0" w:line="276" w:lineRule="auto"/>
                              <w:jc w:val="center"/>
                              <w:rPr>
                                <w:rFonts w:ascii="Book Antiqua" w:hAnsi="Book Antiqua"/>
                                <w:b/>
                                <w:bCs/>
                                <w:sz w:val="36"/>
                                <w:szCs w:val="40"/>
                                <w:lang w:val="en"/>
                              </w:rPr>
                            </w:pPr>
                            <w:r w:rsidRPr="00F95D8D">
                              <w:rPr>
                                <w:rFonts w:ascii="Book Antiqua" w:hAnsi="Book Antiqua"/>
                                <w:b/>
                                <w:bCs/>
                                <w:sz w:val="36"/>
                                <w:szCs w:val="40"/>
                                <w:lang w:val="en"/>
                              </w:rPr>
                              <w:t xml:space="preserve">PENDAHULUAN </w:t>
                            </w:r>
                            <w:r w:rsidR="00F95D8D">
                              <w:rPr>
                                <w:rFonts w:ascii="Book Antiqua" w:hAnsi="Book Antiqua"/>
                                <w:b/>
                                <w:bCs/>
                                <w:sz w:val="36"/>
                                <w:szCs w:val="40"/>
                                <w:lang w:val="en"/>
                              </w:rPr>
                              <w:br/>
                            </w:r>
                            <w:r w:rsidRPr="00F95D8D">
                              <w:rPr>
                                <w:rFonts w:ascii="Book Antiqua" w:hAnsi="Book Antiqua"/>
                                <w:b/>
                                <w:bCs/>
                                <w:sz w:val="36"/>
                                <w:szCs w:val="40"/>
                                <w:lang w:val="en"/>
                              </w:rPr>
                              <w:t>DAN URGENSI TERAPI KANKER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6AFAF904" id="Rectangle 3" o:spid="_x0000_s1026" style="position:absolute;left:0;text-align:left;margin-left:71.9pt;margin-top:10.5pt;width:222.05pt;height:87.4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6ZxYwIAAAcFAAAOAAAAZHJzL2Uyb0RvYy54bWysVE1v2zAMvQ/YfxB0Xx0nbdcGcYqgRYcB&#10;xRq0G3ZWZCkxJokapcTJfv0o2XHbLadhF1sUH78eSc1u9tawncLQgKt4eTbiTDkJdePWFf/29f7D&#10;FWchClcLA05V/KACv5m/fzdr/VSNYQOmVsjIiQvT1ld8E6OfFkWQG2VFOAOvHCk1oBWRRFwXNYqW&#10;vFtTjEejy6IFrD2CVCHQ7V2n5PPsX2sl46PWQUVmKk65xfzF/F2lbzGfiekahd80sk9D/EMWVjSO&#10;gg6u7kQUbIvNX65sIxEC6HgmwRagdSNVroGqKUd/VPO8EV7lWoic4Aeawv9zK7/slsiauuITzpyw&#10;1KInIk24tVFskuhpfZgS6tkvsZcCHVOte402/akKts+UHgZK1T4ySZfjK+rS5IIzSbqyHF1fX2XS&#10;ixdzjyF+UmBZOlQcKXymUuweQqSQBD1CUjQH940xuW/GvbkgYLopUsZdjvkUD0YlnHFPSlOpKasc&#10;IA+ZujXIdoLGQ0ipXLxMNWdPhE5mmqINhuUpQxPL3qjHJjOVh28wHJ0yfBtxsMhRwcXB2DYO8JSD&#10;+scQucMfq+9qTuXH/Wrf920F9YGajdBtQfDyviHKH0SIS4E09rQgtMrxkT7aQFtx6E+cbQB/nbpP&#10;eJpG0nLW0hpVPPzcClScmc+O5vS6PD9Pe5eF84uPYxLwtWb1WuO29haoFSU9Gl7mY8JHczxqBPud&#10;Nn6RopJKOEmxKy4jHoXb2K03vRlSLRYZRrvmRXxwz14m54lgB4ttBN3kCUtEdez0BNK25SnoX4a0&#10;zq/ljHp5v+a/AQAA//8DAFBLAwQUAAYACAAAACEAwoO72t4AAAAKAQAADwAAAGRycy9kb3ducmV2&#10;LnhtbEyPzU7DMBCE70i8g7VI3KjTQiENcSpAQgj1gCjt3bG3SUS8jmLnp2/PcoLjaEYz3+Tb2bVi&#10;xD40nhQsFwkIJONtQ5WCw9frTQoiRE1Wt55QwRkDbIvLi1xn1k/0ieM+VoJLKGRaQR1jl0kZTI1O&#10;h4XvkNg7+d7pyLKvpO31xOWulaskuZdON8QLte7wpUbzvR+cgqM/PU/OlPQ+nj+a4W3XG5PulLq+&#10;mp8eQUSc418YfvEZHQpmKv1ANoiW9d0to0cFqyV/4sA6fdiAKNnZrFOQRS7/Xyh+AAAA//8DAFBL&#10;AQItABQABgAIAAAAIQC2gziS/gAAAOEBAAATAAAAAAAAAAAAAAAAAAAAAABbQ29udGVudF9UeXBl&#10;c10ueG1sUEsBAi0AFAAGAAgAAAAhADj9If/WAAAAlAEAAAsAAAAAAAAAAAAAAAAALwEAAF9yZWxz&#10;Ly5yZWxzUEsBAi0AFAAGAAgAAAAhAPb3pnFjAgAABwUAAA4AAAAAAAAAAAAAAAAALgIAAGRycy9l&#10;Mm9Eb2MueG1sUEsBAi0AFAAGAAgAAAAhAMKDu9reAAAACgEAAA8AAAAAAAAAAAAAAAAAvQQAAGRy&#10;cy9kb3ducmV2LnhtbFBLBQYAAAAABAAEAPMAAADIBQAAAAA=&#10;" filled="f" stroked="f" strokeweight="1pt">
                <v:textbox>
                  <w:txbxContent>
                    <w:p w14:paraId="04CD1553" w14:textId="5F830B5A" w:rsidR="00B258B7" w:rsidRPr="00F95D8D" w:rsidRDefault="00B258B7" w:rsidP="00B258B7">
                      <w:pPr>
                        <w:spacing w:after="0" w:line="276" w:lineRule="auto"/>
                        <w:jc w:val="center"/>
                        <w:rPr>
                          <w:rFonts w:ascii="Book Antiqua" w:hAnsi="Book Antiqua"/>
                          <w:b/>
                          <w:bCs/>
                          <w:sz w:val="36"/>
                          <w:szCs w:val="40"/>
                          <w:lang w:val="en"/>
                        </w:rPr>
                      </w:pPr>
                      <w:r w:rsidRPr="00F95D8D">
                        <w:rPr>
                          <w:rFonts w:ascii="Book Antiqua" w:hAnsi="Book Antiqua"/>
                          <w:b/>
                          <w:bCs/>
                          <w:sz w:val="36"/>
                          <w:szCs w:val="40"/>
                          <w:lang w:val="en"/>
                        </w:rPr>
                        <w:t xml:space="preserve">PENDAHULUAN </w:t>
                      </w:r>
                      <w:r w:rsidR="00F95D8D">
                        <w:rPr>
                          <w:rFonts w:ascii="Book Antiqua" w:hAnsi="Book Antiqua"/>
                          <w:b/>
                          <w:bCs/>
                          <w:sz w:val="36"/>
                          <w:szCs w:val="40"/>
                          <w:lang w:val="en"/>
                        </w:rPr>
                        <w:br/>
                      </w:r>
                      <w:r w:rsidRPr="00F95D8D">
                        <w:rPr>
                          <w:rFonts w:ascii="Book Antiqua" w:hAnsi="Book Antiqua"/>
                          <w:b/>
                          <w:bCs/>
                          <w:sz w:val="36"/>
                          <w:szCs w:val="40"/>
                          <w:lang w:val="en"/>
                        </w:rPr>
                        <w:t>DAN URGENSI TERAPI KANKER</w:t>
                      </w:r>
                    </w:p>
                  </w:txbxContent>
                </v:textbox>
              </v:rect>
            </w:pict>
          </mc:Fallback>
        </mc:AlternateContent>
      </w:r>
      <w:r w:rsidR="00B40E71" w:rsidRPr="006810DB">
        <w:rPr>
          <w:b/>
          <w:noProof/>
          <w:sz w:val="48"/>
          <w:szCs w:val="20"/>
          <w:lang w:val="en-US"/>
        </w:rPr>
        <mc:AlternateContent>
          <mc:Choice Requires="wps">
            <w:drawing>
              <wp:anchor distT="0" distB="0" distL="114300" distR="114300" simplePos="0" relativeHeight="251659264" behindDoc="0" locked="0" layoutInCell="1" allowOverlap="1" wp14:anchorId="0284223B" wp14:editId="06E0F51E">
                <wp:simplePos x="0" y="0"/>
                <wp:positionH relativeFrom="column">
                  <wp:posOffset>884555</wp:posOffset>
                </wp:positionH>
                <wp:positionV relativeFrom="paragraph">
                  <wp:posOffset>76835</wp:posOffset>
                </wp:positionV>
                <wp:extent cx="0" cy="1224000"/>
                <wp:effectExtent l="19050" t="0" r="38100" b="52705"/>
                <wp:wrapNone/>
                <wp:docPr id="1" name="Straight Connector 1"/>
                <wp:cNvGraphicFramePr/>
                <a:graphic xmlns:a="http://schemas.openxmlformats.org/drawingml/2006/main">
                  <a:graphicData uri="http://schemas.microsoft.com/office/word/2010/wordprocessingShape">
                    <wps:wsp>
                      <wps:cNvCnPr/>
                      <wps:spPr>
                        <a:xfrm>
                          <a:off x="0" y="0"/>
                          <a:ext cx="0" cy="1224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A915A85"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mR1wEAAA0EAAAOAAAAZHJzL2Uyb0RvYy54bWysU8GO0zAQvSPxD5bvNEnFAoqa7qGr5YKg&#10;YtkP8Dp2Y8n2WGPTpH/P2GnTFSAkVntx4vG853lvxpvbyVl2VBgN+I43q5oz5SX0xh86/vjj/t0n&#10;zmISvhcWvOr4SUV+u337ZjOGVq1hANsrZETiYzuGjg8phbaqohyUE3EFQXk61IBOJNrioepRjMTu&#10;bLWu6w/VCNgHBKlipOjdfMi3hV9rJdM3raNKzHacaktlxbI+5bXabkR7QBEGI89liBdU4YTxdOlC&#10;dSeSYD/R/EHljESIoNNKgqtAayNV0UBqmvo3NQ+DCKpoIXNiWGyKr0crvx73yExPvePMC0ctekgo&#10;zGFIbAfek4GArMk+jSG2lL7zezzvYthjFj1pdPlLcthUvD0t3qopMTkHJUWb9fp9XRffqyswYEyf&#10;FTiWfzpujc+yRSuOX2Kiyyj1kpLD1rOx4zcfm5u6pEWwpr831ubDMjpqZ5EdBTU9TaV4YniWRTvr&#10;iTZLmkWUv3Syaub/rjSZQmU38wV5HK+cQkrl04XXesrOME0VLMBzZf8CnvMzVJVR/R/wgig3g08L&#10;2BkP+Leyr1boOf/iwKw7W/AE/am0t1hDM1e8P7+PPNTP9wV+fcXbXwAAAP//AwBQSwMEFAAGAAgA&#10;AAAhABv5W07cAAAACgEAAA8AAABkcnMvZG93bnJldi54bWxMj0FLxDAQhe+C/yGM4M1NtmvF1qbL&#10;IiziRXAVvKbN2AabSWmy3frvnfWit3kzj/e+qbaLH8SMU3SBNKxXCgRSG6yjTsP72/7mHkRMhqwZ&#10;AqGGb4ywrS8vKlPacKJXnA+pExxCsTQa+pTGUsrY9uhNXIURiW+fYfImsZw6aSdz4nA/yEypO+mN&#10;I27ozYiPPbZfh6PnkvyjfcLonu1+lzf5XLhGvTitr6+W3QOIhEv6M8MZn9GhZqYmHMlGMbDeFBu2&#10;8pCtQZwNv4tGQ6ZuC5B1Jf+/UP8AAAD//wMAUEsBAi0AFAAGAAgAAAAhALaDOJL+AAAA4QEAABMA&#10;AAAAAAAAAAAAAAAAAAAAAFtDb250ZW50X1R5cGVzXS54bWxQSwECLQAUAAYACAAAACEAOP0h/9YA&#10;AACUAQAACwAAAAAAAAAAAAAAAAAvAQAAX3JlbHMvLnJlbHNQSwECLQAUAAYACAAAACEA/5H5kdcB&#10;AAANBAAADgAAAAAAAAAAAAAAAAAuAgAAZHJzL2Uyb0RvYy54bWxQSwECLQAUAAYACAAAACEAG/lb&#10;TtwAAAAKAQAADwAAAAAAAAAAAAAAAAAxBAAAZHJzL2Rvd25yZXYueG1sUEsFBgAAAAAEAAQA8wAA&#10;ADoFAAAAAA==&#10;" strokecolor="black [3213]" strokeweight="4.5pt">
                <v:stroke joinstyle="miter"/>
              </v:line>
            </w:pict>
          </mc:Fallback>
        </mc:AlternateContent>
      </w:r>
      <w:r w:rsidR="00A973CA" w:rsidRPr="006810DB">
        <w:rPr>
          <w:b/>
          <w:sz w:val="48"/>
          <w:szCs w:val="20"/>
          <w:lang w:val="en-US"/>
        </w:rPr>
        <w:t>BAB</w:t>
      </w:r>
      <w:r w:rsidR="003A554A" w:rsidRPr="006810DB">
        <w:rPr>
          <w:b/>
          <w:sz w:val="48"/>
          <w:szCs w:val="20"/>
          <w:lang w:val="id-ID"/>
        </w:rPr>
        <w:br/>
      </w:r>
      <w:r w:rsidR="003A554A" w:rsidRPr="006810DB">
        <w:rPr>
          <w:b/>
          <w:sz w:val="144"/>
          <w:szCs w:val="20"/>
          <w:lang w:val="id-ID"/>
        </w:rPr>
        <w:t>1</w:t>
      </w:r>
      <w:bookmarkEnd w:id="10"/>
      <w:r w:rsidR="00033203" w:rsidRPr="006810DB">
        <w:rPr>
          <w:b/>
          <w:szCs w:val="20"/>
          <w:lang w:val="en-US"/>
        </w:rPr>
        <w:t xml:space="preserve"> </w:t>
      </w:r>
      <w:r w:rsidR="002C7542" w:rsidRPr="006810DB">
        <w:rPr>
          <w:b/>
          <w:szCs w:val="20"/>
          <w:lang w:val="en-US"/>
        </w:rPr>
        <w:tab/>
      </w:r>
      <w:bookmarkStart w:id="12" w:name="_heading=h.tvg3trre63a" w:colFirst="0" w:colLast="0"/>
      <w:bookmarkStart w:id="13" w:name="_heading=h.hrrx29npuzv" w:colFirst="0" w:colLast="0"/>
      <w:bookmarkStart w:id="14" w:name="_Toc188080080"/>
      <w:bookmarkStart w:id="15" w:name="_Toc186992797"/>
      <w:bookmarkEnd w:id="12"/>
      <w:bookmarkEnd w:id="13"/>
      <w:r w:rsidR="00B258B7" w:rsidRPr="006810DB">
        <w:rPr>
          <w:b/>
          <w:color w:val="FFFFFF" w:themeColor="background1"/>
          <w:sz w:val="14"/>
          <w:szCs w:val="14"/>
          <w:lang w:val="en-US"/>
        </w:rPr>
        <w:t>PENDAHULUAN DAN URGENSI TERAPI KANKER</w:t>
      </w:r>
      <w:bookmarkEnd w:id="11"/>
    </w:p>
    <w:p w14:paraId="156B2F71" w14:textId="1DD8AD1B" w:rsidR="00473C47" w:rsidRPr="006810DB" w:rsidRDefault="00473C47" w:rsidP="006810DB">
      <w:pPr>
        <w:spacing w:after="0" w:line="276" w:lineRule="auto"/>
        <w:jc w:val="both"/>
        <w:rPr>
          <w:rFonts w:ascii="Book Antiqua" w:hAnsi="Book Antiqua"/>
          <w:sz w:val="20"/>
          <w:szCs w:val="20"/>
          <w:lang w:val="en-ID"/>
        </w:rPr>
      </w:pPr>
    </w:p>
    <w:p w14:paraId="73747108" w14:textId="7B44BCED" w:rsidR="00B258B7" w:rsidRPr="006810DB" w:rsidRDefault="00B258B7" w:rsidP="006810DB">
      <w:pPr>
        <w:spacing w:after="0" w:line="276" w:lineRule="auto"/>
        <w:jc w:val="both"/>
        <w:rPr>
          <w:rFonts w:ascii="Book Antiqua" w:hAnsi="Book Antiqua"/>
          <w:sz w:val="20"/>
          <w:szCs w:val="20"/>
          <w:lang w:val="en"/>
        </w:rPr>
      </w:pPr>
      <w:bookmarkStart w:id="16" w:name="_j8g14zw1a26g" w:colFirst="0" w:colLast="0"/>
      <w:bookmarkEnd w:id="16"/>
    </w:p>
    <w:p w14:paraId="1710BDDF" w14:textId="3C2319BA" w:rsidR="002B0035" w:rsidRPr="006810DB" w:rsidRDefault="00004DEE" w:rsidP="000123E1">
      <w:pPr>
        <w:pStyle w:val="Heading2"/>
        <w:numPr>
          <w:ilvl w:val="0"/>
          <w:numId w:val="16"/>
        </w:numPr>
        <w:ind w:left="284" w:hanging="284"/>
      </w:pPr>
      <w:bookmarkStart w:id="17" w:name="_Toc223088860"/>
      <w:r w:rsidRPr="006810DB">
        <w:t>Pendahuluan</w:t>
      </w:r>
      <w:bookmarkEnd w:id="17"/>
    </w:p>
    <w:p w14:paraId="5A832DAA" w14:textId="77777777" w:rsidR="00B258B7" w:rsidRPr="006810DB" w:rsidRDefault="00B258B7" w:rsidP="00881A11">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Pernahkah kita mempertimbangkan paradoks terbesar dalam onkologi modern? Sebuah terapi yang dirancang untuk menyelamatkan nyawa justru menjadi sumber penderitaan signifikan bagi pasien. Kemoterapi, sebagai salah satu pilar utama penanganan kanker, bekerja dengan menghancurkan sel-sel yang membelah secara cepat, sebuah karakteristik utama dari sel ganas. Namun, mekanisme ini tidak cukup selektif untuk membedakan antara sel kanker dan sel normal tubuh yang juga memiliki laju proliferasi tinggi, seperti sel-sel di sumsum tulang, folikel rambut, dan yang paling relevan dengan buku ini, sel epitel mukosa mulut. Konsekuensinya adalah serangkaian efek samping yang tidak hanya menurunkan kualitas hidup pasien, tetapi juga berpotensi membatasi efektivitas terapi itu sendiri.</w:t>
      </w:r>
    </w:p>
    <w:p w14:paraId="757BA780" w14:textId="77777777" w:rsidR="00B258B7" w:rsidRPr="006810DB" w:rsidRDefault="00B258B7" w:rsidP="00881A11">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Buku referensi ini hadir untuk menelusuri salah satu efek samping yang paling umum dan menyakitkan dari kemoterapi, yaitu mukositis oral, melalui lensa terapi komplementer berbasis herbal. Fokus utama diarahkan pada cisplatin, agen kemoterapi berbasis platinum yang sangat efektif namun terkenal dengan profil toksisitasnya yang tinggi. Di sisi lain, </w:t>
      </w:r>
      <w:r w:rsidRPr="006810DB">
        <w:rPr>
          <w:rFonts w:ascii="Book Antiqua" w:hAnsi="Book Antiqua"/>
          <w:i/>
          <w:iCs/>
          <w:sz w:val="20"/>
          <w:szCs w:val="20"/>
          <w:lang w:val="en"/>
        </w:rPr>
        <w:t>Nigella sativa</w:t>
      </w:r>
      <w:r w:rsidRPr="006810DB">
        <w:rPr>
          <w:rFonts w:ascii="Book Antiqua" w:hAnsi="Book Antiqua"/>
          <w:sz w:val="20"/>
          <w:szCs w:val="20"/>
          <w:lang w:val="en"/>
        </w:rPr>
        <w:t>, atau yang lebih dikenal sebagai jintan hitam, telah lama digunakan dalam pengobatan tradisional dan kini menarik perhatian komunitas ilmiah karena potensi farmakologisnya yang kaya, terutama sebagai agen anti-inflamasi dan antioksidan.</w:t>
      </w:r>
    </w:p>
    <w:p w14:paraId="23D5C40D" w14:textId="7A10C4FF" w:rsidR="00B258B7" w:rsidRPr="006810DB" w:rsidRDefault="00B258B7" w:rsidP="00881A11">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lastRenderedPageBreak/>
        <w:t>Pembahasan akan dimulai dari pemahaman fundamental mengenai epidemiologi kanker secara global dan nasional, yang menggarisbawahi urgensi pengembangan terapi yang lebih baik. Pembaca akan diajak untuk memahami mekanisme kerja cisplatin, bagaimana ia membunuh sel kanker, dan pada saat yang sama, bagaimana ia memicu kerusakan pada jaringan sehat. Patofisiologi mukositis oral akan diuraikan secara mendetail, dari fase inisiasi molekuler hingga manifestasi klinis berupa ulserasi yang menyakitkan. Ini menjadi fondasi penting untuk memahami mengapa intervensi terapeutik sangat diperlukan.</w:t>
      </w:r>
    </w:p>
    <w:p w14:paraId="5ACEE596" w14:textId="77777777" w:rsidR="00B258B7" w:rsidRPr="006810DB" w:rsidRDefault="00B258B7" w:rsidP="00881A11">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Selanjutnya, buku ini akan mengalihkan fokus pada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sebagai kandidat solusi. Pembahasan tidak hanya berhenti pada klaim etnofarmakologis, tetapi akan masuk ke ranah ilmiah yang lebih dalam. Dimulai dari standardisasi ekstrak, sebuah langkah krusial untuk menjamin kualitas dan konsistensi produk herbal, hingga analisis mekanisme molekulernya. Jalur pensinyalan </w:t>
      </w:r>
      <w:r w:rsidRPr="006810DB">
        <w:rPr>
          <w:rFonts w:ascii="Book Antiqua" w:hAnsi="Book Antiqua"/>
          <w:i/>
          <w:iCs/>
          <w:sz w:val="20"/>
          <w:szCs w:val="20"/>
          <w:lang w:val="en"/>
        </w:rPr>
        <w:t>Nuclear Factor-kappa B</w:t>
      </w:r>
      <w:r w:rsidRPr="006810DB">
        <w:rPr>
          <w:rFonts w:ascii="Book Antiqua" w:hAnsi="Book Antiqua"/>
          <w:sz w:val="20"/>
          <w:szCs w:val="20"/>
          <w:lang w:val="en"/>
        </w:rPr>
        <w:t xml:space="preserve"> (NF-κB), yang merupakan regulator utama respon inflamasi, akan menjadi pusat perhatian sebagai target potensial dari senyawa aktif dalam </w:t>
      </w:r>
      <w:r w:rsidRPr="006810DB">
        <w:rPr>
          <w:rFonts w:ascii="Book Antiqua" w:hAnsi="Book Antiqua"/>
          <w:i/>
          <w:iCs/>
          <w:sz w:val="20"/>
          <w:szCs w:val="20"/>
          <w:lang w:val="en"/>
        </w:rPr>
        <w:t>Nigella sativa</w:t>
      </w:r>
      <w:r w:rsidRPr="006810DB">
        <w:rPr>
          <w:rFonts w:ascii="Book Antiqua" w:hAnsi="Book Antiqua"/>
          <w:sz w:val="20"/>
          <w:szCs w:val="20"/>
          <w:lang w:val="en"/>
        </w:rPr>
        <w:t>.</w:t>
      </w:r>
    </w:p>
    <w:p w14:paraId="4E4A948B" w14:textId="77777777" w:rsidR="00B258B7" w:rsidRPr="006810DB" w:rsidRDefault="00B258B7" w:rsidP="00881A11">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Buku ini dirancang sebagai jembatan yang menghubungkan ilmu farmakologi modern, biologi molekuler, dan potensi farmakognosi dari bahan alam Indonesia. Melalui penyajian data praklinis yang sistematis pada model hewan coba, pembaca dapat melihat bukti empiris mengenai efektivitas protektif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terhadap kerusakan mukosa akibat cisplatin. Analisis histopatologi dan ekspresi </w:t>
      </w:r>
      <w:r w:rsidRPr="006810DB">
        <w:rPr>
          <w:rFonts w:ascii="Book Antiqua" w:hAnsi="Book Antiqua"/>
          <w:i/>
          <w:iCs/>
          <w:sz w:val="20"/>
          <w:szCs w:val="20"/>
          <w:lang w:val="en"/>
        </w:rPr>
        <w:t>biomarker</w:t>
      </w:r>
      <w:r w:rsidRPr="006810DB">
        <w:rPr>
          <w:rFonts w:ascii="Book Antiqua" w:hAnsi="Book Antiqua"/>
          <w:sz w:val="20"/>
          <w:szCs w:val="20"/>
          <w:lang w:val="en"/>
        </w:rPr>
        <w:t xml:space="preserve"> molekuler akan disajikan untuk memberikan gambaran komprehensif tentang bagaimana ekstrak herbal ini bekerja di tingkat seluler dan jaringan.</w:t>
      </w:r>
    </w:p>
    <w:p w14:paraId="1E31654D" w14:textId="77777777" w:rsidR="00B258B7" w:rsidRPr="006810DB" w:rsidRDefault="00B258B7" w:rsidP="00881A11">
      <w:pPr>
        <w:spacing w:after="0" w:line="276" w:lineRule="auto"/>
        <w:ind w:left="284" w:firstLine="567"/>
        <w:jc w:val="both"/>
        <w:rPr>
          <w:rFonts w:ascii="Book Antiqua" w:hAnsi="Book Antiqua"/>
          <w:sz w:val="20"/>
          <w:szCs w:val="20"/>
          <w:lang w:val="en"/>
        </w:rPr>
      </w:pPr>
      <w:r w:rsidRPr="00056B27">
        <w:rPr>
          <w:rFonts w:ascii="Book Antiqua" w:hAnsi="Book Antiqua"/>
          <w:sz w:val="20"/>
          <w:szCs w:val="20"/>
          <w:highlight w:val="cyan"/>
          <w:lang w:val="en"/>
        </w:rPr>
        <w:t>Tujuan akhirnya adalah menyajikan sebuah sintesis pengetahuan yang otoritatif dan berbasis bukti.</w:t>
      </w:r>
      <w:r w:rsidRPr="006810DB">
        <w:rPr>
          <w:rFonts w:ascii="Book Antiqua" w:hAnsi="Book Antiqua"/>
          <w:sz w:val="20"/>
          <w:szCs w:val="20"/>
          <w:lang w:val="en"/>
        </w:rPr>
        <w:t xml:space="preserve"> Diharapkan buku ini tidak hanya bermanfaat bagi para peneliti di bidang onkologi, farmasi, dan biologi, tetapi juga bagi para klinisi yang setiap hari berhadapan dengan dilema manajemen efek samping </w:t>
      </w:r>
      <w:r w:rsidRPr="006810DB">
        <w:rPr>
          <w:rFonts w:ascii="Book Antiqua" w:hAnsi="Book Antiqua"/>
          <w:sz w:val="20"/>
          <w:szCs w:val="20"/>
          <w:lang w:val="en"/>
        </w:rPr>
        <w:lastRenderedPageBreak/>
        <w:t>kemoterapi. Lebih jauh lagi, buku ini diharapkan dapat menginspirasi pengembangan lebih lanjut dari terapi ajuvan berbasis herbal yang aman dan efektif, menuju era terapi kanker yang lebih holistik dan manusiawi.</w:t>
      </w:r>
    </w:p>
    <w:p w14:paraId="6807F56A" w14:textId="77777777" w:rsidR="00B258B7" w:rsidRPr="006810DB" w:rsidRDefault="00B258B7" w:rsidP="00881A11">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Dengan memadukan teori fundamental dan data penelitian terkini, buku ini berupaya memberikan kontribusi dalam diskursus ilmiah mengenai integrasi pengobatan herbal dalam protokol onkologi modern. Setiap bab dirancang untuk saling terkait, membangun pemahaman yang utuh dari masalah hingga solusi potensial, dari bangku laboratorium hingga harapan di sisi ranjang pasien.</w:t>
      </w:r>
    </w:p>
    <w:p w14:paraId="7867327A" w14:textId="77777777" w:rsidR="00B258B7" w:rsidRPr="006810DB" w:rsidRDefault="00B258B7" w:rsidP="006810DB">
      <w:pPr>
        <w:spacing w:after="0" w:line="276" w:lineRule="auto"/>
        <w:jc w:val="both"/>
        <w:rPr>
          <w:rFonts w:ascii="Book Antiqua" w:hAnsi="Book Antiqua"/>
          <w:b/>
          <w:bCs/>
          <w:sz w:val="20"/>
          <w:szCs w:val="20"/>
          <w:lang w:val="en"/>
        </w:rPr>
      </w:pPr>
      <w:bookmarkStart w:id="18" w:name="_cplavz35vkwg" w:colFirst="0" w:colLast="0"/>
      <w:bookmarkEnd w:id="18"/>
    </w:p>
    <w:p w14:paraId="145ED76D" w14:textId="67AAA10F" w:rsidR="00B258B7" w:rsidRPr="006810DB" w:rsidRDefault="00B258B7" w:rsidP="006810DB">
      <w:pPr>
        <w:pStyle w:val="Heading2"/>
        <w:numPr>
          <w:ilvl w:val="0"/>
          <w:numId w:val="16"/>
        </w:numPr>
        <w:ind w:left="284" w:hanging="284"/>
      </w:pPr>
      <w:bookmarkStart w:id="19" w:name="_Toc223088861"/>
      <w:r w:rsidRPr="006810DB">
        <w:t>Masalah Global Penyakit Kanker</w:t>
      </w:r>
      <w:bookmarkEnd w:id="19"/>
    </w:p>
    <w:p w14:paraId="157B2400"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Penyakit kanker merepresentasikan salah satu tantangan kesehatan masyarakat terbesar di abad ke-21. Beban penyakit ini tidak hanya diukur dari angka mortalitas, tetapi juga dari morbiditas, penurunan kualitas hidup, serta dampak sosial dan ekonomi yang ditimbulkannya (Sung et al., 2021). Transformasi gaya hidup, penuaan populasi, dan faktor lingkungan menjadi pendorong utama peningkatan insiden kanker di berbagai belahan dunia. Pemahaman mendalam mengenai skala masalah ini menjadi titik awal yang krusial untuk mengapresiasi urgensi pengembangan modalitas terapi yang lebih efektif dan lebih aman bagi pasien. Kompleksitas biologi kanker menuntut pendekatan multidisiplin yang terus berinovasi untuk menjawab tantangan yang ada.</w:t>
      </w:r>
    </w:p>
    <w:p w14:paraId="3020DEB4"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Bayangkan sebuah kota diserang oleh sekelompok perusuh yang menghancurkan infrastruktur secara acak (sel kanker). Pemerintah kota (sistem medis) mengerahkan pasukan khusus (kemoterapi) yang sangat kuat untuk melenyapkan para perusuh. Operasi ini berhasil melumpuhkan banyak perusuh, tetapi karena senjata yang digunakan bersifat area luas, pasukan ini juga merusak bangunan-bangunan penting, jaringan listrik, dan melukai warga sipil yang tidak bersalah (sel-sel sehat seperti mukosa mulut). Mukositis oral adalah salah satu "kerusakan kolateral" </w:t>
      </w:r>
      <w:r w:rsidRPr="006810DB">
        <w:rPr>
          <w:rFonts w:ascii="Book Antiqua" w:hAnsi="Book Antiqua"/>
          <w:sz w:val="20"/>
          <w:szCs w:val="20"/>
          <w:lang w:val="en"/>
        </w:rPr>
        <w:lastRenderedPageBreak/>
        <w:t xml:space="preserve">yang paling nyata dan menyakitkan dari operasi ini. Tugas ilmuwan adalah mengembangkan "pasukan" baru atau "perisai pelindung" untuk warga sipil, agar operasi penumpasan perusuh tetap efektif tanpa mengorbankan kesejahteraan seluruh kota.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dalam konteks ini dipelajari sebagai "perisai pelindung" bagi jaringan sehat.</w:t>
      </w:r>
    </w:p>
    <w:p w14:paraId="780C7CE6" w14:textId="4C4742AD" w:rsidR="00B258B7" w:rsidRPr="006810DB" w:rsidRDefault="00B258B7" w:rsidP="006810DB">
      <w:pPr>
        <w:pStyle w:val="ListParagraph"/>
        <w:numPr>
          <w:ilvl w:val="2"/>
          <w:numId w:val="36"/>
        </w:numPr>
        <w:spacing w:after="0" w:line="276" w:lineRule="auto"/>
        <w:ind w:left="567" w:hanging="283"/>
        <w:contextualSpacing w:val="0"/>
        <w:jc w:val="both"/>
        <w:rPr>
          <w:rFonts w:ascii="Book Antiqua" w:hAnsi="Book Antiqua"/>
          <w:b/>
          <w:bCs/>
          <w:sz w:val="20"/>
          <w:szCs w:val="20"/>
          <w:lang w:val="en"/>
        </w:rPr>
      </w:pPr>
      <w:bookmarkStart w:id="20" w:name="_udyjcegx71xk" w:colFirst="0" w:colLast="0"/>
      <w:bookmarkEnd w:id="20"/>
      <w:r w:rsidRPr="006810DB">
        <w:rPr>
          <w:rFonts w:ascii="Book Antiqua" w:hAnsi="Book Antiqua"/>
          <w:b/>
          <w:bCs/>
          <w:sz w:val="20"/>
          <w:szCs w:val="20"/>
          <w:lang w:val="en"/>
        </w:rPr>
        <w:t>Epidemiologi Kanker di Dunia dan Indonesia</w:t>
      </w:r>
    </w:p>
    <w:p w14:paraId="122077C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Secara global, data yang dirilis oleh Badan Internasional untuk Penelitian Kanker (IARC) menunjukkan tren yang mengkhawatirkan. Diperkirakan terdapat 19,3 juta kasus baru kanker dan hampir 10 juta kematian akibat kanker pada tahun 2020 (Sung et al., 2021). Angka-angka ini diproyeksikan akan terus meningkat seiring dengan pertumbuhan dan penuaan populasi global. Kanker payudara, paru-paru, kolorektal, prostat, dan lambung merupakan jenis kanker yang paling umum didiagnosis di seluruh dunia, meskipun distribusinya bervariasi antar wilayah geografis dan tingkat pembangunan ekonomi suatu negara.</w:t>
      </w:r>
    </w:p>
    <w:p w14:paraId="029F8FEB" w14:textId="3D233C6D"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Di Indonesia, data dari Registri Kanker Berbasis Populasi menunjukkan bahwa kanker menjadi salah satu penyebab utama kematian. Menurut data Globocan 2020, terdapat lebih dari 396.000 kasus baru kanker di Indonesia dengan angka kematian mencapai lebih dari 234.000 jiwa (Sung et al., 2021). Kanker payudara menempati urutan pertama dalam hal insiden, diikuti oleh kanker serviks, paru-paru, dan kolorektal. Tantangan penanganan kanker di Indonesia diperberat oleh diagnosis yang sering kali terlambat, akses yang belum merata terhadap fasilitas kesehatan, serta tingginya biaya pengobatan, yang menempatkan beban berat pada sistem jaminan kesehatan nasional dan keluarga pasien.</w:t>
      </w:r>
    </w:p>
    <w:p w14:paraId="3E60EB8F" w14:textId="19270EB5" w:rsidR="00B258B7" w:rsidRPr="006810DB" w:rsidRDefault="00B258B7" w:rsidP="006810DB">
      <w:pPr>
        <w:pStyle w:val="ListParagraph"/>
        <w:numPr>
          <w:ilvl w:val="2"/>
          <w:numId w:val="36"/>
        </w:numPr>
        <w:spacing w:after="0" w:line="276" w:lineRule="auto"/>
        <w:ind w:left="567" w:hanging="283"/>
        <w:contextualSpacing w:val="0"/>
        <w:jc w:val="both"/>
        <w:rPr>
          <w:rFonts w:ascii="Book Antiqua" w:hAnsi="Book Antiqua"/>
          <w:b/>
          <w:bCs/>
          <w:sz w:val="20"/>
          <w:szCs w:val="20"/>
          <w:lang w:val="en"/>
        </w:rPr>
      </w:pPr>
      <w:bookmarkStart w:id="21" w:name="_emci289hv2n" w:colFirst="0" w:colLast="0"/>
      <w:bookmarkEnd w:id="21"/>
      <w:r w:rsidRPr="006810DB">
        <w:rPr>
          <w:rFonts w:ascii="Book Antiqua" w:hAnsi="Book Antiqua"/>
          <w:b/>
          <w:bCs/>
          <w:sz w:val="20"/>
          <w:szCs w:val="20"/>
          <w:lang w:val="en"/>
        </w:rPr>
        <w:t>Perkembangan Modalitas Terapi Kanker Modern</w:t>
      </w:r>
    </w:p>
    <w:p w14:paraId="2739A7D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Lanskap terapi kanker telah mengalami evolusi yang luar biasa dalam beberapa dekade terakhir. Dari pendekatan klasik yang meliputi pembedahan, radioterapi, dan </w:t>
      </w:r>
      <w:r w:rsidRPr="006810DB">
        <w:rPr>
          <w:rFonts w:ascii="Book Antiqua" w:hAnsi="Book Antiqua"/>
          <w:sz w:val="20"/>
          <w:szCs w:val="20"/>
          <w:lang w:val="en"/>
        </w:rPr>
        <w:lastRenderedPageBreak/>
        <w:t>kemoterapi sitotoksik, kini telah berkembang modalitas-modalitas yang lebih canggih dan tertarget. Terapi target (</w:t>
      </w:r>
      <w:r w:rsidRPr="006810DB">
        <w:rPr>
          <w:rFonts w:ascii="Book Antiqua" w:hAnsi="Book Antiqua"/>
          <w:i/>
          <w:iCs/>
          <w:sz w:val="20"/>
          <w:szCs w:val="20"/>
          <w:lang w:val="en"/>
        </w:rPr>
        <w:t>targeted therapy</w:t>
      </w:r>
      <w:r w:rsidRPr="006810DB">
        <w:rPr>
          <w:rFonts w:ascii="Book Antiqua" w:hAnsi="Book Antiqua"/>
          <w:sz w:val="20"/>
          <w:szCs w:val="20"/>
          <w:lang w:val="en"/>
        </w:rPr>
        <w:t xml:space="preserve">), misalnya, dirancang untuk menyerang molekul spesifik yang terlibat dalam pertumbuhan dan penyebaran sel kanker, sehingga diharapkan memiliki efektivitas lebih tinggi dengan toksisitas lebih rendah terhadap sel normal (Du et al., 2021). Contohnya adalah penggunaan </w:t>
      </w:r>
      <w:r w:rsidRPr="006810DB">
        <w:rPr>
          <w:rFonts w:ascii="Book Antiqua" w:hAnsi="Book Antiqua"/>
          <w:i/>
          <w:iCs/>
          <w:sz w:val="20"/>
          <w:szCs w:val="20"/>
          <w:lang w:val="en"/>
        </w:rPr>
        <w:t>imatinib</w:t>
      </w:r>
      <w:r w:rsidRPr="006810DB">
        <w:rPr>
          <w:rFonts w:ascii="Book Antiqua" w:hAnsi="Book Antiqua"/>
          <w:sz w:val="20"/>
          <w:szCs w:val="20"/>
          <w:lang w:val="en"/>
        </w:rPr>
        <w:t xml:space="preserve"> untuk leukemia mieloid kronis yang menargetkan protein Bcr-Abl.</w:t>
      </w:r>
    </w:p>
    <w:p w14:paraId="69E8BA3F"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Perkembangan paling mutakhir adalah imunoterapi, yang bekerja dengan memodulasi sistem imun pasien untuk mengenali dan menghancurkan sel kanker. Penggunaan </w:t>
      </w:r>
      <w:r w:rsidRPr="006810DB">
        <w:rPr>
          <w:rFonts w:ascii="Book Antiqua" w:hAnsi="Book Antiqua"/>
          <w:i/>
          <w:iCs/>
          <w:sz w:val="20"/>
          <w:szCs w:val="20"/>
          <w:lang w:val="en"/>
        </w:rPr>
        <w:t>immune checkpoint inhibitors</w:t>
      </w:r>
      <w:r w:rsidRPr="006810DB">
        <w:rPr>
          <w:rFonts w:ascii="Book Antiqua" w:hAnsi="Book Antiqua"/>
          <w:sz w:val="20"/>
          <w:szCs w:val="20"/>
          <w:lang w:val="en"/>
        </w:rPr>
        <w:t xml:space="preserve"> seperti anti-PD-1 dan anti-CTLA-4 telah merevolusi pengobatan untuk beberapa jenis kanker, termasuk melanoma dan kanker paru-paru, dengan memberikan harapan remisi jangka panjang bagi sebagian pasien (Waldman et al., 2020). Meskipun demikian, modalitas-modalitas baru ini belum sepenuhnya menggantikan peran kemoterapi konvensional seperti cisplatin, yang masih menjadi tulang punggung pengobatan untuk banyak kanker solid karena efektivitasnya yang terbukti dan biaya yang relatif lebih rendah.</w:t>
      </w:r>
    </w:p>
    <w:p w14:paraId="203DE63E" w14:textId="3C44126F" w:rsidR="00B258B7" w:rsidRPr="006810DB" w:rsidRDefault="00B258B7" w:rsidP="006810DB">
      <w:pPr>
        <w:pStyle w:val="ListParagraph"/>
        <w:numPr>
          <w:ilvl w:val="2"/>
          <w:numId w:val="36"/>
        </w:numPr>
        <w:spacing w:after="0" w:line="276" w:lineRule="auto"/>
        <w:ind w:left="567" w:hanging="283"/>
        <w:contextualSpacing w:val="0"/>
        <w:jc w:val="both"/>
        <w:rPr>
          <w:rFonts w:ascii="Book Antiqua" w:hAnsi="Book Antiqua"/>
          <w:b/>
          <w:bCs/>
          <w:sz w:val="20"/>
          <w:szCs w:val="20"/>
          <w:lang w:val="en"/>
        </w:rPr>
      </w:pPr>
      <w:bookmarkStart w:id="22" w:name="_70c0w5uhqdpj" w:colFirst="0" w:colLast="0"/>
      <w:bookmarkEnd w:id="22"/>
      <w:r w:rsidRPr="006810DB">
        <w:rPr>
          <w:rFonts w:ascii="Book Antiqua" w:hAnsi="Book Antiqua"/>
          <w:b/>
          <w:bCs/>
          <w:sz w:val="20"/>
          <w:szCs w:val="20"/>
          <w:lang w:val="en"/>
        </w:rPr>
        <w:t>Tantangan dalam Keberhasilan Kemoterapi</w:t>
      </w:r>
    </w:p>
    <w:p w14:paraId="01B6ACD2"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Meskipun kemoterapi sitotoksik telah menjadi standar perawatan selama puluhan tahun, keberhasilannya masih dibatasi oleh beberapa tantangan fundamental. Tantangan pertama adalah resistensi obat, baik yang bersifat intrinsik (ada sejak awal) maupun yang didapat (berkembang selama pengobatan). Sel kanker dapat mengembangkan berbagai mekanisme untuk menghindari efek obat, seperti meningkatkan efluks obat keluar sel atau memperbaiki kerusakan DNA yang diinduksi oleh agen kemoterapi (Vasan et al., 2019). Fenomena ini sering kali menjadi penyebab utama kegagalan terapi dan kekambuhan penyakit.</w:t>
      </w:r>
    </w:p>
    <w:p w14:paraId="7E77550D" w14:textId="77777777" w:rsidR="00BB4C89" w:rsidRDefault="00BB4C89">
      <w:pPr>
        <w:rPr>
          <w:rFonts w:ascii="Book Antiqua" w:hAnsi="Book Antiqua"/>
          <w:sz w:val="20"/>
          <w:szCs w:val="20"/>
          <w:lang w:val="en"/>
        </w:rPr>
      </w:pPr>
      <w:r>
        <w:rPr>
          <w:rFonts w:ascii="Book Antiqua" w:hAnsi="Book Antiqua"/>
          <w:sz w:val="20"/>
          <w:szCs w:val="20"/>
          <w:lang w:val="en"/>
        </w:rPr>
        <w:br w:type="page"/>
      </w:r>
    </w:p>
    <w:p w14:paraId="5810B507" w14:textId="2AA7B27E"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lastRenderedPageBreak/>
        <w:t>Tantangan besar kedua, yang menjadi fokus utama buku ini, adalah toksisitas yang tidak spesifik. Karena agen kemoterapi menargetkan semua sel yang membelah dengan cepat, jaringan sehat seperti mukosa gastrointestinal, sumsum tulang, dan folikel rambut ikut terdampak. Efek samping yang timbul, seperti mukositis, mielosupresi, dan alopesia, tidak hanya menurunkan kualitas hidup pasien secara drastis, tetapi juga dapat menjadi faktor pembatas dosis (</w:t>
      </w:r>
      <w:r w:rsidRPr="006810DB">
        <w:rPr>
          <w:rFonts w:ascii="Book Antiqua" w:hAnsi="Book Antiqua"/>
          <w:i/>
          <w:iCs/>
          <w:sz w:val="20"/>
          <w:szCs w:val="20"/>
          <w:lang w:val="en"/>
        </w:rPr>
        <w:t>dose-limiting toxicity</w:t>
      </w:r>
      <w:r w:rsidRPr="006810DB">
        <w:rPr>
          <w:rFonts w:ascii="Book Antiqua" w:hAnsi="Book Antiqua"/>
          <w:sz w:val="20"/>
          <w:szCs w:val="20"/>
          <w:lang w:val="en"/>
        </w:rPr>
        <w:t>). Dalam banyak kasus, dosis kemoterapi terpaksa dikurangi atau jadwalnya ditunda karena efek samping yang parah, yang pada gilirannya dapat mengkompromikan hasil akhir pengobatan (Krzykwa et al., 2022).</w:t>
      </w:r>
    </w:p>
    <w:p w14:paraId="57A7F703" w14:textId="77777777" w:rsidR="00B627C0" w:rsidRPr="006810DB" w:rsidRDefault="00B627C0" w:rsidP="006810DB">
      <w:pPr>
        <w:spacing w:after="0" w:line="276" w:lineRule="auto"/>
        <w:jc w:val="both"/>
        <w:rPr>
          <w:rFonts w:ascii="Book Antiqua" w:hAnsi="Book Antiqua"/>
          <w:sz w:val="20"/>
          <w:szCs w:val="20"/>
          <w:lang w:val="en"/>
        </w:rPr>
      </w:pPr>
    </w:p>
    <w:p w14:paraId="13FDA4FD" w14:textId="28E55C20" w:rsidR="00B258B7" w:rsidRPr="006810DB" w:rsidRDefault="00B258B7" w:rsidP="006810DB">
      <w:pPr>
        <w:pStyle w:val="Heading2"/>
        <w:numPr>
          <w:ilvl w:val="0"/>
          <w:numId w:val="16"/>
        </w:numPr>
        <w:ind w:left="284" w:hanging="284"/>
        <w:rPr>
          <w:bCs/>
          <w:szCs w:val="20"/>
          <w:lang w:val="en"/>
        </w:rPr>
      </w:pPr>
      <w:bookmarkStart w:id="23" w:name="_pd8d6t9od6qo" w:colFirst="0" w:colLast="0"/>
      <w:bookmarkStart w:id="24" w:name="_Toc223088862"/>
      <w:bookmarkEnd w:id="23"/>
      <w:r w:rsidRPr="006810DB">
        <w:rPr>
          <w:bCs/>
          <w:szCs w:val="20"/>
          <w:lang w:val="en"/>
        </w:rPr>
        <w:t>Efek Samping Kemoterapi pada Kualitas Hidup</w:t>
      </w:r>
      <w:bookmarkEnd w:id="24"/>
    </w:p>
    <w:p w14:paraId="04AF476B"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Dampak pengobatan kanker tidak terbatas pada respons tumor terhadap terapi, tetapi juga mencakup pengalaman pasien secara keseluruhan. Kualitas hidup, sebuah konsep multidimensional yang mencakup kesejahteraan fisik, psikologis, sosial, dan spiritual, telah menjadi salah satu titik akhir (</w:t>
      </w:r>
      <w:r w:rsidRPr="006810DB">
        <w:rPr>
          <w:rFonts w:ascii="Book Antiqua" w:hAnsi="Book Antiqua"/>
          <w:i/>
          <w:iCs/>
          <w:sz w:val="20"/>
          <w:szCs w:val="20"/>
          <w:lang w:val="en"/>
        </w:rPr>
        <w:t>endpoint</w:t>
      </w:r>
      <w:r w:rsidRPr="006810DB">
        <w:rPr>
          <w:rFonts w:ascii="Book Antiqua" w:hAnsi="Book Antiqua"/>
          <w:sz w:val="20"/>
          <w:szCs w:val="20"/>
          <w:lang w:val="en"/>
        </w:rPr>
        <w:t>) penting dalam evaluasi keberhasilan terapi onkologi (Hofmarcher et al., 2020). Agen kemoterapi, meskipun efektif dalam membunuh sel kanker, sering kali meninggalkan jejak kerusakan pada tubuh yang secara langsung menggerus kualitas hidup pasien. Toksisitas sistemik yang ditimbulkannya memicu serangkaian gejala yang melemahkan, mulai dari mual dan kelelahan hingga kondisi yang lebih parah seperti nyeri neuropatik dan mukositis oral yang menyakitkan.</w:t>
      </w:r>
    </w:p>
    <w:p w14:paraId="53538E9D"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Seorang pasien yang menjalani kemoterapi dapat diibaratkan seperti seseorang yang harus melintasi padang gurun (periode pengobatan) untuk mencapai sebuah oasis (kesembuhan). Perjalanannya berat dan penuh tantangan. Mukositis oral adalah seperti luka bakar matahari yang parah di bibir dan mulut, membuat setiap tegukan air (makan dan minum) menjadi sangat menyakitkan. Nyeri dan kesulitan makan ini membuatnya dehidrasi dan kekurangan </w:t>
      </w:r>
      <w:r w:rsidRPr="006810DB">
        <w:rPr>
          <w:rFonts w:ascii="Book Antiqua" w:hAnsi="Book Antiqua"/>
          <w:sz w:val="20"/>
          <w:szCs w:val="20"/>
          <w:lang w:val="en"/>
        </w:rPr>
        <w:lastRenderedPageBreak/>
        <w:t>nutrisi, sehingga ia menjadi terlalu lemah untuk melanjutkan perjalanan. Manajemen efek samping yang baik berfungsi sebagai tabir surya, pelembap bibir, dan pasokan air yang cukup, yang memungkinkan sang musafir untuk bertahan melalui padang gurun dan mencapai tujuannya dengan kondisi fisik dan mental yang lebih baik.</w:t>
      </w:r>
    </w:p>
    <w:p w14:paraId="47930676" w14:textId="4880E61E" w:rsidR="00B258B7" w:rsidRPr="006810DB" w:rsidRDefault="00B258B7" w:rsidP="006810DB">
      <w:pPr>
        <w:pStyle w:val="ListParagraph"/>
        <w:numPr>
          <w:ilvl w:val="0"/>
          <w:numId w:val="37"/>
        </w:numPr>
        <w:spacing w:after="0" w:line="276" w:lineRule="auto"/>
        <w:ind w:left="567" w:hanging="283"/>
        <w:contextualSpacing w:val="0"/>
        <w:jc w:val="both"/>
        <w:rPr>
          <w:rFonts w:ascii="Book Antiqua" w:hAnsi="Book Antiqua"/>
          <w:b/>
          <w:bCs/>
          <w:sz w:val="20"/>
          <w:szCs w:val="20"/>
          <w:lang w:val="en"/>
        </w:rPr>
      </w:pPr>
      <w:bookmarkStart w:id="25" w:name="_rlukyty1y8qu" w:colFirst="0" w:colLast="0"/>
      <w:bookmarkEnd w:id="25"/>
      <w:r w:rsidRPr="006810DB">
        <w:rPr>
          <w:rFonts w:ascii="Book Antiqua" w:hAnsi="Book Antiqua"/>
          <w:b/>
          <w:bCs/>
          <w:sz w:val="20"/>
          <w:szCs w:val="20"/>
          <w:lang w:val="en"/>
        </w:rPr>
        <w:t>Toksisitas Sistemik Agen Kemoterapi</w:t>
      </w:r>
    </w:p>
    <w:p w14:paraId="6E6BA625"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Agen kemoterapi seperti cisplatin bersirkulasi ke seluruh tubuh melalui aliran darah dan tidak memiliki kemampuan untuk secara eksklusif menargetkan sel kanker. Akibatnya, berbagai sistem organ dapat mengalami kerusakan. Nefrotoksisitas (kerusakan ginjal) adalah salah satu efek samping cisplatin yang paling ditakuti dan sering kali membatasi dosis yang dapat diberikan (Dasari &amp; Tchounwou, 2014). Selain itu, neurotoksisitas dapat bermanifestasi sebagai neuropati perifer, yang ditandai dengan rasa kesemutan, mati rasa, atau nyeri pada tangan dan kaki, yang dapat bersifat permanen.</w:t>
      </w:r>
    </w:p>
    <w:p w14:paraId="32D1CC02"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Toksisitas hematologis, atau mielosupresi, juga merupakan efek samping yang umum terjadi. Penekanan pada sumsum tulang menyebabkan penurunan produksi sel darah merah (anemia), sel darah putih (neutropenia), dan trombosit (trombositopenia). Neutropenia secara khusus meningkatkan risiko infeksi yang serius dan mengancam jiwa, sementara anemia menyebabkan kelelahan ekstrem dan trombositopenia meningkatkan risiko perdarahan (Zitvogel et al., 2020). Efek-efek sistemik ini saling terkait dan menciptakan beban fisik yang berat bagi pasien.</w:t>
      </w:r>
    </w:p>
    <w:p w14:paraId="358C383A" w14:textId="6F9D1347" w:rsidR="00B258B7" w:rsidRPr="006810DB" w:rsidRDefault="00B258B7" w:rsidP="006810DB">
      <w:pPr>
        <w:pStyle w:val="ListParagraph"/>
        <w:numPr>
          <w:ilvl w:val="0"/>
          <w:numId w:val="37"/>
        </w:numPr>
        <w:spacing w:after="0" w:line="276" w:lineRule="auto"/>
        <w:ind w:left="567" w:hanging="283"/>
        <w:contextualSpacing w:val="0"/>
        <w:jc w:val="both"/>
        <w:rPr>
          <w:rFonts w:ascii="Book Antiqua" w:hAnsi="Book Antiqua"/>
          <w:b/>
          <w:bCs/>
          <w:sz w:val="20"/>
          <w:szCs w:val="20"/>
          <w:lang w:val="en"/>
        </w:rPr>
      </w:pPr>
      <w:bookmarkStart w:id="26" w:name="_rqeqndby8h3" w:colFirst="0" w:colLast="0"/>
      <w:bookmarkEnd w:id="26"/>
      <w:r w:rsidRPr="006810DB">
        <w:rPr>
          <w:rFonts w:ascii="Book Antiqua" w:hAnsi="Book Antiqua"/>
          <w:b/>
          <w:bCs/>
          <w:sz w:val="20"/>
          <w:szCs w:val="20"/>
          <w:lang w:val="en"/>
        </w:rPr>
        <w:t>Dampak Psikologis dan Ekonomi bagi Pasien</w:t>
      </w:r>
    </w:p>
    <w:p w14:paraId="5F55D83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Beban kemoterapi melampaui gejala fisik. Diagnosis kanker itu sendiri sudah merupakan pukulan psikologis yang berat, dan efek samping pengobatan dapat memperburuk kondisi mental pasien. Nyeri kronis, mual yang persisten, kelelahan, dan perubahan citra tubuh akibat rambut rontok dapat memicu kecemasan, depresi, dan perasaan putus asa (Fiszer &amp; Dol-Lenczewska, 2022). </w:t>
      </w:r>
      <w:r w:rsidRPr="006810DB">
        <w:rPr>
          <w:rFonts w:ascii="Book Antiqua" w:hAnsi="Book Antiqua"/>
          <w:sz w:val="20"/>
          <w:szCs w:val="20"/>
          <w:lang w:val="en"/>
        </w:rPr>
        <w:lastRenderedPageBreak/>
        <w:t>Ketidakmampuan untuk melakukan aktivitas sehari-hari, termasuk bekerja dan bersosialisasi, dapat menyebabkan isolasi sosial dan penurunan harga diri.</w:t>
      </w:r>
    </w:p>
    <w:p w14:paraId="7B53C8CF"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Dari perspektif ekonomi, biaya pengobatan kanker bisa sangat besar. Selain biaya langsung untuk obat kemoterapi dan perawatan di rumah sakit, ada biaya tidak langsung yang signifikan, seperti hilangnya pendapatan karena tidak dapat bekerja, biaya transportasi ke fasilitas kesehatan, dan biaya untuk pengobatan suportif guna mengatasi efek samping (Hofmarcher et al., 2020). Beban finansial ini tidak hanya menimpa pasien tetapi juga seluruh keluarga, sering kali menciptakan stres tambahan di atas tekanan emosional yang sudah ada.</w:t>
      </w:r>
    </w:p>
    <w:p w14:paraId="584B9473" w14:textId="5AE8EF39" w:rsidR="00B258B7" w:rsidRPr="006810DB" w:rsidRDefault="00B258B7" w:rsidP="006810DB">
      <w:pPr>
        <w:pStyle w:val="ListParagraph"/>
        <w:numPr>
          <w:ilvl w:val="0"/>
          <w:numId w:val="37"/>
        </w:numPr>
        <w:spacing w:after="0" w:line="276" w:lineRule="auto"/>
        <w:ind w:left="567" w:hanging="283"/>
        <w:contextualSpacing w:val="0"/>
        <w:jc w:val="both"/>
        <w:rPr>
          <w:rFonts w:ascii="Book Antiqua" w:hAnsi="Book Antiqua"/>
          <w:b/>
          <w:bCs/>
          <w:sz w:val="20"/>
          <w:szCs w:val="20"/>
          <w:lang w:val="en"/>
        </w:rPr>
      </w:pPr>
      <w:bookmarkStart w:id="27" w:name="_3mgegggittmx" w:colFirst="0" w:colLast="0"/>
      <w:bookmarkEnd w:id="27"/>
      <w:r w:rsidRPr="006810DB">
        <w:rPr>
          <w:rFonts w:ascii="Book Antiqua" w:hAnsi="Book Antiqua"/>
          <w:b/>
          <w:bCs/>
          <w:sz w:val="20"/>
          <w:szCs w:val="20"/>
          <w:lang w:val="en"/>
        </w:rPr>
        <w:t>Pentingnya Manajemen Efek Samping Mukositis</w:t>
      </w:r>
    </w:p>
    <w:p w14:paraId="668AE54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Di antara berbagai efek samping, mukositis oral menempati posisi unik karena dampaknya yang langsung dan parah terhadap fungsi dasar kehidupan, yaitu makan, minum, dan berbicara. Mukositis adalah peradangan dan ulserasi pada lapisan mukosa saluran pencernaan, yang paling sering bermanifestasi di rongga mulut (Lalla et al., 2020). Nyeri yang hebat akibat ulkus dapat menghalangi asupan nutrisi dan cairan secara oral, yang berisiko menyebabkan malnutrisi dan dehidrasi. Kondisi ini mungkin memerlukan intervensi medis seperti pemasangan selang makanan atau pemberian nutrisi intravena.</w:t>
      </w:r>
    </w:p>
    <w:p w14:paraId="798BBFE4" w14:textId="35D29922"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Manajemen mukositis yang efektif menjadi sangat penting tidak hanya untuk kenyamanan pasien tetapi juga untuk kelangsungan terapi kanker itu sendiri. Nyeri yang tidak terkontrol dan komplikasi seperti infeksi sekunder pada lesi ulseratif dapat menjadi alasan medis untuk menunda siklus kemoterapi berikutnya atau mengurangi dosis obat (Kadarullah et al., 2024). Penundaan atau pengurangan dosis ini berpotensi menurunkan efektivitas pengobatan secara keseluruhan. Oleh karena itu, pengembangan terapi suportif yang efektif untuk mencegah </w:t>
      </w:r>
      <w:r w:rsidRPr="006810DB">
        <w:rPr>
          <w:rFonts w:ascii="Book Antiqua" w:hAnsi="Book Antiqua"/>
          <w:sz w:val="20"/>
          <w:szCs w:val="20"/>
          <w:lang w:val="en"/>
        </w:rPr>
        <w:lastRenderedPageBreak/>
        <w:t>atau mengobati mukositis merupakan prioritas klinis yang mendesak.</w:t>
      </w:r>
    </w:p>
    <w:p w14:paraId="6B4987F0" w14:textId="77777777" w:rsidR="00B627C0" w:rsidRPr="006810DB" w:rsidRDefault="00B627C0" w:rsidP="006810DB">
      <w:pPr>
        <w:spacing w:after="0" w:line="276" w:lineRule="auto"/>
        <w:jc w:val="both"/>
        <w:rPr>
          <w:rFonts w:ascii="Book Antiqua" w:hAnsi="Book Antiqua"/>
          <w:sz w:val="20"/>
          <w:szCs w:val="20"/>
          <w:lang w:val="en"/>
        </w:rPr>
      </w:pPr>
    </w:p>
    <w:p w14:paraId="014D96E0" w14:textId="49024B95" w:rsidR="00B258B7" w:rsidRPr="006810DB" w:rsidRDefault="00B258B7" w:rsidP="006810DB">
      <w:pPr>
        <w:pStyle w:val="Heading2"/>
        <w:numPr>
          <w:ilvl w:val="0"/>
          <w:numId w:val="16"/>
        </w:numPr>
        <w:ind w:left="284" w:hanging="284"/>
        <w:rPr>
          <w:bCs/>
          <w:szCs w:val="20"/>
          <w:lang w:val="en"/>
        </w:rPr>
      </w:pPr>
      <w:bookmarkStart w:id="28" w:name="_hsqpy4k5xodu" w:colFirst="0" w:colLast="0"/>
      <w:bookmarkStart w:id="29" w:name="_Toc223088863"/>
      <w:bookmarkEnd w:id="28"/>
      <w:r w:rsidRPr="006810DB">
        <w:rPr>
          <w:bCs/>
          <w:szCs w:val="20"/>
          <w:lang w:val="en"/>
        </w:rPr>
        <w:t>Ruang Lingkup Buku Referensi</w:t>
      </w:r>
      <w:bookmarkEnd w:id="29"/>
    </w:p>
    <w:p w14:paraId="18A1CB65"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Penyusunan buku referensi ini didasarkan pada kebutuhan akan sebuah kajian komprehensif yang menjembatani penelitian fundamental dan aplikasi klinis potensial dari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dalam konteks onkologi suportif. Karya ini dirancang untuk menjadi sumber informasi yang otoritatif, sistematis, dan berbasis bukti. Ruang lingkupnya mencakup spektrum yang luas, mulai dari telaah masalah klinis yang mendasari, yaitu mukositis oral akibat kemoterapi, hingga eksplorasi mendalam terhadap solusi herbal yang diusulkan. Pembahasan akan bergerak secara logis dari pemahaman makro tentang kanker dan terapinya, menuju patofisiologi mikro dari efek samping, dan akhirnya ke farmakologi molekuler dari agen terapeutik potensial.</w:t>
      </w:r>
    </w:p>
    <w:p w14:paraId="1204A821"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Menyusun buku ini ibarat membangun sebuah jembatan gantung yang kokoh. Satu pilar utama adalah "Masalah Klinis" (efek samping kemoterapi), dan pilar di seberangnya adalah "Solusi Potensial" (</w:t>
      </w:r>
      <w:r w:rsidRPr="006810DB">
        <w:rPr>
          <w:rFonts w:ascii="Book Antiqua" w:hAnsi="Book Antiqua"/>
          <w:i/>
          <w:iCs/>
          <w:sz w:val="20"/>
          <w:szCs w:val="20"/>
          <w:lang w:val="en"/>
        </w:rPr>
        <w:t>Nigella sativa</w:t>
      </w:r>
      <w:r w:rsidRPr="006810DB">
        <w:rPr>
          <w:rFonts w:ascii="Book Antiqua" w:hAnsi="Book Antiqua"/>
          <w:sz w:val="20"/>
          <w:szCs w:val="20"/>
          <w:lang w:val="en"/>
        </w:rPr>
        <w:t>). Kabel-kabel baja yang menghubungkan kedua pilar tersebut adalah bab-bab yang menjelaskan "Mekanisme Molekuler", "Standardisasi Herbal", dan "Validasi Praklinis". Dek jembatan, tempat lalu lintas pengetahuan bergerak, adalah "Analisis Berbasis Bukti". Tanpa salah satu komponen ini, misalnya, jika standardisasi diabaikan (kabel putus) atau jika mekanisme tidak dipahami (pilar rapuh), jembatan tersebut tidak akan aman dan fungsional. Buku ini bertujuan membangun setiap komponen jembatan tersebut dengan standar tertinggi agar dapat menghubungkan dunia penelitian dasar dengan praktik klinis secara andal.</w:t>
      </w:r>
    </w:p>
    <w:p w14:paraId="57B2AF13" w14:textId="045C7CD7" w:rsidR="00B258B7" w:rsidRPr="006810DB" w:rsidRDefault="00B258B7" w:rsidP="006810DB">
      <w:pPr>
        <w:pStyle w:val="ListParagraph"/>
        <w:numPr>
          <w:ilvl w:val="0"/>
          <w:numId w:val="38"/>
        </w:numPr>
        <w:spacing w:after="0" w:line="276" w:lineRule="auto"/>
        <w:ind w:left="567" w:hanging="283"/>
        <w:contextualSpacing w:val="0"/>
        <w:jc w:val="both"/>
        <w:rPr>
          <w:rFonts w:ascii="Book Antiqua" w:hAnsi="Book Antiqua"/>
          <w:b/>
          <w:bCs/>
          <w:sz w:val="20"/>
          <w:szCs w:val="20"/>
          <w:lang w:val="en"/>
        </w:rPr>
      </w:pPr>
      <w:bookmarkStart w:id="30" w:name="_lzx0021gp11y" w:colFirst="0" w:colLast="0"/>
      <w:bookmarkEnd w:id="30"/>
      <w:r w:rsidRPr="006810DB">
        <w:rPr>
          <w:rFonts w:ascii="Book Antiqua" w:hAnsi="Book Antiqua"/>
          <w:b/>
          <w:bCs/>
          <w:sz w:val="20"/>
          <w:szCs w:val="20"/>
          <w:lang w:val="en"/>
        </w:rPr>
        <w:t>Tujuan Penulisan dan Target Pembaca</w:t>
      </w:r>
    </w:p>
    <w:p w14:paraId="7CF34D1E" w14:textId="7991B5B1"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Tujuan utama penulisan buku ini adalah untuk menyintesis pengetahuan terkini mengenai potensi terapeutik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dalam penanganan mukositis oral </w:t>
      </w:r>
      <w:r w:rsidRPr="006810DB">
        <w:rPr>
          <w:rFonts w:ascii="Book Antiqua" w:hAnsi="Book Antiqua"/>
          <w:sz w:val="20"/>
          <w:szCs w:val="20"/>
          <w:lang w:val="en"/>
        </w:rPr>
        <w:lastRenderedPageBreak/>
        <w:t xml:space="preserve">yang diinduksi oleh cisplatin. Buku ini bertujuan untuk </w:t>
      </w:r>
      <w:r w:rsidR="00F95D8D" w:rsidRPr="006810DB">
        <w:rPr>
          <w:rFonts w:ascii="Book Antiqua" w:hAnsi="Book Antiqua"/>
          <w:sz w:val="20"/>
          <w:szCs w:val="20"/>
          <w:lang w:val="en"/>
        </w:rPr>
        <w:br/>
      </w:r>
      <w:r w:rsidRPr="006810DB">
        <w:rPr>
          <w:rFonts w:ascii="Book Antiqua" w:hAnsi="Book Antiqua"/>
          <w:sz w:val="20"/>
          <w:szCs w:val="20"/>
          <w:lang w:val="en"/>
        </w:rPr>
        <w:t xml:space="preserve">(1) menyediakan tinjauan mendalam tentang patofisiologi mukositis, dengan fokus pada peran stres oksidatif dan inflamasi; (2) menguraikan pentingnya standardisasi fisikokimia sebagai landasan untuk penelitian herbal yang valid dan dapat direproduksi; (3) menganalisis mekanisme molekuler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terutama pada jalur NF-κB; dan </w:t>
      </w:r>
      <w:r w:rsidR="002B0035" w:rsidRPr="006810DB">
        <w:rPr>
          <w:rFonts w:ascii="Book Antiqua" w:hAnsi="Book Antiqua"/>
          <w:sz w:val="20"/>
          <w:szCs w:val="20"/>
          <w:lang w:val="en"/>
        </w:rPr>
        <w:br/>
      </w:r>
      <w:r w:rsidRPr="006810DB">
        <w:rPr>
          <w:rFonts w:ascii="Book Antiqua" w:hAnsi="Book Antiqua"/>
          <w:sz w:val="20"/>
          <w:szCs w:val="20"/>
          <w:lang w:val="en"/>
        </w:rPr>
        <w:t>(4) menyajikan data praklinis sebagai bukti konsep efektivitasnya.</w:t>
      </w:r>
    </w:p>
    <w:p w14:paraId="1CE27EE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Target pembaca utama buku ini adalah para akademisi, peneliti, dan mahasiswa pascasarjana di bidang farmasi, kedokteran, biologi molekuler, dan ilmu onkologi. Selain itu, buku ini juga relevan bagi para klinisi, seperti dokter onkologi dan apoteker, yang tertarik pada pendekatan integratif dalam manajemen pasien kanker. Industri farmasi yang berfokus pada pengembangan obat herbal juga akan menemukan informasi berharga mengenai metodologi standardisasi dan validasi praklinis dalam buku ini.</w:t>
      </w:r>
    </w:p>
    <w:p w14:paraId="382BE380" w14:textId="4BB0FF0A" w:rsidR="00B258B7" w:rsidRPr="006810DB" w:rsidRDefault="00B258B7" w:rsidP="006810DB">
      <w:pPr>
        <w:pStyle w:val="ListParagraph"/>
        <w:numPr>
          <w:ilvl w:val="0"/>
          <w:numId w:val="38"/>
        </w:numPr>
        <w:spacing w:after="0" w:line="276" w:lineRule="auto"/>
        <w:ind w:left="567" w:hanging="283"/>
        <w:contextualSpacing w:val="0"/>
        <w:jc w:val="both"/>
        <w:rPr>
          <w:rFonts w:ascii="Book Antiqua" w:hAnsi="Book Antiqua"/>
          <w:b/>
          <w:bCs/>
          <w:sz w:val="20"/>
          <w:szCs w:val="20"/>
          <w:lang w:val="en"/>
        </w:rPr>
      </w:pPr>
      <w:bookmarkStart w:id="31" w:name="_4ctwjpo7bvs" w:colFirst="0" w:colLast="0"/>
      <w:bookmarkEnd w:id="31"/>
      <w:r w:rsidRPr="006810DB">
        <w:rPr>
          <w:rFonts w:ascii="Book Antiqua" w:hAnsi="Book Antiqua"/>
          <w:b/>
          <w:bCs/>
          <w:sz w:val="20"/>
          <w:szCs w:val="20"/>
          <w:lang w:val="en"/>
        </w:rPr>
        <w:t xml:space="preserve">Keterkaitan </w:t>
      </w:r>
      <w:r w:rsidR="00F95D8D" w:rsidRPr="006810DB">
        <w:rPr>
          <w:rFonts w:ascii="Book Antiqua" w:hAnsi="Book Antiqua"/>
          <w:b/>
          <w:bCs/>
          <w:sz w:val="20"/>
          <w:szCs w:val="20"/>
          <w:lang w:val="en"/>
        </w:rPr>
        <w:t>ant</w:t>
      </w:r>
      <w:r w:rsidRPr="006810DB">
        <w:rPr>
          <w:rFonts w:ascii="Book Antiqua" w:hAnsi="Book Antiqua"/>
          <w:b/>
          <w:bCs/>
          <w:sz w:val="20"/>
          <w:szCs w:val="20"/>
          <w:lang w:val="en"/>
        </w:rPr>
        <w:t>ar Bab dalam Analisis Penyakit</w:t>
      </w:r>
    </w:p>
    <w:p w14:paraId="06C36F15"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Struktur buku ini dirancang secara sistematis untuk membangun pemahaman yang koheren dan komprehensif. Bab 1 hingga 4 meletakkan fondasi dengan mengidentifikasi masalah klinis: beban kanker, cara kerja cisplatin, patofisiologi mukositis, dan peran sentral radikal bebas. Bagian ini menjawab pertanyaan "Mengapa ini penting?". Selanjutnya, Bab 5 dan 6 membahas aspek metodologis dalam penelitian, yaitu pengembangan model hewan coba yang andal untuk mempelajari mukositis.</w:t>
      </w:r>
    </w:p>
    <w:p w14:paraId="12893A58"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Bab 7 hingga 10 mengalihkan fokus pada kandidat solusi,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Bagian ini mencakup karakterisasi botani, standardisasi ekstrak, dan pembuktian aktivitas antioksidannya secara </w:t>
      </w:r>
      <w:r w:rsidRPr="006810DB">
        <w:rPr>
          <w:rFonts w:ascii="Book Antiqua" w:hAnsi="Book Antiqua"/>
          <w:i/>
          <w:iCs/>
          <w:sz w:val="20"/>
          <w:szCs w:val="20"/>
          <w:lang w:val="en"/>
        </w:rPr>
        <w:t>in vitro</w:t>
      </w:r>
      <w:r w:rsidRPr="006810DB">
        <w:rPr>
          <w:rFonts w:ascii="Book Antiqua" w:hAnsi="Book Antiqua"/>
          <w:sz w:val="20"/>
          <w:szCs w:val="20"/>
          <w:lang w:val="en"/>
        </w:rPr>
        <w:t xml:space="preserve">. Bab 11 hingga 15 merupakan inti dari pembahasan mekanisme molekuler, di mana jalur inflamasi NF-κB dan TNF-α dianalisis secara mendalam sebagai target aksi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Bab 16 hingga 18 menyajikan data pembuktian dari model hewan, termasuk analisis </w:t>
      </w:r>
      <w:r w:rsidRPr="006810DB">
        <w:rPr>
          <w:rFonts w:ascii="Book Antiqua" w:hAnsi="Book Antiqua"/>
          <w:sz w:val="20"/>
          <w:szCs w:val="20"/>
          <w:lang w:val="en"/>
        </w:rPr>
        <w:lastRenderedPageBreak/>
        <w:t>histopatologis dan perbandingan dengan terapi standar. Terakhir, Bab 19 dan 20 merangkum tantangan, prospek masa depan, dan memberikan rekomendasi terintegrasi, menjawab pertanyaan "Apa selanjutnya?". Keterkaitan ini memastikan alur narasi yang logis dari masalah ke solusi.</w:t>
      </w:r>
    </w:p>
    <w:p w14:paraId="359000E9" w14:textId="374687F1" w:rsidR="00B258B7" w:rsidRPr="006810DB" w:rsidRDefault="00B258B7" w:rsidP="006810DB">
      <w:pPr>
        <w:pStyle w:val="ListParagraph"/>
        <w:numPr>
          <w:ilvl w:val="0"/>
          <w:numId w:val="38"/>
        </w:numPr>
        <w:spacing w:after="0" w:line="276" w:lineRule="auto"/>
        <w:ind w:left="567" w:hanging="283"/>
        <w:contextualSpacing w:val="0"/>
        <w:jc w:val="both"/>
        <w:rPr>
          <w:rFonts w:ascii="Book Antiqua" w:hAnsi="Book Antiqua"/>
          <w:b/>
          <w:bCs/>
          <w:sz w:val="20"/>
          <w:szCs w:val="20"/>
          <w:lang w:val="en"/>
        </w:rPr>
      </w:pPr>
      <w:bookmarkStart w:id="32" w:name="_op1reys2tzi7" w:colFirst="0" w:colLast="0"/>
      <w:bookmarkEnd w:id="32"/>
      <w:r w:rsidRPr="006810DB">
        <w:rPr>
          <w:rFonts w:ascii="Book Antiqua" w:hAnsi="Book Antiqua"/>
          <w:b/>
          <w:bCs/>
          <w:sz w:val="20"/>
          <w:szCs w:val="20"/>
          <w:lang w:val="en"/>
        </w:rPr>
        <w:t>Metodologi Penyusunan Referensi Berbasis Bukti</w:t>
      </w:r>
    </w:p>
    <w:p w14:paraId="707FB44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Buku ini disusun dengan berpegang teguh pada prinsip-prinsip kedokteran berbasis bukti (</w:t>
      </w:r>
      <w:r w:rsidRPr="006810DB">
        <w:rPr>
          <w:rFonts w:ascii="Book Antiqua" w:hAnsi="Book Antiqua"/>
          <w:i/>
          <w:iCs/>
          <w:sz w:val="20"/>
          <w:szCs w:val="20"/>
          <w:lang w:val="en"/>
        </w:rPr>
        <w:t>evidence-based medicine</w:t>
      </w:r>
      <w:r w:rsidRPr="006810DB">
        <w:rPr>
          <w:rFonts w:ascii="Book Antiqua" w:hAnsi="Book Antiqua"/>
          <w:sz w:val="20"/>
          <w:szCs w:val="20"/>
          <w:lang w:val="en"/>
        </w:rPr>
        <w:t>). Setiap klaim dan argumen didukung oleh rujukan dari literatur ilmiah yang kredibel dan telah melalui proses tinjauan sejawat (</w:t>
      </w:r>
      <w:r w:rsidRPr="006810DB">
        <w:rPr>
          <w:rFonts w:ascii="Book Antiqua" w:hAnsi="Book Antiqua"/>
          <w:i/>
          <w:iCs/>
          <w:sz w:val="20"/>
          <w:szCs w:val="20"/>
          <w:lang w:val="en"/>
        </w:rPr>
        <w:t>peer-review</w:t>
      </w:r>
      <w:r w:rsidRPr="006810DB">
        <w:rPr>
          <w:rFonts w:ascii="Book Antiqua" w:hAnsi="Book Antiqua"/>
          <w:sz w:val="20"/>
          <w:szCs w:val="20"/>
          <w:lang w:val="en"/>
        </w:rPr>
        <w:t>). Prioritas diberikan kepada sumber-sumber primer seperti artikel jurnal penelitian orisinal dan sumber-sumber sekunder berkualitas tinggi seperti artikel tinjauan sistematis (</w:t>
      </w:r>
      <w:r w:rsidRPr="006810DB">
        <w:rPr>
          <w:rFonts w:ascii="Book Antiqua" w:hAnsi="Book Antiqua"/>
          <w:i/>
          <w:iCs/>
          <w:sz w:val="20"/>
          <w:szCs w:val="20"/>
          <w:lang w:val="en"/>
        </w:rPr>
        <w:t>systematic reviews</w:t>
      </w:r>
      <w:r w:rsidRPr="006810DB">
        <w:rPr>
          <w:rFonts w:ascii="Book Antiqua" w:hAnsi="Book Antiqua"/>
          <w:sz w:val="20"/>
          <w:szCs w:val="20"/>
          <w:lang w:val="en"/>
        </w:rPr>
        <w:t>) dan meta-analisis. Sumber referensi diutamakan dari publikasi dalam 5-10 tahun terakhir untuk memastikan relevansi dan kemutakhiran informasi, kecuali untuk konsep-konsep fundamental yang merujuk pada karya klasik.</w:t>
      </w:r>
    </w:p>
    <w:p w14:paraId="6E34B6A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Proses penyusunan melibatkan sintesis kritis terhadap literatur yang ada, bukan sekadar kompilasi. Informasi dari berbagai sumber dibandingkan, dikontraskan, dan diintegrasikan untuk membentuk sebuah narasi analitis yang koheren (Plüddemann, 2018). </w:t>
      </w:r>
      <w:r w:rsidRPr="006810DB">
        <w:rPr>
          <w:rFonts w:ascii="Book Antiqua" w:hAnsi="Book Antiqua"/>
          <w:sz w:val="20"/>
          <w:szCs w:val="20"/>
          <w:highlight w:val="cyan"/>
          <w:lang w:val="en"/>
        </w:rPr>
        <w:t>Pendekatan ini bertujuan untuk memberikan pembaca sebuah pemahaman yang seimbang dan mendalam, menyoroti area di mana bukti sudah kuat, serta mengidentifikasi celah pengetahuan (</w:t>
      </w:r>
      <w:r w:rsidRPr="006810DB">
        <w:rPr>
          <w:rFonts w:ascii="Book Antiqua" w:hAnsi="Book Antiqua"/>
          <w:i/>
          <w:iCs/>
          <w:sz w:val="20"/>
          <w:szCs w:val="20"/>
          <w:highlight w:val="cyan"/>
          <w:lang w:val="en"/>
        </w:rPr>
        <w:t>research gaps</w:t>
      </w:r>
      <w:r w:rsidRPr="006810DB">
        <w:rPr>
          <w:rFonts w:ascii="Book Antiqua" w:hAnsi="Book Antiqua"/>
          <w:sz w:val="20"/>
          <w:szCs w:val="20"/>
          <w:highlight w:val="cyan"/>
          <w:lang w:val="en"/>
        </w:rPr>
        <w:t>) yang memerlukan penelitian lebih lanjut.</w:t>
      </w:r>
      <w:r w:rsidRPr="006810DB">
        <w:rPr>
          <w:rFonts w:ascii="Book Antiqua" w:hAnsi="Book Antiqua"/>
          <w:sz w:val="20"/>
          <w:szCs w:val="20"/>
          <w:lang w:val="en"/>
        </w:rPr>
        <w:t xml:space="preserve"> Dengan demikian, buku ini tidak hanya berfungsi sebagai ringkasan pengetahuan, tetapi juga sebagai peta jalan untuk riset di masa depan.</w:t>
      </w:r>
    </w:p>
    <w:p w14:paraId="731BB6AB" w14:textId="77777777" w:rsidR="00B627C0" w:rsidRPr="006810DB" w:rsidRDefault="00B627C0" w:rsidP="006810DB">
      <w:pPr>
        <w:spacing w:after="0" w:line="276" w:lineRule="auto"/>
        <w:jc w:val="both"/>
        <w:rPr>
          <w:rFonts w:ascii="Book Antiqua" w:hAnsi="Book Antiqua"/>
          <w:b/>
          <w:bCs/>
          <w:sz w:val="20"/>
          <w:szCs w:val="20"/>
          <w:lang w:val="en"/>
        </w:rPr>
      </w:pPr>
      <w:bookmarkStart w:id="33" w:name="_op2ig8ph3vnj" w:colFirst="0" w:colLast="0"/>
      <w:bookmarkEnd w:id="33"/>
    </w:p>
    <w:p w14:paraId="2EC86C51" w14:textId="77777777" w:rsidR="00D51341" w:rsidRPr="006810DB" w:rsidRDefault="00D51341"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775005FF" w14:textId="5A8EAE7A" w:rsidR="00B258B7" w:rsidRPr="006810DB" w:rsidRDefault="00B258B7" w:rsidP="006810DB">
      <w:pPr>
        <w:pStyle w:val="Heading2"/>
        <w:jc w:val="center"/>
      </w:pPr>
      <w:bookmarkStart w:id="34" w:name="_Toc223088864"/>
      <w:r w:rsidRPr="006810DB">
        <w:rPr>
          <w:highlight w:val="yellow"/>
        </w:rPr>
        <w:lastRenderedPageBreak/>
        <w:t>KESIMPULAN</w:t>
      </w:r>
      <w:bookmarkEnd w:id="34"/>
    </w:p>
    <w:p w14:paraId="51AB62CC" w14:textId="77777777" w:rsidR="00B627C0" w:rsidRPr="006810DB" w:rsidRDefault="00B627C0" w:rsidP="006810DB">
      <w:pPr>
        <w:spacing w:after="0" w:line="276" w:lineRule="auto"/>
        <w:jc w:val="both"/>
        <w:rPr>
          <w:rFonts w:ascii="Book Antiqua" w:hAnsi="Book Antiqua"/>
          <w:b/>
          <w:bCs/>
          <w:sz w:val="20"/>
          <w:szCs w:val="20"/>
          <w:lang w:val="en"/>
        </w:rPr>
      </w:pPr>
      <w:bookmarkStart w:id="35" w:name="_k90aglnljsvv" w:colFirst="0" w:colLast="0"/>
      <w:bookmarkEnd w:id="35"/>
    </w:p>
    <w:p w14:paraId="6DCC4EA7" w14:textId="77777777" w:rsidR="00D51341" w:rsidRPr="006810DB" w:rsidRDefault="00D51341"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4BFBFA93" w14:textId="77777777" w:rsidR="00824155" w:rsidRPr="006810DB" w:rsidRDefault="00824155" w:rsidP="00824155">
      <w:pPr>
        <w:pStyle w:val="Heading2"/>
        <w:jc w:val="center"/>
        <w:rPr>
          <w:rFonts w:eastAsia="DengXian"/>
          <w:lang w:eastAsia="zh-CN"/>
        </w:rPr>
      </w:pPr>
      <w:bookmarkStart w:id="36" w:name="_Toc223088865"/>
      <w:r w:rsidRPr="006810DB">
        <w:rPr>
          <w:highlight w:val="yellow"/>
        </w:rPr>
        <w:lastRenderedPageBreak/>
        <w:t>GLOSARIUM</w:t>
      </w:r>
      <w:bookmarkEnd w:id="36"/>
    </w:p>
    <w:p w14:paraId="1CC8B27F" w14:textId="77777777" w:rsidR="00824155" w:rsidRPr="006810DB" w:rsidRDefault="00824155" w:rsidP="00824155">
      <w:pPr>
        <w:spacing w:after="0" w:line="276" w:lineRule="auto"/>
        <w:jc w:val="both"/>
        <w:rPr>
          <w:rFonts w:ascii="Book Antiqua" w:hAnsi="Book Antiqua"/>
          <w:b/>
          <w:bCs/>
          <w:sz w:val="20"/>
          <w:szCs w:val="20"/>
          <w:lang w:val="en"/>
        </w:rPr>
      </w:pPr>
    </w:p>
    <w:p w14:paraId="5A74647D" w14:textId="77777777" w:rsidR="00824155" w:rsidRPr="006810DB" w:rsidRDefault="00824155" w:rsidP="00824155">
      <w:pPr>
        <w:spacing w:line="276" w:lineRule="auto"/>
        <w:rPr>
          <w:rFonts w:ascii="Book Antiqua" w:hAnsi="Book Antiqua"/>
          <w:b/>
          <w:bCs/>
          <w:sz w:val="20"/>
          <w:szCs w:val="20"/>
          <w:lang w:val="en"/>
        </w:rPr>
      </w:pPr>
      <w:bookmarkStart w:id="37" w:name="_7a1e8dnojbg2" w:colFirst="0" w:colLast="0"/>
      <w:bookmarkEnd w:id="37"/>
      <w:r w:rsidRPr="006810DB">
        <w:rPr>
          <w:rFonts w:ascii="Book Antiqua" w:hAnsi="Book Antiqua"/>
          <w:b/>
          <w:bCs/>
          <w:sz w:val="20"/>
          <w:szCs w:val="20"/>
          <w:lang w:val="en"/>
        </w:rPr>
        <w:br w:type="page"/>
      </w:r>
    </w:p>
    <w:p w14:paraId="1040568D" w14:textId="77777777" w:rsidR="00F95D8D" w:rsidRPr="006810DB" w:rsidRDefault="00F95D8D" w:rsidP="006810DB">
      <w:pPr>
        <w:pStyle w:val="Heading2"/>
        <w:jc w:val="center"/>
      </w:pPr>
      <w:bookmarkStart w:id="38" w:name="_Toc223088866"/>
      <w:r w:rsidRPr="006810DB">
        <w:lastRenderedPageBreak/>
        <w:t>DAFTAR PUSTAKA</w:t>
      </w:r>
      <w:bookmarkEnd w:id="38"/>
    </w:p>
    <w:p w14:paraId="0F4514E7" w14:textId="77777777" w:rsidR="00F95D8D" w:rsidRPr="006810DB" w:rsidRDefault="00F95D8D" w:rsidP="006810DB">
      <w:pPr>
        <w:spacing w:after="0" w:line="276" w:lineRule="auto"/>
        <w:jc w:val="both"/>
        <w:rPr>
          <w:rFonts w:ascii="Book Antiqua" w:hAnsi="Book Antiqua"/>
          <w:b/>
          <w:bCs/>
          <w:sz w:val="20"/>
          <w:szCs w:val="20"/>
          <w:lang w:val="en"/>
        </w:rPr>
      </w:pPr>
    </w:p>
    <w:p w14:paraId="683F9EE8"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Dasari, S., &amp; Tchounwou, P. B. (2014). Cisplatin in cancer therapy: molecular mechanisms of action. </w:t>
      </w:r>
      <w:r w:rsidRPr="006810DB">
        <w:rPr>
          <w:rFonts w:ascii="Book Antiqua" w:hAnsi="Book Antiqua"/>
          <w:i/>
          <w:iCs/>
          <w:color w:val="000000" w:themeColor="text1"/>
          <w:sz w:val="20"/>
          <w:szCs w:val="20"/>
          <w:lang w:val="en"/>
        </w:rPr>
        <w:t>European Journal of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740</w:t>
      </w:r>
      <w:r w:rsidRPr="006810DB">
        <w:rPr>
          <w:rFonts w:ascii="Book Antiqua" w:hAnsi="Book Antiqua"/>
          <w:color w:val="000000" w:themeColor="text1"/>
          <w:sz w:val="20"/>
          <w:szCs w:val="20"/>
          <w:lang w:val="en"/>
        </w:rPr>
        <w:t>, 364–378.</w:t>
      </w:r>
      <w:hyperlink r:id="rId11">
        <w:r w:rsidRPr="006810DB">
          <w:rPr>
            <w:rStyle w:val="Hyperlink"/>
            <w:rFonts w:ascii="Book Antiqua" w:hAnsi="Book Antiqua"/>
            <w:color w:val="000000" w:themeColor="text1"/>
            <w:sz w:val="20"/>
            <w:szCs w:val="20"/>
            <w:u w:val="none"/>
            <w:lang w:val="en"/>
          </w:rPr>
          <w:t xml:space="preserve"> </w:t>
        </w:r>
      </w:hyperlink>
      <w:hyperlink r:id="rId12">
        <w:r w:rsidRPr="006810DB">
          <w:rPr>
            <w:rStyle w:val="Hyperlink"/>
            <w:rFonts w:ascii="Book Antiqua" w:hAnsi="Book Antiqua"/>
            <w:color w:val="000000" w:themeColor="text1"/>
            <w:sz w:val="20"/>
            <w:szCs w:val="20"/>
            <w:u w:val="none"/>
            <w:lang w:val="en"/>
          </w:rPr>
          <w:t>https://doi.org/10.1016/j.ejphar.2014.07.025</w:t>
        </w:r>
      </w:hyperlink>
    </w:p>
    <w:p w14:paraId="6BC024F0"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Du, Z., Yang, C., &amp; Zhang, Y. (2021). Advances in targeted therapy for cancer. </w:t>
      </w:r>
      <w:r w:rsidRPr="006810DB">
        <w:rPr>
          <w:rFonts w:ascii="Book Antiqua" w:hAnsi="Book Antiqua"/>
          <w:i/>
          <w:iCs/>
          <w:color w:val="000000" w:themeColor="text1"/>
          <w:sz w:val="20"/>
          <w:szCs w:val="20"/>
          <w:lang w:val="en"/>
        </w:rPr>
        <w:t>Signal Transduction and Targeted Therapy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6</w:t>
      </w:r>
      <w:r w:rsidRPr="006810DB">
        <w:rPr>
          <w:rFonts w:ascii="Book Antiqua" w:hAnsi="Book Antiqua"/>
          <w:color w:val="000000" w:themeColor="text1"/>
          <w:sz w:val="20"/>
          <w:szCs w:val="20"/>
          <w:lang w:val="en"/>
        </w:rPr>
        <w:t>(1), 382.</w:t>
      </w:r>
      <w:hyperlink r:id="rId13">
        <w:r w:rsidRPr="006810DB">
          <w:rPr>
            <w:rStyle w:val="Hyperlink"/>
            <w:rFonts w:ascii="Book Antiqua" w:hAnsi="Book Antiqua"/>
            <w:color w:val="000000" w:themeColor="text1"/>
            <w:sz w:val="20"/>
            <w:szCs w:val="20"/>
            <w:u w:val="none"/>
            <w:lang w:val="en"/>
          </w:rPr>
          <w:t xml:space="preserve"> </w:t>
        </w:r>
      </w:hyperlink>
      <w:hyperlink r:id="rId14">
        <w:r w:rsidRPr="006810DB">
          <w:rPr>
            <w:rStyle w:val="Hyperlink"/>
            <w:rFonts w:ascii="Book Antiqua" w:hAnsi="Book Antiqua"/>
            <w:color w:val="000000" w:themeColor="text1"/>
            <w:sz w:val="20"/>
            <w:szCs w:val="20"/>
            <w:u w:val="none"/>
            <w:lang w:val="en"/>
          </w:rPr>
          <w:t>https://doi.org/10.1038/s41392-021-00783-3</w:t>
        </w:r>
      </w:hyperlink>
    </w:p>
    <w:p w14:paraId="4555F24A"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Fiszer, C., &amp; Dol-Lenczewska, A. (2022). The role of psychological factors in the development of anxiety and depression in patients with cancer. </w:t>
      </w:r>
      <w:r w:rsidRPr="006810DB">
        <w:rPr>
          <w:rFonts w:ascii="Book Antiqua" w:hAnsi="Book Antiqua"/>
          <w:i/>
          <w:iCs/>
          <w:color w:val="000000" w:themeColor="text1"/>
          <w:sz w:val="20"/>
          <w:szCs w:val="20"/>
          <w:lang w:val="en"/>
        </w:rPr>
        <w:t>Psychiatria Polska</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56</w:t>
      </w:r>
      <w:r w:rsidRPr="006810DB">
        <w:rPr>
          <w:rFonts w:ascii="Book Antiqua" w:hAnsi="Book Antiqua"/>
          <w:color w:val="000000" w:themeColor="text1"/>
          <w:sz w:val="20"/>
          <w:szCs w:val="20"/>
          <w:lang w:val="en"/>
        </w:rPr>
        <w:t>(1), 17-31.</w:t>
      </w:r>
      <w:hyperlink r:id="rId15">
        <w:r w:rsidRPr="006810DB">
          <w:rPr>
            <w:rStyle w:val="Hyperlink"/>
            <w:rFonts w:ascii="Book Antiqua" w:hAnsi="Book Antiqua"/>
            <w:color w:val="000000" w:themeColor="text1"/>
            <w:sz w:val="20"/>
            <w:szCs w:val="20"/>
            <w:u w:val="none"/>
            <w:lang w:val="en"/>
          </w:rPr>
          <w:t xml:space="preserve"> </w:t>
        </w:r>
      </w:hyperlink>
      <w:hyperlink r:id="rId16">
        <w:r w:rsidRPr="006810DB">
          <w:rPr>
            <w:rStyle w:val="Hyperlink"/>
            <w:rFonts w:ascii="Book Antiqua" w:hAnsi="Book Antiqua"/>
            <w:color w:val="000000" w:themeColor="text1"/>
            <w:sz w:val="20"/>
            <w:szCs w:val="20"/>
            <w:u w:val="none"/>
            <w:lang w:val="en"/>
          </w:rPr>
          <w:t>https://doi.org/10.12740/PP/129447</w:t>
        </w:r>
      </w:hyperlink>
    </w:p>
    <w:p w14:paraId="0D3CD854"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Hofmarcher, T., Lindgren, P., &amp; Wilking, N. (2020). The cost of cancer in Europe 2018. </w:t>
      </w:r>
      <w:r w:rsidRPr="006810DB">
        <w:rPr>
          <w:rFonts w:ascii="Book Antiqua" w:hAnsi="Book Antiqua"/>
          <w:i/>
          <w:iCs/>
          <w:color w:val="000000" w:themeColor="text1"/>
          <w:sz w:val="20"/>
          <w:szCs w:val="20"/>
          <w:lang w:val="en"/>
        </w:rPr>
        <w:t>European Journal of 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129</w:t>
      </w:r>
      <w:r w:rsidRPr="006810DB">
        <w:rPr>
          <w:rFonts w:ascii="Book Antiqua" w:hAnsi="Book Antiqua"/>
          <w:color w:val="000000" w:themeColor="text1"/>
          <w:sz w:val="20"/>
          <w:szCs w:val="20"/>
          <w:lang w:val="en"/>
        </w:rPr>
        <w:t>, 41-49.</w:t>
      </w:r>
      <w:hyperlink r:id="rId17">
        <w:r w:rsidRPr="006810DB">
          <w:rPr>
            <w:rStyle w:val="Hyperlink"/>
            <w:rFonts w:ascii="Book Antiqua" w:hAnsi="Book Antiqua"/>
            <w:color w:val="000000" w:themeColor="text1"/>
            <w:sz w:val="20"/>
            <w:szCs w:val="20"/>
            <w:u w:val="none"/>
            <w:lang w:val="en"/>
          </w:rPr>
          <w:t xml:space="preserve"> </w:t>
        </w:r>
      </w:hyperlink>
      <w:hyperlink r:id="rId18">
        <w:r w:rsidRPr="006810DB">
          <w:rPr>
            <w:rStyle w:val="Hyperlink"/>
            <w:rFonts w:ascii="Book Antiqua" w:hAnsi="Book Antiqua"/>
            <w:color w:val="000000" w:themeColor="text1"/>
            <w:sz w:val="20"/>
            <w:szCs w:val="20"/>
            <w:u w:val="none"/>
            <w:lang w:val="en"/>
          </w:rPr>
          <w:t>https://doi.org/10.1016/j.ejca.2020.01.011</w:t>
        </w:r>
      </w:hyperlink>
    </w:p>
    <w:p w14:paraId="7243C104"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Kadarullah, O., Tamtomo, D., Wasita, B., Setiamika, M., Prayitno, A., Widyaningsih, V., &amp; Soetrisno, S. (2024). Cisplatin-Induced Oral Mucositis Prevention: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’s Anti-Inflammatory Role through NFκB Pathway. </w:t>
      </w:r>
      <w:r w:rsidRPr="006810DB">
        <w:rPr>
          <w:rFonts w:ascii="Book Antiqua" w:hAnsi="Book Antiqua"/>
          <w:i/>
          <w:iCs/>
          <w:color w:val="000000" w:themeColor="text1"/>
          <w:sz w:val="20"/>
          <w:szCs w:val="20"/>
          <w:lang w:val="en"/>
        </w:rPr>
        <w:t>Trends in Sciences</w:t>
      </w:r>
      <w:r w:rsidRPr="006810DB">
        <w:rPr>
          <w:rFonts w:ascii="Book Antiqua" w:hAnsi="Book Antiqua"/>
          <w:color w:val="000000" w:themeColor="text1"/>
          <w:sz w:val="20"/>
          <w:szCs w:val="20"/>
          <w:lang w:val="en"/>
        </w:rPr>
        <w:t>, 21(1), 8105.</w:t>
      </w:r>
      <w:hyperlink r:id="rId19">
        <w:r w:rsidRPr="006810DB">
          <w:rPr>
            <w:rStyle w:val="Hyperlink"/>
            <w:rFonts w:ascii="Book Antiqua" w:hAnsi="Book Antiqua"/>
            <w:color w:val="000000" w:themeColor="text1"/>
            <w:sz w:val="20"/>
            <w:szCs w:val="20"/>
            <w:u w:val="none"/>
            <w:lang w:val="en"/>
          </w:rPr>
          <w:t xml:space="preserve"> </w:t>
        </w:r>
      </w:hyperlink>
      <w:hyperlink r:id="rId20">
        <w:r w:rsidRPr="006810DB">
          <w:rPr>
            <w:rStyle w:val="Hyperlink"/>
            <w:rFonts w:ascii="Book Antiqua" w:hAnsi="Book Antiqua"/>
            <w:color w:val="000000" w:themeColor="text1"/>
            <w:sz w:val="20"/>
            <w:szCs w:val="20"/>
            <w:u w:val="none"/>
            <w:lang w:val="en"/>
          </w:rPr>
          <w:t>https://doi.org/10.48048/tis.2024.8105</w:t>
        </w:r>
      </w:hyperlink>
    </w:p>
    <w:p w14:paraId="2C50A0A1"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Krzykwa, A., Mikołajczyk, T. P., &amp; Pękala, E. (2022). Cisplatin, A Common Anticancer Drug with Significant Side Effects. What Is the Role of the Pharmacist in a Patient-Centered Approach?. </w:t>
      </w:r>
      <w:r w:rsidRPr="006810DB">
        <w:rPr>
          <w:rFonts w:ascii="Book Antiqua" w:hAnsi="Book Antiqua"/>
          <w:i/>
          <w:iCs/>
          <w:color w:val="000000" w:themeColor="text1"/>
          <w:sz w:val="20"/>
          <w:szCs w:val="20"/>
          <w:lang w:val="en"/>
        </w:rPr>
        <w:t>Molecules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27</w:t>
      </w:r>
      <w:r w:rsidRPr="006810DB">
        <w:rPr>
          <w:rFonts w:ascii="Book Antiqua" w:hAnsi="Book Antiqua"/>
          <w:color w:val="000000" w:themeColor="text1"/>
          <w:sz w:val="20"/>
          <w:szCs w:val="20"/>
          <w:lang w:val="en"/>
        </w:rPr>
        <w:t>(19), 6239.</w:t>
      </w:r>
      <w:hyperlink r:id="rId21">
        <w:r w:rsidRPr="006810DB">
          <w:rPr>
            <w:rStyle w:val="Hyperlink"/>
            <w:rFonts w:ascii="Book Antiqua" w:hAnsi="Book Antiqua"/>
            <w:color w:val="000000" w:themeColor="text1"/>
            <w:sz w:val="20"/>
            <w:szCs w:val="20"/>
            <w:u w:val="none"/>
            <w:lang w:val="en"/>
          </w:rPr>
          <w:t xml:space="preserve"> </w:t>
        </w:r>
      </w:hyperlink>
      <w:hyperlink r:id="rId22">
        <w:r w:rsidRPr="006810DB">
          <w:rPr>
            <w:rStyle w:val="Hyperlink"/>
            <w:rFonts w:ascii="Book Antiqua" w:hAnsi="Book Antiqua"/>
            <w:color w:val="000000" w:themeColor="text1"/>
            <w:sz w:val="20"/>
            <w:szCs w:val="20"/>
            <w:u w:val="none"/>
            <w:lang w:val="en"/>
          </w:rPr>
          <w:t>https://doi.org/10.3390/molecules27196239</w:t>
        </w:r>
      </w:hyperlink>
    </w:p>
    <w:p w14:paraId="2C2F02CD"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Lalla, R. V., Bowen, J., Barasch, A., Elting, L., Epstein, J., Keefe, D. M., McGuire, D. B., Migliorati, C., Nicolatou-Galitis, O., Peterson, D. E., Raber-Durlacher, J. E., Sonis, S. T., &amp; Elad, S. (2020). MASCC/ISOO clinical practice guidelines for the management of mucositis secondary to cancer therapy. </w:t>
      </w:r>
      <w:r w:rsidRPr="006810DB">
        <w:rPr>
          <w:rFonts w:ascii="Book Antiqua" w:hAnsi="Book Antiqua"/>
          <w:i/>
          <w:iCs/>
          <w:color w:val="000000" w:themeColor="text1"/>
          <w:sz w:val="20"/>
          <w:szCs w:val="20"/>
          <w:lang w:val="en"/>
        </w:rPr>
        <w:t>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126</w:t>
      </w:r>
      <w:r w:rsidRPr="006810DB">
        <w:rPr>
          <w:rFonts w:ascii="Book Antiqua" w:hAnsi="Book Antiqua"/>
          <w:color w:val="000000" w:themeColor="text1"/>
          <w:sz w:val="20"/>
          <w:szCs w:val="20"/>
          <w:lang w:val="en"/>
        </w:rPr>
        <w:t>(19), 4425–4433.</w:t>
      </w:r>
      <w:hyperlink r:id="rId23">
        <w:r w:rsidRPr="006810DB">
          <w:rPr>
            <w:rStyle w:val="Hyperlink"/>
            <w:rFonts w:ascii="Book Antiqua" w:hAnsi="Book Antiqua"/>
            <w:color w:val="000000" w:themeColor="text1"/>
            <w:sz w:val="20"/>
            <w:szCs w:val="20"/>
            <w:u w:val="none"/>
            <w:lang w:val="en"/>
          </w:rPr>
          <w:t xml:space="preserve"> </w:t>
        </w:r>
      </w:hyperlink>
      <w:hyperlink r:id="rId24">
        <w:r w:rsidRPr="006810DB">
          <w:rPr>
            <w:rStyle w:val="Hyperlink"/>
            <w:rFonts w:ascii="Book Antiqua" w:hAnsi="Book Antiqua"/>
            <w:color w:val="000000" w:themeColor="text1"/>
            <w:sz w:val="20"/>
            <w:szCs w:val="20"/>
            <w:u w:val="none"/>
            <w:lang w:val="en"/>
          </w:rPr>
          <w:t>https://doi.org/10.1002/cncr.33103</w:t>
        </w:r>
      </w:hyperlink>
    </w:p>
    <w:p w14:paraId="228B42CC"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Plüddemann, A. (2018). Levels of evidence. </w:t>
      </w:r>
      <w:r w:rsidRPr="006810DB">
        <w:rPr>
          <w:rFonts w:ascii="Book Antiqua" w:hAnsi="Book Antiqua"/>
          <w:i/>
          <w:iCs/>
          <w:color w:val="000000" w:themeColor="text1"/>
          <w:sz w:val="20"/>
          <w:szCs w:val="20"/>
          <w:lang w:val="en"/>
        </w:rPr>
        <w:t>The Centre for Evidence-Based Medicine (CEBM)</w:t>
      </w:r>
      <w:r w:rsidRPr="006810DB">
        <w:rPr>
          <w:rFonts w:ascii="Book Antiqua" w:hAnsi="Book Antiqua"/>
          <w:color w:val="000000" w:themeColor="text1"/>
          <w:sz w:val="20"/>
          <w:szCs w:val="20"/>
          <w:lang w:val="en"/>
        </w:rPr>
        <w:t>.</w:t>
      </w:r>
    </w:p>
    <w:p w14:paraId="538E5B28"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Sung, H., Ferlay, J., Siegel, R. L., Laversanne, M., Soerjomataram, I., Jemal, A., &amp; Bray, F. (2021). Global Cancer Statistics 2020: GLOBOCAN Estimates of Incidence and Mortality Worldwide for 36 Cancers in 185 Countries. </w:t>
      </w:r>
      <w:r w:rsidRPr="006810DB">
        <w:rPr>
          <w:rFonts w:ascii="Book Antiqua" w:hAnsi="Book Antiqua"/>
          <w:i/>
          <w:iCs/>
          <w:color w:val="000000" w:themeColor="text1"/>
          <w:sz w:val="20"/>
          <w:szCs w:val="20"/>
          <w:lang w:val="en"/>
        </w:rPr>
        <w:t>CA: A Cancer Journal for Clinicians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71</w:t>
      </w:r>
      <w:r w:rsidRPr="006810DB">
        <w:rPr>
          <w:rFonts w:ascii="Book Antiqua" w:hAnsi="Book Antiqua"/>
          <w:color w:val="000000" w:themeColor="text1"/>
          <w:sz w:val="20"/>
          <w:szCs w:val="20"/>
          <w:lang w:val="en"/>
        </w:rPr>
        <w:t>(3), 209–249.</w:t>
      </w:r>
      <w:hyperlink r:id="rId25">
        <w:r w:rsidRPr="006810DB">
          <w:rPr>
            <w:rStyle w:val="Hyperlink"/>
            <w:rFonts w:ascii="Book Antiqua" w:hAnsi="Book Antiqua"/>
            <w:color w:val="000000" w:themeColor="text1"/>
            <w:sz w:val="20"/>
            <w:szCs w:val="20"/>
            <w:u w:val="none"/>
            <w:lang w:val="en"/>
          </w:rPr>
          <w:t xml:space="preserve"> </w:t>
        </w:r>
      </w:hyperlink>
      <w:hyperlink r:id="rId26">
        <w:r w:rsidRPr="006810DB">
          <w:rPr>
            <w:rStyle w:val="Hyperlink"/>
            <w:rFonts w:ascii="Book Antiqua" w:hAnsi="Book Antiqua"/>
            <w:color w:val="000000" w:themeColor="text1"/>
            <w:sz w:val="20"/>
            <w:szCs w:val="20"/>
            <w:u w:val="none"/>
            <w:lang w:val="en"/>
          </w:rPr>
          <w:t>https://doi.org/10.3322/caac.21660</w:t>
        </w:r>
      </w:hyperlink>
    </w:p>
    <w:p w14:paraId="174BFF93"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Vasan, N., Bassez, A., &amp; Razavi, P. (2019). A view on drug resistance in cancer. </w:t>
      </w:r>
      <w:r w:rsidRPr="006810DB">
        <w:rPr>
          <w:rFonts w:ascii="Book Antiqua" w:hAnsi="Book Antiqua"/>
          <w:i/>
          <w:iCs/>
          <w:color w:val="000000" w:themeColor="text1"/>
          <w:sz w:val="20"/>
          <w:szCs w:val="20"/>
          <w:lang w:val="en"/>
        </w:rPr>
        <w:t>Nature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575</w:t>
      </w:r>
      <w:r w:rsidRPr="006810DB">
        <w:rPr>
          <w:rFonts w:ascii="Book Antiqua" w:hAnsi="Book Antiqua"/>
          <w:color w:val="000000" w:themeColor="text1"/>
          <w:sz w:val="20"/>
          <w:szCs w:val="20"/>
          <w:lang w:val="en"/>
        </w:rPr>
        <w:t>(7782), 299-309.</w:t>
      </w:r>
      <w:hyperlink r:id="rId27">
        <w:r w:rsidRPr="006810DB">
          <w:rPr>
            <w:rStyle w:val="Hyperlink"/>
            <w:rFonts w:ascii="Book Antiqua" w:hAnsi="Book Antiqua"/>
            <w:color w:val="000000" w:themeColor="text1"/>
            <w:sz w:val="20"/>
            <w:szCs w:val="20"/>
            <w:u w:val="none"/>
            <w:lang w:val="en"/>
          </w:rPr>
          <w:t xml:space="preserve"> </w:t>
        </w:r>
      </w:hyperlink>
      <w:hyperlink r:id="rId28">
        <w:r w:rsidRPr="006810DB">
          <w:rPr>
            <w:rStyle w:val="Hyperlink"/>
            <w:rFonts w:ascii="Book Antiqua" w:hAnsi="Book Antiqua"/>
            <w:color w:val="000000" w:themeColor="text1"/>
            <w:sz w:val="20"/>
            <w:szCs w:val="20"/>
            <w:u w:val="none"/>
            <w:lang w:val="en"/>
          </w:rPr>
          <w:t>https://doi.org/10.1038/s41586-019-1730-1</w:t>
        </w:r>
      </w:hyperlink>
    </w:p>
    <w:p w14:paraId="59986F69"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Waldman, A. D., Fritz, J. M., &amp; Lenardo, M. J. (2020). A guide to cancer immunotherapy: from T cell basic science to clinical practice. </w:t>
      </w:r>
      <w:r w:rsidRPr="006810DB">
        <w:rPr>
          <w:rFonts w:ascii="Book Antiqua" w:hAnsi="Book Antiqua"/>
          <w:i/>
          <w:iCs/>
          <w:color w:val="000000" w:themeColor="text1"/>
          <w:sz w:val="20"/>
          <w:szCs w:val="20"/>
          <w:lang w:val="en"/>
        </w:rPr>
        <w:t>Nature Reviews Immunology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20</w:t>
      </w:r>
      <w:r w:rsidRPr="006810DB">
        <w:rPr>
          <w:rFonts w:ascii="Book Antiqua" w:hAnsi="Book Antiqua"/>
          <w:color w:val="000000" w:themeColor="text1"/>
          <w:sz w:val="20"/>
          <w:szCs w:val="20"/>
          <w:lang w:val="en"/>
        </w:rPr>
        <w:t>(11), 651–668.</w:t>
      </w:r>
      <w:hyperlink r:id="rId29">
        <w:r w:rsidRPr="006810DB">
          <w:rPr>
            <w:rStyle w:val="Hyperlink"/>
            <w:rFonts w:ascii="Book Antiqua" w:hAnsi="Book Antiqua"/>
            <w:color w:val="000000" w:themeColor="text1"/>
            <w:sz w:val="20"/>
            <w:szCs w:val="20"/>
            <w:u w:val="none"/>
            <w:lang w:val="en"/>
          </w:rPr>
          <w:t xml:space="preserve"> </w:t>
        </w:r>
      </w:hyperlink>
      <w:hyperlink r:id="rId30">
        <w:r w:rsidRPr="006810DB">
          <w:rPr>
            <w:rStyle w:val="Hyperlink"/>
            <w:rFonts w:ascii="Book Antiqua" w:hAnsi="Book Antiqua"/>
            <w:color w:val="000000" w:themeColor="text1"/>
            <w:sz w:val="20"/>
            <w:szCs w:val="20"/>
            <w:u w:val="none"/>
            <w:lang w:val="en"/>
          </w:rPr>
          <w:t>https://doi.org/10.1038/s41577-020-0306-5</w:t>
        </w:r>
      </w:hyperlink>
    </w:p>
    <w:p w14:paraId="47F6F426"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Zitvogel, L., Kroemer, G., &amp; Galluzzi, L. (2020). The multifaceted effects of chemotherapy on the tumor microenvironment. </w:t>
      </w:r>
      <w:r w:rsidRPr="006810DB">
        <w:rPr>
          <w:rFonts w:ascii="Book Antiqua" w:hAnsi="Book Antiqua"/>
          <w:i/>
          <w:iCs/>
          <w:color w:val="000000" w:themeColor="text1"/>
          <w:sz w:val="20"/>
          <w:szCs w:val="20"/>
          <w:lang w:val="en"/>
        </w:rPr>
        <w:t>Trends in Immunology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41</w:t>
      </w:r>
      <w:r w:rsidRPr="006810DB">
        <w:rPr>
          <w:rFonts w:ascii="Book Antiqua" w:hAnsi="Book Antiqua"/>
          <w:color w:val="000000" w:themeColor="text1"/>
          <w:sz w:val="20"/>
          <w:szCs w:val="20"/>
          <w:lang w:val="en"/>
        </w:rPr>
        <w:t>(9), 795–813.</w:t>
      </w:r>
      <w:hyperlink r:id="rId31">
        <w:r w:rsidRPr="006810DB">
          <w:rPr>
            <w:rStyle w:val="Hyperlink"/>
            <w:rFonts w:ascii="Book Antiqua" w:hAnsi="Book Antiqua"/>
            <w:color w:val="000000" w:themeColor="text1"/>
            <w:sz w:val="20"/>
            <w:szCs w:val="20"/>
            <w:u w:val="none"/>
            <w:lang w:val="en"/>
          </w:rPr>
          <w:t xml:space="preserve"> </w:t>
        </w:r>
      </w:hyperlink>
      <w:hyperlink r:id="rId32">
        <w:r w:rsidRPr="006810DB">
          <w:rPr>
            <w:rStyle w:val="Hyperlink"/>
            <w:rFonts w:ascii="Book Antiqua" w:hAnsi="Book Antiqua"/>
            <w:color w:val="000000" w:themeColor="text1"/>
            <w:sz w:val="20"/>
            <w:szCs w:val="20"/>
            <w:u w:val="none"/>
            <w:lang w:val="en"/>
          </w:rPr>
          <w:t>https://doi.org/10.1016/j.it.2020.07.001</w:t>
        </w:r>
      </w:hyperlink>
    </w:p>
    <w:p w14:paraId="680129F2" w14:textId="77777777" w:rsidR="00F95D8D" w:rsidRPr="006810DB" w:rsidRDefault="00F95D8D" w:rsidP="006810DB">
      <w:pPr>
        <w:spacing w:after="0" w:line="276" w:lineRule="auto"/>
        <w:jc w:val="both"/>
        <w:rPr>
          <w:rFonts w:ascii="Book Antiqua" w:hAnsi="Book Antiqua"/>
          <w:sz w:val="20"/>
          <w:szCs w:val="20"/>
          <w:lang w:val="en"/>
        </w:rPr>
      </w:pPr>
    </w:p>
    <w:p w14:paraId="0FB32872" w14:textId="77777777" w:rsidR="00F95D8D" w:rsidRPr="006810DB" w:rsidRDefault="00F95D8D" w:rsidP="006810DB">
      <w:pPr>
        <w:spacing w:line="276" w:lineRule="auto"/>
        <w:rPr>
          <w:rFonts w:ascii="Book Antiqua" w:hAnsi="Book Antiqua"/>
          <w:sz w:val="20"/>
          <w:szCs w:val="20"/>
          <w:lang w:val="en"/>
        </w:rPr>
      </w:pPr>
      <w:r w:rsidRPr="006810DB">
        <w:rPr>
          <w:rFonts w:ascii="Book Antiqua" w:hAnsi="Book Antiqua"/>
          <w:sz w:val="20"/>
          <w:szCs w:val="20"/>
          <w:lang w:val="en"/>
        </w:rPr>
        <w:br w:type="page"/>
      </w:r>
    </w:p>
    <w:p w14:paraId="6A8B748A" w14:textId="1BA1A0FF" w:rsidR="00B258B7" w:rsidRPr="006810DB" w:rsidRDefault="00B258B7" w:rsidP="006810DB">
      <w:pPr>
        <w:pStyle w:val="Heading1"/>
        <w:spacing w:before="0" w:line="276" w:lineRule="auto"/>
        <w:ind w:left="142" w:hanging="142"/>
        <w:rPr>
          <w:szCs w:val="20"/>
          <w:lang w:val="en-ID"/>
        </w:rPr>
      </w:pPr>
      <w:bookmarkStart w:id="39" w:name="_Toc223088867"/>
      <w:r w:rsidRPr="006810DB">
        <w:rPr>
          <w:b/>
          <w:noProof/>
          <w:sz w:val="48"/>
          <w:szCs w:val="20"/>
          <w:lang w:val="en-US"/>
        </w:rPr>
        <w:lastRenderedPageBreak/>
        <mc:AlternateContent>
          <mc:Choice Requires="wps">
            <w:drawing>
              <wp:anchor distT="0" distB="0" distL="114300" distR="114300" simplePos="0" relativeHeight="251669504" behindDoc="0" locked="0" layoutInCell="1" allowOverlap="1" wp14:anchorId="0302CFDE" wp14:editId="1DED232F">
                <wp:simplePos x="0" y="0"/>
                <wp:positionH relativeFrom="column">
                  <wp:posOffset>913130</wp:posOffset>
                </wp:positionH>
                <wp:positionV relativeFrom="paragraph">
                  <wp:posOffset>133350</wp:posOffset>
                </wp:positionV>
                <wp:extent cx="2820035" cy="1109980"/>
                <wp:effectExtent l="0" t="0" r="0" b="0"/>
                <wp:wrapNone/>
                <wp:docPr id="2" name="Rectangle 2"/>
                <wp:cNvGraphicFramePr/>
                <a:graphic xmlns:a="http://schemas.openxmlformats.org/drawingml/2006/main">
                  <a:graphicData uri="http://schemas.microsoft.com/office/word/2010/wordprocessingShape">
                    <wps:wsp>
                      <wps:cNvSpPr/>
                      <wps:spPr>
                        <a:xfrm>
                          <a:off x="0" y="0"/>
                          <a:ext cx="2820035"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BD48E2B" w14:textId="1CFD6895" w:rsidR="00B258B7" w:rsidRPr="00F95D8D" w:rsidRDefault="00B258B7" w:rsidP="00B258B7">
                            <w:pPr>
                              <w:spacing w:after="0" w:line="276" w:lineRule="auto"/>
                              <w:jc w:val="center"/>
                              <w:rPr>
                                <w:rFonts w:ascii="Book Antiqua" w:hAnsi="Book Antiqua"/>
                                <w:b/>
                                <w:bCs/>
                                <w:sz w:val="32"/>
                                <w:szCs w:val="36"/>
                                <w:lang w:val="en"/>
                              </w:rPr>
                            </w:pPr>
                            <w:r w:rsidRPr="00F95D8D">
                              <w:rPr>
                                <w:rFonts w:ascii="Book Antiqua" w:hAnsi="Book Antiqua"/>
                                <w:b/>
                                <w:bCs/>
                                <w:sz w:val="32"/>
                                <w:szCs w:val="36"/>
                                <w:lang w:val="en"/>
                              </w:rPr>
                              <w:t>FARMAKOLOGI CISPLATIN DAN MEKANISME KERJANYA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0302CFDE" id="Rectangle 2" o:spid="_x0000_s1027" style="position:absolute;left:0;text-align:left;margin-left:71.9pt;margin-top:10.5pt;width:222.05pt;height:87.4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MVhYwIAAA4FAAAOAAAAZHJzL2Uyb0RvYy54bWysVN1v0zAQf0fif7D8TtOUbWzV0qnaVIQ0&#10;sWob4tl17DbC9pmz27T89ZydNNugT4iX5D5+933n65u9NWynMDTgKl6OxpwpJ6Fu3Lri354XHy45&#10;C1G4WhhwquIHFfjN7P2769ZP1QQ2YGqFjJy4MG19xTcx+mlRBLlRVoQReOVIqQGtiMTiuqhRtOTd&#10;mmIyHl8ULWDtEaQKgaR3nZLPsn+tlYwPWgcVmak45RbzF/N3lb7F7FpM1yj8ppF9GuIfsrCicRR0&#10;cHUnomBbbP5yZRuJEEDHkQRbgNaNVLkGqqYc/1HN00Z4lWuh5gQ/tCn8P7fy626JrKkrPuHMCUsj&#10;eqSmCbc2ik1Se1ofpoR68kvsuUBkqnWv0aY/VcH2uaWHoaVqH5kk4eSSpvTxnDNJurIcX11d5qYX&#10;L+YeQ/yswLJEVBwpfG6l2N2HSCEJeoSkaA4WjTF5bsa9ERAwSYqUcZdjpuLBqIQz7lFpKjVllQPk&#10;JVO3BtlO0HoIKZWLF6nm7InQyUxTtMGwPGVoYtkb9dhkpvLyDYbjU4ZvIw4WOSq4OBjbxgGeclD/&#10;GCJ3+GP1Xc2p/Lhf7fN8MzJJVlAfaOYI3TEELxcNdf5ehLgUSNtPd0IXHR/oow20FYee4mwD+OuU&#10;POFpKUnLWUvXVPHwcytQcWa+OFrXq/LsLJ1fZs7OP02Iwdea1WuN29pboImU9HZ4mcmEj+ZIagT7&#10;nQ5/nqKSSjhJsSsuIx6Z29hdOT0dUs3nGUYn50W8d09eJuepzw7m2wi6yYv20p2+j3R0eRn6ByJd&#10;9Ws+o16esdlvAAAA//8DAFBLAwQUAAYACAAAACEAwoO72t4AAAAKAQAADwAAAGRycy9kb3ducmV2&#10;LnhtbEyPzU7DMBCE70i8g7VI3KjTQiENcSpAQgj1gCjt3bG3SUS8jmLnp2/PcoLjaEYz3+Tb2bVi&#10;xD40nhQsFwkIJONtQ5WCw9frTQoiRE1Wt55QwRkDbIvLi1xn1k/0ieM+VoJLKGRaQR1jl0kZTI1O&#10;h4XvkNg7+d7pyLKvpO31xOWulaskuZdON8QLte7wpUbzvR+cgqM/PU/OlPQ+nj+a4W3XG5PulLq+&#10;mp8eQUSc418YfvEZHQpmKv1ANoiW9d0to0cFqyV/4sA6fdiAKNnZrFOQRS7/Xyh+AAAA//8DAFBL&#10;AQItABQABgAIAAAAIQC2gziS/gAAAOEBAAATAAAAAAAAAAAAAAAAAAAAAABbQ29udGVudF9UeXBl&#10;c10ueG1sUEsBAi0AFAAGAAgAAAAhADj9If/WAAAAlAEAAAsAAAAAAAAAAAAAAAAALwEAAF9yZWxz&#10;Ly5yZWxzUEsBAi0AFAAGAAgAAAAhACG4xWFjAgAADgUAAA4AAAAAAAAAAAAAAAAALgIAAGRycy9l&#10;Mm9Eb2MueG1sUEsBAi0AFAAGAAgAAAAhAMKDu9reAAAACgEAAA8AAAAAAAAAAAAAAAAAvQQAAGRy&#10;cy9kb3ducmV2LnhtbFBLBQYAAAAABAAEAPMAAADIBQAAAAA=&#10;" filled="f" stroked="f" strokeweight="1pt">
                <v:textbox>
                  <w:txbxContent>
                    <w:p w14:paraId="7BD48E2B" w14:textId="1CFD6895" w:rsidR="00B258B7" w:rsidRPr="00F95D8D" w:rsidRDefault="00B258B7" w:rsidP="00B258B7">
                      <w:pPr>
                        <w:spacing w:after="0" w:line="276" w:lineRule="auto"/>
                        <w:jc w:val="center"/>
                        <w:rPr>
                          <w:rFonts w:ascii="Book Antiqua" w:hAnsi="Book Antiqua"/>
                          <w:b/>
                          <w:bCs/>
                          <w:sz w:val="32"/>
                          <w:szCs w:val="36"/>
                          <w:lang w:val="en"/>
                        </w:rPr>
                      </w:pPr>
                      <w:r w:rsidRPr="00F95D8D">
                        <w:rPr>
                          <w:rFonts w:ascii="Book Antiqua" w:hAnsi="Book Antiqua"/>
                          <w:b/>
                          <w:bCs/>
                          <w:sz w:val="32"/>
                          <w:szCs w:val="36"/>
                          <w:lang w:val="en"/>
                        </w:rPr>
                        <w:t>FARMAKOLOGI CISPLATIN DAN MEKANISME KERJANYA</w:t>
                      </w:r>
                    </w:p>
                  </w:txbxContent>
                </v:textbox>
              </v:rect>
            </w:pict>
          </mc:Fallback>
        </mc:AlternateContent>
      </w:r>
      <w:r w:rsidRPr="006810DB">
        <w:rPr>
          <w:b/>
          <w:noProof/>
          <w:sz w:val="48"/>
          <w:szCs w:val="20"/>
          <w:lang w:val="en-US"/>
        </w:rPr>
        <mc:AlternateContent>
          <mc:Choice Requires="wps">
            <w:drawing>
              <wp:anchor distT="0" distB="0" distL="114300" distR="114300" simplePos="0" relativeHeight="251668480" behindDoc="0" locked="0" layoutInCell="1" allowOverlap="1" wp14:anchorId="2D6B8A02" wp14:editId="119A4798">
                <wp:simplePos x="0" y="0"/>
                <wp:positionH relativeFrom="column">
                  <wp:posOffset>884555</wp:posOffset>
                </wp:positionH>
                <wp:positionV relativeFrom="paragraph">
                  <wp:posOffset>76835</wp:posOffset>
                </wp:positionV>
                <wp:extent cx="0" cy="1224000"/>
                <wp:effectExtent l="19050" t="0" r="38100" b="52705"/>
                <wp:wrapNone/>
                <wp:docPr id="4" name="Straight Connector 4"/>
                <wp:cNvGraphicFramePr/>
                <a:graphic xmlns:a="http://schemas.openxmlformats.org/drawingml/2006/main">
                  <a:graphicData uri="http://schemas.microsoft.com/office/word/2010/wordprocessingShape">
                    <wps:wsp>
                      <wps:cNvCnPr/>
                      <wps:spPr>
                        <a:xfrm>
                          <a:off x="0" y="0"/>
                          <a:ext cx="0" cy="1224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ADB08A7" id="Straight Connector 4"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F3y1wEAAA0EAAAOAAAAZHJzL2Uyb0RvYy54bWysU8GO0zAQvSPxD5bvNEnVBRQ13UNXywVB&#10;xcIHeJ1xY8n2WLZp0r9n7LTpChASiIuTGc97nvc83t5P1rAThKjRdbxZ1ZyBk9hrd+z4t6+Pb95z&#10;FpNwvTDooONniPx+9/rVdvQtrHFA00NgROJiO/qODyn5tqqiHMCKuEIPjjYVBisSheFY9UGMxG5N&#10;ta7rt9WIofcBJcRI2Yd5k+8Kv1Ig02elIiRmOk69pbKGsj7ntdptRXsMwg9aXtoQ/9CFFdrRoQvV&#10;g0iCfQ/6FyqrZcCIKq0k2gqV0hKKBlLT1D+peRqEh6KFzIl+sSn+P1r56XQITPcd33DmhKUrekpB&#10;6OOQ2B6dIwMxsE32afSxpfK9O4RLFP0hZNGTCjZ/SQ6birfnxVuYEpNzUlK2Wa83dV18r25AH2L6&#10;AGhZ/um40S7LFq04fYyJDqPSa0lOG8fGjt+9a+7qUhbR6P5RG5M3y+jA3gR2EnTpaWpy88Twoooi&#10;4yiZJc0iyl86G5j5v4AiU6jtZj4gj+ONU0gJLl15jaPqDFPUwQK8dPYn4KU+Q6GM6t+AF0Q5GV1a&#10;wFY7DL9r+2aFmuuvDsy6swXP2J/L9RZraOaKc5f3kYf6ZVzgt1e8+wEAAP//AwBQSwMEFAAGAAgA&#10;AAAhABv5W07cAAAACgEAAA8AAABkcnMvZG93bnJldi54bWxMj0FLxDAQhe+C/yGM4M1NtmvF1qbL&#10;IiziRXAVvKbN2AabSWmy3frvnfWit3kzj/e+qbaLH8SMU3SBNKxXCgRSG6yjTsP72/7mHkRMhqwZ&#10;AqGGb4ywrS8vKlPacKJXnA+pExxCsTQa+pTGUsrY9uhNXIURiW+fYfImsZw6aSdz4nA/yEypO+mN&#10;I27ozYiPPbZfh6PnkvyjfcLonu1+lzf5XLhGvTitr6+W3QOIhEv6M8MZn9GhZqYmHMlGMbDeFBu2&#10;8pCtQZwNv4tGQ6ZuC5B1Jf+/UP8AAAD//wMAUEsBAi0AFAAGAAgAAAAhALaDOJL+AAAA4QEAABMA&#10;AAAAAAAAAAAAAAAAAAAAAFtDb250ZW50X1R5cGVzXS54bWxQSwECLQAUAAYACAAAACEAOP0h/9YA&#10;AACUAQAACwAAAAAAAAAAAAAAAAAvAQAAX3JlbHMvLnJlbHNQSwECLQAUAAYACAAAACEAMTBd8tcB&#10;AAANBAAADgAAAAAAAAAAAAAAAAAuAgAAZHJzL2Uyb0RvYy54bWxQSwECLQAUAAYACAAAACEAG/lb&#10;TtwAAAAKAQAADwAAAAAAAAAAAAAAAAAxBAAAZHJzL2Rvd25yZXYueG1sUEsFBgAAAAAEAAQA8wAA&#10;ADoFA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44"/>
          <w:szCs w:val="20"/>
          <w:lang w:val="en-US"/>
        </w:rPr>
        <w:t>2</w:t>
      </w:r>
      <w:r w:rsidRPr="006810DB">
        <w:rPr>
          <w:b/>
          <w:szCs w:val="20"/>
          <w:lang w:val="en-US"/>
        </w:rPr>
        <w:t xml:space="preserve"> </w:t>
      </w:r>
      <w:r w:rsidRPr="006810DB">
        <w:rPr>
          <w:b/>
          <w:szCs w:val="20"/>
          <w:lang w:val="en-US"/>
        </w:rPr>
        <w:tab/>
      </w:r>
      <w:r w:rsidRPr="006810DB">
        <w:rPr>
          <w:b/>
          <w:color w:val="FFFFFF" w:themeColor="background1"/>
          <w:sz w:val="12"/>
          <w:szCs w:val="12"/>
          <w:lang w:val="en-US"/>
        </w:rPr>
        <w:t>FARMAKOLOGI CISPLATIN DAN MEKANISME KERJANYA</w:t>
      </w:r>
      <w:bookmarkEnd w:id="39"/>
    </w:p>
    <w:p w14:paraId="436B0611" w14:textId="2325AF1E" w:rsidR="00B258B7" w:rsidRPr="006810DB" w:rsidRDefault="00B258B7" w:rsidP="006810DB">
      <w:pPr>
        <w:spacing w:after="0" w:line="276" w:lineRule="auto"/>
        <w:jc w:val="both"/>
        <w:rPr>
          <w:rFonts w:ascii="Book Antiqua" w:hAnsi="Book Antiqua"/>
          <w:sz w:val="20"/>
          <w:szCs w:val="20"/>
          <w:lang w:val="en"/>
        </w:rPr>
      </w:pPr>
    </w:p>
    <w:p w14:paraId="77BBCDB0" w14:textId="77777777" w:rsidR="002B0035" w:rsidRPr="006810DB" w:rsidRDefault="002B0035" w:rsidP="006810DB">
      <w:pPr>
        <w:spacing w:after="0" w:line="276" w:lineRule="auto"/>
        <w:jc w:val="both"/>
        <w:rPr>
          <w:rFonts w:ascii="Book Antiqua" w:hAnsi="Book Antiqua"/>
          <w:sz w:val="20"/>
          <w:szCs w:val="20"/>
          <w:lang w:val="en"/>
        </w:rPr>
      </w:pPr>
    </w:p>
    <w:p w14:paraId="4CBEB651" w14:textId="49B262BA" w:rsidR="00B258B7" w:rsidRPr="006810DB" w:rsidRDefault="00004DEE" w:rsidP="000123E1">
      <w:pPr>
        <w:pStyle w:val="Heading2"/>
        <w:numPr>
          <w:ilvl w:val="0"/>
          <w:numId w:val="17"/>
        </w:numPr>
        <w:ind w:left="284" w:hanging="284"/>
      </w:pPr>
      <w:bookmarkStart w:id="40" w:name="_kwh3wn4u8cz5" w:colFirst="0" w:colLast="0"/>
      <w:bookmarkStart w:id="41" w:name="_t1ij6o5duli4" w:colFirst="0" w:colLast="0"/>
      <w:bookmarkStart w:id="42" w:name="_Toc223088868"/>
      <w:bookmarkEnd w:id="40"/>
      <w:bookmarkEnd w:id="41"/>
      <w:r w:rsidRPr="006810DB">
        <w:t>Pendahuluan</w:t>
      </w:r>
      <w:bookmarkEnd w:id="42"/>
    </w:p>
    <w:p w14:paraId="4B653198"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Kehadiran cisplatin dalam arsenal onkologi dapat dianggap sebagai salah satu tonggak sejarah yang mengubah prognosis banyak jenis kanker solid. Senyawa berbasis platinum ini, yang penemuannya sebagai agen antikanker terjadi secara tidak sengaja oleh Barnett Rosenberg pada tahun 1960-an, telah menjadi tulang punggung regimen kemoterapi untuk kanker testis, ovarium, kandung kemih, kepala dan leher, serta paru-paru. Kekuatannya terletak pada kemampuannya untuk menginduksi kerusakan DNA yang masif pada sel-sel yang bereplikasi dengan cepat, sebuah mekanisme sitotoksik yang sangat efektif dalam memicu kematian sel kanker. Pemahaman mendalam mengenai farmakologi dan mekanisme kerjanya menjadi esensial, tidak hanya untuk mengoptimalkan efikasinya tetapi juga untuk memahami asal-usul toksisitasnya yang signifikan.</w:t>
      </w:r>
    </w:p>
    <w:p w14:paraId="042C6AD7"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Bab ini akan mengupas secara sistematis perjalanan cisplatin di dalam tubuh manusia, dari saat ia masuk ke dalam sirkulasi hingga akhirnya diekskresikan. Profil farmakokinetiknya, yang mencakup proses absorpsi, distribusi, metabolisme, dan ekskresi (ADME), akan dianalisis untuk memberikan gambaran tentang bagaimana konsentrasi obat dipertahankan di dalam darah dan jaringan target. Dinamika ini sangat menentukan jendela terapeutik cisplatin, yaitu keseimbangan antara mencapai dosis yang cukup untuk </w:t>
      </w:r>
      <w:r w:rsidRPr="006810DB">
        <w:rPr>
          <w:rFonts w:ascii="Book Antiqua" w:hAnsi="Book Antiqua"/>
          <w:sz w:val="20"/>
          <w:szCs w:val="20"/>
          <w:lang w:val="en"/>
        </w:rPr>
        <w:lastRenderedPageBreak/>
        <w:t>membunuh sel kanker dan menghindari konsentrasi yang menyebabkan kerusakan organ yang tidak dapat ditoleransi.</w:t>
      </w:r>
    </w:p>
    <w:p w14:paraId="370B6CAF"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Selanjutnya, pembahasan akan masuk ke tingkat molekuler untuk membedah mekanisme sitotoksisitas cisplatin. Fokus utama adalah pada interaksinya dengan DNA, di mana ia membentuk ikatan silang (</w:t>
      </w:r>
      <w:r w:rsidRPr="006810DB">
        <w:rPr>
          <w:rFonts w:ascii="Book Antiqua" w:hAnsi="Book Antiqua"/>
          <w:i/>
          <w:iCs/>
          <w:sz w:val="20"/>
          <w:szCs w:val="20"/>
          <w:lang w:val="en"/>
        </w:rPr>
        <w:t>crosslinks</w:t>
      </w:r>
      <w:r w:rsidRPr="006810DB">
        <w:rPr>
          <w:rFonts w:ascii="Book Antiqua" w:hAnsi="Book Antiqua"/>
          <w:sz w:val="20"/>
          <w:szCs w:val="20"/>
          <w:lang w:val="en"/>
        </w:rPr>
        <w:t>) yang mengganggu proses replikasi dan transkripsi. Kerusakan genetik ini berfungsi sebagai sinyal bahaya yang memicu jalur kematian sel terprogram, atau apoptosis, yang merupakan tujuan akhir dari terapi ini. Namun, bab ini juga akan menyoroti bahwa mekanisme yang sama tidak cukup diskriminatif, sehingga sel-sel epitel normal yang sehat, termasuk di mukosa oral, juga menjadi korban, yang mengarah pada efek samping seperti mukositis.</w:t>
      </w:r>
    </w:p>
    <w:p w14:paraId="4C55405A"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Tantangan terbesar dalam penggunaan klinis cisplatin juga akan menjadi sorotan utama. Resistensi obat, sebuah fenomena di mana sel kanker mengembangkan kemampuan untuk bertahan dari serangan kemoterapi, merupakan penyebab utama kegagalan pengobatan. Bab ini akan mengulas berbagai mekanisme resistensi, mulai dari penurunan akumulasi obat di dalam sel hingga peningkatan kemampuan perbaikan DNA. Di samping itu, toksisitas yang membatasi dosis, terutama pada ginjal dan sistem saraf, akan dibahas sebagai hambatan klinis yang signifikan.</w:t>
      </w:r>
    </w:p>
    <w:p w14:paraId="7D92A12C"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Pemahaman yang komprehensif terhadap dua sisi mata uang cisplatin, efikasinya yang luar biasa dan toksisitasnya yang merusak, menjadi landasan fundamental untuk seluruh argumen yang dibangun dalam buku ini. Dengan memahami secara detail bagaimana cisplatin bekerja dan di mana letak kelemahannya, kita dapat lebih menghargai urgensi dan rasionalitas di balik pencarian agen protektif seperti </w:t>
      </w:r>
      <w:r w:rsidRPr="006810DB">
        <w:rPr>
          <w:rFonts w:ascii="Book Antiqua" w:hAnsi="Book Antiqua"/>
          <w:i/>
          <w:iCs/>
          <w:sz w:val="20"/>
          <w:szCs w:val="20"/>
          <w:lang w:val="en"/>
        </w:rPr>
        <w:t>Nigella sativa</w:t>
      </w:r>
      <w:r w:rsidRPr="006810DB">
        <w:rPr>
          <w:rFonts w:ascii="Book Antiqua" w:hAnsi="Book Antiqua"/>
          <w:sz w:val="20"/>
          <w:szCs w:val="20"/>
          <w:lang w:val="en"/>
        </w:rPr>
        <w:t>.</w:t>
      </w:r>
    </w:p>
    <w:p w14:paraId="7D3E0513"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Bab ini berfungsi sebagai jembatan kritis antara pemahaman masalah klinis yang diuraikan di Bab 1 dan eksplorasi solusi terapeutik di bab-bab berikutnya. Analisis farmakologis ini memberikan konteks ilmiah yang diperlukan </w:t>
      </w:r>
      <w:r w:rsidRPr="006810DB">
        <w:rPr>
          <w:rFonts w:ascii="Book Antiqua" w:hAnsi="Book Antiqua"/>
          <w:sz w:val="20"/>
          <w:szCs w:val="20"/>
          <w:lang w:val="en"/>
        </w:rPr>
        <w:lastRenderedPageBreak/>
        <w:t>untuk memahami mengapa efek samping seperti mukositis oral terjadi dan bagaimana intervensi di tingkat molekuler berpotensi untuk memitigasinya.</w:t>
      </w:r>
    </w:p>
    <w:p w14:paraId="4F559FEA"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Dengan menguraikan profil cisplatin secara detail, pembaca diharapkan dapat memperoleh perspektif yang lebih dalam mengenai kompleksitas kemoterapi. Ini bukan sekadar proses pemberian obat, melainkan sebuah intervensi farmakologis yang rumit dengan konsekuensi biologis yang luas.</w:t>
      </w:r>
    </w:p>
    <w:p w14:paraId="22E4B125"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Pada akhirnya, pengetahuan yang disajikan dalam bab ini akan membekali pembaca dengan fondasi yang kuat untuk mengikuti diskusi tentang patofisiologi mukositis dan mekanisme protektif dari senyawa bioaktif dalam bab-bab selanjutnya.</w:t>
      </w:r>
    </w:p>
    <w:p w14:paraId="68648DFB" w14:textId="77777777" w:rsidR="00B258B7" w:rsidRPr="006810DB" w:rsidRDefault="00B258B7" w:rsidP="006810DB">
      <w:pPr>
        <w:spacing w:after="0" w:line="276" w:lineRule="auto"/>
        <w:jc w:val="both"/>
        <w:rPr>
          <w:rFonts w:ascii="Book Antiqua" w:hAnsi="Book Antiqua"/>
          <w:b/>
          <w:bCs/>
          <w:sz w:val="20"/>
          <w:szCs w:val="20"/>
          <w:lang w:val="en"/>
        </w:rPr>
      </w:pPr>
      <w:bookmarkStart w:id="43" w:name="_wc4a1ncyjr7t" w:colFirst="0" w:colLast="0"/>
      <w:bookmarkEnd w:id="43"/>
    </w:p>
    <w:p w14:paraId="3A6CA9D0" w14:textId="7C019868" w:rsidR="00B258B7" w:rsidRPr="006810DB" w:rsidRDefault="00B258B7" w:rsidP="006810DB">
      <w:pPr>
        <w:pStyle w:val="Heading2"/>
        <w:numPr>
          <w:ilvl w:val="0"/>
          <w:numId w:val="17"/>
        </w:numPr>
        <w:ind w:left="284" w:hanging="284"/>
      </w:pPr>
      <w:bookmarkStart w:id="44" w:name="_Toc223088869"/>
      <w:r w:rsidRPr="006810DB">
        <w:t>Profil Farmakokinetik Cisplatin</w:t>
      </w:r>
      <w:bookmarkEnd w:id="44"/>
    </w:p>
    <w:p w14:paraId="75BB7470"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Farmakokinetik menggambarkan perjalanan suatu obat di dalam tubuh, yang sering diringkas dengan akronim ADME (Absorpsi, Distribusi, Metabolisme, dan Ekskresi). Untuk cisplatin, yang diberikan secara intravena, fase absorpsi dilewati karena obat langsung masuk ke sirkulasi sistemik. Profil farmakokinetiknya ditandai oleh ikatan yang kuat dan sebagian besar ireversibel dengan protein plasma, terutama albumin, yang memengaruhi distribusi dan ketersediaannya untuk mencapai jaringan target (Brouwers et al., 2020). Konsentrasi platinum total dalam plasma menurun secara bifasik, dengan fase awal yang relatif cepat diikuti oleh fase terminal yang sangat lambat, menunjukkan adanya kompartemen jaringan dalam yang melepaskan obat secara perlahan.</w:t>
      </w:r>
    </w:p>
    <w:p w14:paraId="336EF1C3"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Perjalanan cisplatin di dalam tubuh dapat dianalogikan dengan pengiriman paket berisi "bom waktu" (molekul cisplatin) ke berbagai alamat di sebuah kota besar (tubuh). Paket dikirim melalui jasa kurir premium langsung ke pusat distribusi utama (aliran darah). Beberapa paket langsung diantar ke alamat target (sel kanker). Namun, banyak paket yang "menempel" pada truk pengiriman lain </w:t>
      </w:r>
      <w:r w:rsidRPr="006810DB">
        <w:rPr>
          <w:rFonts w:ascii="Book Antiqua" w:hAnsi="Book Antiqua"/>
          <w:sz w:val="20"/>
          <w:szCs w:val="20"/>
          <w:lang w:val="en"/>
        </w:rPr>
        <w:lastRenderedPageBreak/>
        <w:t>(protein plasma), membuatnya bergerak lebih lambat dan sulit mencapai gang-gang sempit. Sebagian paket berhasil masuk ke gudang-gudang di berbagai distrik (jaringan seperti ginjal, hati). Kota ini memiliki sistem pembuangan sampah (ginjal) yang efisien untuk membuang paket-paket yang tidak terpakai, tetapi prosesnya lambat dan beberapa paket yang bocor dapat merusak fasilitas pembuangan itu sendiri (nefrotoksisitas). Memahami rute dan jadwal pengiriman ini sangat penting untuk memastikan paket sampai ke target yang tepat tanpa menyebabkan terlalu banyak kerusakan pada infrastruktur kota.</w:t>
      </w:r>
    </w:p>
    <w:p w14:paraId="423D9018" w14:textId="0CE44A76" w:rsidR="00B258B7" w:rsidRPr="006810DB" w:rsidRDefault="00B258B7" w:rsidP="006810DB">
      <w:pPr>
        <w:pStyle w:val="ListParagraph"/>
        <w:numPr>
          <w:ilvl w:val="0"/>
          <w:numId w:val="39"/>
        </w:numPr>
        <w:spacing w:after="0" w:line="276" w:lineRule="auto"/>
        <w:ind w:left="567" w:hanging="283"/>
        <w:contextualSpacing w:val="0"/>
        <w:jc w:val="both"/>
        <w:rPr>
          <w:rFonts w:ascii="Book Antiqua" w:hAnsi="Book Antiqua"/>
          <w:b/>
          <w:bCs/>
          <w:sz w:val="20"/>
          <w:szCs w:val="20"/>
          <w:lang w:val="en"/>
        </w:rPr>
      </w:pPr>
      <w:bookmarkStart w:id="45" w:name="_keggnja5dw76" w:colFirst="0" w:colLast="0"/>
      <w:bookmarkEnd w:id="45"/>
      <w:r w:rsidRPr="006810DB">
        <w:rPr>
          <w:rFonts w:ascii="Book Antiqua" w:hAnsi="Book Antiqua"/>
          <w:b/>
          <w:bCs/>
          <w:sz w:val="20"/>
          <w:szCs w:val="20"/>
          <w:lang w:val="en"/>
        </w:rPr>
        <w:t>Absorpsi dan Distribusi dalam Jaringan</w:t>
      </w:r>
    </w:p>
    <w:p w14:paraId="4ECDC2C8"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Karena cisplatin diberikan secara eksklusif melalui rute intravena, bioavailabilitasnya dianggap 100%, dan fase absorpsi farmakologis tidak relevan. Setelah berada di dalam sirkulasi, lebih dari 90% cisplatin dengan cepat terikat pada protein plasma, seperti albumin, transferin, dan gamma-globulin (Oun et al., 2018). Ikatan protein ini bersifat kuat dan sebagian besar tidak dapat diubah, yang secara efektif menciptakan reservoir sirkulasi platinum. Hanya fraksi cisplatin yang bebas dan tidak terikat yang dianggap aktif secara farmakologis dan mampu masuk ke dalam sel untuk memberikan efek sitotoksiknya.</w:t>
      </w:r>
    </w:p>
    <w:p w14:paraId="46B6593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Distribusi cisplatin ke jaringan berlangsung secara luas namun tidak merata. Konsentrasi tertinggi ditemukan di ginjal, hati, dan prostat, sementara penetrasinya ke dalam sistem saraf pusat, khususnya otak, sangat terbatas karena adanya sawar darah-otak (</w:t>
      </w:r>
      <w:r w:rsidRPr="006810DB">
        <w:rPr>
          <w:rFonts w:ascii="Book Antiqua" w:hAnsi="Book Antiqua"/>
          <w:i/>
          <w:iCs/>
          <w:sz w:val="20"/>
          <w:szCs w:val="20"/>
          <w:lang w:val="en"/>
        </w:rPr>
        <w:t>blood-brain barrier</w:t>
      </w:r>
      <w:r w:rsidRPr="006810DB">
        <w:rPr>
          <w:rFonts w:ascii="Book Antiqua" w:hAnsi="Book Antiqua"/>
          <w:sz w:val="20"/>
          <w:szCs w:val="20"/>
          <w:lang w:val="en"/>
        </w:rPr>
        <w:t>) (Reedijk, 2019). Akumulasi yang tinggi di ginjal menjadi dasar utama terjadinya nefrotoksisitas yang menjadi ciri khas obat ini. Penetrasi ke dalam sel tumor sendiri dimediasi oleh beberapa mekanisme transpor, termasuk difusi pasif dan transpor aktif melalui transporter tembaga seperti CTR1, yang ekspresinya dapat memengaruhi sensitivitas sel terhadap obat (Yoshizawa et al., 2020).</w:t>
      </w:r>
    </w:p>
    <w:p w14:paraId="7E5582FE" w14:textId="77777777" w:rsidR="00BB4C89" w:rsidRDefault="00BB4C89">
      <w:pPr>
        <w:rPr>
          <w:rFonts w:ascii="Book Antiqua" w:hAnsi="Book Antiqua"/>
          <w:b/>
          <w:bCs/>
          <w:sz w:val="20"/>
          <w:szCs w:val="20"/>
          <w:lang w:val="en"/>
        </w:rPr>
      </w:pPr>
      <w:bookmarkStart w:id="46" w:name="_2q0lbmdel0xf" w:colFirst="0" w:colLast="0"/>
      <w:bookmarkEnd w:id="46"/>
      <w:r>
        <w:rPr>
          <w:rFonts w:ascii="Book Antiqua" w:hAnsi="Book Antiqua"/>
          <w:b/>
          <w:bCs/>
          <w:sz w:val="20"/>
          <w:szCs w:val="20"/>
          <w:lang w:val="en"/>
        </w:rPr>
        <w:br w:type="page"/>
      </w:r>
    </w:p>
    <w:p w14:paraId="5C8A1FD2" w14:textId="0174F131" w:rsidR="00B258B7" w:rsidRPr="006810DB" w:rsidRDefault="00B258B7" w:rsidP="006810DB">
      <w:pPr>
        <w:pStyle w:val="ListParagraph"/>
        <w:numPr>
          <w:ilvl w:val="0"/>
          <w:numId w:val="39"/>
        </w:numPr>
        <w:spacing w:after="0" w:line="276" w:lineRule="auto"/>
        <w:ind w:left="567" w:hanging="283"/>
        <w:contextualSpacing w:val="0"/>
        <w:jc w:val="both"/>
        <w:rPr>
          <w:rFonts w:ascii="Book Antiqua" w:hAnsi="Book Antiqua"/>
          <w:b/>
          <w:bCs/>
          <w:sz w:val="20"/>
          <w:szCs w:val="20"/>
          <w:lang w:val="en"/>
        </w:rPr>
      </w:pPr>
      <w:r w:rsidRPr="006810DB">
        <w:rPr>
          <w:rFonts w:ascii="Book Antiqua" w:hAnsi="Book Antiqua"/>
          <w:b/>
          <w:bCs/>
          <w:sz w:val="20"/>
          <w:szCs w:val="20"/>
          <w:lang w:val="en"/>
        </w:rPr>
        <w:lastRenderedPageBreak/>
        <w:t>Metabolisme dan Jalur Ekskresi</w:t>
      </w:r>
    </w:p>
    <w:p w14:paraId="39F3B10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Cisplatin tidak mengalami metabolisme enzimatik oleh sistem sitokrom P450 di hati, yang merupakan jalur metabolisme umum untuk banyak obat lain. Sebaliknya, transformasinya terjadi melalui reaksi kimia non-enzimatik. Di dalam aliran darah, di mana konsentrasi klorida tinggi (sekitar 100 mM), molekul cisplatin relatif stabil. Namun, ketika masuk ke dalam sel, di mana konsentrasi klorida jauh lebih rendah (sekitar 4-20 mM), ligan klorida pada molekul cisplatin digantikan oleh molekul air dalam proses yang disebut akuasi, menghasilkan spesies platinum yang sangat reaktif dan bermuatan positif (Dilruba &amp; Kalayda, 2016). Spesies akuasi inilah yang kemudian secara aktif bereaksi dengan target molekuler seperti DNA.</w:t>
      </w:r>
    </w:p>
    <w:p w14:paraId="54DA348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Jalur utama eliminasi cisplatin dari tubuh adalah melalui ekskresi ginjal. Sekitar 20-30% dari dosis yang diberikan diekskresikan dalam bentuk tidak berubah melalui urin dalam beberapa jam pertama setelah pemberian (Brouwers et al., 2020). Namun, karena ikatan protein yang kuat dan retensi jaringan, eliminasi total platinum dari tubuh berlangsung sangat lambat, dengan waktu paruh terminal dapat melebihi beberapa hari. Klirens ginjal yang efisien sangat bergantung pada laju filtrasi glomerulus, dan setiap penurunan fungsi ginjal dapat secara signifikan meningkatkan toksisitas sistemik obat.</w:t>
      </w:r>
    </w:p>
    <w:p w14:paraId="521EE01C" w14:textId="09F2C6FA" w:rsidR="00B258B7" w:rsidRPr="006810DB" w:rsidRDefault="00B258B7" w:rsidP="006810DB">
      <w:pPr>
        <w:pStyle w:val="ListParagraph"/>
        <w:numPr>
          <w:ilvl w:val="0"/>
          <w:numId w:val="39"/>
        </w:numPr>
        <w:spacing w:after="0" w:line="276" w:lineRule="auto"/>
        <w:ind w:left="567" w:hanging="283"/>
        <w:contextualSpacing w:val="0"/>
        <w:jc w:val="both"/>
        <w:rPr>
          <w:rFonts w:ascii="Book Antiqua" w:hAnsi="Book Antiqua"/>
          <w:b/>
          <w:bCs/>
          <w:sz w:val="20"/>
          <w:szCs w:val="20"/>
          <w:lang w:val="en"/>
        </w:rPr>
      </w:pPr>
      <w:bookmarkStart w:id="47" w:name="_nhe5snbopgfb" w:colFirst="0" w:colLast="0"/>
      <w:bookmarkEnd w:id="47"/>
      <w:r w:rsidRPr="006810DB">
        <w:rPr>
          <w:rFonts w:ascii="Book Antiqua" w:hAnsi="Book Antiqua"/>
          <w:b/>
          <w:bCs/>
          <w:sz w:val="20"/>
          <w:szCs w:val="20"/>
          <w:lang w:val="en"/>
        </w:rPr>
        <w:t>Interaksi Obat pada Pasien Kanker</w:t>
      </w:r>
    </w:p>
    <w:p w14:paraId="058878A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Dalam praktik klinis, cisplatin jarang digunakan sebagai agen tunggal dan lebih sering menjadi bagian dari regimen kemoterapi kombinasi. Interaksinya dengan obat lain dapat bersifat farmakokinetik atau farmakodinamik. Interaksi farmakokinetik yang paling signifikan adalah dengan obat-obat nefrotoksik lainnya, seperti aminoglikosida (antibiotik) atau agen anti-inflamasi nonsteroid (OAINS). Penggunaan bersamaan obat-obat ini dapat secara sinergis meningkatkan risiko kerusakan ginjal (Oun et al., 2018). Oleh karena itu, pemantauan fungsi ginjal yang ketat dan </w:t>
      </w:r>
      <w:r w:rsidRPr="006810DB">
        <w:rPr>
          <w:rFonts w:ascii="Book Antiqua" w:hAnsi="Book Antiqua"/>
          <w:sz w:val="20"/>
          <w:szCs w:val="20"/>
          <w:lang w:val="en"/>
        </w:rPr>
        <w:lastRenderedPageBreak/>
        <w:t>penghindaran agen nefrotoksik lain bila memungkinkan adalah praktik standar.</w:t>
      </w:r>
    </w:p>
    <w:p w14:paraId="5F8A4AE7" w14:textId="41C80B8F"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Interaksi farmakodinamik sering kali dimanfaatkan untuk meningkatkan efektivitas terapi. Misalnya, kombinasi cisplatin dengan 5-fluorouracil (5-FU) atau dengan kelompok taksan (misalnya, </w:t>
      </w:r>
      <w:r w:rsidRPr="006810DB">
        <w:rPr>
          <w:rFonts w:ascii="Book Antiqua" w:hAnsi="Book Antiqua"/>
          <w:i/>
          <w:iCs/>
          <w:sz w:val="20"/>
          <w:szCs w:val="20"/>
          <w:lang w:val="en"/>
        </w:rPr>
        <w:t>paclitaxel</w:t>
      </w:r>
      <w:r w:rsidRPr="006810DB">
        <w:rPr>
          <w:rFonts w:ascii="Book Antiqua" w:hAnsi="Book Antiqua"/>
          <w:sz w:val="20"/>
          <w:szCs w:val="20"/>
          <w:lang w:val="en"/>
        </w:rPr>
        <w:t>) menunjukkan efek sinergis dalam membunuh sel kanker pada berbagai jenis tumor (Ghosh, 2019). Sinergisme ini dapat terjadi melalui berbagai mekanisme, seperti modulasi jalur pensinyalan seluler atau penghambatan mekanisme perbaikan DNA yang berbeda, sehingga meningkatkan kemungkinan sel kanker untuk mengalami apoptosis. Pemilihan kombinasi obat didasarkan pada profil toksisitas yang tidak tumpang tindih dan mekanisme kerja yang saling melengkapi.</w:t>
      </w:r>
    </w:p>
    <w:p w14:paraId="32704345" w14:textId="77777777" w:rsidR="00B627C0" w:rsidRPr="006810DB" w:rsidRDefault="00B627C0" w:rsidP="006810DB">
      <w:pPr>
        <w:spacing w:after="0" w:line="276" w:lineRule="auto"/>
        <w:jc w:val="both"/>
        <w:rPr>
          <w:rFonts w:ascii="Book Antiqua" w:hAnsi="Book Antiqua"/>
          <w:sz w:val="20"/>
          <w:szCs w:val="20"/>
          <w:lang w:val="en"/>
        </w:rPr>
      </w:pPr>
    </w:p>
    <w:p w14:paraId="576879C0" w14:textId="3F6B7EAF" w:rsidR="00B258B7" w:rsidRPr="006810DB" w:rsidRDefault="00B258B7" w:rsidP="006810DB">
      <w:pPr>
        <w:pStyle w:val="Heading2"/>
        <w:numPr>
          <w:ilvl w:val="0"/>
          <w:numId w:val="17"/>
        </w:numPr>
        <w:ind w:left="284" w:hanging="284"/>
        <w:rPr>
          <w:bCs/>
          <w:szCs w:val="20"/>
          <w:lang w:val="en"/>
        </w:rPr>
      </w:pPr>
      <w:bookmarkStart w:id="48" w:name="_7nhfuk9v6sf" w:colFirst="0" w:colLast="0"/>
      <w:bookmarkStart w:id="49" w:name="_Toc223088870"/>
      <w:bookmarkEnd w:id="48"/>
      <w:r w:rsidRPr="006810DB">
        <w:rPr>
          <w:bCs/>
          <w:szCs w:val="20"/>
          <w:lang w:val="en"/>
        </w:rPr>
        <w:t>Mekanisme Sitotoksisitas Cisplatin</w:t>
      </w:r>
      <w:bookmarkEnd w:id="49"/>
    </w:p>
    <w:p w14:paraId="5E13A1ED"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Inti dari aktivitas antikanker cisplatin terletak pada kemampuannya untuk berinteraksi secara langsung dengan materi genetik sel. Setelah masuk ke dalam sel dan mengalami proses akuasi, cisplatin berubah menjadi elektrofil kuat yang menargetkan situs kaya elektron pada molekul biologis, terutama atom nitrogen pada basa purin DNA (adenin dan guanin). Interaksi ini menghasilkan pembentukan berbagai jenis ikatan kovalen, yang dikenal sebagai adisi DNA (</w:t>
      </w:r>
      <w:r w:rsidRPr="006810DB">
        <w:rPr>
          <w:rFonts w:ascii="Book Antiqua" w:hAnsi="Book Antiqua"/>
          <w:i/>
          <w:iCs/>
          <w:sz w:val="20"/>
          <w:szCs w:val="20"/>
          <w:lang w:val="en"/>
        </w:rPr>
        <w:t>DNA adducts</w:t>
      </w:r>
      <w:r w:rsidRPr="006810DB">
        <w:rPr>
          <w:rFonts w:ascii="Book Antiqua" w:hAnsi="Book Antiqua"/>
          <w:sz w:val="20"/>
          <w:szCs w:val="20"/>
          <w:lang w:val="en"/>
        </w:rPr>
        <w:t>), yang secara fundamental merusak struktur heliks ganda DNA (Dasari &amp; Tchounwou, 2014). Kerusakan struktural ini menjadi penghalang fisik yang mengganggu proses-proses seluler vital yang bergantung pada integritas templat DNA, yaitu replikasi dan transkripsi.</w:t>
      </w:r>
    </w:p>
    <w:p w14:paraId="3237DF82"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Bayangkan DNA sebagai ritsleting yang sangat panjang dan kompleks yang harus dibuka dan ditutup dengan sempurna agar mesin fotokopi seluler (replikasi) dan mesin pembaca resep (transkripsi) dapat berfungsi. Cisplatin bekerja seperti tetesan lem super yang secara acak merekatkan gigi-gigi ritsleting (basa DNA) satu sama lain, baik pada sisi yang sama maupun sisi yang </w:t>
      </w:r>
      <w:r w:rsidRPr="006810DB">
        <w:rPr>
          <w:rFonts w:ascii="Book Antiqua" w:hAnsi="Book Antiqua"/>
          <w:sz w:val="20"/>
          <w:szCs w:val="20"/>
          <w:lang w:val="en"/>
        </w:rPr>
        <w:lastRenderedPageBreak/>
        <w:t>berlawanan. Ketika mesin fotokopi mencoba melewati area yang direkatkan ini, ia akan macet total. Akumulasi kemacetan ini mengirimkan sinyal alarm ke seluruh "pabrik" (sel). Jika kerusakan terlalu parah dan tidak dapat diperbaiki oleh tim perbaikan (enzim perbaikan DNA), manajer pabrik (jalur p53) akan memutuskan untuk mengaktifkan protokol penghancuran diri (apoptosis) untuk mencegah produksi produk yang cacat.</w:t>
      </w:r>
    </w:p>
    <w:p w14:paraId="248652F9" w14:textId="0549E024" w:rsidR="00B258B7" w:rsidRPr="006810DB" w:rsidRDefault="00B258B7" w:rsidP="006810DB">
      <w:pPr>
        <w:pStyle w:val="ListParagraph"/>
        <w:numPr>
          <w:ilvl w:val="0"/>
          <w:numId w:val="40"/>
        </w:numPr>
        <w:spacing w:after="0" w:line="276" w:lineRule="auto"/>
        <w:ind w:left="567" w:hanging="283"/>
        <w:contextualSpacing w:val="0"/>
        <w:jc w:val="both"/>
        <w:rPr>
          <w:rFonts w:ascii="Book Antiqua" w:hAnsi="Book Antiqua"/>
          <w:b/>
          <w:bCs/>
          <w:sz w:val="20"/>
          <w:szCs w:val="20"/>
          <w:lang w:val="en"/>
        </w:rPr>
      </w:pPr>
      <w:bookmarkStart w:id="50" w:name="_sb1cnhdjc4i6" w:colFirst="0" w:colLast="0"/>
      <w:bookmarkEnd w:id="50"/>
      <w:r w:rsidRPr="006810DB">
        <w:rPr>
          <w:rFonts w:ascii="Book Antiqua" w:hAnsi="Book Antiqua"/>
          <w:b/>
          <w:bCs/>
          <w:sz w:val="20"/>
          <w:szCs w:val="20"/>
          <w:lang w:val="en"/>
        </w:rPr>
        <w:t>Pembentukan Adisi DNA dan Kerusakan Genetik</w:t>
      </w:r>
    </w:p>
    <w:p w14:paraId="5029DEA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Jenis adisi DNA yang paling umum dan dianggap paling sitotoksik yang dibentuk oleh cisplatin adalah ikatan silang intra-untai (</w:t>
      </w:r>
      <w:r w:rsidRPr="006810DB">
        <w:rPr>
          <w:rFonts w:ascii="Book Antiqua" w:hAnsi="Book Antiqua"/>
          <w:i/>
          <w:iCs/>
          <w:sz w:val="20"/>
          <w:szCs w:val="20"/>
          <w:lang w:val="en"/>
        </w:rPr>
        <w:t>intrastrand crosslinks</w:t>
      </w:r>
      <w:r w:rsidRPr="006810DB">
        <w:rPr>
          <w:rFonts w:ascii="Book Antiqua" w:hAnsi="Book Antiqua"/>
          <w:sz w:val="20"/>
          <w:szCs w:val="20"/>
          <w:lang w:val="en"/>
        </w:rPr>
        <w:t>), terutama antara dua basa guanin yang berdekatan (1,2-d(GpG)). Adisi ini menyumbang sekitar 65% dari total ikatan (Ghosh, 2019). Ikatan ini menyebabkan distorsi lokal pada heliks DNA, membengkokkannya dan membuka lilitannya. Selain itu, cisplatin juga dapat membentuk ikatan silang intra-untai antara guanin dan adenin (1,2-d(ApG)) dan ikatan silang antar-untai (</w:t>
      </w:r>
      <w:r w:rsidRPr="006810DB">
        <w:rPr>
          <w:rFonts w:ascii="Book Antiqua" w:hAnsi="Book Antiqua"/>
          <w:i/>
          <w:iCs/>
          <w:sz w:val="20"/>
          <w:szCs w:val="20"/>
          <w:lang w:val="en"/>
        </w:rPr>
        <w:t>interstrand crosslinks</w:t>
      </w:r>
      <w:r w:rsidRPr="006810DB">
        <w:rPr>
          <w:rFonts w:ascii="Book Antiqua" w:hAnsi="Book Antiqua"/>
          <w:sz w:val="20"/>
          <w:szCs w:val="20"/>
          <w:lang w:val="en"/>
        </w:rPr>
        <w:t>) antara dua untai DNA yang berbeda, meskipun jenis adisi ini jauh lebih jarang terjadi.</w:t>
      </w:r>
    </w:p>
    <w:p w14:paraId="714F1EA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Keberadaan adisi-adisi ini secara efektif menghentikan kerja polimerase DNA dan RNA. Ketika garpu replikasi bertemu dengan adisi cisplatin, proses duplikasi DNA berhenti, yang dapat menyebabkan patahnya untai ganda DNA dan memicu respons stres genotoksik (Galluzzi et al., 2012). Penghentian replikasi ini sangat mematikan bagi sel-sel yang sedang aktif membelah, yang menjelaskan mengapa sel kanker dan sel-sel normal yang berproliferasi cepat sangat rentan terhadap cisplatin.</w:t>
      </w:r>
    </w:p>
    <w:p w14:paraId="0357EE26" w14:textId="2AF48A66" w:rsidR="00B258B7" w:rsidRPr="006810DB" w:rsidRDefault="00B258B7" w:rsidP="006810DB">
      <w:pPr>
        <w:pStyle w:val="ListParagraph"/>
        <w:numPr>
          <w:ilvl w:val="0"/>
          <w:numId w:val="40"/>
        </w:numPr>
        <w:spacing w:after="0" w:line="276" w:lineRule="auto"/>
        <w:ind w:left="567" w:hanging="283"/>
        <w:contextualSpacing w:val="0"/>
        <w:jc w:val="both"/>
        <w:rPr>
          <w:rFonts w:ascii="Book Antiqua" w:hAnsi="Book Antiqua"/>
          <w:b/>
          <w:bCs/>
          <w:sz w:val="20"/>
          <w:szCs w:val="20"/>
          <w:lang w:val="en"/>
        </w:rPr>
      </w:pPr>
      <w:bookmarkStart w:id="51" w:name="_h4pbah3xhwdd" w:colFirst="0" w:colLast="0"/>
      <w:bookmarkEnd w:id="51"/>
      <w:r w:rsidRPr="006810DB">
        <w:rPr>
          <w:rFonts w:ascii="Book Antiqua" w:hAnsi="Book Antiqua"/>
          <w:b/>
          <w:bCs/>
          <w:sz w:val="20"/>
          <w:szCs w:val="20"/>
          <w:lang w:val="en"/>
        </w:rPr>
        <w:t>Induksi Apoptosis pada Sel Kanker</w:t>
      </w:r>
    </w:p>
    <w:p w14:paraId="5F57D67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Sel memiliki mekanisme pengawasan internal yang canggih untuk mendeteksi kerusakan DNA. Protein-protein sensor, seperti kompleks ATR dan ATM, akan mengenali distorsi pada struktur DNA yang disebabkan oleh adisi cisplatin dan mengaktifkan kaskade pensinyalan (Oun et al., 2018). Sinyal ini mengarah pada aktivasi dan stabilisasi protein supresor tumor p53, yang sering disebut sebagai </w:t>
      </w:r>
      <w:r w:rsidRPr="006810DB">
        <w:rPr>
          <w:rFonts w:ascii="Book Antiqua" w:hAnsi="Book Antiqua"/>
          <w:sz w:val="20"/>
          <w:szCs w:val="20"/>
          <w:lang w:val="en"/>
        </w:rPr>
        <w:lastRenderedPageBreak/>
        <w:t>"penjaga genom". p53 kemudian bertindak sebagai faktor transkripsi yang menginduksi ekspresi gen-gen yang terlibat dalam penghentian siklus sel (</w:t>
      </w:r>
      <w:r w:rsidRPr="006810DB">
        <w:rPr>
          <w:rFonts w:ascii="Book Antiqua" w:hAnsi="Book Antiqua"/>
          <w:i/>
          <w:iCs/>
          <w:sz w:val="20"/>
          <w:szCs w:val="20"/>
          <w:lang w:val="en"/>
        </w:rPr>
        <w:t>cell cycle arrest</w:t>
      </w:r>
      <w:r w:rsidRPr="006810DB">
        <w:rPr>
          <w:rFonts w:ascii="Book Antiqua" w:hAnsi="Book Antiqua"/>
          <w:sz w:val="20"/>
          <w:szCs w:val="20"/>
          <w:lang w:val="en"/>
        </w:rPr>
        <w:t>) dan apoptosis.</w:t>
      </w:r>
    </w:p>
    <w:p w14:paraId="47CC331B"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Penghentian siklus sel memberikan waktu bagi sel untuk mencoba memperbaiki kerusakan DNA. Namun, jika kerusakan yang disebabkan oleh cisplatin terlalu luas dan tidak dapat diperbaiki, p53 akan memicu jalur apoptosis intrinsik (mitokondrial). Ini melibatkan aktivasi protein pro-apoptosis dari keluarga Bcl-2, seperti Bax dan Bak, yang menyebabkan permeabilisasi membran luar mitokondria dan pelepasan sitokrom c ke dalam sitoplasma (Galluzzi et al., 2012). Sitokrom c kemudian mengaktifkan serangkaian enzim protease yang disebut kaspase, yang mengeksekusi program kematian sel secara teratur dan efisien.</w:t>
      </w:r>
    </w:p>
    <w:p w14:paraId="7FD16766" w14:textId="508D8203" w:rsidR="00B258B7" w:rsidRPr="006810DB" w:rsidRDefault="00B258B7" w:rsidP="006810DB">
      <w:pPr>
        <w:pStyle w:val="ListParagraph"/>
        <w:numPr>
          <w:ilvl w:val="0"/>
          <w:numId w:val="40"/>
        </w:numPr>
        <w:spacing w:after="0" w:line="276" w:lineRule="auto"/>
        <w:ind w:left="567" w:hanging="283"/>
        <w:contextualSpacing w:val="0"/>
        <w:jc w:val="both"/>
        <w:rPr>
          <w:rFonts w:ascii="Book Antiqua" w:hAnsi="Book Antiqua"/>
          <w:b/>
          <w:bCs/>
          <w:sz w:val="20"/>
          <w:szCs w:val="20"/>
          <w:lang w:val="en"/>
        </w:rPr>
      </w:pPr>
      <w:bookmarkStart w:id="52" w:name="_9t2n638qtr3p" w:colFirst="0" w:colLast="0"/>
      <w:bookmarkEnd w:id="52"/>
      <w:r w:rsidRPr="006810DB">
        <w:rPr>
          <w:rFonts w:ascii="Book Antiqua" w:hAnsi="Book Antiqua"/>
          <w:b/>
          <w:bCs/>
          <w:sz w:val="20"/>
          <w:szCs w:val="20"/>
          <w:lang w:val="en"/>
        </w:rPr>
        <w:t>Efek Non-Spesifik pada Sel Epitel Normal</w:t>
      </w:r>
    </w:p>
    <w:p w14:paraId="1F78B708"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Mekanisme sitotoksik cisplatin tidak membedakan antara sel kanker dan sel normal yang sedang berproliferasi. Sel epitel yang melapisi rongga mulut dan saluran pencernaan memiliki laju pergantian (</w:t>
      </w:r>
      <w:r w:rsidRPr="006810DB">
        <w:rPr>
          <w:rFonts w:ascii="Book Antiqua" w:hAnsi="Book Antiqua"/>
          <w:i/>
          <w:iCs/>
          <w:sz w:val="20"/>
          <w:szCs w:val="20"/>
          <w:lang w:val="en"/>
        </w:rPr>
        <w:t>turnover</w:t>
      </w:r>
      <w:r w:rsidRPr="006810DB">
        <w:rPr>
          <w:rFonts w:ascii="Book Antiqua" w:hAnsi="Book Antiqua"/>
          <w:sz w:val="20"/>
          <w:szCs w:val="20"/>
          <w:lang w:val="en"/>
        </w:rPr>
        <w:t>) yang sangat tinggi, dengan sel-sel basal yang terus-menerus membelah untuk menggantikan sel-sel permukaan yang lebih tua. Tingkat proliferasi yang tinggi ini membuat mereka sangat rentan terhadap kerusakan DNA yang diinduksi oleh cisplatin, dengan cara yang sama seperti sel kanker (Sonis, 2010).</w:t>
      </w:r>
    </w:p>
    <w:p w14:paraId="751274DC" w14:textId="56106D83"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Ketika sel-sel basal epitel mukosa mengalami kerusakan DNA, kemampuan mereka untuk beregenerasi dan memelihara integritas lapisan epitel menjadi terganggu. Hal ini menyebabkan penipisan epitel (atrofi), yang akhirnya dapat berkembang menjadi ulserasi yang menyakitkan. Selain kerusakan DNA langsung, cisplatin juga diketahui dapat menginduksi stres oksidatif dengan menghasilkan spesies oksigen reaktif (ROS) di berbagai sel, termasuk sel epitel dan sel endotel vaskular di jaringan mukosa (Chavda et al., 2023). Peningkatan ROS ini memperburuk kerusakan jaringan dan memicu respons inflamasi yang kuat, yang </w:t>
      </w:r>
      <w:r w:rsidRPr="006810DB">
        <w:rPr>
          <w:rFonts w:ascii="Book Antiqua" w:hAnsi="Book Antiqua"/>
          <w:sz w:val="20"/>
          <w:szCs w:val="20"/>
          <w:lang w:val="en"/>
        </w:rPr>
        <w:lastRenderedPageBreak/>
        <w:t>menjadi dasar patofisiologi mukositis oral seperti yang akan dibahas lebih lanjut di bab berikutnya.</w:t>
      </w:r>
    </w:p>
    <w:p w14:paraId="4F46139B" w14:textId="77777777" w:rsidR="00B627C0" w:rsidRPr="006810DB" w:rsidRDefault="00B627C0" w:rsidP="006810DB">
      <w:pPr>
        <w:spacing w:after="0" w:line="276" w:lineRule="auto"/>
        <w:jc w:val="both"/>
        <w:rPr>
          <w:rFonts w:ascii="Book Antiqua" w:hAnsi="Book Antiqua"/>
          <w:sz w:val="20"/>
          <w:szCs w:val="20"/>
          <w:lang w:val="en"/>
        </w:rPr>
      </w:pPr>
    </w:p>
    <w:p w14:paraId="601A1CA6" w14:textId="2E8A8191" w:rsidR="00B258B7" w:rsidRPr="006810DB" w:rsidRDefault="00B258B7" w:rsidP="006810DB">
      <w:pPr>
        <w:pStyle w:val="Heading2"/>
        <w:numPr>
          <w:ilvl w:val="0"/>
          <w:numId w:val="17"/>
        </w:numPr>
        <w:ind w:left="284" w:hanging="284"/>
        <w:rPr>
          <w:bCs/>
          <w:szCs w:val="20"/>
          <w:lang w:val="en"/>
        </w:rPr>
      </w:pPr>
      <w:bookmarkStart w:id="53" w:name="_gzs8p7rw7l0m" w:colFirst="0" w:colLast="0"/>
      <w:bookmarkStart w:id="54" w:name="_Toc223088871"/>
      <w:bookmarkEnd w:id="53"/>
      <w:r w:rsidRPr="006810DB">
        <w:rPr>
          <w:bCs/>
          <w:szCs w:val="20"/>
          <w:lang w:val="en"/>
        </w:rPr>
        <w:t>Resistensi dan Limitasi Penggunaan Cisplatin</w:t>
      </w:r>
      <w:bookmarkEnd w:id="54"/>
    </w:p>
    <w:p w14:paraId="64C9E88A"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Meskipun cisplatin merupakan agen kemoterapi yang sangat kuat, efektivitasnya sering kali tergerus oleh munculnya resistensi obat, baik yang sudah ada sebelumnya (</w:t>
      </w:r>
      <w:r w:rsidRPr="006810DB">
        <w:rPr>
          <w:rFonts w:ascii="Book Antiqua" w:hAnsi="Book Antiqua"/>
          <w:i/>
          <w:iCs/>
          <w:sz w:val="20"/>
          <w:szCs w:val="20"/>
          <w:lang w:val="en"/>
        </w:rPr>
        <w:t>intrinsic</w:t>
      </w:r>
      <w:r w:rsidRPr="006810DB">
        <w:rPr>
          <w:rFonts w:ascii="Book Antiqua" w:hAnsi="Book Antiqua"/>
          <w:sz w:val="20"/>
          <w:szCs w:val="20"/>
          <w:lang w:val="en"/>
        </w:rPr>
        <w:t>) maupun yang berkembang selama terapi (</w:t>
      </w:r>
      <w:r w:rsidRPr="006810DB">
        <w:rPr>
          <w:rFonts w:ascii="Book Antiqua" w:hAnsi="Book Antiqua"/>
          <w:i/>
          <w:iCs/>
          <w:sz w:val="20"/>
          <w:szCs w:val="20"/>
          <w:lang w:val="en"/>
        </w:rPr>
        <w:t>acquired</w:t>
      </w:r>
      <w:r w:rsidRPr="006810DB">
        <w:rPr>
          <w:rFonts w:ascii="Book Antiqua" w:hAnsi="Book Antiqua"/>
          <w:sz w:val="20"/>
          <w:szCs w:val="20"/>
          <w:lang w:val="en"/>
        </w:rPr>
        <w:t>). Resistensi adalah fenomena multifaktorial yang kompleks di mana sel kanker mengembangkan strategi untuk menghindari atau menahan efek mematikan dari obat (Rottenberg et al., 2021). Di sisi lain, utilitas klinis cisplatin juga sangat dibatasi oleh profil toksisitasnya yang parah, terutama pada organ-organ vital seperti ginjal dan sistem saraf perifer. Toksisitas ini sering kali memaksa klinisi untuk mengurangi dosis atau menghentikan pengobatan, yang berpotensi mengorbankan hasil terapeutik.</w:t>
      </w:r>
    </w:p>
    <w:p w14:paraId="30EAE6FA"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Bayangkan sebuah kastil (sel kanker) yang diserang oleh pasukan pengepung (cisplatin). Awalnya, serangan itu sangat efektif. Namun, seiring waktu, penghuni kastil mengembangkan berbagai strategi pertahanan. Mereka membangun pompa raksasa untuk menyedot keluar air dari parit (penurunan akumulasi obat), melatih pasukan pemadam kebakaran untuk menetralkan panah api (detoksifikasi oleh glutathione), dan merekrut tim tukang reparasi yang sangat efisien untuk memperbaiki tembok yang rusak (peningkatan perbaikan DNA). Ini adalah gambaran dari resistensi. Selain itu, serangan panah api yang gencar tidak hanya merusak kastil, tetapi juga membakar desa-desa di sekitarnya, terutama fasilitas pengolahan air (ginjal) dan jaringan komunikasi (saraf). Kerusakan kolateral ini begitu parah sehingga komandan pasukan pengepung terpaksa mengurangi intensitas serangan, memberikan kesempatan bagi kastil untuk pulih dan membangun pertahanan yang lebih kuat.</w:t>
      </w:r>
    </w:p>
    <w:p w14:paraId="27771A48" w14:textId="77777777" w:rsidR="00BB4C89" w:rsidRDefault="00BB4C89">
      <w:pPr>
        <w:rPr>
          <w:rFonts w:ascii="Book Antiqua" w:hAnsi="Book Antiqua"/>
          <w:b/>
          <w:bCs/>
          <w:sz w:val="20"/>
          <w:szCs w:val="20"/>
          <w:lang w:val="en"/>
        </w:rPr>
      </w:pPr>
      <w:bookmarkStart w:id="55" w:name="_uh1w4lm3ztt5" w:colFirst="0" w:colLast="0"/>
      <w:bookmarkEnd w:id="55"/>
      <w:r>
        <w:rPr>
          <w:rFonts w:ascii="Book Antiqua" w:hAnsi="Book Antiqua"/>
          <w:b/>
          <w:bCs/>
          <w:sz w:val="20"/>
          <w:szCs w:val="20"/>
          <w:lang w:val="en"/>
        </w:rPr>
        <w:br w:type="page"/>
      </w:r>
    </w:p>
    <w:p w14:paraId="3EABCD6D" w14:textId="6B93FDA9" w:rsidR="00B258B7" w:rsidRPr="006810DB" w:rsidRDefault="00B258B7" w:rsidP="006810DB">
      <w:pPr>
        <w:pStyle w:val="ListParagraph"/>
        <w:numPr>
          <w:ilvl w:val="0"/>
          <w:numId w:val="41"/>
        </w:numPr>
        <w:spacing w:after="0" w:line="276" w:lineRule="auto"/>
        <w:ind w:left="567" w:hanging="283"/>
        <w:contextualSpacing w:val="0"/>
        <w:jc w:val="both"/>
        <w:rPr>
          <w:rFonts w:ascii="Book Antiqua" w:hAnsi="Book Antiqua"/>
          <w:b/>
          <w:bCs/>
          <w:sz w:val="20"/>
          <w:szCs w:val="20"/>
          <w:lang w:val="en"/>
        </w:rPr>
      </w:pPr>
      <w:r w:rsidRPr="006810DB">
        <w:rPr>
          <w:rFonts w:ascii="Book Antiqua" w:hAnsi="Book Antiqua"/>
          <w:b/>
          <w:bCs/>
          <w:sz w:val="20"/>
          <w:szCs w:val="20"/>
          <w:lang w:val="en"/>
        </w:rPr>
        <w:lastRenderedPageBreak/>
        <w:t>Faktor Genetik dalam Resistensi Obat</w:t>
      </w:r>
    </w:p>
    <w:p w14:paraId="5FF4A8CF"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Resistensi terhadap cisplatin dapat terjadi pada beberapa tingkatan. Pertama, sel kanker dapat mengurangi akumulasi obat di dalam sitoplasma. Ini dapat dicapai dengan menurunkan ekspresi transporter influx seperti CTR1, atau dengan meningkatkan ekspresi pompa efluks dari keluarga </w:t>
      </w:r>
      <w:r w:rsidRPr="006810DB">
        <w:rPr>
          <w:rFonts w:ascii="Book Antiqua" w:hAnsi="Book Antiqua"/>
          <w:i/>
          <w:iCs/>
          <w:sz w:val="20"/>
          <w:szCs w:val="20"/>
          <w:lang w:val="en"/>
        </w:rPr>
        <w:t>ATP-binding cassette</w:t>
      </w:r>
      <w:r w:rsidRPr="006810DB">
        <w:rPr>
          <w:rFonts w:ascii="Book Antiqua" w:hAnsi="Book Antiqua"/>
          <w:sz w:val="20"/>
          <w:szCs w:val="20"/>
          <w:lang w:val="en"/>
        </w:rPr>
        <w:t xml:space="preserve"> (ABC), seperti MRP2, yang secara aktif memompa keluar obat dari sel (Galluzzi et al., 2014). Kedua, sel dapat meningkatkan kemampuan detoksifikasi intraseluler. Peningkatan kadar </w:t>
      </w:r>
      <w:r w:rsidRPr="006810DB">
        <w:rPr>
          <w:rFonts w:ascii="Book Antiqua" w:hAnsi="Book Antiqua"/>
          <w:i/>
          <w:iCs/>
          <w:sz w:val="20"/>
          <w:szCs w:val="20"/>
          <w:lang w:val="en"/>
        </w:rPr>
        <w:t>glutathione</w:t>
      </w:r>
      <w:r w:rsidRPr="006810DB">
        <w:rPr>
          <w:rFonts w:ascii="Book Antiqua" w:hAnsi="Book Antiqua"/>
          <w:sz w:val="20"/>
          <w:szCs w:val="20"/>
          <w:lang w:val="en"/>
        </w:rPr>
        <w:t xml:space="preserve"> (GSH) dan enzim terkait seperti </w:t>
      </w:r>
      <w:r w:rsidRPr="006810DB">
        <w:rPr>
          <w:rFonts w:ascii="Book Antiqua" w:hAnsi="Book Antiqua"/>
          <w:i/>
          <w:iCs/>
          <w:sz w:val="20"/>
          <w:szCs w:val="20"/>
          <w:lang w:val="en"/>
        </w:rPr>
        <w:t>glutathione S-transferase</w:t>
      </w:r>
      <w:r w:rsidRPr="006810DB">
        <w:rPr>
          <w:rFonts w:ascii="Book Antiqua" w:hAnsi="Book Antiqua"/>
          <w:sz w:val="20"/>
          <w:szCs w:val="20"/>
          <w:lang w:val="en"/>
        </w:rPr>
        <w:t xml:space="preserve"> (GST) dapat menonaktifkan cisplatin melalui konjugasi sebelum sempat mencapai DNA.</w:t>
      </w:r>
    </w:p>
    <w:p w14:paraId="47FD01B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Mekanisme resistensi yang paling penting adalah peningkatan kapasitas perbaikan DNA. Sel kanker dapat meningkatkan ekspresi protein yang terlibat dalam jalur </w:t>
      </w:r>
      <w:r w:rsidRPr="006810DB">
        <w:rPr>
          <w:rFonts w:ascii="Book Antiqua" w:hAnsi="Book Antiqua"/>
          <w:i/>
          <w:iCs/>
          <w:sz w:val="20"/>
          <w:szCs w:val="20"/>
          <w:lang w:val="en"/>
        </w:rPr>
        <w:t>Nucleotide Excision Repair</w:t>
      </w:r>
      <w:r w:rsidRPr="006810DB">
        <w:rPr>
          <w:rFonts w:ascii="Book Antiqua" w:hAnsi="Book Antiqua"/>
          <w:sz w:val="20"/>
          <w:szCs w:val="20"/>
          <w:lang w:val="en"/>
        </w:rPr>
        <w:t xml:space="preserve"> (NER), terutama protein ERCC1 (</w:t>
      </w:r>
      <w:r w:rsidRPr="006810DB">
        <w:rPr>
          <w:rFonts w:ascii="Book Antiqua" w:hAnsi="Book Antiqua"/>
          <w:i/>
          <w:iCs/>
          <w:sz w:val="20"/>
          <w:szCs w:val="20"/>
          <w:lang w:val="en"/>
        </w:rPr>
        <w:t>Excision Repair Cross-Complementation group 1</w:t>
      </w:r>
      <w:r w:rsidRPr="006810DB">
        <w:rPr>
          <w:rFonts w:ascii="Book Antiqua" w:hAnsi="Book Antiqua"/>
          <w:sz w:val="20"/>
          <w:szCs w:val="20"/>
          <w:lang w:val="en"/>
        </w:rPr>
        <w:t>). Jalur NER secara spesifik mengenali dan memotong adisi DNA yang besar dan mendistorsi heliks, seperti yang dibentuk oleh cisplatin (Rottenberg et al., 2021). Peningkatan aktivitas NER memungkinkan sel untuk secara efisien menghilangkan adisi cisplatin dari genomnya, sehingga dapat bertahan hidup dan terus berproliferasi.</w:t>
      </w:r>
    </w:p>
    <w:p w14:paraId="50378E44" w14:textId="582EB9E3" w:rsidR="00B258B7" w:rsidRPr="006810DB" w:rsidRDefault="00B258B7" w:rsidP="006810DB">
      <w:pPr>
        <w:pStyle w:val="ListParagraph"/>
        <w:numPr>
          <w:ilvl w:val="0"/>
          <w:numId w:val="41"/>
        </w:numPr>
        <w:spacing w:after="0" w:line="276" w:lineRule="auto"/>
        <w:ind w:left="567" w:hanging="283"/>
        <w:contextualSpacing w:val="0"/>
        <w:jc w:val="both"/>
        <w:rPr>
          <w:rFonts w:ascii="Book Antiqua" w:hAnsi="Book Antiqua"/>
          <w:b/>
          <w:bCs/>
          <w:sz w:val="20"/>
          <w:szCs w:val="20"/>
          <w:lang w:val="en"/>
        </w:rPr>
      </w:pPr>
      <w:bookmarkStart w:id="56" w:name="_pd39ickr4u4j" w:colFirst="0" w:colLast="0"/>
      <w:bookmarkEnd w:id="56"/>
      <w:r w:rsidRPr="006810DB">
        <w:rPr>
          <w:rFonts w:ascii="Book Antiqua" w:hAnsi="Book Antiqua"/>
          <w:b/>
          <w:bCs/>
          <w:sz w:val="20"/>
          <w:szCs w:val="20"/>
          <w:lang w:val="en"/>
        </w:rPr>
        <w:t>Toksisitas Ginjal dan Saraf sebagai Hambatan Dosis</w:t>
      </w:r>
    </w:p>
    <w:p w14:paraId="7E5996C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Nefrotoksisitas adalah efek samping utama yang membatasi dosis cisplatin. Obat ini secara selektif terakumulasi di sel-sel tubulus proksimal ginjal, di mana ia menyebabkan kerusakan seluler melalui berbagai mekanisme, termasuk stres oksidatif, disfungsi mitokondria, dan induksi apoptosis serta nekrosis (Chavda et al., 2023). Kerusakan ini dapat bermanifestasi sebagai penurunan akut laju filtrasi glomerulus (GFR) dan dapat menyebabkan gagal ginjal akut. Untuk memitigasi risiko ini, pasien yang menerima cisplatin harus menjalani hidrasi intravena yang </w:t>
      </w:r>
      <w:r w:rsidRPr="006810DB">
        <w:rPr>
          <w:rFonts w:ascii="Book Antiqua" w:hAnsi="Book Antiqua"/>
          <w:sz w:val="20"/>
          <w:szCs w:val="20"/>
          <w:lang w:val="en"/>
        </w:rPr>
        <w:lastRenderedPageBreak/>
        <w:t>agresif sebelum, selama, dan setelah pemberian obat untuk memastikan aliran urin yang tinggi.</w:t>
      </w:r>
    </w:p>
    <w:p w14:paraId="4DFB16FB"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Neurotoksisitas adalah komplikasi serius lainnya, yang biasanya muncul sebagai neuropati perifer sensorik. Gejalanya meliputi kesemutan, mati rasa, dan nyeri seperti terbakar di tangan dan kaki dengan distribusi "stoking dan sarung tangan" (</w:t>
      </w:r>
      <w:r w:rsidRPr="006810DB">
        <w:rPr>
          <w:rFonts w:ascii="Book Antiqua" w:hAnsi="Book Antiqua"/>
          <w:i/>
          <w:iCs/>
          <w:sz w:val="20"/>
          <w:szCs w:val="20"/>
          <w:lang w:val="en"/>
        </w:rPr>
        <w:t>stocking-glove</w:t>
      </w:r>
      <w:r w:rsidRPr="006810DB">
        <w:rPr>
          <w:rFonts w:ascii="Book Antiqua" w:hAnsi="Book Antiqua"/>
          <w:sz w:val="20"/>
          <w:szCs w:val="20"/>
          <w:lang w:val="en"/>
        </w:rPr>
        <w:t>). Mekanismenya diyakini melibatkan akumulasi platinum di neuron ganglion akar dorsal, menyebabkan kerusakan mitokondria dan stres oksidatif (Oun et al., 2018). Toksisitas ini bersifat kumulatif tergantung dosis dan sering kali ireversibel, yang secara signifikan dapat menurunkan kualitas hidup pasien bahkan setelah pengobatan selesai.</w:t>
      </w:r>
    </w:p>
    <w:p w14:paraId="34AD733A" w14:textId="4B79049A" w:rsidR="00B258B7" w:rsidRPr="006810DB" w:rsidRDefault="00B258B7" w:rsidP="006810DB">
      <w:pPr>
        <w:pStyle w:val="ListParagraph"/>
        <w:numPr>
          <w:ilvl w:val="0"/>
          <w:numId w:val="41"/>
        </w:numPr>
        <w:spacing w:after="0" w:line="276" w:lineRule="auto"/>
        <w:ind w:left="567" w:hanging="283"/>
        <w:contextualSpacing w:val="0"/>
        <w:jc w:val="both"/>
        <w:rPr>
          <w:rFonts w:ascii="Book Antiqua" w:hAnsi="Book Antiqua"/>
          <w:b/>
          <w:bCs/>
          <w:sz w:val="20"/>
          <w:szCs w:val="20"/>
          <w:lang w:val="en"/>
        </w:rPr>
      </w:pPr>
      <w:bookmarkStart w:id="57" w:name="_y4tzk8vyb1t3" w:colFirst="0" w:colLast="0"/>
      <w:bookmarkEnd w:id="57"/>
      <w:r w:rsidRPr="006810DB">
        <w:rPr>
          <w:rFonts w:ascii="Book Antiqua" w:hAnsi="Book Antiqua"/>
          <w:b/>
          <w:bCs/>
          <w:sz w:val="20"/>
          <w:szCs w:val="20"/>
          <w:lang w:val="en"/>
        </w:rPr>
        <w:t>Strategi Penggunaan Kombinasi Obat Kemoterapi</w:t>
      </w:r>
    </w:p>
    <w:p w14:paraId="7D2A3BF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Untuk mengatasi masalah resistensi dan memaksimalkan efek antikanker, cisplatin hampir selalu digunakan dalam kombinasi dengan agen kemoterapi lain. Prinsip di balik terapi kombinasi adalah untuk menyerang sel kanker dari berbagai sudut secara bersamaan, sehingga mengurangi kemungkinan sel untuk dapat mengembangkan pertahanan yang efektif. Idealnya, obat-obat dalam kombinasi memiliki mekanisme kerja yang berbeda dan profil toksisitas yang tidak tumpang tindih (Ghosh, 2019).</w:t>
      </w:r>
    </w:p>
    <w:p w14:paraId="46AAF8CC" w14:textId="436083F3" w:rsidR="00D51341" w:rsidRPr="006810DB" w:rsidRDefault="00B258B7" w:rsidP="00BB4C89">
      <w:pPr>
        <w:spacing w:after="0" w:line="276" w:lineRule="auto"/>
        <w:ind w:left="567" w:firstLine="567"/>
        <w:jc w:val="both"/>
        <w:rPr>
          <w:rFonts w:ascii="Book Antiqua" w:eastAsiaTheme="majorEastAsia" w:hAnsi="Book Antiqua" w:cstheme="majorBidi"/>
          <w:b/>
          <w:color w:val="000000" w:themeColor="text1"/>
          <w:sz w:val="20"/>
          <w:szCs w:val="26"/>
          <w:lang w:val="zh-CN"/>
        </w:rPr>
      </w:pPr>
      <w:r w:rsidRPr="006810DB">
        <w:rPr>
          <w:rFonts w:ascii="Book Antiqua" w:hAnsi="Book Antiqua"/>
          <w:sz w:val="20"/>
          <w:szCs w:val="20"/>
          <w:lang w:val="en"/>
        </w:rPr>
        <w:t xml:space="preserve">Sebagai contoh, dalam pengobatan kanker kepala dan leher, cisplatin sering dikombinasikan dengan 5-fluorouracil (5-FU), sebuah antimetabolit yang menghambat sintesis DNA, dan </w:t>
      </w:r>
      <w:r w:rsidRPr="006810DB">
        <w:rPr>
          <w:rFonts w:ascii="Book Antiqua" w:hAnsi="Book Antiqua"/>
          <w:i/>
          <w:iCs/>
          <w:sz w:val="20"/>
          <w:szCs w:val="20"/>
          <w:lang w:val="en"/>
        </w:rPr>
        <w:t>docetaxel</w:t>
      </w:r>
      <w:r w:rsidRPr="006810DB">
        <w:rPr>
          <w:rFonts w:ascii="Book Antiqua" w:hAnsi="Book Antiqua"/>
          <w:sz w:val="20"/>
          <w:szCs w:val="20"/>
          <w:lang w:val="en"/>
        </w:rPr>
        <w:t xml:space="preserve">, yang mengganggu fungsi mikrotubulus. Kombinasi ini menargetkan tiga proses seluler yang berbeda secara fundamental. Selain itu, pengembangan analog platinum generasi kedua dan ketiga, seperti </w:t>
      </w:r>
      <w:r w:rsidRPr="006810DB">
        <w:rPr>
          <w:rFonts w:ascii="Book Antiqua" w:hAnsi="Book Antiqua"/>
          <w:i/>
          <w:iCs/>
          <w:sz w:val="20"/>
          <w:szCs w:val="20"/>
          <w:lang w:val="en"/>
        </w:rPr>
        <w:t>carboplatin</w:t>
      </w:r>
      <w:r w:rsidRPr="006810DB">
        <w:rPr>
          <w:rFonts w:ascii="Book Antiqua" w:hAnsi="Book Antiqua"/>
          <w:sz w:val="20"/>
          <w:szCs w:val="20"/>
          <w:lang w:val="en"/>
        </w:rPr>
        <w:t xml:space="preserve"> dan </w:t>
      </w:r>
      <w:r w:rsidRPr="006810DB">
        <w:rPr>
          <w:rFonts w:ascii="Book Antiqua" w:hAnsi="Book Antiqua"/>
          <w:i/>
          <w:iCs/>
          <w:sz w:val="20"/>
          <w:szCs w:val="20"/>
          <w:lang w:val="en"/>
        </w:rPr>
        <w:t>oxaliplatin</w:t>
      </w:r>
      <w:r w:rsidRPr="006810DB">
        <w:rPr>
          <w:rFonts w:ascii="Book Antiqua" w:hAnsi="Book Antiqua"/>
          <w:sz w:val="20"/>
          <w:szCs w:val="20"/>
          <w:lang w:val="en"/>
        </w:rPr>
        <w:t xml:space="preserve">, merupakan strategi lain untuk mengatasi keterbatasan cisplatin. </w:t>
      </w:r>
      <w:r w:rsidRPr="006810DB">
        <w:rPr>
          <w:rFonts w:ascii="Book Antiqua" w:hAnsi="Book Antiqua"/>
          <w:i/>
          <w:iCs/>
          <w:sz w:val="20"/>
          <w:szCs w:val="20"/>
          <w:lang w:val="en"/>
        </w:rPr>
        <w:t>Carboplatin</w:t>
      </w:r>
      <w:r w:rsidRPr="006810DB">
        <w:rPr>
          <w:rFonts w:ascii="Book Antiqua" w:hAnsi="Book Antiqua"/>
          <w:sz w:val="20"/>
          <w:szCs w:val="20"/>
          <w:lang w:val="en"/>
        </w:rPr>
        <w:t xml:space="preserve"> memiliki profil nefrotoksisitas yang lebih rendah, sementara </w:t>
      </w:r>
      <w:r w:rsidRPr="006810DB">
        <w:rPr>
          <w:rFonts w:ascii="Book Antiqua" w:hAnsi="Book Antiqua"/>
          <w:i/>
          <w:iCs/>
          <w:sz w:val="20"/>
          <w:szCs w:val="20"/>
          <w:lang w:val="en"/>
        </w:rPr>
        <w:t>oxaliplatin</w:t>
      </w:r>
      <w:r w:rsidRPr="006810DB">
        <w:rPr>
          <w:rFonts w:ascii="Book Antiqua" w:hAnsi="Book Antiqua"/>
          <w:sz w:val="20"/>
          <w:szCs w:val="20"/>
          <w:lang w:val="en"/>
        </w:rPr>
        <w:t xml:space="preserve"> menunjukkan aktivitas terhadap beberapa sel kanker yang resisten terhadap cisplatin, meskipun dengan profil neurotoksisitas yang berbeda.</w:t>
      </w:r>
      <w:bookmarkStart w:id="58" w:name="_hz2dnjdj3agv" w:colFirst="0" w:colLast="0"/>
      <w:bookmarkEnd w:id="58"/>
      <w:r w:rsidR="00D51341" w:rsidRPr="006810DB">
        <w:rPr>
          <w:rFonts w:ascii="Book Antiqua" w:hAnsi="Book Antiqua"/>
        </w:rPr>
        <w:br w:type="page"/>
      </w:r>
    </w:p>
    <w:p w14:paraId="4DC7AFED" w14:textId="417BD519" w:rsidR="00B258B7" w:rsidRPr="006810DB" w:rsidRDefault="00B258B7" w:rsidP="006810DB">
      <w:pPr>
        <w:pStyle w:val="Heading2"/>
        <w:jc w:val="center"/>
        <w:rPr>
          <w:b w:val="0"/>
          <w:bCs/>
          <w:szCs w:val="20"/>
          <w:lang w:val="en"/>
        </w:rPr>
      </w:pPr>
      <w:bookmarkStart w:id="59" w:name="_Toc223088872"/>
      <w:r w:rsidRPr="006810DB">
        <w:rPr>
          <w:highlight w:val="yellow"/>
        </w:rPr>
        <w:lastRenderedPageBreak/>
        <w:t>KESIMPULAN</w:t>
      </w:r>
      <w:bookmarkEnd w:id="59"/>
    </w:p>
    <w:p w14:paraId="3505643B" w14:textId="77777777" w:rsidR="00B627C0" w:rsidRPr="006810DB" w:rsidRDefault="00B627C0" w:rsidP="006810DB">
      <w:pPr>
        <w:spacing w:after="0" w:line="276" w:lineRule="auto"/>
        <w:jc w:val="both"/>
        <w:rPr>
          <w:rFonts w:ascii="Book Antiqua" w:hAnsi="Book Antiqua"/>
          <w:b/>
          <w:bCs/>
          <w:sz w:val="20"/>
          <w:szCs w:val="20"/>
          <w:lang w:val="en"/>
        </w:rPr>
      </w:pPr>
      <w:bookmarkStart w:id="60" w:name="_sh811e7c2by" w:colFirst="0" w:colLast="0"/>
      <w:bookmarkEnd w:id="60"/>
    </w:p>
    <w:p w14:paraId="2989CED0" w14:textId="77777777" w:rsidR="00D51341" w:rsidRPr="006810DB" w:rsidRDefault="00D51341" w:rsidP="006810DB">
      <w:pPr>
        <w:spacing w:line="276" w:lineRule="auto"/>
        <w:rPr>
          <w:rFonts w:ascii="Book Antiqua" w:eastAsiaTheme="majorEastAsia" w:hAnsi="Book Antiqua" w:cstheme="majorBidi"/>
          <w:b/>
          <w:color w:val="000000" w:themeColor="text1"/>
          <w:sz w:val="20"/>
          <w:szCs w:val="26"/>
          <w:lang w:val="zh-CN"/>
        </w:rPr>
      </w:pPr>
      <w:r w:rsidRPr="006810DB">
        <w:rPr>
          <w:rFonts w:ascii="Book Antiqua" w:hAnsi="Book Antiqua"/>
        </w:rPr>
        <w:br w:type="page"/>
      </w:r>
    </w:p>
    <w:p w14:paraId="6F19A08B" w14:textId="77777777" w:rsidR="00824155" w:rsidRPr="006810DB" w:rsidRDefault="00824155" w:rsidP="00824155">
      <w:pPr>
        <w:pStyle w:val="Heading2"/>
        <w:jc w:val="center"/>
        <w:rPr>
          <w:b w:val="0"/>
          <w:bCs/>
          <w:szCs w:val="20"/>
          <w:lang w:val="en"/>
        </w:rPr>
      </w:pPr>
      <w:bookmarkStart w:id="61" w:name="_Toc223088873"/>
      <w:r w:rsidRPr="006810DB">
        <w:rPr>
          <w:highlight w:val="yellow"/>
        </w:rPr>
        <w:lastRenderedPageBreak/>
        <w:t>GLOSARIUM</w:t>
      </w:r>
      <w:bookmarkEnd w:id="61"/>
    </w:p>
    <w:p w14:paraId="4530E08B" w14:textId="77777777" w:rsidR="00824155" w:rsidRPr="006810DB" w:rsidRDefault="00824155" w:rsidP="00824155">
      <w:pPr>
        <w:spacing w:after="0" w:line="276" w:lineRule="auto"/>
        <w:rPr>
          <w:rFonts w:ascii="Book Antiqua" w:hAnsi="Book Antiqua"/>
          <w:b/>
          <w:bCs/>
          <w:sz w:val="20"/>
          <w:szCs w:val="20"/>
          <w:lang w:val="en"/>
        </w:rPr>
      </w:pPr>
      <w:bookmarkStart w:id="62" w:name="_a6qe3adzhzdl" w:colFirst="0" w:colLast="0"/>
      <w:bookmarkEnd w:id="62"/>
    </w:p>
    <w:p w14:paraId="7F230BA2" w14:textId="77777777" w:rsidR="00824155" w:rsidRPr="006810DB" w:rsidRDefault="00824155" w:rsidP="00824155">
      <w:pPr>
        <w:spacing w:after="0" w:line="276" w:lineRule="auto"/>
        <w:rPr>
          <w:rFonts w:ascii="Book Antiqua" w:hAnsi="Book Antiqua"/>
          <w:b/>
          <w:bCs/>
          <w:sz w:val="20"/>
          <w:szCs w:val="20"/>
          <w:lang w:val="en"/>
        </w:rPr>
      </w:pPr>
    </w:p>
    <w:p w14:paraId="7E824F91" w14:textId="77777777" w:rsidR="00824155" w:rsidRPr="006810DB" w:rsidRDefault="00824155" w:rsidP="00824155">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30AD551A" w14:textId="77777777" w:rsidR="00F95D8D" w:rsidRPr="006810DB" w:rsidRDefault="00F95D8D" w:rsidP="006810DB">
      <w:pPr>
        <w:pStyle w:val="Heading2"/>
        <w:jc w:val="center"/>
      </w:pPr>
      <w:bookmarkStart w:id="63" w:name="_Toc223088874"/>
      <w:r w:rsidRPr="006810DB">
        <w:lastRenderedPageBreak/>
        <w:t>DAFTAR PUSTAKA</w:t>
      </w:r>
      <w:bookmarkEnd w:id="63"/>
      <w:r w:rsidRPr="006810DB">
        <w:t xml:space="preserve"> </w:t>
      </w:r>
    </w:p>
    <w:p w14:paraId="04A6A190" w14:textId="77777777" w:rsidR="00F95D8D" w:rsidRPr="006810DB" w:rsidRDefault="00F95D8D" w:rsidP="006810DB">
      <w:pPr>
        <w:spacing w:after="0" w:line="276" w:lineRule="auto"/>
        <w:jc w:val="both"/>
        <w:rPr>
          <w:rFonts w:ascii="Book Antiqua" w:hAnsi="Book Antiqua"/>
          <w:b/>
          <w:bCs/>
          <w:sz w:val="20"/>
          <w:szCs w:val="20"/>
          <w:lang w:val="en"/>
        </w:rPr>
      </w:pPr>
    </w:p>
    <w:p w14:paraId="0790BFFF"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Brouwers, E. E. M., Huitema, A. D. R., Beijnen, J. H., &amp; Schellens, J. H. M. (2020). Long-term platinum retention after cisplatin-based chemotherapy. </w:t>
      </w:r>
      <w:r w:rsidRPr="006810DB">
        <w:rPr>
          <w:rFonts w:ascii="Book Antiqua" w:hAnsi="Book Antiqua"/>
          <w:i/>
          <w:iCs/>
          <w:color w:val="000000" w:themeColor="text1"/>
          <w:sz w:val="20"/>
          <w:szCs w:val="20"/>
          <w:lang w:val="en"/>
        </w:rPr>
        <w:t>Cancer Chemotherapy and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85</w:t>
      </w:r>
      <w:r w:rsidRPr="006810DB">
        <w:rPr>
          <w:rFonts w:ascii="Book Antiqua" w:hAnsi="Book Antiqua"/>
          <w:color w:val="000000" w:themeColor="text1"/>
          <w:sz w:val="20"/>
          <w:szCs w:val="20"/>
          <w:lang w:val="en"/>
        </w:rPr>
        <w:t>(1), 1-13.</w:t>
      </w:r>
      <w:hyperlink r:id="rId33">
        <w:r w:rsidRPr="006810DB">
          <w:rPr>
            <w:rStyle w:val="Hyperlink"/>
            <w:rFonts w:ascii="Book Antiqua" w:hAnsi="Book Antiqua"/>
            <w:color w:val="000000" w:themeColor="text1"/>
            <w:sz w:val="20"/>
            <w:szCs w:val="20"/>
            <w:u w:val="none"/>
            <w:lang w:val="en"/>
          </w:rPr>
          <w:t xml:space="preserve"> </w:t>
        </w:r>
      </w:hyperlink>
      <w:hyperlink r:id="rId34">
        <w:r w:rsidRPr="006810DB">
          <w:rPr>
            <w:rStyle w:val="Hyperlink"/>
            <w:rFonts w:ascii="Book Antiqua" w:hAnsi="Book Antiqua"/>
            <w:color w:val="000000" w:themeColor="text1"/>
            <w:sz w:val="20"/>
            <w:szCs w:val="20"/>
            <w:u w:val="none"/>
            <w:lang w:val="en"/>
          </w:rPr>
          <w:t>https://doi.org/10.1007/s00280-019-03977-z</w:t>
        </w:r>
      </w:hyperlink>
    </w:p>
    <w:p w14:paraId="57225355"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Chavda, V. P., Vihol, D., Shah, P., Vaghasiya, D., &amp; Patel, S. S. (2023). Cisplatin-induced nephrotoxicity: a comprehensive review of pathogenesis and potential therapeutic agents. </w:t>
      </w:r>
      <w:r w:rsidRPr="006810DB">
        <w:rPr>
          <w:rFonts w:ascii="Book Antiqua" w:hAnsi="Book Antiqua"/>
          <w:i/>
          <w:iCs/>
          <w:color w:val="000000" w:themeColor="text1"/>
          <w:sz w:val="20"/>
          <w:szCs w:val="20"/>
          <w:lang w:val="en"/>
        </w:rPr>
        <w:t>Naunyn-Schmiedeberg's Archives of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396</w:t>
      </w:r>
      <w:r w:rsidRPr="006810DB">
        <w:rPr>
          <w:rFonts w:ascii="Book Antiqua" w:hAnsi="Book Antiqua"/>
          <w:color w:val="000000" w:themeColor="text1"/>
          <w:sz w:val="20"/>
          <w:szCs w:val="20"/>
          <w:lang w:val="en"/>
        </w:rPr>
        <w:t>(4), 655–671.</w:t>
      </w:r>
      <w:hyperlink r:id="rId35">
        <w:r w:rsidRPr="006810DB">
          <w:rPr>
            <w:rStyle w:val="Hyperlink"/>
            <w:rFonts w:ascii="Book Antiqua" w:hAnsi="Book Antiqua"/>
            <w:color w:val="000000" w:themeColor="text1"/>
            <w:sz w:val="20"/>
            <w:szCs w:val="20"/>
            <w:u w:val="none"/>
            <w:lang w:val="en"/>
          </w:rPr>
          <w:t xml:space="preserve"> </w:t>
        </w:r>
      </w:hyperlink>
      <w:hyperlink r:id="rId36">
        <w:r w:rsidRPr="006810DB">
          <w:rPr>
            <w:rStyle w:val="Hyperlink"/>
            <w:rFonts w:ascii="Book Antiqua" w:hAnsi="Book Antiqua"/>
            <w:color w:val="000000" w:themeColor="text1"/>
            <w:sz w:val="20"/>
            <w:szCs w:val="20"/>
            <w:u w:val="none"/>
            <w:lang w:val="en"/>
          </w:rPr>
          <w:t>https://doi.org/10.1007/s00210-022-02343-y</w:t>
        </w:r>
      </w:hyperlink>
    </w:p>
    <w:p w14:paraId="5AE3B879"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Dasari, S., &amp; Tchounwou, P. B. (2014). Cisplatin in cancer therapy: molecular mechanisms of action. </w:t>
      </w:r>
      <w:r w:rsidRPr="006810DB">
        <w:rPr>
          <w:rFonts w:ascii="Book Antiqua" w:hAnsi="Book Antiqua"/>
          <w:i/>
          <w:iCs/>
          <w:color w:val="000000" w:themeColor="text1"/>
          <w:sz w:val="20"/>
          <w:szCs w:val="20"/>
          <w:lang w:val="en"/>
        </w:rPr>
        <w:t>European Journal of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740</w:t>
      </w:r>
      <w:r w:rsidRPr="006810DB">
        <w:rPr>
          <w:rFonts w:ascii="Book Antiqua" w:hAnsi="Book Antiqua"/>
          <w:color w:val="000000" w:themeColor="text1"/>
          <w:sz w:val="20"/>
          <w:szCs w:val="20"/>
          <w:lang w:val="en"/>
        </w:rPr>
        <w:t>, 364–378.</w:t>
      </w:r>
      <w:hyperlink r:id="rId37">
        <w:r w:rsidRPr="006810DB">
          <w:rPr>
            <w:rStyle w:val="Hyperlink"/>
            <w:rFonts w:ascii="Book Antiqua" w:hAnsi="Book Antiqua"/>
            <w:color w:val="000000" w:themeColor="text1"/>
            <w:sz w:val="20"/>
            <w:szCs w:val="20"/>
            <w:u w:val="none"/>
            <w:lang w:val="en"/>
          </w:rPr>
          <w:t xml:space="preserve"> </w:t>
        </w:r>
      </w:hyperlink>
      <w:hyperlink r:id="rId38">
        <w:r w:rsidRPr="006810DB">
          <w:rPr>
            <w:rStyle w:val="Hyperlink"/>
            <w:rFonts w:ascii="Book Antiqua" w:hAnsi="Book Antiqua"/>
            <w:color w:val="000000" w:themeColor="text1"/>
            <w:sz w:val="20"/>
            <w:szCs w:val="20"/>
            <w:u w:val="none"/>
            <w:lang w:val="en"/>
          </w:rPr>
          <w:t>https://doi.org/10.1016/j.ejphar.2014.07.025</w:t>
        </w:r>
      </w:hyperlink>
    </w:p>
    <w:p w14:paraId="6D28D691"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Dilruba, S., &amp; Kalayda, G. V. (2016). Platinum-based drugs: past, present and future. </w:t>
      </w:r>
      <w:r w:rsidRPr="006810DB">
        <w:rPr>
          <w:rFonts w:ascii="Book Antiqua" w:hAnsi="Book Antiqua"/>
          <w:i/>
          <w:iCs/>
          <w:color w:val="000000" w:themeColor="text1"/>
          <w:sz w:val="20"/>
          <w:szCs w:val="20"/>
          <w:lang w:val="en"/>
        </w:rPr>
        <w:t>Cancer Chemotherapy and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77</w:t>
      </w:r>
      <w:r w:rsidRPr="006810DB">
        <w:rPr>
          <w:rFonts w:ascii="Book Antiqua" w:hAnsi="Book Antiqua"/>
          <w:color w:val="000000" w:themeColor="text1"/>
          <w:sz w:val="20"/>
          <w:szCs w:val="20"/>
          <w:lang w:val="en"/>
        </w:rPr>
        <w:t>(6), 1103–1124.</w:t>
      </w:r>
      <w:hyperlink r:id="rId39">
        <w:r w:rsidRPr="006810DB">
          <w:rPr>
            <w:rStyle w:val="Hyperlink"/>
            <w:rFonts w:ascii="Book Antiqua" w:hAnsi="Book Antiqua"/>
            <w:color w:val="000000" w:themeColor="text1"/>
            <w:sz w:val="20"/>
            <w:szCs w:val="20"/>
            <w:u w:val="none"/>
            <w:lang w:val="en"/>
          </w:rPr>
          <w:t xml:space="preserve"> </w:t>
        </w:r>
      </w:hyperlink>
      <w:hyperlink r:id="rId40">
        <w:r w:rsidRPr="006810DB">
          <w:rPr>
            <w:rStyle w:val="Hyperlink"/>
            <w:rFonts w:ascii="Book Antiqua" w:hAnsi="Book Antiqua"/>
            <w:color w:val="000000" w:themeColor="text1"/>
            <w:sz w:val="20"/>
            <w:szCs w:val="20"/>
            <w:u w:val="none"/>
            <w:lang w:val="en"/>
          </w:rPr>
          <w:t>https://doi.org/10.1007/s00280-016-3023-z</w:t>
        </w:r>
      </w:hyperlink>
    </w:p>
    <w:p w14:paraId="52BC65FF"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Galluzzi, L., Senovilla, L., Vitale, I., Michels, J., Martins, I., Kepp, O., ... &amp; Kroemer, G. (2012). Molecular mechanisms of cisplatin resistance. </w:t>
      </w:r>
      <w:r w:rsidRPr="006810DB">
        <w:rPr>
          <w:rFonts w:ascii="Book Antiqua" w:hAnsi="Book Antiqua"/>
          <w:i/>
          <w:iCs/>
          <w:color w:val="000000" w:themeColor="text1"/>
          <w:sz w:val="20"/>
          <w:szCs w:val="20"/>
          <w:lang w:val="en"/>
        </w:rPr>
        <w:t>Oncogene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31</w:t>
      </w:r>
      <w:r w:rsidRPr="006810DB">
        <w:rPr>
          <w:rFonts w:ascii="Book Antiqua" w:hAnsi="Book Antiqua"/>
          <w:color w:val="000000" w:themeColor="text1"/>
          <w:sz w:val="20"/>
          <w:szCs w:val="20"/>
          <w:lang w:val="en"/>
        </w:rPr>
        <w:t>(15), 1869-1883.</w:t>
      </w:r>
      <w:hyperlink r:id="rId41">
        <w:r w:rsidRPr="006810DB">
          <w:rPr>
            <w:rStyle w:val="Hyperlink"/>
            <w:rFonts w:ascii="Book Antiqua" w:hAnsi="Book Antiqua"/>
            <w:color w:val="000000" w:themeColor="text1"/>
            <w:sz w:val="20"/>
            <w:szCs w:val="20"/>
            <w:u w:val="none"/>
            <w:lang w:val="en"/>
          </w:rPr>
          <w:t xml:space="preserve"> </w:t>
        </w:r>
      </w:hyperlink>
      <w:hyperlink r:id="rId42">
        <w:r w:rsidRPr="006810DB">
          <w:rPr>
            <w:rStyle w:val="Hyperlink"/>
            <w:rFonts w:ascii="Book Antiqua" w:hAnsi="Book Antiqua"/>
            <w:color w:val="000000" w:themeColor="text1"/>
            <w:sz w:val="20"/>
            <w:szCs w:val="20"/>
            <w:u w:val="none"/>
            <w:lang w:val="en"/>
          </w:rPr>
          <w:t>https://doi.org/10.1038/onc.2011.384</w:t>
        </w:r>
      </w:hyperlink>
    </w:p>
    <w:p w14:paraId="20A1C214"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Galluzzi, L., Vitale, I., Michels, J., Martins, I., Kepp, O., Senovilla, L., ... &amp; Kroemer, G. (2014). Impact of platinum-based chemotherapy on the tumor-associated immune system. </w:t>
      </w:r>
      <w:r w:rsidRPr="006810DB">
        <w:rPr>
          <w:rFonts w:ascii="Book Antiqua" w:hAnsi="Book Antiqua"/>
          <w:i/>
          <w:iCs/>
          <w:color w:val="000000" w:themeColor="text1"/>
          <w:sz w:val="20"/>
          <w:szCs w:val="20"/>
          <w:lang w:val="en"/>
        </w:rPr>
        <w:t>Seminars in Oncology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41</w:t>
      </w:r>
      <w:r w:rsidRPr="006810DB">
        <w:rPr>
          <w:rFonts w:ascii="Book Antiqua" w:hAnsi="Book Antiqua"/>
          <w:color w:val="000000" w:themeColor="text1"/>
          <w:sz w:val="20"/>
          <w:szCs w:val="20"/>
          <w:lang w:val="en"/>
        </w:rPr>
        <w:t>(2), 173-190.</w:t>
      </w:r>
      <w:hyperlink r:id="rId43">
        <w:r w:rsidRPr="006810DB">
          <w:rPr>
            <w:rStyle w:val="Hyperlink"/>
            <w:rFonts w:ascii="Book Antiqua" w:hAnsi="Book Antiqua"/>
            <w:color w:val="000000" w:themeColor="text1"/>
            <w:sz w:val="20"/>
            <w:szCs w:val="20"/>
            <w:u w:val="none"/>
            <w:lang w:val="en"/>
          </w:rPr>
          <w:t xml:space="preserve"> </w:t>
        </w:r>
      </w:hyperlink>
      <w:hyperlink r:id="rId44">
        <w:r w:rsidRPr="006810DB">
          <w:rPr>
            <w:rStyle w:val="Hyperlink"/>
            <w:rFonts w:ascii="Book Antiqua" w:hAnsi="Book Antiqua"/>
            <w:color w:val="000000" w:themeColor="text1"/>
            <w:sz w:val="20"/>
            <w:szCs w:val="20"/>
            <w:u w:val="none"/>
            <w:lang w:val="en"/>
          </w:rPr>
          <w:t>https://doi.org/10.1053/j.seminoncol.2014.02.004</w:t>
        </w:r>
      </w:hyperlink>
    </w:p>
    <w:p w14:paraId="789F35F4"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Ghosh, S. (2019). Cisplatin: The first metal based anticancer drug. </w:t>
      </w:r>
      <w:r w:rsidRPr="006810DB">
        <w:rPr>
          <w:rFonts w:ascii="Book Antiqua" w:hAnsi="Book Antiqua"/>
          <w:i/>
          <w:iCs/>
          <w:color w:val="000000" w:themeColor="text1"/>
          <w:sz w:val="20"/>
          <w:szCs w:val="20"/>
          <w:lang w:val="en"/>
        </w:rPr>
        <w:t>Bioorganic Chemistry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88</w:t>
      </w:r>
      <w:r w:rsidRPr="006810DB">
        <w:rPr>
          <w:rFonts w:ascii="Book Antiqua" w:hAnsi="Book Antiqua"/>
          <w:color w:val="000000" w:themeColor="text1"/>
          <w:sz w:val="20"/>
          <w:szCs w:val="20"/>
          <w:lang w:val="en"/>
        </w:rPr>
        <w:t>, 102925.</w:t>
      </w:r>
      <w:hyperlink r:id="rId45">
        <w:r w:rsidRPr="006810DB">
          <w:rPr>
            <w:rStyle w:val="Hyperlink"/>
            <w:rFonts w:ascii="Book Antiqua" w:hAnsi="Book Antiqua"/>
            <w:color w:val="000000" w:themeColor="text1"/>
            <w:sz w:val="20"/>
            <w:szCs w:val="20"/>
            <w:u w:val="none"/>
            <w:lang w:val="en"/>
          </w:rPr>
          <w:t xml:space="preserve"> </w:t>
        </w:r>
      </w:hyperlink>
      <w:hyperlink r:id="rId46">
        <w:r w:rsidRPr="006810DB">
          <w:rPr>
            <w:rStyle w:val="Hyperlink"/>
            <w:rFonts w:ascii="Book Antiqua" w:hAnsi="Book Antiqua"/>
            <w:color w:val="000000" w:themeColor="text1"/>
            <w:sz w:val="20"/>
            <w:szCs w:val="20"/>
            <w:u w:val="none"/>
            <w:lang w:val="en"/>
          </w:rPr>
          <w:t>https://doi.org/10.1016/j.bioorg.2019.102925</w:t>
        </w:r>
      </w:hyperlink>
    </w:p>
    <w:p w14:paraId="0EE5D6CB" w14:textId="77777777" w:rsidR="00F95D8D" w:rsidRPr="006810DB" w:rsidRDefault="00F95D8D" w:rsidP="006810DB">
      <w:pPr>
        <w:spacing w:line="276" w:lineRule="auto"/>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br w:type="page"/>
      </w:r>
    </w:p>
    <w:p w14:paraId="226DD4AF"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Oun, R., Moussa, Y. E., &amp; Wheate, N. J. (2018). The side effects of platinum-based chemotherapy drugs: a review for chemists. </w:t>
      </w:r>
      <w:r w:rsidRPr="006810DB">
        <w:rPr>
          <w:rFonts w:ascii="Book Antiqua" w:hAnsi="Book Antiqua"/>
          <w:i/>
          <w:iCs/>
          <w:color w:val="000000" w:themeColor="text1"/>
          <w:sz w:val="20"/>
          <w:szCs w:val="20"/>
          <w:lang w:val="en"/>
        </w:rPr>
        <w:t>Dalton Transactions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47</w:t>
      </w:r>
      <w:r w:rsidRPr="006810DB">
        <w:rPr>
          <w:rFonts w:ascii="Book Antiqua" w:hAnsi="Book Antiqua"/>
          <w:color w:val="000000" w:themeColor="text1"/>
          <w:sz w:val="20"/>
          <w:szCs w:val="20"/>
          <w:lang w:val="en"/>
        </w:rPr>
        <w:t>(19), 6645–6653.</w:t>
      </w:r>
      <w:hyperlink r:id="rId47">
        <w:r w:rsidRPr="006810DB">
          <w:rPr>
            <w:rStyle w:val="Hyperlink"/>
            <w:rFonts w:ascii="Book Antiqua" w:hAnsi="Book Antiqua"/>
            <w:color w:val="000000" w:themeColor="text1"/>
            <w:sz w:val="20"/>
            <w:szCs w:val="20"/>
            <w:u w:val="none"/>
            <w:lang w:val="en"/>
          </w:rPr>
          <w:t xml:space="preserve"> </w:t>
        </w:r>
      </w:hyperlink>
      <w:hyperlink r:id="rId48">
        <w:r w:rsidRPr="006810DB">
          <w:rPr>
            <w:rStyle w:val="Hyperlink"/>
            <w:rFonts w:ascii="Book Antiqua" w:hAnsi="Book Antiqua"/>
            <w:color w:val="000000" w:themeColor="text1"/>
            <w:sz w:val="20"/>
            <w:szCs w:val="20"/>
            <w:u w:val="none"/>
            <w:lang w:val="en"/>
          </w:rPr>
          <w:t>https://doi.org/10.1039/c8dt00838h</w:t>
        </w:r>
      </w:hyperlink>
    </w:p>
    <w:p w14:paraId="6A84F41F"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Reedijk, J. (2019). Platinum-based anticancer drugs: a personal view on the occasion of the 40th anniversary of cis-dichlorodiammineplatinum(II) (cisplatin). </w:t>
      </w:r>
      <w:r w:rsidRPr="006810DB">
        <w:rPr>
          <w:rFonts w:ascii="Book Antiqua" w:hAnsi="Book Antiqua"/>
          <w:i/>
          <w:iCs/>
          <w:color w:val="000000" w:themeColor="text1"/>
          <w:sz w:val="20"/>
          <w:szCs w:val="20"/>
          <w:lang w:val="en"/>
        </w:rPr>
        <w:t>Inorganica Chimica Acta</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498</w:t>
      </w:r>
      <w:r w:rsidRPr="006810DB">
        <w:rPr>
          <w:rFonts w:ascii="Book Antiqua" w:hAnsi="Book Antiqua"/>
          <w:color w:val="000000" w:themeColor="text1"/>
          <w:sz w:val="20"/>
          <w:szCs w:val="20"/>
          <w:lang w:val="en"/>
        </w:rPr>
        <w:t>, 119154.</w:t>
      </w:r>
      <w:hyperlink r:id="rId49">
        <w:r w:rsidRPr="006810DB">
          <w:rPr>
            <w:rStyle w:val="Hyperlink"/>
            <w:rFonts w:ascii="Book Antiqua" w:hAnsi="Book Antiqua"/>
            <w:color w:val="000000" w:themeColor="text1"/>
            <w:sz w:val="20"/>
            <w:szCs w:val="20"/>
            <w:u w:val="none"/>
            <w:lang w:val="en"/>
          </w:rPr>
          <w:t xml:space="preserve"> </w:t>
        </w:r>
      </w:hyperlink>
      <w:hyperlink r:id="rId50">
        <w:r w:rsidRPr="006810DB">
          <w:rPr>
            <w:rStyle w:val="Hyperlink"/>
            <w:rFonts w:ascii="Book Antiqua" w:hAnsi="Book Antiqua"/>
            <w:color w:val="000000" w:themeColor="text1"/>
            <w:sz w:val="20"/>
            <w:szCs w:val="20"/>
            <w:u w:val="none"/>
            <w:lang w:val="en"/>
          </w:rPr>
          <w:t>https://doi.org/10.1016/j.ica.2019.119154</w:t>
        </w:r>
      </w:hyperlink>
    </w:p>
    <w:p w14:paraId="09962C19"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Rottenberg, S., Disler, C., &amp; Perego, P. (2021). The rediscovery of platinum-based cancer therapy. </w:t>
      </w:r>
      <w:r w:rsidRPr="006810DB">
        <w:rPr>
          <w:rFonts w:ascii="Book Antiqua" w:hAnsi="Book Antiqua"/>
          <w:i/>
          <w:iCs/>
          <w:color w:val="000000" w:themeColor="text1"/>
          <w:sz w:val="20"/>
          <w:szCs w:val="20"/>
          <w:lang w:val="en"/>
        </w:rPr>
        <w:t>Nature Reviews 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21</w:t>
      </w:r>
      <w:r w:rsidRPr="006810DB">
        <w:rPr>
          <w:rFonts w:ascii="Book Antiqua" w:hAnsi="Book Antiqua"/>
          <w:color w:val="000000" w:themeColor="text1"/>
          <w:sz w:val="20"/>
          <w:szCs w:val="20"/>
          <w:lang w:val="en"/>
        </w:rPr>
        <w:t>(1), 37–50.</w:t>
      </w:r>
      <w:hyperlink r:id="rId51">
        <w:r w:rsidRPr="006810DB">
          <w:rPr>
            <w:rStyle w:val="Hyperlink"/>
            <w:rFonts w:ascii="Book Antiqua" w:hAnsi="Book Antiqua"/>
            <w:color w:val="000000" w:themeColor="text1"/>
            <w:sz w:val="20"/>
            <w:szCs w:val="20"/>
            <w:u w:val="none"/>
            <w:lang w:val="en"/>
          </w:rPr>
          <w:t xml:space="preserve"> </w:t>
        </w:r>
      </w:hyperlink>
      <w:hyperlink r:id="rId52">
        <w:r w:rsidRPr="006810DB">
          <w:rPr>
            <w:rStyle w:val="Hyperlink"/>
            <w:rFonts w:ascii="Book Antiqua" w:hAnsi="Book Antiqua"/>
            <w:color w:val="000000" w:themeColor="text1"/>
            <w:sz w:val="20"/>
            <w:szCs w:val="20"/>
            <w:u w:val="none"/>
            <w:lang w:val="en"/>
          </w:rPr>
          <w:t>https://doi.org/10.1038/s41568-020-00308-y</w:t>
        </w:r>
      </w:hyperlink>
    </w:p>
    <w:p w14:paraId="61265E99"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Sonis, S. T. (2010). The pathobiology of mucositis. </w:t>
      </w:r>
      <w:r w:rsidRPr="006810DB">
        <w:rPr>
          <w:rFonts w:ascii="Book Antiqua" w:hAnsi="Book Antiqua"/>
          <w:i/>
          <w:iCs/>
          <w:color w:val="000000" w:themeColor="text1"/>
          <w:sz w:val="20"/>
          <w:szCs w:val="20"/>
          <w:lang w:val="en"/>
        </w:rPr>
        <w:t>Nature Reviews 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w:t>
      </w:r>
      <w:r w:rsidRPr="006810DB">
        <w:rPr>
          <w:rFonts w:ascii="Book Antiqua" w:hAnsi="Book Antiqua"/>
          <w:color w:val="000000" w:themeColor="text1"/>
          <w:sz w:val="20"/>
          <w:szCs w:val="20"/>
          <w:lang w:val="en"/>
        </w:rPr>
        <w:t>(4), 277-284.</w:t>
      </w:r>
      <w:hyperlink r:id="rId53">
        <w:r w:rsidRPr="006810DB">
          <w:rPr>
            <w:rStyle w:val="Hyperlink"/>
            <w:rFonts w:ascii="Book Antiqua" w:hAnsi="Book Antiqua"/>
            <w:color w:val="000000" w:themeColor="text1"/>
            <w:sz w:val="20"/>
            <w:szCs w:val="20"/>
            <w:u w:val="none"/>
            <w:lang w:val="en"/>
          </w:rPr>
          <w:t xml:space="preserve"> </w:t>
        </w:r>
      </w:hyperlink>
      <w:hyperlink r:id="rId54">
        <w:r w:rsidRPr="006810DB">
          <w:rPr>
            <w:rStyle w:val="Hyperlink"/>
            <w:rFonts w:ascii="Book Antiqua" w:hAnsi="Book Antiqua"/>
            <w:color w:val="000000" w:themeColor="text1"/>
            <w:sz w:val="20"/>
            <w:szCs w:val="20"/>
            <w:u w:val="none"/>
            <w:lang w:val="en"/>
          </w:rPr>
          <w:t>https://doi.org/10.1038/nrc2812</w:t>
        </w:r>
      </w:hyperlink>
    </w:p>
    <w:p w14:paraId="1807F12C"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Yoshizawa, Y., Imoto, I., &amp; Tanaka, H. (2020). The role of copper transporters in cisplatin resistance of cancer. </w:t>
      </w:r>
      <w:r w:rsidRPr="006810DB">
        <w:rPr>
          <w:rFonts w:ascii="Book Antiqua" w:hAnsi="Book Antiqua"/>
          <w:i/>
          <w:iCs/>
          <w:color w:val="000000" w:themeColor="text1"/>
          <w:sz w:val="20"/>
          <w:szCs w:val="20"/>
          <w:lang w:val="en"/>
        </w:rPr>
        <w:t>Cancers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12</w:t>
      </w:r>
      <w:r w:rsidRPr="006810DB">
        <w:rPr>
          <w:rFonts w:ascii="Book Antiqua" w:hAnsi="Book Antiqua"/>
          <w:color w:val="000000" w:themeColor="text1"/>
          <w:sz w:val="20"/>
          <w:szCs w:val="20"/>
          <w:lang w:val="en"/>
        </w:rPr>
        <w:t>(7), 1836.</w:t>
      </w:r>
      <w:hyperlink r:id="rId55">
        <w:r w:rsidRPr="006810DB">
          <w:rPr>
            <w:rStyle w:val="Hyperlink"/>
            <w:rFonts w:ascii="Book Antiqua" w:hAnsi="Book Antiqua"/>
            <w:color w:val="000000" w:themeColor="text1"/>
            <w:sz w:val="20"/>
            <w:szCs w:val="20"/>
            <w:u w:val="none"/>
            <w:lang w:val="en"/>
          </w:rPr>
          <w:t xml:space="preserve"> </w:t>
        </w:r>
      </w:hyperlink>
      <w:hyperlink r:id="rId56">
        <w:r w:rsidRPr="006810DB">
          <w:rPr>
            <w:rStyle w:val="Hyperlink"/>
            <w:rFonts w:ascii="Book Antiqua" w:hAnsi="Book Antiqua"/>
            <w:color w:val="000000" w:themeColor="text1"/>
            <w:sz w:val="20"/>
            <w:szCs w:val="20"/>
            <w:u w:val="none"/>
            <w:lang w:val="en"/>
          </w:rPr>
          <w:t>https://doi.org/10.3390/cancers12071836</w:t>
        </w:r>
      </w:hyperlink>
    </w:p>
    <w:p w14:paraId="03BBD372" w14:textId="77777777" w:rsidR="00F95D8D" w:rsidRPr="006810DB" w:rsidRDefault="00F95D8D" w:rsidP="006810DB">
      <w:pPr>
        <w:spacing w:after="0" w:line="276" w:lineRule="auto"/>
        <w:jc w:val="both"/>
        <w:rPr>
          <w:rFonts w:ascii="Book Antiqua" w:hAnsi="Book Antiqua"/>
          <w:b/>
          <w:bCs/>
          <w:sz w:val="20"/>
          <w:szCs w:val="20"/>
          <w:lang w:val="en"/>
        </w:rPr>
      </w:pPr>
      <w:bookmarkStart w:id="64" w:name="_py3vs44re6wv" w:colFirst="0" w:colLast="0"/>
      <w:bookmarkEnd w:id="64"/>
    </w:p>
    <w:p w14:paraId="57AB6134" w14:textId="77777777" w:rsidR="00F95D8D" w:rsidRPr="006810DB" w:rsidRDefault="00F95D8D"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6E88ACB5" w14:textId="1C80E3DE" w:rsidR="00B258B7" w:rsidRPr="006810DB" w:rsidRDefault="00B258B7" w:rsidP="006810DB">
      <w:pPr>
        <w:pStyle w:val="Heading1"/>
        <w:spacing w:before="0" w:line="276" w:lineRule="auto"/>
        <w:ind w:left="142" w:hanging="142"/>
        <w:rPr>
          <w:szCs w:val="20"/>
          <w:lang w:val="en-ID"/>
        </w:rPr>
      </w:pPr>
      <w:bookmarkStart w:id="65" w:name="_Toc223088875"/>
      <w:r w:rsidRPr="006810DB">
        <w:rPr>
          <w:b/>
          <w:noProof/>
          <w:sz w:val="48"/>
          <w:szCs w:val="20"/>
          <w:lang w:val="en-US"/>
        </w:rPr>
        <w:lastRenderedPageBreak/>
        <mc:AlternateContent>
          <mc:Choice Requires="wps">
            <w:drawing>
              <wp:anchor distT="0" distB="0" distL="114300" distR="114300" simplePos="0" relativeHeight="251672576" behindDoc="0" locked="0" layoutInCell="1" allowOverlap="1" wp14:anchorId="0C567E37" wp14:editId="6D34AB2A">
                <wp:simplePos x="0" y="0"/>
                <wp:positionH relativeFrom="column">
                  <wp:posOffset>913130</wp:posOffset>
                </wp:positionH>
                <wp:positionV relativeFrom="paragraph">
                  <wp:posOffset>133350</wp:posOffset>
                </wp:positionV>
                <wp:extent cx="2820035" cy="1109980"/>
                <wp:effectExtent l="0" t="0" r="0" b="0"/>
                <wp:wrapNone/>
                <wp:docPr id="5" name="Rectangle 5"/>
                <wp:cNvGraphicFramePr/>
                <a:graphic xmlns:a="http://schemas.openxmlformats.org/drawingml/2006/main">
                  <a:graphicData uri="http://schemas.microsoft.com/office/word/2010/wordprocessingShape">
                    <wps:wsp>
                      <wps:cNvSpPr/>
                      <wps:spPr>
                        <a:xfrm>
                          <a:off x="0" y="0"/>
                          <a:ext cx="2820035"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BC8B882" w14:textId="71E67C6C" w:rsidR="00B258B7" w:rsidRPr="00F95D8D" w:rsidRDefault="00B258B7" w:rsidP="00B258B7">
                            <w:pPr>
                              <w:spacing w:after="0" w:line="276" w:lineRule="auto"/>
                              <w:jc w:val="center"/>
                              <w:rPr>
                                <w:rFonts w:ascii="Book Antiqua" w:hAnsi="Book Antiqua"/>
                                <w:b/>
                                <w:bCs/>
                                <w:sz w:val="32"/>
                                <w:szCs w:val="36"/>
                                <w:lang w:val="en"/>
                              </w:rPr>
                            </w:pPr>
                            <w:r w:rsidRPr="00F95D8D">
                              <w:rPr>
                                <w:rFonts w:ascii="Book Antiqua" w:hAnsi="Book Antiqua"/>
                                <w:b/>
                                <w:bCs/>
                                <w:sz w:val="32"/>
                                <w:szCs w:val="36"/>
                                <w:lang w:val="en"/>
                              </w:rPr>
                              <w:t>PATOFISIOLOGI MUKOSITIS ORAL INDUKSI KEMOTERAPI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0C567E37" id="Rectangle 5" o:spid="_x0000_s1028" style="position:absolute;left:0;text-align:left;margin-left:71.9pt;margin-top:10.5pt;width:222.05pt;height:87.4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FqVZQIAAA4FAAAOAAAAZHJzL2Uyb0RvYy54bWysVE1v2zAMvQ/YfxB0Xx1nbdcGcYogRYcB&#10;xRq0HXZWZCkxJokapcTJfv0o2XHbLadhF1sUH78eSU1v9tawncLQgKt4eTbiTDkJdePWFf/2fPfh&#10;irMQhauFAacqflCB38zev5u2fqLGsAFTK2TkxIVJ6yu+idFPiiLIjbIinIFXjpQa0IpIIq6LGkVL&#10;3q0pxqPRZdEC1h5BqhDo9rZT8ln2r7WS8UHroCIzFafcYv5i/q7St5hNxWSNwm8a2ach/iELKxpH&#10;QQdXtyIKtsXmL1e2kQgBdDyTYAvQupEq10DVlKM/qnnaCK9yLURO8ANN4f+5lV93S2RNXfELzpyw&#10;1KJHIk24tVHsItHT+jAh1JNfYi8FOqZa9xpt+lMVbJ8pPQyUqn1kki7HV9Slj+Rbkq4sR9fXV5n0&#10;4sXcY4ifFViWDhVHCp+pFLv7ECkkQY+QFM3BXWNM7ptxby4ImG6KlHGXYz7Fg1EJZ9yj0lRqyioH&#10;yEOmFgbZTtB4CCmVi5ep5uyJ0MlMU7TBsDxlaGLZG/XYZKby8A2Go1OGbyMOFjkquDgY28YBnnJQ&#10;/xgid/hj9V3Nqfy4X+1zf8fHZq6gPlDPEbplCF7eNcT8vQhxKZCmn/aENjo+0EcbaCsO/YmzDeCv&#10;U/cJT0NJWs5a2qaKh59bgYoz88XRuF6X5+dp/bJwfvFpTAK+1qxea9zWLoA6UtLb4WU+Jnw0x6NG&#10;sN9p8ecpKqmEkxS74jLiUVjEbsvp6ZBqPs8wWjkv4r178jI5Tzw7mG8j6CYPWuKrY6fnkZYuD0P/&#10;QKStfi1n1MszNvsNAAD//wMAUEsDBBQABgAIAAAAIQDCg7va3gAAAAoBAAAPAAAAZHJzL2Rvd25y&#10;ZXYueG1sTI/NTsMwEITvSLyDtUjcqNNCIQ1xKkBCCPWAKO3dsbdJRLyOYuenb89yguNoRjPf5NvZ&#10;tWLEPjSeFCwXCQgk421DlYLD1+tNCiJETVa3nlDBGQNsi8uLXGfWT/SJ4z5WgksoZFpBHWOXSRlM&#10;jU6Hhe+Q2Dv53unIsq+k7fXE5a6VqyS5l043xAu17vClRvO9H5yCoz89T86U9D6eP5rhbdcbk+6U&#10;ur6anx5BRJzjXxh+8RkdCmYq/UA2iJb13S2jRwWrJX/iwDp92IAo2dmsU5BFLv9fKH4AAAD//wMA&#10;UEsBAi0AFAAGAAgAAAAhALaDOJL+AAAA4QEAABMAAAAAAAAAAAAAAAAAAAAAAFtDb250ZW50X1R5&#10;cGVzXS54bWxQSwECLQAUAAYACAAAACEAOP0h/9YAAACUAQAACwAAAAAAAAAAAAAAAAAvAQAAX3Jl&#10;bHMvLnJlbHNQSwECLQAUAAYACAAAACEA3QxalWUCAAAOBQAADgAAAAAAAAAAAAAAAAAuAgAAZHJz&#10;L2Uyb0RvYy54bWxQSwECLQAUAAYACAAAACEAwoO72t4AAAAKAQAADwAAAAAAAAAAAAAAAAC/BAAA&#10;ZHJzL2Rvd25yZXYueG1sUEsFBgAAAAAEAAQA8wAAAMoFAAAAAA==&#10;" filled="f" stroked="f" strokeweight="1pt">
                <v:textbox>
                  <w:txbxContent>
                    <w:p w14:paraId="7BC8B882" w14:textId="71E67C6C" w:rsidR="00B258B7" w:rsidRPr="00F95D8D" w:rsidRDefault="00B258B7" w:rsidP="00B258B7">
                      <w:pPr>
                        <w:spacing w:after="0" w:line="276" w:lineRule="auto"/>
                        <w:jc w:val="center"/>
                        <w:rPr>
                          <w:rFonts w:ascii="Book Antiqua" w:hAnsi="Book Antiqua"/>
                          <w:b/>
                          <w:bCs/>
                          <w:sz w:val="32"/>
                          <w:szCs w:val="36"/>
                          <w:lang w:val="en"/>
                        </w:rPr>
                      </w:pPr>
                      <w:r w:rsidRPr="00F95D8D">
                        <w:rPr>
                          <w:rFonts w:ascii="Book Antiqua" w:hAnsi="Book Antiqua"/>
                          <w:b/>
                          <w:bCs/>
                          <w:sz w:val="32"/>
                          <w:szCs w:val="36"/>
                          <w:lang w:val="en"/>
                        </w:rPr>
                        <w:t>PATOFISIOLOGI MUKOSITIS ORAL INDUKSI KEMOTERAPI</w:t>
                      </w:r>
                    </w:p>
                  </w:txbxContent>
                </v:textbox>
              </v:rect>
            </w:pict>
          </mc:Fallback>
        </mc:AlternateContent>
      </w:r>
      <w:r w:rsidRPr="006810DB">
        <w:rPr>
          <w:b/>
          <w:noProof/>
          <w:sz w:val="48"/>
          <w:szCs w:val="20"/>
          <w:lang w:val="en-US"/>
        </w:rPr>
        <mc:AlternateContent>
          <mc:Choice Requires="wps">
            <w:drawing>
              <wp:anchor distT="0" distB="0" distL="114300" distR="114300" simplePos="0" relativeHeight="251671552" behindDoc="0" locked="0" layoutInCell="1" allowOverlap="1" wp14:anchorId="18976A63" wp14:editId="03D922D2">
                <wp:simplePos x="0" y="0"/>
                <wp:positionH relativeFrom="column">
                  <wp:posOffset>884555</wp:posOffset>
                </wp:positionH>
                <wp:positionV relativeFrom="paragraph">
                  <wp:posOffset>76835</wp:posOffset>
                </wp:positionV>
                <wp:extent cx="0" cy="1224000"/>
                <wp:effectExtent l="19050" t="0" r="38100" b="52705"/>
                <wp:wrapNone/>
                <wp:docPr id="9" name="Straight Connector 9"/>
                <wp:cNvGraphicFramePr/>
                <a:graphic xmlns:a="http://schemas.openxmlformats.org/drawingml/2006/main">
                  <a:graphicData uri="http://schemas.microsoft.com/office/word/2010/wordprocessingShape">
                    <wps:wsp>
                      <wps:cNvCnPr/>
                      <wps:spPr>
                        <a:xfrm>
                          <a:off x="0" y="0"/>
                          <a:ext cx="0" cy="1224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54CD0AB" id="Straight Connector 9"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ZKz2AEAAA0EAAAOAAAAZHJzL2Uyb0RvYy54bWysU8GO0zAQvSPxD5bvNEnFAhs13UNXywVB&#10;xS4f4HXsxpLtscamSf+esdOmK0BIIC5OZjzved7zeHM3OcuOCqMB3/FmVXOmvITe+EPHvz09vPnA&#10;WUzC98KCVx0/qcjvtq9fbcbQqjUMYHuFjEh8bMfQ8SGl0FZVlINyIq4gKE+bGtCJRCEeqh7FSOzO&#10;Vuu6fleNgH1AkCpGyt7Pm3xb+LVWMn3ROqrEbMept1RWLOtzXqvtRrQHFGEw8tyG+IcunDCeDl2o&#10;7kUS7DuaX6ickQgRdFpJcBVobaQqGkhNU/+k5nEQQRUtZE4Mi03x/9HKz8c9MtN3/JYzLxxd0WNC&#10;YQ5DYjvwngwEZLfZpzHElsp3fo/nKIY9ZtGTRpe/JIdNxdvT4q2aEpNzUlK2Wa/f1nXxvboCA8b0&#10;UYFj+afj1vgsW7Ti+CkmOoxKLyU5bT0bO37zvrmpS1kEa/oHY23eLKOjdhbZUdClp6nJzRPDiyqK&#10;rKdkljSLKH/pZNXM/1VpMoXabuYD8jheOYWUyqcLr/VUnWGaOliA587+BDzXZ6gqo/o34AVRTgaf&#10;FrAzHvB3bV+t0HP9xYFZd7bgGfpTud5iDc1cce78PvJQv4wL/PqKtz8AAAD//wMAUEsDBBQABgAI&#10;AAAAIQAb+VtO3AAAAAoBAAAPAAAAZHJzL2Rvd25yZXYueG1sTI9BS8QwEIXvgv8hjODNTbZrxdam&#10;yyIs4kVwFbymzdgGm0lpst367531ord5M4/3vqm2ix/EjFN0gTSsVwoEUhuso07D+9v+5h5ETIas&#10;GQKhhm+MsK0vLypT2nCiV5wPqRMcQrE0GvqUxlLK2PboTVyFEYlvn2HyJrGcOmknc+JwP8hMqTvp&#10;jSNu6M2Ijz22X4ej55L8o33C6J7tfpc3+Vy4Rr04ra+vlt0DiIRL+jPDGZ/RoWamJhzJRjGw3hQb&#10;tvKQrUGcDb+LRkOmbguQdSX/v1D/AAAA//8DAFBLAQItABQABgAIAAAAIQC2gziS/gAAAOEBAAAT&#10;AAAAAAAAAAAAAAAAAAAAAABbQ29udGVudF9UeXBlc10ueG1sUEsBAi0AFAAGAAgAAAAhADj9If/W&#10;AAAAlAEAAAsAAAAAAAAAAAAAAAAALwEAAF9yZWxzLy5yZWxzUEsBAi0AFAAGAAgAAAAhAGWRkrPY&#10;AQAADQQAAA4AAAAAAAAAAAAAAAAALgIAAGRycy9lMm9Eb2MueG1sUEsBAi0AFAAGAAgAAAAhABv5&#10;W07cAAAACgEAAA8AAAAAAAAAAAAAAAAAMgQAAGRycy9kb3ducmV2LnhtbFBLBQYAAAAABAAEAPMA&#10;AAA7BQ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44"/>
          <w:szCs w:val="20"/>
          <w:lang w:val="en-US"/>
        </w:rPr>
        <w:t>3</w:t>
      </w:r>
      <w:r w:rsidRPr="006810DB">
        <w:rPr>
          <w:b/>
          <w:szCs w:val="20"/>
          <w:lang w:val="en-US"/>
        </w:rPr>
        <w:t xml:space="preserve"> </w:t>
      </w:r>
      <w:r w:rsidRPr="006810DB">
        <w:rPr>
          <w:b/>
          <w:szCs w:val="20"/>
          <w:lang w:val="en-US"/>
        </w:rPr>
        <w:tab/>
      </w:r>
      <w:r w:rsidRPr="006810DB">
        <w:rPr>
          <w:b/>
          <w:color w:val="FFFFFF" w:themeColor="background1"/>
          <w:sz w:val="12"/>
          <w:szCs w:val="12"/>
          <w:lang w:val="en-US"/>
        </w:rPr>
        <w:t>PATOFISIOLOGI MUKOSITIS ORAL INDUKSI KEMOTERAPI</w:t>
      </w:r>
      <w:bookmarkEnd w:id="65"/>
    </w:p>
    <w:p w14:paraId="5B1DBEEE" w14:textId="28E7D18C" w:rsidR="00B258B7" w:rsidRPr="006810DB" w:rsidRDefault="00B258B7" w:rsidP="006810DB">
      <w:pPr>
        <w:spacing w:after="0" w:line="276" w:lineRule="auto"/>
        <w:jc w:val="both"/>
        <w:rPr>
          <w:rFonts w:ascii="Book Antiqua" w:hAnsi="Book Antiqua"/>
          <w:sz w:val="20"/>
          <w:szCs w:val="20"/>
          <w:lang w:val="en"/>
        </w:rPr>
      </w:pPr>
    </w:p>
    <w:p w14:paraId="605EACF1" w14:textId="77777777" w:rsidR="002B0035" w:rsidRPr="006810DB" w:rsidRDefault="002B0035" w:rsidP="006810DB">
      <w:pPr>
        <w:spacing w:after="0" w:line="276" w:lineRule="auto"/>
        <w:jc w:val="both"/>
        <w:rPr>
          <w:rFonts w:ascii="Book Antiqua" w:hAnsi="Book Antiqua"/>
          <w:sz w:val="20"/>
          <w:szCs w:val="20"/>
          <w:lang w:val="en"/>
        </w:rPr>
      </w:pPr>
    </w:p>
    <w:p w14:paraId="6254AB0E" w14:textId="311B8670" w:rsidR="00B258B7" w:rsidRPr="006810DB" w:rsidRDefault="007D61DA" w:rsidP="00B9360C">
      <w:pPr>
        <w:pStyle w:val="Heading2"/>
        <w:numPr>
          <w:ilvl w:val="0"/>
          <w:numId w:val="18"/>
        </w:numPr>
        <w:ind w:left="284" w:hanging="284"/>
      </w:pPr>
      <w:bookmarkStart w:id="66" w:name="_n7u26mksbykq" w:colFirst="0" w:colLast="0"/>
      <w:bookmarkStart w:id="67" w:name="_Toc223088876"/>
      <w:bookmarkEnd w:id="66"/>
      <w:r w:rsidRPr="006810DB">
        <w:t>Pendahuluan</w:t>
      </w:r>
      <w:bookmarkEnd w:id="67"/>
    </w:p>
    <w:p w14:paraId="65331346"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Sebuah luka kecil di dalam mulut seringkali dianggap sebagai gangguan sepele dalam kehidupan sehari-hari. Namun, bagi pasien yang menjalani kemoterapi, lesi serupa dapat menjadi sumber penderitaan yang luar biasa, menandakan sebuah proses biologis destruktif yang kompleks di tingkat seluler dan molekuler. Mukositis oral bukan sekadar luka; ia adalah manifestasi klinis dari serangkaian peristiwa patologis yang dipicu oleh kerusakan awal pada DNA sel epitel dan diperkuat oleh kaskade inflamasi yang rumit. Proses ini mengubah lapisan pelindung mukosa yang dinamis menjadi medan pertempuran biologis yang menyakitkan, rapuh, dan rentan terhadap infeksi.</w:t>
      </w:r>
    </w:p>
    <w:p w14:paraId="73774070"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Pemahaman mengenai patofisiologi mukositis oral telah berkembang secara signifikan dari sekadar model kerusakan langsung menjadi model lima fase biologis yang dinamis dan saling tumpang tindih. Model ini memberikan kerangka kerja konseptual untuk memahami bagaimana toksisitas awal dari agen seperti cisplatin diterjemahkan menjadi ulserasi klinis yang parah beberapa hari kemudian. Fase-fase ini mencakup inisiasi, respons kerusakan primer, amplifikasi sinyal, ulserasi, dan penyembuhan. Setiap fase melibatkan pemain molekuler yang berbeda, mulai dari spesies oksigen reaktif (ROS) hingga sitokin pro-inflamasi dan faktor transkripsi.</w:t>
      </w:r>
    </w:p>
    <w:p w14:paraId="269835B4" w14:textId="77777777" w:rsidR="002B0035" w:rsidRPr="006810DB" w:rsidRDefault="002B0035" w:rsidP="00BB4C89">
      <w:pPr>
        <w:spacing w:line="276" w:lineRule="auto"/>
        <w:ind w:left="284"/>
        <w:rPr>
          <w:rFonts w:ascii="Book Antiqua" w:hAnsi="Book Antiqua"/>
          <w:sz w:val="20"/>
          <w:szCs w:val="20"/>
          <w:lang w:val="en"/>
        </w:rPr>
      </w:pPr>
      <w:r w:rsidRPr="006810DB">
        <w:rPr>
          <w:rFonts w:ascii="Book Antiqua" w:hAnsi="Book Antiqua"/>
          <w:sz w:val="20"/>
          <w:szCs w:val="20"/>
          <w:lang w:val="en"/>
        </w:rPr>
        <w:br w:type="page"/>
      </w:r>
    </w:p>
    <w:p w14:paraId="40F00AFD" w14:textId="2B1D8586"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lastRenderedPageBreak/>
        <w:t>Bab ini akan menguraikan secara rinci perjalanan patologis dari mukositis oral, dimulai dari definisi dan klasifikasi klinisnya untuk memberikan konteks pada tingkat keparahan yang dialami pasien. Selanjutnya, kita akan menyelami fase-fase awal patogenesis, yaitu fase inisiasi dan respons primer. Di sini, fokusnya adalah pada peristiwa molekuler pertama yang terjadi beberapa jam setelah paparan kemoterapi, termasuk kerusakan DNA, ledakan stres oksidatif, dan aktivasi jalur-jalur pensinyalan intraseluler yang menjadi fondasi bagi kerusakan lebih lanjut.</w:t>
      </w:r>
    </w:p>
    <w:p w14:paraId="53E260F4"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Pembahasan kemudian akan beralih ke dampak sekunder dari peristiwa inisiasi ini, yang mengarah pada kerusakan integritas jaringan secara nyata. Bab ini akan menjelaskan bagaimana sinyal kerusakan awal diperkuat, menyebabkan kerusakan pada pembuluh darah mikro, mengganggu keseimbangan antara kematian sel dan regenerasi epitel, dan pada akhirnya meruntuhkan barier pertahanan mukosa. Runtuhnya barier ini membuka pintu bagi kolonisasi mikroba dan infeksi sekunder, yang semakin memperparah respons inflamasi dan menunda proses penyembuhan.</w:t>
      </w:r>
    </w:p>
    <w:p w14:paraId="2EAE50B3"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Dengan membedah mekanisme-mekanisme ini, kita dapat mulai mengidentifikasi titik-titik intervensi potensial di mana terapi suportif dapat diberikan. Pemahaman yang jelas tentang peran sentral dari stres oksidatif dan jalur inflamasi, seperti NF-κB yang akan dibahas lebih dalam di bab-bab selanjutnya, menjadi rasionalitas ilmiah untuk mengeksplorasi agen-agen antioksidan dan anti-inflamasi sebagai strategi protektif.</w:t>
      </w:r>
    </w:p>
    <w:p w14:paraId="705AB79E"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Tujuan dari bab ini adalah untuk mengubah persepsi tentang mukositis dari sekadar "efek samping" menjadi sebuah proses penyakit yang dapat dipahami, diukur, dan berpotensi untuk dimodulasi. Pengetahuan ini sangat krusial, karena pencegahan dan pengobatan yang efektif hanya dapat dirancang jika kita memahami dengan tepat musuh yang kita hadapi di tingkat biologis.</w:t>
      </w:r>
    </w:p>
    <w:p w14:paraId="6966F741" w14:textId="77777777" w:rsidR="004E2FAC" w:rsidRDefault="004E2FAC">
      <w:pPr>
        <w:rPr>
          <w:rFonts w:ascii="Book Antiqua" w:hAnsi="Book Antiqua"/>
          <w:sz w:val="20"/>
          <w:szCs w:val="20"/>
          <w:lang w:val="en"/>
        </w:rPr>
      </w:pPr>
      <w:r>
        <w:rPr>
          <w:rFonts w:ascii="Book Antiqua" w:hAnsi="Book Antiqua"/>
          <w:sz w:val="20"/>
          <w:szCs w:val="20"/>
          <w:lang w:val="en"/>
        </w:rPr>
        <w:br w:type="page"/>
      </w:r>
    </w:p>
    <w:p w14:paraId="63432B5F" w14:textId="0AA4A552"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lastRenderedPageBreak/>
        <w:t xml:space="preserve">Melalui uraian yang sistematis, bab ini akan meletakkan dasar patofisiologis yang kuat, yang akan menjadi landasan untuk memahami mengapa senyawa bioaktif dalam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memiliki potensi untuk menargetkan beberapa langkah kunci dalam kaskade destruktif ini.</w:t>
      </w:r>
    </w:p>
    <w:p w14:paraId="22E3C8D6" w14:textId="483592E3"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Pengetahuan ini menjadi jembatan antara farmakologi cisplatin yang dibahas di Bab 2 dan peran radikal bebas yang akan dieksplorasi secara spesifik di Bab 4, menciptakan alur pemahaman yang koheren dari penyebab hingga mekanisme kerusakan jaringan.</w:t>
      </w:r>
    </w:p>
    <w:p w14:paraId="4A50F351" w14:textId="77777777" w:rsidR="00B258B7" w:rsidRPr="006810DB" w:rsidRDefault="00B258B7" w:rsidP="006810DB">
      <w:pPr>
        <w:spacing w:after="0" w:line="276" w:lineRule="auto"/>
        <w:ind w:firstLine="567"/>
        <w:jc w:val="both"/>
        <w:rPr>
          <w:rFonts w:ascii="Book Antiqua" w:hAnsi="Book Antiqua"/>
          <w:sz w:val="20"/>
          <w:szCs w:val="20"/>
          <w:lang w:val="en"/>
        </w:rPr>
      </w:pPr>
    </w:p>
    <w:p w14:paraId="179C6DBF" w14:textId="1AE399DA" w:rsidR="00B258B7" w:rsidRPr="006810DB" w:rsidRDefault="00B258B7" w:rsidP="006810DB">
      <w:pPr>
        <w:pStyle w:val="Heading2"/>
        <w:numPr>
          <w:ilvl w:val="0"/>
          <w:numId w:val="18"/>
        </w:numPr>
        <w:ind w:left="284" w:hanging="284"/>
      </w:pPr>
      <w:bookmarkStart w:id="68" w:name="_o9y9rp3sfw17" w:colFirst="0" w:colLast="0"/>
      <w:bookmarkStart w:id="69" w:name="_Toc223088877"/>
      <w:bookmarkEnd w:id="68"/>
      <w:r w:rsidRPr="006810DB">
        <w:t>Definisi dan Klasifikasi Mukositis Oral</w:t>
      </w:r>
      <w:bookmarkEnd w:id="69"/>
    </w:p>
    <w:p w14:paraId="672AEE1C"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Mukositis oral didefinisikan sebagai peradangan pada lapisan mukosa rongga mulut, yang ditandai dengan eritema (kemerahan), edema, dan dapat berkembang menjadi ulserasi yang menyakitkan (Lalla et al., 2020). Kondisi ini merupakan salah satu komplikasi toksik non-hematologis yang paling umum dan melemahkan dari terapi kanker, terutama kemoterapi dosis tinggi dan radioterapi di daerah kepala dan leher. Secara esensial, mukositis adalah hasil dari kerusakan kolateral pada sel-sel epitel basal mukosa mulut yang memiliki laju proliferasi tinggi, yang membuatnya sama rentannya dengan sel kanker terhadap agen sitotoksik. Tingkat keparahan mukositis dapat bervariasi dari ketidaknyamanan ringan hingga kondisi parah yang menghalangi nutrisi oral dan memerlukan intervensi medis intensif.</w:t>
      </w:r>
    </w:p>
    <w:p w14:paraId="74FD8B13" w14:textId="77777777" w:rsidR="00B258B7" w:rsidRPr="006810DB" w:rsidRDefault="00B258B7" w:rsidP="004E2FAC">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Mengklasifikasikan mukositis oral ibarat menggunakan skala Richter untuk gempa bumi. Skala 0 atau 1 (WHO/NCI) adalah seperti getaran kecil yang hanya terasa sedikit (nyeri ringan, kemerahan), tidak menyebabkan kerusakan struktural yang signifikan. Skala 2 adalah gempa ringan yang menyebabkan retakan pada dinding (ulkus kecil, masih bisa makan makanan padat). Skala 3 adalah gempa sedang yang meruntuhkan sebagian bangunan (ulkus luas, hanya bisa makan makanan cair). Skala 4 adalah gempa besar yang menghancurkan seluruh infrastruktur (ulkus sangat parah, </w:t>
      </w:r>
      <w:r w:rsidRPr="006810DB">
        <w:rPr>
          <w:rFonts w:ascii="Book Antiqua" w:hAnsi="Book Antiqua"/>
          <w:sz w:val="20"/>
          <w:szCs w:val="20"/>
          <w:lang w:val="en"/>
        </w:rPr>
        <w:lastRenderedPageBreak/>
        <w:t>tidak bisa makan sama sekali), membuat kota (pasien) lumpuh total dan membutuhkan bantuan darurat (rawat inap, nutrisi parenteral). Skala ini memberikan bahasa yang seragam bagi para "insinyur" (dokter) untuk mengukur tingkat kerusakan dan merencanakan respons yang tepat.</w:t>
      </w:r>
    </w:p>
    <w:p w14:paraId="3DCD4F1D" w14:textId="77435041" w:rsidR="00B258B7" w:rsidRPr="006810DB" w:rsidRDefault="00B258B7" w:rsidP="006810DB">
      <w:pPr>
        <w:pStyle w:val="ListParagraph"/>
        <w:numPr>
          <w:ilvl w:val="0"/>
          <w:numId w:val="42"/>
        </w:numPr>
        <w:spacing w:after="0" w:line="276" w:lineRule="auto"/>
        <w:ind w:left="567" w:hanging="283"/>
        <w:contextualSpacing w:val="0"/>
        <w:jc w:val="both"/>
        <w:rPr>
          <w:rFonts w:ascii="Book Antiqua" w:hAnsi="Book Antiqua"/>
          <w:b/>
          <w:bCs/>
          <w:sz w:val="20"/>
          <w:szCs w:val="20"/>
          <w:lang w:val="en"/>
        </w:rPr>
      </w:pPr>
      <w:bookmarkStart w:id="70" w:name="_4ggfr89q319y" w:colFirst="0" w:colLast="0"/>
      <w:bookmarkEnd w:id="70"/>
      <w:r w:rsidRPr="006810DB">
        <w:rPr>
          <w:rFonts w:ascii="Book Antiqua" w:hAnsi="Book Antiqua"/>
          <w:b/>
          <w:bCs/>
          <w:sz w:val="20"/>
          <w:szCs w:val="20"/>
          <w:lang w:val="en"/>
        </w:rPr>
        <w:t>Kriteria Penilaian Berdasarkan WHO dan NCI</w:t>
      </w:r>
    </w:p>
    <w:p w14:paraId="0860E51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Untuk menstandarisasi pelaporan dan evaluasi keparahan mukositis dalam penelitian klinis dan praktik sehari-hari, beberapa sistem penilaian telah dikembangkan. Sistem yang paling umum digunakan adalah skala dari Organisasi Kesehatan Dunia (WHO) dan </w:t>
      </w:r>
      <w:r w:rsidRPr="006810DB">
        <w:rPr>
          <w:rFonts w:ascii="Book Antiqua" w:hAnsi="Book Antiqua"/>
          <w:i/>
          <w:iCs/>
          <w:sz w:val="20"/>
          <w:szCs w:val="20"/>
          <w:lang w:val="en"/>
        </w:rPr>
        <w:t>Common Terminology Criteria for Adverse Events</w:t>
      </w:r>
      <w:r w:rsidRPr="006810DB">
        <w:rPr>
          <w:rFonts w:ascii="Book Antiqua" w:hAnsi="Book Antiqua"/>
          <w:sz w:val="20"/>
          <w:szCs w:val="20"/>
          <w:lang w:val="en"/>
        </w:rPr>
        <w:t xml:space="preserve"> (CTCAE) dari </w:t>
      </w:r>
      <w:r w:rsidRPr="006810DB">
        <w:rPr>
          <w:rFonts w:ascii="Book Antiqua" w:hAnsi="Book Antiqua"/>
          <w:i/>
          <w:iCs/>
          <w:sz w:val="20"/>
          <w:szCs w:val="20"/>
          <w:lang w:val="en"/>
        </w:rPr>
        <w:t>National Cancer Institute</w:t>
      </w:r>
      <w:r w:rsidRPr="006810DB">
        <w:rPr>
          <w:rFonts w:ascii="Book Antiqua" w:hAnsi="Book Antiqua"/>
          <w:sz w:val="20"/>
          <w:szCs w:val="20"/>
          <w:lang w:val="en"/>
        </w:rPr>
        <w:t xml:space="preserve"> (NCI) Amerika Serikat. Skala WHO adalah sistem penilaian 5 tingkat (0-4) yang menggabungkan aspek objektif (eritema, ulserasi) dan fungsional (kemampuan makan). Tingkat 0 berarti tidak ada tanda, Tingkat 1 adalah adanya nyeri atau eritema, Tingkat 2 adalah eritema dan ulkus tetapi pasien masih bisa makan makanan padat, Tingkat 3 pasien hanya bisa mengonsumsi makanan cair, dan Tingkat 4 menunjukkan bahwa asupan oral sama sekali tidak memungkinkan (World Health Organization, 1979).</w:t>
      </w:r>
    </w:p>
    <w:p w14:paraId="0840E61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Skala NCI-CTCAE, yang saat ini berada pada versi 5.0, lebih rinci dan berfokus pada dampak fungsional. Skala ini memiliki 5 tingkat (1-5), di mana Grade 1 adalah eritema asimtomatik, Grade 2 adalah nyeri sedang yang tidak mengganggu asupan oral, Grade 3 adalah nyeri parah yang mengganggu asupan oral, Grade 4 adalah konsekuensi yang mengancam jiwa (misalnya, memerlukan nutrisi parenteral total), dan Grade 5 adalah kematian (National Cancer Institute, 2017). Penggunaan skala-skala terstandardisasi ini sangat penting untuk memungkinkan perbandingan hasil antar studi klinis dan untuk memandu keputusan klinis terkait intervensi suportif.</w:t>
      </w:r>
    </w:p>
    <w:p w14:paraId="5F4B7724" w14:textId="77777777" w:rsidR="004E2FAC" w:rsidRDefault="004E2FAC">
      <w:pPr>
        <w:rPr>
          <w:rFonts w:ascii="Book Antiqua" w:hAnsi="Book Antiqua"/>
          <w:b/>
          <w:bCs/>
          <w:sz w:val="20"/>
          <w:szCs w:val="20"/>
          <w:lang w:val="en"/>
        </w:rPr>
      </w:pPr>
      <w:bookmarkStart w:id="71" w:name="_l88f7iya0one" w:colFirst="0" w:colLast="0"/>
      <w:bookmarkEnd w:id="71"/>
      <w:r>
        <w:rPr>
          <w:rFonts w:ascii="Book Antiqua" w:hAnsi="Book Antiqua"/>
          <w:b/>
          <w:bCs/>
          <w:sz w:val="20"/>
          <w:szCs w:val="20"/>
          <w:lang w:val="en"/>
        </w:rPr>
        <w:br w:type="page"/>
      </w:r>
    </w:p>
    <w:p w14:paraId="3CC6DDB0" w14:textId="2E2868DB" w:rsidR="00B258B7" w:rsidRPr="006810DB" w:rsidRDefault="00B258B7" w:rsidP="006810DB">
      <w:pPr>
        <w:pStyle w:val="ListParagraph"/>
        <w:numPr>
          <w:ilvl w:val="0"/>
          <w:numId w:val="42"/>
        </w:numPr>
        <w:spacing w:after="0" w:line="276" w:lineRule="auto"/>
        <w:ind w:left="567" w:hanging="283"/>
        <w:contextualSpacing w:val="0"/>
        <w:jc w:val="both"/>
        <w:rPr>
          <w:rFonts w:ascii="Book Antiqua" w:hAnsi="Book Antiqua"/>
          <w:b/>
          <w:bCs/>
          <w:sz w:val="20"/>
          <w:szCs w:val="20"/>
          <w:lang w:val="en"/>
        </w:rPr>
      </w:pPr>
      <w:r w:rsidRPr="006810DB">
        <w:rPr>
          <w:rFonts w:ascii="Book Antiqua" w:hAnsi="Book Antiqua"/>
          <w:b/>
          <w:bCs/>
          <w:sz w:val="20"/>
          <w:szCs w:val="20"/>
          <w:lang w:val="en"/>
        </w:rPr>
        <w:lastRenderedPageBreak/>
        <w:t>Manifestasi Klinis dan Gejala Subjektif</w:t>
      </w:r>
    </w:p>
    <w:p w14:paraId="343375AA"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Perkembangan mukositis oral mengikuti pola yang dapat diprediksi. Gejala awal biasanya muncul 5-7 hari setelah pemberian kemoterapi. Pasien pertama kali melaporkan sensasi terbakar atau kesemutan di dalam mulut, disertai dengan kemerahan (eritema) pada mukosa. Seiring berjalannya waktu, area-area eritema ini dapat berkembang menjadi lesi ulseratif berwarna putih atau kekuningan yang dikelilingi oleh batas merah meradang (Sonis et al., 2004). Ulkus ini bisa tunggal atau multipel dan sangat menyakitkan.</w:t>
      </w:r>
    </w:p>
    <w:p w14:paraId="3535D499"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Gejala subjektif yang paling dominan adalah nyeri, yang sering digambarkan sebagai rasa terbakar yang tajam dan diperparah oleh makan, minum, atau bahkan berbicara. Nyeri ini dapat menyebabkan disfagia (kesulitan menelan) dan odinofagia (nyeri saat menelan), yang secara langsung membatasi asupan kalori dan cairan pasien (Elad et al., 2020). Gejala lain dapat mencakup mulut kering (</w:t>
      </w:r>
      <w:r w:rsidRPr="006810DB">
        <w:rPr>
          <w:rFonts w:ascii="Book Antiqua" w:hAnsi="Book Antiqua"/>
          <w:i/>
          <w:iCs/>
          <w:sz w:val="20"/>
          <w:szCs w:val="20"/>
          <w:lang w:val="en"/>
        </w:rPr>
        <w:t>xerostomia</w:t>
      </w:r>
      <w:r w:rsidRPr="006810DB">
        <w:rPr>
          <w:rFonts w:ascii="Book Antiqua" w:hAnsi="Book Antiqua"/>
          <w:sz w:val="20"/>
          <w:szCs w:val="20"/>
          <w:lang w:val="en"/>
        </w:rPr>
        <w:t>), perubahan persepsi rasa (</w:t>
      </w:r>
      <w:r w:rsidRPr="006810DB">
        <w:rPr>
          <w:rFonts w:ascii="Book Antiqua" w:hAnsi="Book Antiqua"/>
          <w:i/>
          <w:iCs/>
          <w:sz w:val="20"/>
          <w:szCs w:val="20"/>
          <w:lang w:val="en"/>
        </w:rPr>
        <w:t>dysgeusia</w:t>
      </w:r>
      <w:r w:rsidRPr="006810DB">
        <w:rPr>
          <w:rFonts w:ascii="Book Antiqua" w:hAnsi="Book Antiqua"/>
          <w:sz w:val="20"/>
          <w:szCs w:val="20"/>
          <w:lang w:val="en"/>
        </w:rPr>
        <w:t>), dan perdarahan dari area ulkus. Dampak kumulatif dari gejala-gejala ini sangat signifikan terhadap kualitas hidup pasien.</w:t>
      </w:r>
    </w:p>
    <w:p w14:paraId="6D29C340" w14:textId="4500CE72" w:rsidR="00B258B7" w:rsidRPr="006810DB" w:rsidRDefault="00B258B7" w:rsidP="006810DB">
      <w:pPr>
        <w:pStyle w:val="ListParagraph"/>
        <w:numPr>
          <w:ilvl w:val="0"/>
          <w:numId w:val="42"/>
        </w:numPr>
        <w:spacing w:after="0" w:line="276" w:lineRule="auto"/>
        <w:ind w:left="567" w:hanging="283"/>
        <w:contextualSpacing w:val="0"/>
        <w:jc w:val="both"/>
        <w:rPr>
          <w:rFonts w:ascii="Book Antiqua" w:hAnsi="Book Antiqua"/>
          <w:b/>
          <w:bCs/>
          <w:sz w:val="20"/>
          <w:szCs w:val="20"/>
          <w:lang w:val="en"/>
        </w:rPr>
      </w:pPr>
      <w:bookmarkStart w:id="72" w:name="_irlh3ql02h5w" w:colFirst="0" w:colLast="0"/>
      <w:bookmarkEnd w:id="72"/>
      <w:r w:rsidRPr="006810DB">
        <w:rPr>
          <w:rFonts w:ascii="Book Antiqua" w:hAnsi="Book Antiqua"/>
          <w:b/>
          <w:bCs/>
          <w:sz w:val="20"/>
          <w:szCs w:val="20"/>
          <w:lang w:val="en"/>
        </w:rPr>
        <w:t>Perbedaan Mukositis Akibat Radiasi dan Kemoterapi</w:t>
      </w:r>
    </w:p>
    <w:p w14:paraId="76346E0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Meskipun manifestasi klinisnya bisa serupa, terdapat beberapa perbedaan kunci antara mukositis yang diinduksi oleh kemoterapi dan yang diinduksi oleh radioterapi. Perbedaan utama terletak pada lokasi dan durasi. Mukositis akibat kemoterapi bersifat difus dan dapat memengaruhi seluruh saluran pencernaan, meskipun paling sering terlihat di mukosa non-keratinisasi rongga mulut (pipi, bibir, dasar mulut). Kondisi ini biasanya bersifat akut dan reversibel, dengan penyembuhan dimulai setelah jumlah sel darah putih pasien pulih (biasanya 2-3 minggu setelah kemoterapi) (Lalla et al., 2014).</w:t>
      </w:r>
    </w:p>
    <w:p w14:paraId="546CEAAA" w14:textId="7C8C706A"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Sebaliknya, mukositis akibat radiasi (radiomukositis) terbatas secara eksklusif pada jaringan yang berada di dalam bidang radiasi. Onsetnya lebih lambat dan durasinya lebih lama, seringkali bertahan selama beberapa minggu setelah </w:t>
      </w:r>
      <w:r w:rsidRPr="006810DB">
        <w:rPr>
          <w:rFonts w:ascii="Book Antiqua" w:hAnsi="Book Antiqua"/>
          <w:sz w:val="20"/>
          <w:szCs w:val="20"/>
          <w:lang w:val="en"/>
        </w:rPr>
        <w:lastRenderedPageBreak/>
        <w:t xml:space="preserve">terapi radiasi selesai. Selain itu, radioterapi dapat menyebabkan kerusakan permanen pada kelenjar ludah dan pembuluh darah di area yang diradiasi, yang dapat menyebabkan komplikasi jangka panjang seperti </w:t>
      </w:r>
      <w:r w:rsidRPr="006810DB">
        <w:rPr>
          <w:rFonts w:ascii="Book Antiqua" w:hAnsi="Book Antiqua"/>
          <w:i/>
          <w:iCs/>
          <w:sz w:val="20"/>
          <w:szCs w:val="20"/>
          <w:lang w:val="en"/>
        </w:rPr>
        <w:t>xerostomia</w:t>
      </w:r>
      <w:r w:rsidRPr="006810DB">
        <w:rPr>
          <w:rFonts w:ascii="Book Antiqua" w:hAnsi="Book Antiqua"/>
          <w:sz w:val="20"/>
          <w:szCs w:val="20"/>
          <w:lang w:val="en"/>
        </w:rPr>
        <w:t xml:space="preserve"> kronis, fibrosis jaringan, dan osteoradionekrosis (tulang rahang mati), yang umumnya tidak terkait dengan mukositis akibat kemoterapi saja (Rosenthal et al., 2021).</w:t>
      </w:r>
    </w:p>
    <w:p w14:paraId="32C19269" w14:textId="77777777" w:rsidR="00B627C0" w:rsidRPr="006810DB" w:rsidRDefault="00B627C0" w:rsidP="006810DB">
      <w:pPr>
        <w:spacing w:after="0" w:line="276" w:lineRule="auto"/>
        <w:jc w:val="both"/>
        <w:rPr>
          <w:rFonts w:ascii="Book Antiqua" w:hAnsi="Book Antiqua"/>
          <w:sz w:val="20"/>
          <w:szCs w:val="20"/>
          <w:lang w:val="en"/>
        </w:rPr>
      </w:pPr>
    </w:p>
    <w:p w14:paraId="71734E8D" w14:textId="027A35C4" w:rsidR="00B258B7" w:rsidRPr="006810DB" w:rsidRDefault="00B258B7" w:rsidP="006810DB">
      <w:pPr>
        <w:pStyle w:val="Heading2"/>
        <w:numPr>
          <w:ilvl w:val="0"/>
          <w:numId w:val="18"/>
        </w:numPr>
        <w:ind w:left="284" w:hanging="284"/>
        <w:rPr>
          <w:bCs/>
          <w:szCs w:val="20"/>
          <w:lang w:val="en"/>
        </w:rPr>
      </w:pPr>
      <w:bookmarkStart w:id="73" w:name="_myamklww10d3" w:colFirst="0" w:colLast="0"/>
      <w:bookmarkStart w:id="74" w:name="_Toc223088878"/>
      <w:bookmarkEnd w:id="73"/>
      <w:r w:rsidRPr="006810DB">
        <w:rPr>
          <w:bCs/>
          <w:szCs w:val="20"/>
          <w:lang w:val="en"/>
        </w:rPr>
        <w:t>Fase Inisiasi dan Respon Primer</w:t>
      </w:r>
      <w:bookmarkEnd w:id="74"/>
    </w:p>
    <w:p w14:paraId="6F996C68"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Fase pertama dalam patogenesis mukositis terjadi segera setelah agen kemoterapi seperti cisplatin masuk ke dalam sirkulasi dan mencapai jaringan mukosa oral. Fase ini, yang disebut fase inisiasi, ditandai oleh kerusakan molekuler awal yang terjadi di dalam sel-sel epitel basal dan jaringan ikat di bawahnya (</w:t>
      </w:r>
      <w:r w:rsidRPr="006810DB">
        <w:rPr>
          <w:rFonts w:ascii="Book Antiqua" w:hAnsi="Book Antiqua"/>
          <w:i/>
          <w:iCs/>
          <w:sz w:val="20"/>
          <w:szCs w:val="20"/>
          <w:lang w:val="en"/>
        </w:rPr>
        <w:t>submukosa</w:t>
      </w:r>
      <w:r w:rsidRPr="006810DB">
        <w:rPr>
          <w:rFonts w:ascii="Book Antiqua" w:hAnsi="Book Antiqua"/>
          <w:sz w:val="20"/>
          <w:szCs w:val="20"/>
          <w:lang w:val="en"/>
        </w:rPr>
        <w:t>). Kerusakan ini belum terlihat secara klinis, tetapi menjadi pemicu utama untuk seluruh kaskade patologis berikutnya (Sonis, 2010). Agen kemoterapi secara langsung menyebabkan kerusakan pada DNA sel-sel yang sedang aktif membelah, dan pada saat yang sama, menghasilkan ledakan spesies oksigen reaktif (ROS) atau radikal bebas. Kombinasi stres genotoksik dan stres oksidatif ini mengaktifkan berbagai jalur pensinyalan intraseluler yang memulai respons kerusakan primer.</w:t>
      </w:r>
    </w:p>
    <w:p w14:paraId="6BE0D547" w14:textId="77777777" w:rsidR="00B258B7" w:rsidRPr="006810DB" w:rsidRDefault="00B258B7" w:rsidP="004E2FAC">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Fase inisiasi mukositis dapat diibaratkan seperti sambaran petir yang mengenai hutan kering. Sambaran petir (kemoterapi) itu sendiri mungkin tidak langsung membakar seluruh hutan. Namun, ia melakukan dua hal secara bersamaan: pertama, ia meretakkan beberapa pohon hingga ke intinya (kerusakan DNA). Kedua, ia menciptakan percikan api dan panas yang sangat tinggi di titik tumbukan (produksi ROS). Panas dan percikan api ini (ROS dan sinyal kerusakan) kemudian menyulut dedaunan kering di sekitar pohon yang tersambar (aktivasi NF-κB dan sitokin). Meskipun dari kejauhan belum terlihat api besar, di dasar hutan, kondisi untuk kebakaran hebat yang akan melahap segalanya (fase ulserasi) telah tercipta.</w:t>
      </w:r>
    </w:p>
    <w:p w14:paraId="2B62FC9B" w14:textId="79534358" w:rsidR="00B258B7" w:rsidRPr="006810DB" w:rsidRDefault="00B258B7" w:rsidP="006810DB">
      <w:pPr>
        <w:pStyle w:val="ListParagraph"/>
        <w:numPr>
          <w:ilvl w:val="0"/>
          <w:numId w:val="43"/>
        </w:numPr>
        <w:spacing w:after="0" w:line="276" w:lineRule="auto"/>
        <w:ind w:left="567" w:hanging="283"/>
        <w:contextualSpacing w:val="0"/>
        <w:jc w:val="both"/>
        <w:rPr>
          <w:rFonts w:ascii="Book Antiqua" w:hAnsi="Book Antiqua"/>
          <w:b/>
          <w:bCs/>
          <w:sz w:val="20"/>
          <w:szCs w:val="20"/>
          <w:lang w:val="en"/>
        </w:rPr>
      </w:pPr>
      <w:bookmarkStart w:id="75" w:name="_1xd2n6dqsnoh" w:colFirst="0" w:colLast="0"/>
      <w:bookmarkEnd w:id="75"/>
      <w:r w:rsidRPr="006810DB">
        <w:rPr>
          <w:rFonts w:ascii="Book Antiqua" w:hAnsi="Book Antiqua"/>
          <w:b/>
          <w:bCs/>
          <w:sz w:val="20"/>
          <w:szCs w:val="20"/>
          <w:lang w:val="en"/>
        </w:rPr>
        <w:lastRenderedPageBreak/>
        <w:t>Kerusakan Langsung pada DNA Epitel</w:t>
      </w:r>
    </w:p>
    <w:p w14:paraId="0F818ADF"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Seperti yang telah dibahas di Bab 2, cisplatin memberikan efek sitotoksiknya dengan membentuk adisi pada DNA. Di mukosa oral, target utamanya adalah sel-sel epitel di </w:t>
      </w:r>
      <w:r w:rsidRPr="006810DB">
        <w:rPr>
          <w:rFonts w:ascii="Book Antiqua" w:hAnsi="Book Antiqua"/>
          <w:i/>
          <w:iCs/>
          <w:sz w:val="20"/>
          <w:szCs w:val="20"/>
          <w:lang w:val="en"/>
        </w:rPr>
        <w:t>stratum basale</w:t>
      </w:r>
      <w:r w:rsidRPr="006810DB">
        <w:rPr>
          <w:rFonts w:ascii="Book Antiqua" w:hAnsi="Book Antiqua"/>
          <w:sz w:val="20"/>
          <w:szCs w:val="20"/>
          <w:lang w:val="en"/>
        </w:rPr>
        <w:t xml:space="preserve"> (lapisan basal). Sel-sel ini adalah sel punca progenitor yang bertanggung jawab untuk regenerasi terus-menerus dari seluruh lapisan epitel. Tingkat proliferasi mereka yang tinggi membuat mereka sangat rentan terhadap agen yang mengganggu replikasi DNA (Logan et al., 2008).</w:t>
      </w:r>
    </w:p>
    <w:p w14:paraId="77B9483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Kerusakan DNA yang diinduksi oleh cisplatin pada sel-sel basal ini mengganggu kemampuan mereka untuk membelah dan berdiferensiasi secara normal. Sel-sel yang rusak dapat mengalami penghentian siklus sel atau langsung memicu jalur apoptosis. Kematian sel-sel progenitor ini menciptakan defisit dalam pasokan sel baru yang diperlukan untuk menggantikan sel-sel permukaan yang secara alami mengelupas. Kegagalan regenerasi inilah yang pada akhirnya akan menyebabkan penipisan (atrofi) epitel dan hilangnya integritas barier mukosa (van der Velden et al., 2021).</w:t>
      </w:r>
    </w:p>
    <w:p w14:paraId="1A13DFC4" w14:textId="78EF2559" w:rsidR="00B258B7" w:rsidRPr="006810DB" w:rsidRDefault="00B258B7" w:rsidP="006810DB">
      <w:pPr>
        <w:pStyle w:val="ListParagraph"/>
        <w:numPr>
          <w:ilvl w:val="0"/>
          <w:numId w:val="43"/>
        </w:numPr>
        <w:spacing w:after="0" w:line="276" w:lineRule="auto"/>
        <w:ind w:left="567" w:hanging="283"/>
        <w:contextualSpacing w:val="0"/>
        <w:jc w:val="both"/>
        <w:rPr>
          <w:rFonts w:ascii="Book Antiqua" w:hAnsi="Book Antiqua"/>
          <w:b/>
          <w:bCs/>
          <w:sz w:val="20"/>
          <w:szCs w:val="20"/>
          <w:lang w:val="en"/>
        </w:rPr>
      </w:pPr>
      <w:bookmarkStart w:id="76" w:name="_epm4blofmluv" w:colFirst="0" w:colLast="0"/>
      <w:bookmarkEnd w:id="76"/>
      <w:r w:rsidRPr="006810DB">
        <w:rPr>
          <w:rFonts w:ascii="Book Antiqua" w:hAnsi="Book Antiqua"/>
          <w:b/>
          <w:bCs/>
          <w:sz w:val="20"/>
          <w:szCs w:val="20"/>
          <w:lang w:val="en"/>
        </w:rPr>
        <w:t xml:space="preserve">Pelepasan </w:t>
      </w:r>
      <w:r w:rsidRPr="006810DB">
        <w:rPr>
          <w:rFonts w:ascii="Book Antiqua" w:hAnsi="Book Antiqua"/>
          <w:b/>
          <w:bCs/>
          <w:i/>
          <w:iCs/>
          <w:sz w:val="20"/>
          <w:szCs w:val="20"/>
          <w:lang w:val="en"/>
        </w:rPr>
        <w:t>Reactive Oxygen Species</w:t>
      </w:r>
      <w:r w:rsidRPr="006810DB">
        <w:rPr>
          <w:rFonts w:ascii="Book Antiqua" w:hAnsi="Book Antiqua"/>
          <w:b/>
          <w:bCs/>
          <w:sz w:val="20"/>
          <w:szCs w:val="20"/>
          <w:lang w:val="en"/>
        </w:rPr>
        <w:t xml:space="preserve"> (ROS)</w:t>
      </w:r>
    </w:p>
    <w:p w14:paraId="077C12D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Selain kerusakan DNA langsung, kemoterapi juga merupakan pemicu kuat stres oksidatif. Cisplatin telah terbukti menghasilkan ROS, seperti anion superoksida (O</w:t>
      </w:r>
      <w:r w:rsidRPr="006810DB">
        <w:rPr>
          <w:rFonts w:ascii="Times New Roman" w:hAnsi="Times New Roman" w:cs="Times New Roman"/>
          <w:sz w:val="20"/>
          <w:szCs w:val="20"/>
          <w:lang w:val="en"/>
        </w:rPr>
        <w:t>₂⁻</w:t>
      </w:r>
      <w:r w:rsidRPr="006810DB">
        <w:rPr>
          <w:rFonts w:ascii="Book Antiqua" w:hAnsi="Book Antiqua"/>
          <w:sz w:val="20"/>
          <w:szCs w:val="20"/>
          <w:lang w:val="en"/>
        </w:rPr>
        <w:t>), radikal hidroksil (</w:t>
      </w:r>
      <w:r w:rsidRPr="006810DB">
        <w:rPr>
          <w:rFonts w:ascii="Book Antiqua" w:hAnsi="Book Antiqua" w:cs="Book Antiqua"/>
          <w:sz w:val="20"/>
          <w:szCs w:val="20"/>
          <w:lang w:val="en"/>
        </w:rPr>
        <w:t>•</w:t>
      </w:r>
      <w:r w:rsidRPr="006810DB">
        <w:rPr>
          <w:rFonts w:ascii="Book Antiqua" w:hAnsi="Book Antiqua"/>
          <w:sz w:val="20"/>
          <w:szCs w:val="20"/>
          <w:lang w:val="en"/>
        </w:rPr>
        <w:t>OH), dan hidrogen peroksida (H</w:t>
      </w:r>
      <w:r w:rsidRPr="006810DB">
        <w:rPr>
          <w:rFonts w:ascii="Times New Roman" w:hAnsi="Times New Roman" w:cs="Times New Roman"/>
          <w:sz w:val="20"/>
          <w:szCs w:val="20"/>
          <w:lang w:val="en"/>
        </w:rPr>
        <w:t>₂</w:t>
      </w:r>
      <w:r w:rsidRPr="006810DB">
        <w:rPr>
          <w:rFonts w:ascii="Book Antiqua" w:hAnsi="Book Antiqua"/>
          <w:sz w:val="20"/>
          <w:szCs w:val="20"/>
          <w:lang w:val="en"/>
        </w:rPr>
        <w:t>O</w:t>
      </w:r>
      <w:r w:rsidRPr="006810DB">
        <w:rPr>
          <w:rFonts w:ascii="Times New Roman" w:hAnsi="Times New Roman" w:cs="Times New Roman"/>
          <w:sz w:val="20"/>
          <w:szCs w:val="20"/>
          <w:lang w:val="en"/>
        </w:rPr>
        <w:t>₂</w:t>
      </w:r>
      <w:r w:rsidRPr="006810DB">
        <w:rPr>
          <w:rFonts w:ascii="Book Antiqua" w:hAnsi="Book Antiqua"/>
          <w:sz w:val="20"/>
          <w:szCs w:val="20"/>
          <w:lang w:val="en"/>
        </w:rPr>
        <w:t xml:space="preserve">), baik secara langsung maupun tidak langsung melalui kerusakan mitokondria di dalam sel epitel dan sel endotel pembuluh darah di submukosa (Chavda et al., 2023). Ledakan produksi ROS ini melampaui kapasitas sistem pertahanan antioksidan endogen sel (misalnya, </w:t>
      </w:r>
      <w:r w:rsidRPr="006810DB">
        <w:rPr>
          <w:rFonts w:ascii="Book Antiqua" w:hAnsi="Book Antiqua"/>
          <w:i/>
          <w:iCs/>
          <w:sz w:val="20"/>
          <w:szCs w:val="20"/>
          <w:lang w:val="en"/>
        </w:rPr>
        <w:t>superoxide dismutase</w:t>
      </w:r>
      <w:r w:rsidRPr="006810DB">
        <w:rPr>
          <w:rFonts w:ascii="Book Antiqua" w:hAnsi="Book Antiqua"/>
          <w:sz w:val="20"/>
          <w:szCs w:val="20"/>
          <w:lang w:val="en"/>
        </w:rPr>
        <w:t xml:space="preserve">, </w:t>
      </w:r>
      <w:r w:rsidRPr="006810DB">
        <w:rPr>
          <w:rFonts w:ascii="Book Antiqua" w:hAnsi="Book Antiqua"/>
          <w:i/>
          <w:iCs/>
          <w:sz w:val="20"/>
          <w:szCs w:val="20"/>
          <w:lang w:val="en"/>
        </w:rPr>
        <w:t>glutathione</w:t>
      </w:r>
      <w:r w:rsidRPr="006810DB">
        <w:rPr>
          <w:rFonts w:ascii="Book Antiqua" w:hAnsi="Book Antiqua"/>
          <w:sz w:val="20"/>
          <w:szCs w:val="20"/>
          <w:lang w:val="en"/>
        </w:rPr>
        <w:t>).</w:t>
      </w:r>
    </w:p>
    <w:p w14:paraId="3DEB4AC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ROS adalah molekul yang sangat reaktif dan dapat menyebabkan kerusakan luas pada komponen seluler. Mereka dapat merusak lipid membran sel melalui peroksidasi lipid, menonaktifkan protein penting melalui oksidasi, dan yang paling penting, menyebabkan kerusakan lebih lanjut pada DNA (Robb et al., 2020). Dalam konteks </w:t>
      </w:r>
      <w:r w:rsidRPr="006810DB">
        <w:rPr>
          <w:rFonts w:ascii="Book Antiqua" w:hAnsi="Book Antiqua"/>
          <w:sz w:val="20"/>
          <w:szCs w:val="20"/>
          <w:lang w:val="en"/>
        </w:rPr>
        <w:lastRenderedPageBreak/>
        <w:t>mukositis, ROS yang dihasilkan pada fase inisiasi ini bertindak sebagai molekul pensinyalan kedua yang sangat penting, yang mengaktifkan faktor transkripsi pro-inflamasi.</w:t>
      </w:r>
    </w:p>
    <w:p w14:paraId="06A150A6" w14:textId="385113EE" w:rsidR="00B258B7" w:rsidRPr="006810DB" w:rsidRDefault="00B258B7" w:rsidP="006810DB">
      <w:pPr>
        <w:pStyle w:val="ListParagraph"/>
        <w:numPr>
          <w:ilvl w:val="0"/>
          <w:numId w:val="43"/>
        </w:numPr>
        <w:spacing w:after="0" w:line="276" w:lineRule="auto"/>
        <w:ind w:left="567" w:hanging="283"/>
        <w:contextualSpacing w:val="0"/>
        <w:jc w:val="both"/>
        <w:rPr>
          <w:rFonts w:ascii="Book Antiqua" w:hAnsi="Book Antiqua"/>
          <w:b/>
          <w:bCs/>
          <w:sz w:val="20"/>
          <w:szCs w:val="20"/>
          <w:lang w:val="en"/>
        </w:rPr>
      </w:pPr>
      <w:bookmarkStart w:id="77" w:name="_tfcuf33clfa1" w:colFirst="0" w:colLast="0"/>
      <w:bookmarkEnd w:id="77"/>
      <w:r w:rsidRPr="006810DB">
        <w:rPr>
          <w:rFonts w:ascii="Book Antiqua" w:hAnsi="Book Antiqua"/>
          <w:b/>
          <w:bCs/>
          <w:sz w:val="20"/>
          <w:szCs w:val="20"/>
          <w:lang w:val="en"/>
        </w:rPr>
        <w:t>Aktivasi Jalur Sinyal Transduksi Awal</w:t>
      </w:r>
    </w:p>
    <w:p w14:paraId="759FB04A"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Kerusakan DNA dan ledakan ROS secara kolektif berfungsi sebagai sinyal bahaya yang mengaktifkan beberapa jalur transduksi sinyal intraseluler. Salah satu jalur yang paling penting dan paling awal diaktifkan adalah jalur yang mengarah pada aktivasi </w:t>
      </w:r>
      <w:r w:rsidRPr="006810DB">
        <w:rPr>
          <w:rFonts w:ascii="Book Antiqua" w:hAnsi="Book Antiqua"/>
          <w:i/>
          <w:iCs/>
          <w:sz w:val="20"/>
          <w:szCs w:val="20"/>
          <w:lang w:val="en"/>
        </w:rPr>
        <w:t>Nuclear Factor-kappa B</w:t>
      </w:r>
      <w:r w:rsidRPr="006810DB">
        <w:rPr>
          <w:rFonts w:ascii="Book Antiqua" w:hAnsi="Book Antiqua"/>
          <w:sz w:val="20"/>
          <w:szCs w:val="20"/>
          <w:lang w:val="en"/>
        </w:rPr>
        <w:t xml:space="preserve"> (NF-κB). Dalam kondisi normal, NF-κB berada dalam keadaan tidak aktif di sitoplasma, terikat pada protein inhibitornya, IκB. ROS dapat mengaktifkan kinase IKK, yang kemudian memfosforilasi IκB, menargetkannya untuk degradasi (Kadarullah et al., 2024).</w:t>
      </w:r>
    </w:p>
    <w:p w14:paraId="0A3B0BBC" w14:textId="3FAB5248"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Pembebasan NF-κB memungkinkannya untuk bertranslokasi ke dalam nukleus, di mana ia berfungsi sebagai "saklar utama" yang menyalakan transkripsi gen-gen yang mengkode berbagai protein pro-inflamasi. Protein-protein ini termasuk sitokin seperti </w:t>
      </w:r>
      <w:r w:rsidRPr="006810DB">
        <w:rPr>
          <w:rFonts w:ascii="Book Antiqua" w:hAnsi="Book Antiqua"/>
          <w:i/>
          <w:iCs/>
          <w:sz w:val="20"/>
          <w:szCs w:val="20"/>
          <w:lang w:val="en"/>
        </w:rPr>
        <w:t>Tumor Necrosis Factor-alpha</w:t>
      </w:r>
      <w:r w:rsidRPr="006810DB">
        <w:rPr>
          <w:rFonts w:ascii="Book Antiqua" w:hAnsi="Book Antiqua"/>
          <w:sz w:val="20"/>
          <w:szCs w:val="20"/>
          <w:lang w:val="en"/>
        </w:rPr>
        <w:t xml:space="preserve"> (TNF-α), Interleukin-1 beta (IL-1β), dan Interleukin-6 (IL-6) (Sonis, 2010). Aktivasi NF-κB dan produksi awal sitokin-sitokin ini menandai dimulainya fase amplifikasi, di mana sinyal kerusakan awal diperkuat dan disebarkan ke seluruh jaringan.</w:t>
      </w:r>
    </w:p>
    <w:p w14:paraId="2A807005" w14:textId="77777777" w:rsidR="00B627C0" w:rsidRPr="006810DB" w:rsidRDefault="00B627C0" w:rsidP="006810DB">
      <w:pPr>
        <w:spacing w:after="0" w:line="276" w:lineRule="auto"/>
        <w:jc w:val="both"/>
        <w:rPr>
          <w:rFonts w:ascii="Book Antiqua" w:hAnsi="Book Antiqua"/>
          <w:sz w:val="20"/>
          <w:szCs w:val="20"/>
          <w:lang w:val="en"/>
        </w:rPr>
      </w:pPr>
    </w:p>
    <w:p w14:paraId="163DE0B9" w14:textId="539A13A2" w:rsidR="00B258B7" w:rsidRPr="006810DB" w:rsidRDefault="00B258B7" w:rsidP="006810DB">
      <w:pPr>
        <w:pStyle w:val="Heading2"/>
        <w:numPr>
          <w:ilvl w:val="0"/>
          <w:numId w:val="18"/>
        </w:numPr>
        <w:ind w:left="284" w:hanging="284"/>
        <w:rPr>
          <w:bCs/>
          <w:szCs w:val="20"/>
          <w:lang w:val="en"/>
        </w:rPr>
      </w:pPr>
      <w:bookmarkStart w:id="78" w:name="_ni9naowjnyuf" w:colFirst="0" w:colLast="0"/>
      <w:bookmarkStart w:id="79" w:name="_Toc223088879"/>
      <w:bookmarkEnd w:id="78"/>
      <w:r w:rsidRPr="006810DB">
        <w:rPr>
          <w:bCs/>
          <w:szCs w:val="20"/>
          <w:lang w:val="en"/>
        </w:rPr>
        <w:t>Dampak Sekunder pada Integritas Jaringan</w:t>
      </w:r>
      <w:bookmarkEnd w:id="79"/>
    </w:p>
    <w:p w14:paraId="5EE2E03D"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Peristiwa molekuler pada fase inisiasi dan respons primer memicu serangkaian dampak sekunder yang dimediasi oleh sitokin-sitokin pro-inflamasi seperti TNF-α. Fase amplifikasi ini ditandai dengan penyebaran sinyal kerusakan dari sel-sel yang awalnya terluka ke kompartemen jaringan yang lebih luas, termasuk pembuluh darah, fibroblas, dan sel-sel imun residen seperti makrofag (Sonis, 2010). Respon yang diperkuat ini menyebabkan kerusakan struktural yang signifikan pada komponen-komponen vital mukosa, yaitu mikrovaskulatur dan matriks ekstraseluler. Kerusakan ini, dikombinasikan dengan </w:t>
      </w:r>
      <w:r w:rsidRPr="006810DB">
        <w:rPr>
          <w:rFonts w:ascii="Book Antiqua" w:hAnsi="Book Antiqua"/>
          <w:sz w:val="20"/>
          <w:szCs w:val="20"/>
          <w:lang w:val="en"/>
        </w:rPr>
        <w:lastRenderedPageBreak/>
        <w:t>kegagalan regenerasi epitel, secara progresif merusak integritas arsitektur jaringan mukosa.</w:t>
      </w:r>
    </w:p>
    <w:p w14:paraId="40C1657E" w14:textId="77777777" w:rsidR="00B258B7" w:rsidRPr="006810DB" w:rsidRDefault="00B258B7" w:rsidP="004E2FAC">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Bayangkan sebuah tembok pertahanan yang terbuat dari batu bata (sel epitel) yang direkatkan oleh semen (matriks ekstraseluler) dan disuplai oleh pipa-pipa air (mikrovaskular). Fase inisiasi adalah ketika beberapa batu bata di fondasi retak. Dampak sekunder adalah ketika sinyal keretakan ini (sitokin) memicu kebocoran pada pipa-pipa air (kerusakan mikrovaskular), yang kemudian mengikis semen di antara batu bata (degradasi matriks). Pada saat yang sama, pabrik pembuat batu bata baru (sel basal) berhenti berproduksi karena kerusakan mesin (kerusakan DNA). Akibatnya, tembok tidak hanya kehilangan kekuatan strukturalnya, tetapi juga tidak dapat diperbaiki, sehingga pada akhirnya runtuh dan menciptakan lubang besar (ulkus), yang memungkinkan penjarah (bakteri) untuk masuk dengan mudah.</w:t>
      </w:r>
    </w:p>
    <w:p w14:paraId="565F6ABD" w14:textId="562A2C82" w:rsidR="00B258B7" w:rsidRPr="006810DB" w:rsidRDefault="00B258B7" w:rsidP="006810DB">
      <w:pPr>
        <w:pStyle w:val="ListParagraph"/>
        <w:numPr>
          <w:ilvl w:val="0"/>
          <w:numId w:val="44"/>
        </w:numPr>
        <w:spacing w:after="0" w:line="276" w:lineRule="auto"/>
        <w:ind w:left="567" w:hanging="283"/>
        <w:contextualSpacing w:val="0"/>
        <w:jc w:val="both"/>
        <w:rPr>
          <w:rFonts w:ascii="Book Antiqua" w:hAnsi="Book Antiqua"/>
          <w:b/>
          <w:bCs/>
          <w:sz w:val="20"/>
          <w:szCs w:val="20"/>
          <w:lang w:val="en"/>
        </w:rPr>
      </w:pPr>
      <w:bookmarkStart w:id="80" w:name="_6qmim6tjkyrn" w:colFirst="0" w:colLast="0"/>
      <w:bookmarkEnd w:id="80"/>
      <w:r w:rsidRPr="006810DB">
        <w:rPr>
          <w:rFonts w:ascii="Book Antiqua" w:hAnsi="Book Antiqua"/>
          <w:b/>
          <w:bCs/>
          <w:sz w:val="20"/>
          <w:szCs w:val="20"/>
          <w:lang w:val="en"/>
        </w:rPr>
        <w:t>Kerusakan Mikrovaskular dan Matriks Ekstraseluler</w:t>
      </w:r>
    </w:p>
    <w:p w14:paraId="258EB7F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Sitokin pro-inflamasi seperti TNF-α dan IL-1β yang dilepaskan selama respons primer memiliki efek kuat pada endotel pembuluh darah kecil (kapiler) di submukosa. Mereka meningkatkan permeabilitas vaskular, menyebabkan kebocoran plasma ke dalam jaringan interstisial dan mengakibatkan edema (pembengkakan) (Al-Dasooqi et al., 2013). Selain itu, sitokin ini juga menginduksi ekspresi molekul adhesi pada permukaan sel endotel, yang memfasilitasi perekrutan dan infiltrasi sel-sel imun, seperti neutrofil, dari aliran darah ke dalam jaringan.</w:t>
      </w:r>
    </w:p>
    <w:p w14:paraId="2B0077F1" w14:textId="2EC7D6CF" w:rsidR="002B0035" w:rsidRPr="006810DB" w:rsidRDefault="00B258B7" w:rsidP="004E2FAC">
      <w:pPr>
        <w:spacing w:after="0" w:line="276" w:lineRule="auto"/>
        <w:ind w:left="567" w:firstLine="567"/>
        <w:jc w:val="both"/>
        <w:rPr>
          <w:rFonts w:ascii="Book Antiqua" w:hAnsi="Book Antiqua"/>
          <w:b/>
          <w:bCs/>
          <w:sz w:val="20"/>
          <w:szCs w:val="20"/>
          <w:lang w:val="en"/>
        </w:rPr>
      </w:pPr>
      <w:r w:rsidRPr="006810DB">
        <w:rPr>
          <w:rFonts w:ascii="Book Antiqua" w:hAnsi="Book Antiqua"/>
          <w:sz w:val="20"/>
          <w:szCs w:val="20"/>
          <w:lang w:val="en"/>
        </w:rPr>
        <w:t xml:space="preserve">Di sisi lain, sitokin juga merangsang sel-sel seperti fibroblas dan makrofag untuk menghasilkan enzim </w:t>
      </w:r>
      <w:r w:rsidRPr="006810DB">
        <w:rPr>
          <w:rFonts w:ascii="Book Antiqua" w:hAnsi="Book Antiqua"/>
          <w:i/>
          <w:iCs/>
          <w:sz w:val="20"/>
          <w:szCs w:val="20"/>
          <w:lang w:val="en"/>
        </w:rPr>
        <w:t>matrix metalloproteinases</w:t>
      </w:r>
      <w:r w:rsidRPr="006810DB">
        <w:rPr>
          <w:rFonts w:ascii="Book Antiqua" w:hAnsi="Book Antiqua"/>
          <w:sz w:val="20"/>
          <w:szCs w:val="20"/>
          <w:lang w:val="en"/>
        </w:rPr>
        <w:t xml:space="preserve"> (MMPs). MMPs adalah enzim yang bertanggung jawab untuk mendegradasi komponen-komponen matriks ekstraseluler, seperti kolagen dan proteoglikan, yang memberikan dukungan struktural pada jaringan (Lalla et al., 2014). Aktivitas MMP yang berlebihan merusak "kerangka" jaringan ikat, semakin melemahkan struktur mukosa dan memfasilitasi perluasan kerusakan.</w:t>
      </w:r>
      <w:bookmarkStart w:id="81" w:name="_3r0km5mmy4un" w:colFirst="0" w:colLast="0"/>
      <w:bookmarkEnd w:id="81"/>
      <w:r w:rsidR="002B0035" w:rsidRPr="006810DB">
        <w:rPr>
          <w:rFonts w:ascii="Book Antiqua" w:hAnsi="Book Antiqua"/>
          <w:b/>
          <w:bCs/>
          <w:sz w:val="20"/>
          <w:szCs w:val="20"/>
          <w:lang w:val="en"/>
        </w:rPr>
        <w:br w:type="page"/>
      </w:r>
    </w:p>
    <w:p w14:paraId="21D82D99" w14:textId="6F5856A2" w:rsidR="00B258B7" w:rsidRPr="006810DB" w:rsidRDefault="00B258B7" w:rsidP="006810DB">
      <w:pPr>
        <w:pStyle w:val="ListParagraph"/>
        <w:numPr>
          <w:ilvl w:val="0"/>
          <w:numId w:val="44"/>
        </w:numPr>
        <w:spacing w:after="0" w:line="276" w:lineRule="auto"/>
        <w:ind w:left="567" w:hanging="283"/>
        <w:contextualSpacing w:val="0"/>
        <w:jc w:val="both"/>
        <w:rPr>
          <w:rFonts w:ascii="Book Antiqua" w:hAnsi="Book Antiqua"/>
          <w:b/>
          <w:bCs/>
          <w:sz w:val="20"/>
          <w:szCs w:val="20"/>
          <w:lang w:val="en"/>
        </w:rPr>
      </w:pPr>
      <w:r w:rsidRPr="006810DB">
        <w:rPr>
          <w:rFonts w:ascii="Book Antiqua" w:hAnsi="Book Antiqua"/>
          <w:b/>
          <w:bCs/>
          <w:sz w:val="20"/>
          <w:szCs w:val="20"/>
          <w:lang w:val="en"/>
        </w:rPr>
        <w:lastRenderedPageBreak/>
        <w:t>Gangguan Proliferasi Sel Basal Epitel</w:t>
      </w:r>
    </w:p>
    <w:p w14:paraId="7D5A1DB8"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Seperti telah disebutkan, sel-sel basal epitel adalah target utama kerusakan langsung oleh kemoterapi. Dampak sekundernya adalah bahwa laju kematian sel (</w:t>
      </w:r>
      <w:r w:rsidRPr="006810DB">
        <w:rPr>
          <w:rFonts w:ascii="Book Antiqua" w:hAnsi="Book Antiqua"/>
          <w:i/>
          <w:iCs/>
          <w:sz w:val="20"/>
          <w:szCs w:val="20"/>
          <w:lang w:val="en"/>
        </w:rPr>
        <w:t>apoptosis</w:t>
      </w:r>
      <w:r w:rsidRPr="006810DB">
        <w:rPr>
          <w:rFonts w:ascii="Book Antiqua" w:hAnsi="Book Antiqua"/>
          <w:sz w:val="20"/>
          <w:szCs w:val="20"/>
          <w:lang w:val="en"/>
        </w:rPr>
        <w:t>) di lapisan basal kini jauh melampaui laju proliferasi sel baru. Keseimbangan dinamis yang normalerweise menjaga ketebalan dan integritas epitel menjadi sangat terganggu (van der Velden et al., 2021). Akibatnya, lapisan epitel menjadi semakin tipis (atrofik) dari hari ke hari setelah paparan kemoterapi.</w:t>
      </w:r>
    </w:p>
    <w:p w14:paraId="0533259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Pada puncaknya, sekitar 10-14 hari setelah kemoterapi, penipisan epitel ini mencapai titik kritis. Lapisan epitel tidak lagi mampu menutupi jaringan ikat di bawahnya, yang menyebabkan terbentuknya lesi ulseratif. Ulkus ini secara efektif merupakan area di mana barier pelindung mukosa telah hilang sepenuhnya, meninggalkan ujung-ujung saraf dan pembuluh darah di submukosa menjadi terpapar langsung ke lingkungan rongga mulut yang keras dan penuh mikroba (Sonis, 2010).</w:t>
      </w:r>
    </w:p>
    <w:p w14:paraId="1634D9C2" w14:textId="02EB163A" w:rsidR="00B258B7" w:rsidRPr="006810DB" w:rsidRDefault="00B258B7" w:rsidP="006810DB">
      <w:pPr>
        <w:pStyle w:val="ListParagraph"/>
        <w:numPr>
          <w:ilvl w:val="0"/>
          <w:numId w:val="44"/>
        </w:numPr>
        <w:spacing w:after="0" w:line="276" w:lineRule="auto"/>
        <w:ind w:left="567" w:hanging="283"/>
        <w:contextualSpacing w:val="0"/>
        <w:jc w:val="both"/>
        <w:rPr>
          <w:rFonts w:ascii="Book Antiqua" w:hAnsi="Book Antiqua"/>
          <w:b/>
          <w:bCs/>
          <w:sz w:val="20"/>
          <w:szCs w:val="20"/>
          <w:lang w:val="en"/>
        </w:rPr>
      </w:pPr>
      <w:bookmarkStart w:id="82" w:name="_cln78dpildnn" w:colFirst="0" w:colLast="0"/>
      <w:bookmarkEnd w:id="82"/>
      <w:r w:rsidRPr="006810DB">
        <w:rPr>
          <w:rFonts w:ascii="Book Antiqua" w:hAnsi="Book Antiqua"/>
          <w:b/>
          <w:bCs/>
          <w:sz w:val="20"/>
          <w:szCs w:val="20"/>
          <w:lang w:val="en"/>
        </w:rPr>
        <w:t>Risiko Infeksi Sekunder pada Lesi Mukosa</w:t>
      </w:r>
    </w:p>
    <w:p w14:paraId="0492B628"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Rongga mulut adalah ekosistem yang kompleks yang dihuni oleh ratusan spesies bakteri, jamur, dan virus. Lapisan epitel mukosa yang utuh berfungsi sebagai barier fisik yang sangat efektif untuk mencegah mikroorganisme ini menginvasi jaringan yang lebih dalam. Ketika ulserasi terjadi, barier ini runtuh (Leuker et al., 2022). Area ulkus yang terbuka menjadi tempat yang ideal bagi kolonisasi mikroba.</w:t>
      </w:r>
    </w:p>
    <w:p w14:paraId="0B62C55F"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Bakteri, baik dari plak gigi maupun yang oportunistik, dapat menginvasi jaringan submukosa, memicu respons inflamasi yang lebih hebat lagi. Produk-produk bakteri, seperti </w:t>
      </w:r>
      <w:r w:rsidRPr="006810DB">
        <w:rPr>
          <w:rFonts w:ascii="Book Antiqua" w:hAnsi="Book Antiqua"/>
          <w:i/>
          <w:iCs/>
          <w:sz w:val="20"/>
          <w:szCs w:val="20"/>
          <w:lang w:val="en"/>
        </w:rPr>
        <w:t>lipopolisakarida</w:t>
      </w:r>
      <w:r w:rsidRPr="006810DB">
        <w:rPr>
          <w:rFonts w:ascii="Book Antiqua" w:hAnsi="Book Antiqua"/>
          <w:sz w:val="20"/>
          <w:szCs w:val="20"/>
          <w:lang w:val="en"/>
        </w:rPr>
        <w:t xml:space="preserve"> (LPS) dari bakteri Gram-negatif, adalah stimulator kuat bagi sel-sel imun dan dapat secara signifikan meningkatkan produksi sitokin pro-inflamasi, menciptakan lingkaran setan (</w:t>
      </w:r>
      <w:r w:rsidRPr="006810DB">
        <w:rPr>
          <w:rFonts w:ascii="Book Antiqua" w:hAnsi="Book Antiqua"/>
          <w:i/>
          <w:iCs/>
          <w:sz w:val="20"/>
          <w:szCs w:val="20"/>
          <w:lang w:val="en"/>
        </w:rPr>
        <w:t>vicious cycle</w:t>
      </w:r>
      <w:r w:rsidRPr="006810DB">
        <w:rPr>
          <w:rFonts w:ascii="Book Antiqua" w:hAnsi="Book Antiqua"/>
          <w:sz w:val="20"/>
          <w:szCs w:val="20"/>
          <w:lang w:val="en"/>
        </w:rPr>
        <w:t xml:space="preserve">) peradangan (Khan et al., 2021). Infeksi sekunder oleh jamur, terutama </w:t>
      </w:r>
      <w:r w:rsidRPr="006810DB">
        <w:rPr>
          <w:rFonts w:ascii="Book Antiqua" w:hAnsi="Book Antiqua"/>
          <w:i/>
          <w:iCs/>
          <w:sz w:val="20"/>
          <w:szCs w:val="20"/>
          <w:lang w:val="en"/>
        </w:rPr>
        <w:t>Candida albicans</w:t>
      </w:r>
      <w:r w:rsidRPr="006810DB">
        <w:rPr>
          <w:rFonts w:ascii="Book Antiqua" w:hAnsi="Book Antiqua"/>
          <w:sz w:val="20"/>
          <w:szCs w:val="20"/>
          <w:lang w:val="en"/>
        </w:rPr>
        <w:t xml:space="preserve">, juga </w:t>
      </w:r>
      <w:r w:rsidRPr="006810DB">
        <w:rPr>
          <w:rFonts w:ascii="Book Antiqua" w:hAnsi="Book Antiqua"/>
          <w:sz w:val="20"/>
          <w:szCs w:val="20"/>
          <w:lang w:val="en"/>
        </w:rPr>
        <w:lastRenderedPageBreak/>
        <w:t>umum terjadi dan dapat memperumit gambaran klinis serta menunda proses penyembuhan alami.</w:t>
      </w:r>
    </w:p>
    <w:p w14:paraId="24C7F800" w14:textId="77777777" w:rsidR="002B0035" w:rsidRPr="006810DB" w:rsidRDefault="002B0035" w:rsidP="006810DB">
      <w:pPr>
        <w:spacing w:after="0" w:line="276" w:lineRule="auto"/>
        <w:jc w:val="both"/>
        <w:rPr>
          <w:rFonts w:ascii="Book Antiqua" w:hAnsi="Book Antiqua"/>
          <w:b/>
          <w:bCs/>
          <w:sz w:val="20"/>
          <w:szCs w:val="20"/>
          <w:lang w:val="en"/>
        </w:rPr>
      </w:pPr>
    </w:p>
    <w:p w14:paraId="6216578D" w14:textId="77777777" w:rsidR="002B0035" w:rsidRPr="006810DB" w:rsidRDefault="002B0035" w:rsidP="006810DB">
      <w:pPr>
        <w:spacing w:after="0" w:line="276" w:lineRule="auto"/>
        <w:jc w:val="both"/>
        <w:rPr>
          <w:rFonts w:ascii="Book Antiqua" w:hAnsi="Book Antiqua"/>
          <w:b/>
          <w:bCs/>
          <w:sz w:val="20"/>
          <w:szCs w:val="20"/>
          <w:lang w:val="en"/>
        </w:rPr>
      </w:pPr>
    </w:p>
    <w:p w14:paraId="3E14E8B3" w14:textId="77777777" w:rsidR="00D51341" w:rsidRPr="006810DB" w:rsidRDefault="00D51341"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673A80C3" w14:textId="143B32B4" w:rsidR="00B258B7" w:rsidRPr="006810DB" w:rsidRDefault="00B258B7" w:rsidP="006810DB">
      <w:pPr>
        <w:pStyle w:val="Heading2"/>
        <w:jc w:val="center"/>
        <w:rPr>
          <w:b w:val="0"/>
          <w:bCs/>
          <w:szCs w:val="20"/>
          <w:lang w:val="en"/>
        </w:rPr>
      </w:pPr>
      <w:bookmarkStart w:id="83" w:name="_Toc223088880"/>
      <w:r w:rsidRPr="006810DB">
        <w:rPr>
          <w:highlight w:val="yellow"/>
        </w:rPr>
        <w:lastRenderedPageBreak/>
        <w:t>KESIMPULAN</w:t>
      </w:r>
      <w:bookmarkEnd w:id="83"/>
    </w:p>
    <w:p w14:paraId="2C0B9AE1" w14:textId="77777777" w:rsidR="00D51341" w:rsidRPr="006810DB" w:rsidRDefault="00D51341" w:rsidP="006810DB">
      <w:pPr>
        <w:spacing w:after="0" w:line="276" w:lineRule="auto"/>
        <w:jc w:val="both"/>
        <w:rPr>
          <w:rFonts w:ascii="Book Antiqua" w:hAnsi="Book Antiqua"/>
          <w:b/>
          <w:bCs/>
          <w:sz w:val="20"/>
          <w:szCs w:val="20"/>
          <w:lang w:val="en"/>
        </w:rPr>
      </w:pPr>
    </w:p>
    <w:p w14:paraId="701C998A" w14:textId="77777777" w:rsidR="00D51341" w:rsidRPr="006810DB" w:rsidRDefault="00D51341" w:rsidP="006810DB">
      <w:pPr>
        <w:spacing w:after="0" w:line="276" w:lineRule="auto"/>
        <w:jc w:val="both"/>
        <w:rPr>
          <w:rFonts w:ascii="Book Antiqua" w:hAnsi="Book Antiqua"/>
          <w:b/>
          <w:bCs/>
          <w:sz w:val="20"/>
          <w:szCs w:val="20"/>
          <w:lang w:val="en"/>
        </w:rPr>
      </w:pPr>
    </w:p>
    <w:p w14:paraId="21EB9929" w14:textId="77777777" w:rsidR="00D51341" w:rsidRPr="006810DB" w:rsidRDefault="00D51341"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38333D67" w14:textId="77777777" w:rsidR="00824155" w:rsidRPr="006810DB" w:rsidRDefault="00824155" w:rsidP="00824155">
      <w:pPr>
        <w:pStyle w:val="Heading2"/>
        <w:jc w:val="center"/>
        <w:rPr>
          <w:b w:val="0"/>
          <w:bCs/>
          <w:szCs w:val="20"/>
          <w:lang w:val="en"/>
        </w:rPr>
      </w:pPr>
      <w:bookmarkStart w:id="84" w:name="_Toc223088881"/>
      <w:r w:rsidRPr="006810DB">
        <w:rPr>
          <w:bCs/>
          <w:szCs w:val="20"/>
          <w:highlight w:val="yellow"/>
          <w:lang w:val="en"/>
        </w:rPr>
        <w:lastRenderedPageBreak/>
        <w:t>GLOSARIUM</w:t>
      </w:r>
      <w:bookmarkEnd w:id="84"/>
    </w:p>
    <w:p w14:paraId="20C7655F" w14:textId="77777777" w:rsidR="00824155" w:rsidRPr="006810DB" w:rsidRDefault="00824155" w:rsidP="00824155">
      <w:pPr>
        <w:spacing w:after="0" w:line="276" w:lineRule="auto"/>
        <w:jc w:val="both"/>
        <w:rPr>
          <w:rFonts w:ascii="Book Antiqua" w:hAnsi="Book Antiqua"/>
          <w:b/>
          <w:bCs/>
          <w:sz w:val="20"/>
          <w:szCs w:val="20"/>
          <w:lang w:val="en"/>
        </w:rPr>
      </w:pPr>
    </w:p>
    <w:p w14:paraId="1C88B5E5" w14:textId="77777777" w:rsidR="00824155" w:rsidRPr="006810DB" w:rsidRDefault="00824155" w:rsidP="00824155">
      <w:pPr>
        <w:spacing w:after="0" w:line="276" w:lineRule="auto"/>
        <w:jc w:val="both"/>
        <w:rPr>
          <w:rFonts w:ascii="Book Antiqua" w:hAnsi="Book Antiqua"/>
          <w:b/>
          <w:bCs/>
          <w:sz w:val="20"/>
          <w:szCs w:val="20"/>
          <w:lang w:val="en"/>
        </w:rPr>
      </w:pPr>
    </w:p>
    <w:p w14:paraId="43B6D780" w14:textId="77777777" w:rsidR="00824155" w:rsidRPr="006810DB" w:rsidRDefault="00824155" w:rsidP="00824155">
      <w:pPr>
        <w:spacing w:line="276" w:lineRule="auto"/>
        <w:rPr>
          <w:rFonts w:ascii="Book Antiqua" w:hAnsi="Book Antiqua"/>
          <w:b/>
          <w:bCs/>
          <w:sz w:val="20"/>
          <w:szCs w:val="20"/>
          <w:lang w:val="en"/>
        </w:rPr>
      </w:pPr>
      <w:bookmarkStart w:id="85" w:name="_5xec1zracdii" w:colFirst="0" w:colLast="0"/>
      <w:bookmarkEnd w:id="85"/>
      <w:r w:rsidRPr="006810DB">
        <w:rPr>
          <w:rFonts w:ascii="Book Antiqua" w:hAnsi="Book Antiqua"/>
          <w:b/>
          <w:bCs/>
          <w:sz w:val="20"/>
          <w:szCs w:val="20"/>
          <w:lang w:val="en"/>
        </w:rPr>
        <w:br w:type="page"/>
      </w:r>
    </w:p>
    <w:p w14:paraId="688CA5D9" w14:textId="77777777" w:rsidR="00F95D8D" w:rsidRPr="006810DB" w:rsidRDefault="00F95D8D" w:rsidP="006810DB">
      <w:pPr>
        <w:pStyle w:val="Heading2"/>
        <w:jc w:val="center"/>
      </w:pPr>
      <w:bookmarkStart w:id="86" w:name="_Toc223088882"/>
      <w:r w:rsidRPr="006810DB">
        <w:lastRenderedPageBreak/>
        <w:t>DAFTAR PUSTAKA</w:t>
      </w:r>
      <w:bookmarkEnd w:id="86"/>
    </w:p>
    <w:p w14:paraId="76C35DE8" w14:textId="77777777" w:rsidR="00F95D8D" w:rsidRPr="006810DB" w:rsidRDefault="00F95D8D" w:rsidP="006810DB">
      <w:pPr>
        <w:spacing w:after="0" w:line="276" w:lineRule="auto"/>
        <w:jc w:val="both"/>
        <w:rPr>
          <w:rFonts w:ascii="Book Antiqua" w:hAnsi="Book Antiqua"/>
          <w:b/>
          <w:bCs/>
          <w:sz w:val="20"/>
          <w:szCs w:val="20"/>
          <w:lang w:val="en"/>
        </w:rPr>
      </w:pPr>
    </w:p>
    <w:p w14:paraId="3FF67296"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Al-Dasooqi, N., Sonis, S. T., Bowen, J. M., Bateman, E., Biers, K., Gibson, R. J., ... &amp; Keefe, D. M. (2013). The role of inflammation in the pathogenesis of oral mucositis. </w:t>
      </w:r>
      <w:r w:rsidRPr="006810DB">
        <w:rPr>
          <w:rFonts w:ascii="Book Antiqua" w:hAnsi="Book Antiqua"/>
          <w:i/>
          <w:iCs/>
          <w:color w:val="000000" w:themeColor="text1"/>
          <w:sz w:val="20"/>
          <w:szCs w:val="20"/>
          <w:lang w:val="en"/>
        </w:rPr>
        <w:t>Supportive Care in 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21</w:t>
      </w:r>
      <w:r w:rsidRPr="006810DB">
        <w:rPr>
          <w:rFonts w:ascii="Book Antiqua" w:hAnsi="Book Antiqua"/>
          <w:color w:val="000000" w:themeColor="text1"/>
          <w:sz w:val="20"/>
          <w:szCs w:val="20"/>
          <w:lang w:val="en"/>
        </w:rPr>
        <w:t>(11), 3191-3200.</w:t>
      </w:r>
      <w:hyperlink r:id="rId57">
        <w:r w:rsidRPr="006810DB">
          <w:rPr>
            <w:rStyle w:val="Hyperlink"/>
            <w:rFonts w:ascii="Book Antiqua" w:hAnsi="Book Antiqua"/>
            <w:color w:val="000000" w:themeColor="text1"/>
            <w:sz w:val="20"/>
            <w:szCs w:val="20"/>
            <w:u w:val="none"/>
            <w:lang w:val="en"/>
          </w:rPr>
          <w:t xml:space="preserve"> </w:t>
        </w:r>
      </w:hyperlink>
      <w:hyperlink r:id="rId58">
        <w:r w:rsidRPr="006810DB">
          <w:rPr>
            <w:rStyle w:val="Hyperlink"/>
            <w:rFonts w:ascii="Book Antiqua" w:hAnsi="Book Antiqua"/>
            <w:color w:val="000000" w:themeColor="text1"/>
            <w:sz w:val="20"/>
            <w:szCs w:val="20"/>
            <w:u w:val="none"/>
            <w:lang w:val="en"/>
          </w:rPr>
          <w:t>https://doi.org/10.1007/s00520-013-1921-2</w:t>
        </w:r>
      </w:hyperlink>
    </w:p>
    <w:p w14:paraId="6C96AE25"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Chavda, V. P., Vihol, D., Shah, P., Vaghasiya, D., &amp; Patel, S. S. (2023). Cisplatin-induced nephrotoxicity: a comprehensive review of pathogenesis and potential therapeutic agents. </w:t>
      </w:r>
      <w:r w:rsidRPr="006810DB">
        <w:rPr>
          <w:rFonts w:ascii="Book Antiqua" w:hAnsi="Book Antiqua"/>
          <w:i/>
          <w:iCs/>
          <w:color w:val="000000" w:themeColor="text1"/>
          <w:sz w:val="20"/>
          <w:szCs w:val="20"/>
          <w:lang w:val="en"/>
        </w:rPr>
        <w:t>Naunyn-Schmiedeberg's Archives of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396</w:t>
      </w:r>
      <w:r w:rsidRPr="006810DB">
        <w:rPr>
          <w:rFonts w:ascii="Book Antiqua" w:hAnsi="Book Antiqua"/>
          <w:color w:val="000000" w:themeColor="text1"/>
          <w:sz w:val="20"/>
          <w:szCs w:val="20"/>
          <w:lang w:val="en"/>
        </w:rPr>
        <w:t>(4), 655–671.</w:t>
      </w:r>
      <w:hyperlink r:id="rId59">
        <w:r w:rsidRPr="006810DB">
          <w:rPr>
            <w:rStyle w:val="Hyperlink"/>
            <w:rFonts w:ascii="Book Antiqua" w:hAnsi="Book Antiqua"/>
            <w:color w:val="000000" w:themeColor="text1"/>
            <w:sz w:val="20"/>
            <w:szCs w:val="20"/>
            <w:u w:val="none"/>
            <w:lang w:val="en"/>
          </w:rPr>
          <w:t xml:space="preserve"> </w:t>
        </w:r>
      </w:hyperlink>
      <w:hyperlink r:id="rId60">
        <w:r w:rsidRPr="006810DB">
          <w:rPr>
            <w:rStyle w:val="Hyperlink"/>
            <w:rFonts w:ascii="Book Antiqua" w:hAnsi="Book Antiqua"/>
            <w:color w:val="000000" w:themeColor="text1"/>
            <w:sz w:val="20"/>
            <w:szCs w:val="20"/>
            <w:u w:val="none"/>
            <w:lang w:val="en"/>
          </w:rPr>
          <w:t>https://doi.org/10.1007/s00210-022-02343-y</w:t>
        </w:r>
      </w:hyperlink>
    </w:p>
    <w:p w14:paraId="6BA3B07C"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Elad, S., Cheng, K. K. F., Lalla, R. V., Yarom, N., Hong, C., Logan, R. M., ... &amp; Zadik, Y. (2020). MASCC/ISOO clinical practice guidelines for the management of mucositis secondary to cancer therapy. </w:t>
      </w:r>
      <w:r w:rsidRPr="006810DB">
        <w:rPr>
          <w:rFonts w:ascii="Book Antiqua" w:hAnsi="Book Antiqua"/>
          <w:i/>
          <w:iCs/>
          <w:color w:val="000000" w:themeColor="text1"/>
          <w:sz w:val="20"/>
          <w:szCs w:val="20"/>
          <w:lang w:val="en"/>
        </w:rPr>
        <w:t>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126</w:t>
      </w:r>
      <w:r w:rsidRPr="006810DB">
        <w:rPr>
          <w:rFonts w:ascii="Book Antiqua" w:hAnsi="Book Antiqua"/>
          <w:color w:val="000000" w:themeColor="text1"/>
          <w:sz w:val="20"/>
          <w:szCs w:val="20"/>
          <w:lang w:val="en"/>
        </w:rPr>
        <w:t>(19), 4423-4431.</w:t>
      </w:r>
      <w:hyperlink r:id="rId61">
        <w:r w:rsidRPr="006810DB">
          <w:rPr>
            <w:rStyle w:val="Hyperlink"/>
            <w:rFonts w:ascii="Book Antiqua" w:hAnsi="Book Antiqua"/>
            <w:color w:val="000000" w:themeColor="text1"/>
            <w:sz w:val="20"/>
            <w:szCs w:val="20"/>
            <w:u w:val="none"/>
            <w:lang w:val="en"/>
          </w:rPr>
          <w:t xml:space="preserve"> </w:t>
        </w:r>
      </w:hyperlink>
      <w:hyperlink r:id="rId62">
        <w:r w:rsidRPr="006810DB">
          <w:rPr>
            <w:rStyle w:val="Hyperlink"/>
            <w:rFonts w:ascii="Book Antiqua" w:hAnsi="Book Antiqua"/>
            <w:color w:val="000000" w:themeColor="text1"/>
            <w:sz w:val="20"/>
            <w:szCs w:val="20"/>
            <w:u w:val="none"/>
            <w:lang w:val="en"/>
          </w:rPr>
          <w:t>https://doi.org/10.1002/cncr.33100</w:t>
        </w:r>
      </w:hyperlink>
    </w:p>
    <w:p w14:paraId="01B66662"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Kadarullah, O., Tamtomo, D., Wasita, B., Setiamika, M., Prayitno, A., Widyaningsih, V., &amp; Soetrisno, S. (2024). Cisplatin-Induced Oral Mucositis Prevention: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’s Anti-Inflammatory Role through NFκB Pathway. </w:t>
      </w:r>
      <w:r w:rsidRPr="006810DB">
        <w:rPr>
          <w:rFonts w:ascii="Book Antiqua" w:hAnsi="Book Antiqua"/>
          <w:i/>
          <w:iCs/>
          <w:color w:val="000000" w:themeColor="text1"/>
          <w:sz w:val="20"/>
          <w:szCs w:val="20"/>
          <w:lang w:val="en"/>
        </w:rPr>
        <w:t>Trends in Sciences</w:t>
      </w:r>
      <w:r w:rsidRPr="006810DB">
        <w:rPr>
          <w:rFonts w:ascii="Book Antiqua" w:hAnsi="Book Antiqua"/>
          <w:color w:val="000000" w:themeColor="text1"/>
          <w:sz w:val="20"/>
          <w:szCs w:val="20"/>
          <w:lang w:val="en"/>
        </w:rPr>
        <w:t>, 21(1), 8105.</w:t>
      </w:r>
      <w:hyperlink r:id="rId63">
        <w:r w:rsidRPr="006810DB">
          <w:rPr>
            <w:rStyle w:val="Hyperlink"/>
            <w:rFonts w:ascii="Book Antiqua" w:hAnsi="Book Antiqua"/>
            <w:color w:val="000000" w:themeColor="text1"/>
            <w:sz w:val="20"/>
            <w:szCs w:val="20"/>
            <w:u w:val="none"/>
            <w:lang w:val="en"/>
          </w:rPr>
          <w:t xml:space="preserve"> </w:t>
        </w:r>
      </w:hyperlink>
      <w:hyperlink r:id="rId64">
        <w:r w:rsidRPr="006810DB">
          <w:rPr>
            <w:rStyle w:val="Hyperlink"/>
            <w:rFonts w:ascii="Book Antiqua" w:hAnsi="Book Antiqua"/>
            <w:color w:val="000000" w:themeColor="text1"/>
            <w:sz w:val="20"/>
            <w:szCs w:val="20"/>
            <w:u w:val="none"/>
            <w:lang w:val="en"/>
          </w:rPr>
          <w:t>https://doi.org/10.48048/tis.2024.8105</w:t>
        </w:r>
      </w:hyperlink>
    </w:p>
    <w:p w14:paraId="4D826F47"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Khan, J., Siddiqui, M. F., &amp; Ahmad, R. (2021). Role of oral microbiome in the pathogenesis of oral mucositis. </w:t>
      </w:r>
      <w:r w:rsidRPr="006810DB">
        <w:rPr>
          <w:rFonts w:ascii="Book Antiqua" w:hAnsi="Book Antiqua"/>
          <w:i/>
          <w:iCs/>
          <w:color w:val="000000" w:themeColor="text1"/>
          <w:sz w:val="20"/>
          <w:szCs w:val="20"/>
          <w:lang w:val="en"/>
        </w:rPr>
        <w:t>Journal of Oral Biology and Craniofacial Research</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11</w:t>
      </w:r>
      <w:r w:rsidRPr="006810DB">
        <w:rPr>
          <w:rFonts w:ascii="Book Antiqua" w:hAnsi="Book Antiqua"/>
          <w:color w:val="000000" w:themeColor="text1"/>
          <w:sz w:val="20"/>
          <w:szCs w:val="20"/>
          <w:lang w:val="en"/>
        </w:rPr>
        <w:t>(4), 548-553.</w:t>
      </w:r>
      <w:hyperlink r:id="rId65">
        <w:r w:rsidRPr="006810DB">
          <w:rPr>
            <w:rStyle w:val="Hyperlink"/>
            <w:rFonts w:ascii="Book Antiqua" w:hAnsi="Book Antiqua"/>
            <w:color w:val="000000" w:themeColor="text1"/>
            <w:sz w:val="20"/>
            <w:szCs w:val="20"/>
            <w:u w:val="none"/>
            <w:lang w:val="en"/>
          </w:rPr>
          <w:t xml:space="preserve"> </w:t>
        </w:r>
      </w:hyperlink>
      <w:hyperlink r:id="rId66">
        <w:r w:rsidRPr="006810DB">
          <w:rPr>
            <w:rStyle w:val="Hyperlink"/>
            <w:rFonts w:ascii="Book Antiqua" w:hAnsi="Book Antiqua"/>
            <w:color w:val="000000" w:themeColor="text1"/>
            <w:sz w:val="20"/>
            <w:szCs w:val="20"/>
            <w:u w:val="none"/>
            <w:lang w:val="en"/>
          </w:rPr>
          <w:t>https://doi.org/10.1016/j.jobcr.2021.08.006</w:t>
        </w:r>
      </w:hyperlink>
    </w:p>
    <w:p w14:paraId="1FF3E10C"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Lalla, R. V., Bowen, J., Barasch, A., Elting, L., Epstein, J., Keefe, D. M., ... &amp; Elad, S. (2014). MASCC/ISOO clinical practice guidelines for the management of mucositis secondary to cancer therapy. </w:t>
      </w:r>
      <w:r w:rsidRPr="006810DB">
        <w:rPr>
          <w:rFonts w:ascii="Book Antiqua" w:hAnsi="Book Antiqua"/>
          <w:i/>
          <w:iCs/>
          <w:color w:val="000000" w:themeColor="text1"/>
          <w:sz w:val="20"/>
          <w:szCs w:val="20"/>
          <w:lang w:val="en"/>
        </w:rPr>
        <w:t>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120</w:t>
      </w:r>
      <w:r w:rsidRPr="006810DB">
        <w:rPr>
          <w:rFonts w:ascii="Book Antiqua" w:hAnsi="Book Antiqua"/>
          <w:color w:val="000000" w:themeColor="text1"/>
          <w:sz w:val="20"/>
          <w:szCs w:val="20"/>
          <w:lang w:val="en"/>
        </w:rPr>
        <w:t>(10), 1453-1461.</w:t>
      </w:r>
      <w:hyperlink r:id="rId67">
        <w:r w:rsidRPr="006810DB">
          <w:rPr>
            <w:rStyle w:val="Hyperlink"/>
            <w:rFonts w:ascii="Book Antiqua" w:hAnsi="Book Antiqua"/>
            <w:color w:val="000000" w:themeColor="text1"/>
            <w:sz w:val="20"/>
            <w:szCs w:val="20"/>
            <w:u w:val="none"/>
            <w:lang w:val="en"/>
          </w:rPr>
          <w:t xml:space="preserve"> </w:t>
        </w:r>
      </w:hyperlink>
      <w:hyperlink r:id="rId68">
        <w:r w:rsidRPr="006810DB">
          <w:rPr>
            <w:rStyle w:val="Hyperlink"/>
            <w:rFonts w:ascii="Book Antiqua" w:hAnsi="Book Antiqua"/>
            <w:color w:val="000000" w:themeColor="text1"/>
            <w:sz w:val="20"/>
            <w:szCs w:val="20"/>
            <w:u w:val="none"/>
            <w:lang w:val="en"/>
          </w:rPr>
          <w:t>https://doi.org/10.1002/cncr.28592</w:t>
        </w:r>
      </w:hyperlink>
    </w:p>
    <w:p w14:paraId="6A0D4334" w14:textId="77777777" w:rsidR="00F95D8D" w:rsidRPr="006810DB" w:rsidRDefault="00F95D8D" w:rsidP="006810DB">
      <w:pPr>
        <w:spacing w:line="276" w:lineRule="auto"/>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br w:type="page"/>
      </w:r>
    </w:p>
    <w:p w14:paraId="19D8046D"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Leuker, L., Wöstmann, B., &amp; Perea-Pérez, B. (2022). The oral microbiome in cancer therapy-induced oral mucositis. </w:t>
      </w:r>
      <w:r w:rsidRPr="006810DB">
        <w:rPr>
          <w:rFonts w:ascii="Book Antiqua" w:hAnsi="Book Antiqua"/>
          <w:i/>
          <w:iCs/>
          <w:color w:val="000000" w:themeColor="text1"/>
          <w:sz w:val="20"/>
          <w:szCs w:val="20"/>
          <w:lang w:val="en"/>
        </w:rPr>
        <w:t>Frontiers in Oral Health</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w:t>
      </w:r>
      <w:r w:rsidRPr="006810DB">
        <w:rPr>
          <w:rFonts w:ascii="Book Antiqua" w:hAnsi="Book Antiqua"/>
          <w:color w:val="000000" w:themeColor="text1"/>
          <w:sz w:val="20"/>
          <w:szCs w:val="20"/>
          <w:lang w:val="en"/>
        </w:rPr>
        <w:t>, 995160.</w:t>
      </w:r>
      <w:hyperlink r:id="rId69">
        <w:r w:rsidRPr="006810DB">
          <w:rPr>
            <w:rStyle w:val="Hyperlink"/>
            <w:rFonts w:ascii="Book Antiqua" w:hAnsi="Book Antiqua"/>
            <w:color w:val="000000" w:themeColor="text1"/>
            <w:sz w:val="20"/>
            <w:szCs w:val="20"/>
            <w:u w:val="none"/>
            <w:lang w:val="en"/>
          </w:rPr>
          <w:t xml:space="preserve"> </w:t>
        </w:r>
      </w:hyperlink>
      <w:hyperlink r:id="rId70">
        <w:r w:rsidRPr="006810DB">
          <w:rPr>
            <w:rStyle w:val="Hyperlink"/>
            <w:rFonts w:ascii="Book Antiqua" w:hAnsi="Book Antiqua"/>
            <w:color w:val="000000" w:themeColor="text1"/>
            <w:sz w:val="20"/>
            <w:szCs w:val="20"/>
            <w:u w:val="none"/>
            <w:lang w:val="en"/>
          </w:rPr>
          <w:t>https://doi.org/10.3389/froh.2022.995160</w:t>
        </w:r>
      </w:hyperlink>
    </w:p>
    <w:p w14:paraId="0F2E779B"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Logan, R. M., Gibson, R. J., Sonis, S. T., &amp; Keefe, D. M. (2008). Nuclear factor-kappaB (NF-κB) and cyclooxygenase-2 (COX-2) in the pathobiology of cancer therapy-induced oral mucositis. </w:t>
      </w:r>
      <w:r w:rsidRPr="006810DB">
        <w:rPr>
          <w:rFonts w:ascii="Book Antiqua" w:hAnsi="Book Antiqua"/>
          <w:i/>
          <w:iCs/>
          <w:color w:val="000000" w:themeColor="text1"/>
          <w:sz w:val="20"/>
          <w:szCs w:val="20"/>
          <w:lang w:val="en"/>
        </w:rPr>
        <w:t>Oral Oncology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44</w:t>
      </w:r>
      <w:r w:rsidRPr="006810DB">
        <w:rPr>
          <w:rFonts w:ascii="Book Antiqua" w:hAnsi="Book Antiqua"/>
          <w:color w:val="000000" w:themeColor="text1"/>
          <w:sz w:val="20"/>
          <w:szCs w:val="20"/>
          <w:lang w:val="en"/>
        </w:rPr>
        <w:t>(1), 1-8.</w:t>
      </w:r>
      <w:hyperlink r:id="rId71">
        <w:r w:rsidRPr="006810DB">
          <w:rPr>
            <w:rStyle w:val="Hyperlink"/>
            <w:rFonts w:ascii="Book Antiqua" w:hAnsi="Book Antiqua"/>
            <w:color w:val="000000" w:themeColor="text1"/>
            <w:sz w:val="20"/>
            <w:szCs w:val="20"/>
            <w:u w:val="none"/>
            <w:lang w:val="en"/>
          </w:rPr>
          <w:t xml:space="preserve"> </w:t>
        </w:r>
      </w:hyperlink>
      <w:hyperlink r:id="rId72">
        <w:r w:rsidRPr="006810DB">
          <w:rPr>
            <w:rStyle w:val="Hyperlink"/>
            <w:rFonts w:ascii="Book Antiqua" w:hAnsi="Book Antiqua"/>
            <w:color w:val="000000" w:themeColor="text1"/>
            <w:sz w:val="20"/>
            <w:szCs w:val="20"/>
            <w:u w:val="none"/>
            <w:lang w:val="en"/>
          </w:rPr>
          <w:t>https://doi.org/10.1016/j.oraloncology.2007.03.007</w:t>
        </w:r>
      </w:hyperlink>
    </w:p>
    <w:p w14:paraId="04AF3D05"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National Cancer Institute. (2017). </w:t>
      </w:r>
      <w:r w:rsidRPr="006810DB">
        <w:rPr>
          <w:rFonts w:ascii="Book Antiqua" w:hAnsi="Book Antiqua"/>
          <w:i/>
          <w:iCs/>
          <w:color w:val="000000" w:themeColor="text1"/>
          <w:sz w:val="20"/>
          <w:szCs w:val="20"/>
          <w:lang w:val="en"/>
        </w:rPr>
        <w:t>Common Terminology Criteria for Adverse Events (CTCAE) Version 5.0</w:t>
      </w:r>
      <w:r w:rsidRPr="006810DB">
        <w:rPr>
          <w:rFonts w:ascii="Book Antiqua" w:hAnsi="Book Antiqua"/>
          <w:color w:val="000000" w:themeColor="text1"/>
          <w:sz w:val="20"/>
          <w:szCs w:val="20"/>
          <w:lang w:val="en"/>
        </w:rPr>
        <w:t>.</w:t>
      </w:r>
    </w:p>
    <w:p w14:paraId="51C495C6"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Robb, C. T., Regan, K. H., Dorward, D. A., &amp; Rossi, A. G. (2020). Key mechanisms of redox signaling in inflammatory resolution. </w:t>
      </w:r>
      <w:r w:rsidRPr="006810DB">
        <w:rPr>
          <w:rFonts w:ascii="Book Antiqua" w:hAnsi="Book Antiqua"/>
          <w:i/>
          <w:iCs/>
          <w:color w:val="000000" w:themeColor="text1"/>
          <w:sz w:val="20"/>
          <w:szCs w:val="20"/>
          <w:lang w:val="en"/>
        </w:rPr>
        <w:t>Antioxidants &amp; Redox Signaling</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32</w:t>
      </w:r>
      <w:r w:rsidRPr="006810DB">
        <w:rPr>
          <w:rFonts w:ascii="Book Antiqua" w:hAnsi="Book Antiqua"/>
          <w:color w:val="000000" w:themeColor="text1"/>
          <w:sz w:val="20"/>
          <w:szCs w:val="20"/>
          <w:lang w:val="en"/>
        </w:rPr>
        <w:t>(18), 1352-1372.</w:t>
      </w:r>
      <w:hyperlink r:id="rId73">
        <w:r w:rsidRPr="006810DB">
          <w:rPr>
            <w:rStyle w:val="Hyperlink"/>
            <w:rFonts w:ascii="Book Antiqua" w:hAnsi="Book Antiqua"/>
            <w:color w:val="000000" w:themeColor="text1"/>
            <w:sz w:val="20"/>
            <w:szCs w:val="20"/>
            <w:u w:val="none"/>
            <w:lang w:val="en"/>
          </w:rPr>
          <w:t xml:space="preserve"> </w:t>
        </w:r>
      </w:hyperlink>
      <w:hyperlink r:id="rId74">
        <w:r w:rsidRPr="006810DB">
          <w:rPr>
            <w:rStyle w:val="Hyperlink"/>
            <w:rFonts w:ascii="Book Antiqua" w:hAnsi="Book Antiqua"/>
            <w:color w:val="000000" w:themeColor="text1"/>
            <w:sz w:val="20"/>
            <w:szCs w:val="20"/>
            <w:u w:val="none"/>
            <w:lang w:val="en"/>
          </w:rPr>
          <w:t>https://doi.org/10.1089/ars.2019.8000</w:t>
        </w:r>
      </w:hyperlink>
    </w:p>
    <w:p w14:paraId="7DB2A62A"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Rosenthal, D. I., Trotti, A. M., &amp; Yom, S. S. (2021). Radiation-induced mucositis. </w:t>
      </w:r>
      <w:r w:rsidRPr="006810DB">
        <w:rPr>
          <w:rFonts w:ascii="Book Antiqua" w:hAnsi="Book Antiqua"/>
          <w:i/>
          <w:iCs/>
          <w:color w:val="000000" w:themeColor="text1"/>
          <w:sz w:val="20"/>
          <w:szCs w:val="20"/>
          <w:lang w:val="en"/>
        </w:rPr>
        <w:t>UpToDate</w:t>
      </w:r>
      <w:r w:rsidRPr="006810DB">
        <w:rPr>
          <w:rFonts w:ascii="Book Antiqua" w:hAnsi="Book Antiqua"/>
          <w:color w:val="000000" w:themeColor="text1"/>
          <w:sz w:val="20"/>
          <w:szCs w:val="20"/>
          <w:lang w:val="en"/>
        </w:rPr>
        <w:t>.</w:t>
      </w:r>
    </w:p>
    <w:p w14:paraId="499DA646"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Sonis, S. T. (2010). The pathobiology of mucositis. </w:t>
      </w:r>
      <w:r w:rsidRPr="006810DB">
        <w:rPr>
          <w:rFonts w:ascii="Book Antiqua" w:hAnsi="Book Antiqua"/>
          <w:i/>
          <w:iCs/>
          <w:color w:val="000000" w:themeColor="text1"/>
          <w:sz w:val="20"/>
          <w:szCs w:val="20"/>
          <w:lang w:val="en"/>
        </w:rPr>
        <w:t>Nature Reviews 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w:t>
      </w:r>
      <w:r w:rsidRPr="006810DB">
        <w:rPr>
          <w:rFonts w:ascii="Book Antiqua" w:hAnsi="Book Antiqua"/>
          <w:color w:val="000000" w:themeColor="text1"/>
          <w:sz w:val="20"/>
          <w:szCs w:val="20"/>
          <w:lang w:val="en"/>
        </w:rPr>
        <w:t>(4), 277-284.</w:t>
      </w:r>
      <w:hyperlink r:id="rId75">
        <w:r w:rsidRPr="006810DB">
          <w:rPr>
            <w:rStyle w:val="Hyperlink"/>
            <w:rFonts w:ascii="Book Antiqua" w:hAnsi="Book Antiqua"/>
            <w:color w:val="000000" w:themeColor="text1"/>
            <w:sz w:val="20"/>
            <w:szCs w:val="20"/>
            <w:u w:val="none"/>
            <w:lang w:val="en"/>
          </w:rPr>
          <w:t xml:space="preserve"> </w:t>
        </w:r>
      </w:hyperlink>
      <w:hyperlink r:id="rId76">
        <w:r w:rsidRPr="006810DB">
          <w:rPr>
            <w:rStyle w:val="Hyperlink"/>
            <w:rFonts w:ascii="Book Antiqua" w:hAnsi="Book Antiqua"/>
            <w:color w:val="000000" w:themeColor="text1"/>
            <w:sz w:val="20"/>
            <w:szCs w:val="20"/>
            <w:u w:val="none"/>
            <w:lang w:val="en"/>
          </w:rPr>
          <w:t>https://doi.org/10.1038/nrc2812</w:t>
        </w:r>
      </w:hyperlink>
    </w:p>
    <w:p w14:paraId="40009F93"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Sonis, S. T., Elting, L. S., Keefe, D., Peterson, D. E., Schubert, M., Hauer-Jensen, M., ... &amp; The Mucositis Study Section of the Multinational Association of Supportive Care in Cancer and the International Society for Oral Oncology. (2004). Perspectives on cancer therapy-induced mucosal injury: pathogenesis, measurement, epidemiology, and consequences for patients. </w:t>
      </w:r>
      <w:r w:rsidRPr="006810DB">
        <w:rPr>
          <w:rFonts w:ascii="Book Antiqua" w:hAnsi="Book Antiqua"/>
          <w:i/>
          <w:iCs/>
          <w:color w:val="000000" w:themeColor="text1"/>
          <w:sz w:val="20"/>
          <w:szCs w:val="20"/>
          <w:lang w:val="en"/>
        </w:rPr>
        <w:t>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100</w:t>
      </w:r>
      <w:r w:rsidRPr="006810DB">
        <w:rPr>
          <w:rFonts w:ascii="Book Antiqua" w:hAnsi="Book Antiqua"/>
          <w:color w:val="000000" w:themeColor="text1"/>
          <w:sz w:val="20"/>
          <w:szCs w:val="20"/>
          <w:lang w:val="en"/>
        </w:rPr>
        <w:t>(S9), 1995-2025.</w:t>
      </w:r>
      <w:hyperlink r:id="rId77">
        <w:r w:rsidRPr="006810DB">
          <w:rPr>
            <w:rStyle w:val="Hyperlink"/>
            <w:rFonts w:ascii="Book Antiqua" w:hAnsi="Book Antiqua"/>
            <w:color w:val="000000" w:themeColor="text1"/>
            <w:sz w:val="20"/>
            <w:szCs w:val="20"/>
            <w:u w:val="none"/>
            <w:lang w:val="en"/>
          </w:rPr>
          <w:t xml:space="preserve"> </w:t>
        </w:r>
      </w:hyperlink>
      <w:hyperlink r:id="rId78">
        <w:r w:rsidRPr="006810DB">
          <w:rPr>
            <w:rStyle w:val="Hyperlink"/>
            <w:rFonts w:ascii="Book Antiqua" w:hAnsi="Book Antiqua"/>
            <w:color w:val="000000" w:themeColor="text1"/>
            <w:sz w:val="20"/>
            <w:szCs w:val="20"/>
            <w:u w:val="none"/>
            <w:lang w:val="en"/>
          </w:rPr>
          <w:t>https://doi.org/10.1002/cncr.20162</w:t>
        </w:r>
      </w:hyperlink>
    </w:p>
    <w:p w14:paraId="72F6A390"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van der Velden, W. J. F. M., de Haan, A. F. J., Blijlevens, N. M. A., &amp; Donnelly, J. P. (2021). The role of the oral and gut microbiome in chemotherapy-induced mucosal barrier injury. </w:t>
      </w:r>
      <w:r w:rsidRPr="006810DB">
        <w:rPr>
          <w:rFonts w:ascii="Book Antiqua" w:hAnsi="Book Antiqua"/>
          <w:i/>
          <w:iCs/>
          <w:color w:val="000000" w:themeColor="text1"/>
          <w:sz w:val="20"/>
          <w:szCs w:val="20"/>
          <w:lang w:val="en"/>
        </w:rPr>
        <w:t>Current Opinion in Supportive and Palliative Care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15</w:t>
      </w:r>
      <w:r w:rsidRPr="006810DB">
        <w:rPr>
          <w:rFonts w:ascii="Book Antiqua" w:hAnsi="Book Antiqua"/>
          <w:color w:val="000000" w:themeColor="text1"/>
          <w:sz w:val="20"/>
          <w:szCs w:val="20"/>
          <w:lang w:val="en"/>
        </w:rPr>
        <w:t>(1), 59-66.</w:t>
      </w:r>
      <w:hyperlink r:id="rId79">
        <w:r w:rsidRPr="006810DB">
          <w:rPr>
            <w:rStyle w:val="Hyperlink"/>
            <w:rFonts w:ascii="Book Antiqua" w:hAnsi="Book Antiqua"/>
            <w:color w:val="000000" w:themeColor="text1"/>
            <w:sz w:val="20"/>
            <w:szCs w:val="20"/>
            <w:u w:val="none"/>
            <w:lang w:val="en"/>
          </w:rPr>
          <w:t xml:space="preserve"> </w:t>
        </w:r>
      </w:hyperlink>
      <w:hyperlink r:id="rId80">
        <w:r w:rsidRPr="006810DB">
          <w:rPr>
            <w:rStyle w:val="Hyperlink"/>
            <w:rFonts w:ascii="Book Antiqua" w:hAnsi="Book Antiqua"/>
            <w:color w:val="000000" w:themeColor="text1"/>
            <w:sz w:val="20"/>
            <w:szCs w:val="20"/>
            <w:u w:val="none"/>
            <w:lang w:val="en"/>
          </w:rPr>
          <w:t>https://doi.org/10.1097/SPC.0000000000000537</w:t>
        </w:r>
      </w:hyperlink>
    </w:p>
    <w:p w14:paraId="7AEDD15B" w14:textId="77777777" w:rsidR="00F95D8D" w:rsidRPr="006810DB" w:rsidRDefault="00F95D8D"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World Health Organization. (1979). </w:t>
      </w:r>
      <w:r w:rsidRPr="006810DB">
        <w:rPr>
          <w:rFonts w:ascii="Book Antiqua" w:hAnsi="Book Antiqua"/>
          <w:i/>
          <w:iCs/>
          <w:color w:val="000000" w:themeColor="text1"/>
          <w:sz w:val="20"/>
          <w:szCs w:val="20"/>
          <w:lang w:val="en"/>
        </w:rPr>
        <w:t>WHO handbook for reporting results of cancer treatment</w:t>
      </w:r>
      <w:r w:rsidRPr="006810DB">
        <w:rPr>
          <w:rFonts w:ascii="Book Antiqua" w:hAnsi="Book Antiqua"/>
          <w:color w:val="000000" w:themeColor="text1"/>
          <w:sz w:val="20"/>
          <w:szCs w:val="20"/>
          <w:lang w:val="en"/>
        </w:rPr>
        <w:t>. WHO.</w:t>
      </w:r>
    </w:p>
    <w:p w14:paraId="10858E9E" w14:textId="77777777" w:rsidR="00F95D8D" w:rsidRPr="006810DB" w:rsidRDefault="00F95D8D" w:rsidP="006810DB">
      <w:pPr>
        <w:spacing w:line="276" w:lineRule="auto"/>
        <w:rPr>
          <w:rFonts w:ascii="Book Antiqua" w:hAnsi="Book Antiqua"/>
          <w:b/>
          <w:bCs/>
          <w:sz w:val="20"/>
          <w:szCs w:val="20"/>
          <w:lang w:val="en"/>
        </w:rPr>
      </w:pPr>
      <w:bookmarkStart w:id="87" w:name="_asz0j7hxmpfx" w:colFirst="0" w:colLast="0"/>
      <w:bookmarkEnd w:id="87"/>
      <w:r w:rsidRPr="006810DB">
        <w:rPr>
          <w:rFonts w:ascii="Book Antiqua" w:hAnsi="Book Antiqua"/>
          <w:b/>
          <w:bCs/>
          <w:sz w:val="20"/>
          <w:szCs w:val="20"/>
          <w:lang w:val="en"/>
        </w:rPr>
        <w:br w:type="page"/>
      </w:r>
    </w:p>
    <w:p w14:paraId="7FAC7BC3" w14:textId="6BD3CA48" w:rsidR="00B258B7" w:rsidRPr="006810DB" w:rsidRDefault="00B258B7" w:rsidP="006810DB">
      <w:pPr>
        <w:pStyle w:val="Heading1"/>
        <w:spacing w:before="0" w:line="276" w:lineRule="auto"/>
        <w:ind w:left="142" w:hanging="142"/>
        <w:rPr>
          <w:sz w:val="18"/>
          <w:szCs w:val="18"/>
          <w:lang w:val="en-ID"/>
        </w:rPr>
      </w:pPr>
      <w:bookmarkStart w:id="88" w:name="_Toc223088883"/>
      <w:r w:rsidRPr="006810DB">
        <w:rPr>
          <w:b/>
          <w:noProof/>
          <w:sz w:val="48"/>
          <w:szCs w:val="20"/>
          <w:lang w:val="en-US"/>
        </w:rPr>
        <w:lastRenderedPageBreak/>
        <mc:AlternateContent>
          <mc:Choice Requires="wps">
            <w:drawing>
              <wp:anchor distT="0" distB="0" distL="114300" distR="114300" simplePos="0" relativeHeight="251675648" behindDoc="0" locked="0" layoutInCell="1" allowOverlap="1" wp14:anchorId="1714F2AF" wp14:editId="19AEED62">
                <wp:simplePos x="0" y="0"/>
                <wp:positionH relativeFrom="column">
                  <wp:posOffset>913130</wp:posOffset>
                </wp:positionH>
                <wp:positionV relativeFrom="paragraph">
                  <wp:posOffset>133350</wp:posOffset>
                </wp:positionV>
                <wp:extent cx="2820035" cy="1109980"/>
                <wp:effectExtent l="0" t="0" r="0" b="0"/>
                <wp:wrapNone/>
                <wp:docPr id="10" name="Rectangle 10"/>
                <wp:cNvGraphicFramePr/>
                <a:graphic xmlns:a="http://schemas.openxmlformats.org/drawingml/2006/main">
                  <a:graphicData uri="http://schemas.microsoft.com/office/word/2010/wordprocessingShape">
                    <wps:wsp>
                      <wps:cNvSpPr/>
                      <wps:spPr>
                        <a:xfrm>
                          <a:off x="0" y="0"/>
                          <a:ext cx="2820035"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1F137F1" w14:textId="017A95C1" w:rsidR="00B258B7" w:rsidRPr="00F95D8D" w:rsidRDefault="00B258B7" w:rsidP="00B258B7">
                            <w:pPr>
                              <w:spacing w:after="0" w:line="276" w:lineRule="auto"/>
                              <w:jc w:val="center"/>
                              <w:rPr>
                                <w:rFonts w:ascii="Book Antiqua" w:hAnsi="Book Antiqua"/>
                                <w:b/>
                                <w:bCs/>
                                <w:sz w:val="32"/>
                                <w:szCs w:val="36"/>
                                <w:lang w:val="en"/>
                              </w:rPr>
                            </w:pPr>
                            <w:r w:rsidRPr="00F95D8D">
                              <w:rPr>
                                <w:rFonts w:ascii="Book Antiqua" w:hAnsi="Book Antiqua"/>
                                <w:b/>
                                <w:bCs/>
                                <w:sz w:val="32"/>
                                <w:szCs w:val="36"/>
                                <w:lang w:val="en"/>
                              </w:rPr>
                              <w:t>PERAN RADIKAL BEBAS DALAM KERUSAKAN JARINGAN MUKOSA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1714F2AF" id="Rectangle 10" o:spid="_x0000_s1029" style="position:absolute;left:0;text-align:left;margin-left:71.9pt;margin-top:10.5pt;width:222.05pt;height:87.4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YMoZQIAABAFAAAOAAAAZHJzL2Uyb0RvYy54bWysVEtv2zAMvg/YfxB0Xx2nj7VBnCJI0WFA&#10;sQbthp0VWUqMSaJGKXGyXz9Kdtx2y2nYxeb78ZHU9HZvDdspDA24ipdnI86Uk1A3bl3xb1/vP1xz&#10;FqJwtTDgVMUPKvDb2ft309ZP1Bg2YGqFjIK4MGl9xTcx+klRBLlRVoQz8MqRUgNaEYnFdVGjaCm6&#10;NcV4NLoqWsDaI0gVAknvOiWf5fhaKxkftQ4qMlNxqi3mL+bvKn2L2VRM1ij8ppF9GeIfqrCicZR0&#10;CHUnomBbbP4KZRuJEEDHMwm2AK0bqXIP1E05+qOb543wKvdC4AQ/wBT+X1j5ZbdE1tQ0O4LHCUsz&#10;eiLUhFsbxUhGALU+TMju2S+x5wKRqdu9Rpv+1AfbZ1APA6hqH5kk4fia5nR+yZkkXVmObm6uc9Ti&#10;xd1jiJ8UWJaIiiPlz2CK3UOIlJJMjyYpm4P7xpg8OePeCMgwSYpUcVdjpuLBqGRn3JPS1GyqKifI&#10;a6YWBtlO0IIIKZWLV6nnHImsk5umbINjecrRxLJ36m2Tm8rrNziOTjm+zTh45Kzg4uBsGwd4KkD9&#10;Y8jc2R+773pO7cf9ap8nfH4c5grqA00doTuH4OV9Q8g/iBCXAmn/aRXopuMjfbSBtuLQU5xtAH+d&#10;kid7WkvSctbSPVU8/NwKVJyZz44W9qa8uEgHmJmLy49jYvC1ZvVa47Z2ATSRkl4PLzOZ7KM5khrB&#10;fqfTn6espBJOUu6Ky4hHZhG7O6fHQ6r5PJvR0XkRH9yzlyl4wtnBfBtBN3nREl4dOj2OdHZ5Gfon&#10;It31az5bvTxks98AAAD//wMAUEsDBBQABgAIAAAAIQDCg7va3gAAAAoBAAAPAAAAZHJzL2Rvd25y&#10;ZXYueG1sTI/NTsMwEITvSLyDtUjcqNNCIQ1xKkBCCPWAKO3dsbdJRLyOYuenb89yguNoRjPf5NvZ&#10;tWLEPjSeFCwXCQgk421DlYLD1+tNCiJETVa3nlDBGQNsi8uLXGfWT/SJ4z5WgksoZFpBHWOXSRlM&#10;jU6Hhe+Q2Dv53unIsq+k7fXE5a6VqyS5l043xAu17vClRvO9H5yCoz89T86U9D6eP5rhbdcbk+6U&#10;ur6anx5BRJzjXxh+8RkdCmYq/UA2iJb13S2jRwWrJX/iwDp92IAo2dmsU5BFLv9fKH4AAAD//wMA&#10;UEsBAi0AFAAGAAgAAAAhALaDOJL+AAAA4QEAABMAAAAAAAAAAAAAAAAAAAAAAFtDb250ZW50X1R5&#10;cGVzXS54bWxQSwECLQAUAAYACAAAACEAOP0h/9YAAACUAQAACwAAAAAAAAAAAAAAAAAvAQAAX3Jl&#10;bHMvLnJlbHNQSwECLQAUAAYACAAAACEAUvWDKGUCAAAQBQAADgAAAAAAAAAAAAAAAAAuAgAAZHJz&#10;L2Uyb0RvYy54bWxQSwECLQAUAAYACAAAACEAwoO72t4AAAAKAQAADwAAAAAAAAAAAAAAAAC/BAAA&#10;ZHJzL2Rvd25yZXYueG1sUEsFBgAAAAAEAAQA8wAAAMoFAAAAAA==&#10;" filled="f" stroked="f" strokeweight="1pt">
                <v:textbox>
                  <w:txbxContent>
                    <w:p w14:paraId="21F137F1" w14:textId="017A95C1" w:rsidR="00B258B7" w:rsidRPr="00F95D8D" w:rsidRDefault="00B258B7" w:rsidP="00B258B7">
                      <w:pPr>
                        <w:spacing w:after="0" w:line="276" w:lineRule="auto"/>
                        <w:jc w:val="center"/>
                        <w:rPr>
                          <w:rFonts w:ascii="Book Antiqua" w:hAnsi="Book Antiqua"/>
                          <w:b/>
                          <w:bCs/>
                          <w:sz w:val="32"/>
                          <w:szCs w:val="36"/>
                          <w:lang w:val="en"/>
                        </w:rPr>
                      </w:pPr>
                      <w:r w:rsidRPr="00F95D8D">
                        <w:rPr>
                          <w:rFonts w:ascii="Book Antiqua" w:hAnsi="Book Antiqua"/>
                          <w:b/>
                          <w:bCs/>
                          <w:sz w:val="32"/>
                          <w:szCs w:val="36"/>
                          <w:lang w:val="en"/>
                        </w:rPr>
                        <w:t>PERAN RADIKAL BEBAS DALAM KERUSAKAN JARINGAN MUKOSA</w:t>
                      </w:r>
                    </w:p>
                  </w:txbxContent>
                </v:textbox>
              </v:rect>
            </w:pict>
          </mc:Fallback>
        </mc:AlternateContent>
      </w:r>
      <w:r w:rsidRPr="006810DB">
        <w:rPr>
          <w:b/>
          <w:noProof/>
          <w:sz w:val="48"/>
          <w:szCs w:val="20"/>
          <w:lang w:val="en-US"/>
        </w:rPr>
        <mc:AlternateContent>
          <mc:Choice Requires="wps">
            <w:drawing>
              <wp:anchor distT="0" distB="0" distL="114300" distR="114300" simplePos="0" relativeHeight="251674624" behindDoc="0" locked="0" layoutInCell="1" allowOverlap="1" wp14:anchorId="66D578DA" wp14:editId="268A4280">
                <wp:simplePos x="0" y="0"/>
                <wp:positionH relativeFrom="column">
                  <wp:posOffset>884555</wp:posOffset>
                </wp:positionH>
                <wp:positionV relativeFrom="paragraph">
                  <wp:posOffset>76835</wp:posOffset>
                </wp:positionV>
                <wp:extent cx="0" cy="1224000"/>
                <wp:effectExtent l="19050" t="0" r="38100" b="52705"/>
                <wp:wrapNone/>
                <wp:docPr id="11" name="Straight Connector 11"/>
                <wp:cNvGraphicFramePr/>
                <a:graphic xmlns:a="http://schemas.openxmlformats.org/drawingml/2006/main">
                  <a:graphicData uri="http://schemas.microsoft.com/office/word/2010/wordprocessingShape">
                    <wps:wsp>
                      <wps:cNvCnPr/>
                      <wps:spPr>
                        <a:xfrm>
                          <a:off x="0" y="0"/>
                          <a:ext cx="0" cy="1224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E07F88D" id="Straight Connector 11" o:spid="_x0000_s1026" style="position:absolute;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Vt02AEAAA8EAAAOAAAAZHJzL2Uyb0RvYy54bWysU8GO0zAQvSPxD5bvNEnFAoqa7qGr5YKg&#10;YtkP8DrjxpLtsWzTpH/P2GnTFSAkVntx4pl5z/Oex5vbyRp2hBA1uo43q5ozcBJ77Q4df/xx/+4T&#10;ZzEJ1wuDDjp+gshvt2/fbEbfwhoHND0ERiQutqPv+JCSb6sqygGsiCv04CipMFiRaBsOVR/ESOzW&#10;VOu6/lCNGHofUEKMFL2bk3xb+JUCmb4pFSEx03HqLZU1lPUpr9V2I9pDEH7Q8tyGeEEXVmhHhy5U&#10;dyIJ9jPoP6islgEjqrSSaCtUSksoGkhNU/+m5mEQHooWMif6xab4erTy63EfmO7p7hrOnLB0Rw8p&#10;CH0YEtuhc+QgBkZJcmr0sSXAzu3DeRf9PmTZkwo2f0kQm4q7p8VdmBKTc1BStFmv39d1cb66An2I&#10;6TOgZfmn40a7LFy04vglJjqMSi8lOWwcGzt+87G5qUtZRKP7e21MTpbhgZ0J7Cjo2tNUmieGZ1W0&#10;M45os6RZRPlLJwMz/3dQZAu13cwH5IG8cgopwaULr3FUnWGKOliA587+BTzXZyiUYf0f8IIoJ6NL&#10;C9hqh+FvbV+tUHP9xYFZd7bgCftTud5iDU1d8f78QvJYP98X+PUdb38BAAD//wMAUEsDBBQABgAI&#10;AAAAIQAb+VtO3AAAAAoBAAAPAAAAZHJzL2Rvd25yZXYueG1sTI9BS8QwEIXvgv8hjODNTbZrxdam&#10;yyIs4kVwFbymzdgGm0lpst367531ord5M4/3vqm2ix/EjFN0gTSsVwoEUhuso07D+9v+5h5ETIas&#10;GQKhhm+MsK0vLypT2nCiV5wPqRMcQrE0GvqUxlLK2PboTVyFEYlvn2HyJrGcOmknc+JwP8hMqTvp&#10;jSNu6M2Ijz22X4ej55L8o33C6J7tfpc3+Vy4Rr04ra+vlt0DiIRL+jPDGZ/RoWamJhzJRjGw3hQb&#10;tvKQrUGcDb+LRkOmbguQdSX/v1D/AAAA//8DAFBLAQItABQABgAIAAAAIQC2gziS/gAAAOEBAAAT&#10;AAAAAAAAAAAAAAAAAAAAAABbQ29udGVudF9UeXBlc10ueG1sUEsBAi0AFAAGAAgAAAAhADj9If/W&#10;AAAAlAEAAAsAAAAAAAAAAAAAAAAALwEAAF9yZWxzLy5yZWxzUEsBAi0AFAAGAAgAAAAhAOAlW3TY&#10;AQAADwQAAA4AAAAAAAAAAAAAAAAALgIAAGRycy9lMm9Eb2MueG1sUEsBAi0AFAAGAAgAAAAhABv5&#10;W07cAAAACgEAAA8AAAAAAAAAAAAAAAAAMgQAAGRycy9kb3ducmV2LnhtbFBLBQYAAAAABAAEAPMA&#10;AAA7BQ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44"/>
          <w:szCs w:val="20"/>
          <w:lang w:val="en-US"/>
        </w:rPr>
        <w:t>4</w:t>
      </w:r>
      <w:r w:rsidRPr="006810DB">
        <w:rPr>
          <w:b/>
          <w:szCs w:val="20"/>
          <w:lang w:val="en-US"/>
        </w:rPr>
        <w:t xml:space="preserve"> </w:t>
      </w:r>
      <w:r w:rsidRPr="006810DB">
        <w:rPr>
          <w:b/>
          <w:szCs w:val="20"/>
          <w:lang w:val="en-US"/>
        </w:rPr>
        <w:tab/>
      </w:r>
      <w:r w:rsidRPr="006810DB">
        <w:rPr>
          <w:b/>
          <w:color w:val="FFFFFF" w:themeColor="background1"/>
          <w:sz w:val="10"/>
          <w:szCs w:val="10"/>
          <w:lang w:val="en-US"/>
        </w:rPr>
        <w:t>PERAN RADIKAL BEBAS DALAM KERUSAKAN JARINGAN MUKOSA</w:t>
      </w:r>
      <w:bookmarkEnd w:id="88"/>
    </w:p>
    <w:p w14:paraId="1ECF4223" w14:textId="77777777" w:rsidR="00B258B7" w:rsidRPr="006810DB" w:rsidRDefault="00B258B7" w:rsidP="006810DB">
      <w:pPr>
        <w:spacing w:after="0" w:line="276" w:lineRule="auto"/>
        <w:jc w:val="both"/>
        <w:rPr>
          <w:rFonts w:ascii="Book Antiqua" w:hAnsi="Book Antiqua"/>
          <w:sz w:val="20"/>
          <w:szCs w:val="20"/>
          <w:lang w:val="en"/>
        </w:rPr>
      </w:pPr>
    </w:p>
    <w:p w14:paraId="0F1EECC6" w14:textId="77777777" w:rsidR="00B258B7" w:rsidRPr="006810DB" w:rsidRDefault="00B258B7" w:rsidP="006810DB">
      <w:pPr>
        <w:spacing w:after="0" w:line="276" w:lineRule="auto"/>
        <w:jc w:val="both"/>
        <w:rPr>
          <w:rFonts w:ascii="Book Antiqua" w:hAnsi="Book Antiqua"/>
          <w:sz w:val="20"/>
          <w:szCs w:val="20"/>
          <w:lang w:val="en"/>
        </w:rPr>
      </w:pPr>
    </w:p>
    <w:p w14:paraId="5E832968" w14:textId="0EECA3F0" w:rsidR="00B258B7" w:rsidRPr="006810DB" w:rsidRDefault="007D61DA" w:rsidP="00B9360C">
      <w:pPr>
        <w:pStyle w:val="Heading2"/>
        <w:numPr>
          <w:ilvl w:val="0"/>
          <w:numId w:val="19"/>
        </w:numPr>
        <w:ind w:left="284" w:hanging="284"/>
      </w:pPr>
      <w:bookmarkStart w:id="89" w:name="_asx5tf7tqtuj" w:colFirst="0" w:colLast="0"/>
      <w:bookmarkStart w:id="90" w:name="_Toc223088884"/>
      <w:bookmarkEnd w:id="89"/>
      <w:r w:rsidRPr="006810DB">
        <w:t>Pendahuluan</w:t>
      </w:r>
      <w:bookmarkEnd w:id="90"/>
    </w:p>
    <w:p w14:paraId="68D86E65"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Keseimbangan antara produksi molekul oksidan dan kapasitas pertahanan antioksidan, yang dikenal sebagai keseimbangan redoks, merupakan pilar fundamental bagi kesehatan seluler. Setiap sel dalam tubuh kita beroperasi dalam suatu harmoni biokimia yang rapuh, di mana sejumlah kecil spesies oksigen reaktif (ROS) diproduksi sebagai produk sampingan metabolisme normal dan berfungsi sebagai molekul pensinyalan penting. Namun, apa yang terjadi ketika keseimbangan ini diganggu secara masif? Paparan agen sitotoksik seperti cisplatin bertindak sebagai pemicu dahsyat yang menggeser keseimbangan ini menuju kondisi pro-oksidan, sebuah keadaan patologis yang disebut stres oksidatif. Stres oksidatif bukan lagi sekadar efek samping, melainkan telah diakui sebagai mekanisme sentral dalam patogenesis kerusakan jaringan akibat kemoterapi, termasuk mukositis oral.</w:t>
      </w:r>
    </w:p>
    <w:p w14:paraId="520FFCF2"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Bab ini akan mengalihkan fokus dari kerusakan DNA sebagai satu-satunya pelaku utama, menuju peran radikal bebas sebagai akselerator dan amplifikator kerusakan jaringan mukosa. Kita akan menjelajahi bagaimana cisplatin, di luar interaksinya dengan genom, secara sistematis membajak mesin-mesin seluler untuk menghasilkan gelombang ROS. Sumber-sumber stres oksidatif ini, terutama dari mitokondria yang mengalami disfungsi, akan diidentifikasi sebagai titik nol dari badai oksidatif yang akan terjadi.</w:t>
      </w:r>
    </w:p>
    <w:p w14:paraId="4A67AB1A"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lastRenderedPageBreak/>
        <w:t xml:space="preserve">Pembahasan akan menguraikan konsekuensi destruktif dari ledakan ROS ini di tingkat molekuler. Peroksidasi lipid, sebuah reaksi berantai yang merusak integritas membran sel, akan dijelaskan sebagai salah satu kerusakan struktural pertama yang terlihat. Selain itu, kita akan menganalisis bagaimana serangan gencar dari radikal bebas ini menguras habis sistem pertahanan antioksidan endogen sel, seperti </w:t>
      </w:r>
      <w:r w:rsidRPr="006810DB">
        <w:rPr>
          <w:rFonts w:ascii="Book Antiqua" w:hAnsi="Book Antiqua"/>
          <w:i/>
          <w:iCs/>
          <w:sz w:val="20"/>
          <w:szCs w:val="20"/>
          <w:lang w:val="en"/>
        </w:rPr>
        <w:t>glutathione</w:t>
      </w:r>
      <w:r w:rsidRPr="006810DB">
        <w:rPr>
          <w:rFonts w:ascii="Book Antiqua" w:hAnsi="Book Antiqua"/>
          <w:sz w:val="20"/>
          <w:szCs w:val="20"/>
          <w:lang w:val="en"/>
        </w:rPr>
        <w:t xml:space="preserve"> dan </w:t>
      </w:r>
      <w:r w:rsidRPr="006810DB">
        <w:rPr>
          <w:rFonts w:ascii="Book Antiqua" w:hAnsi="Book Antiqua"/>
          <w:i/>
          <w:iCs/>
          <w:sz w:val="20"/>
          <w:szCs w:val="20"/>
          <w:lang w:val="en"/>
        </w:rPr>
        <w:t>superoxide dismutase</w:t>
      </w:r>
      <w:r w:rsidRPr="006810DB">
        <w:rPr>
          <w:rFonts w:ascii="Book Antiqua" w:hAnsi="Book Antiqua"/>
          <w:sz w:val="20"/>
          <w:szCs w:val="20"/>
          <w:lang w:val="en"/>
        </w:rPr>
        <w:t>, membuat sel menjadi semakin rentan terhadap kerusakan lebih lanjut.</w:t>
      </w:r>
    </w:p>
    <w:p w14:paraId="061BE076"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Untuk mengukur dan memahami besarnya kerusakan oksidatif ini, bab ini akan memperkenalkan konsep </w:t>
      </w:r>
      <w:r w:rsidRPr="006810DB">
        <w:rPr>
          <w:rFonts w:ascii="Book Antiqua" w:hAnsi="Book Antiqua"/>
          <w:i/>
          <w:iCs/>
          <w:sz w:val="20"/>
          <w:szCs w:val="20"/>
          <w:lang w:val="en"/>
        </w:rPr>
        <w:t>biomarker</w:t>
      </w:r>
      <w:r w:rsidRPr="006810DB">
        <w:rPr>
          <w:rFonts w:ascii="Book Antiqua" w:hAnsi="Book Antiqua"/>
          <w:sz w:val="20"/>
          <w:szCs w:val="20"/>
          <w:lang w:val="en"/>
        </w:rPr>
        <w:t xml:space="preserve"> stres oksidatif. Indikator-indikator biokimia seperti </w:t>
      </w:r>
      <w:r w:rsidRPr="006810DB">
        <w:rPr>
          <w:rFonts w:ascii="Book Antiqua" w:hAnsi="Book Antiqua"/>
          <w:i/>
          <w:iCs/>
          <w:sz w:val="20"/>
          <w:szCs w:val="20"/>
          <w:lang w:val="en"/>
        </w:rPr>
        <w:t>malondialdehyde</w:t>
      </w:r>
      <w:r w:rsidRPr="006810DB">
        <w:rPr>
          <w:rFonts w:ascii="Book Antiqua" w:hAnsi="Book Antiqua"/>
          <w:sz w:val="20"/>
          <w:szCs w:val="20"/>
          <w:lang w:val="en"/>
        </w:rPr>
        <w:t xml:space="preserve"> (MDA) akan disajikan sebagai bukti nyata dari kerusakan membran, sementara kadar enzim antioksidan akan dianalisis sebagai cerminan dari kapasitas pertahanan yang tersisa. Pengukuran </w:t>
      </w:r>
      <w:r w:rsidRPr="006810DB">
        <w:rPr>
          <w:rFonts w:ascii="Book Antiqua" w:hAnsi="Book Antiqua"/>
          <w:i/>
          <w:iCs/>
          <w:sz w:val="20"/>
          <w:szCs w:val="20"/>
          <w:lang w:val="en"/>
        </w:rPr>
        <w:t>biomarker-biomarker</w:t>
      </w:r>
      <w:r w:rsidRPr="006810DB">
        <w:rPr>
          <w:rFonts w:ascii="Book Antiqua" w:hAnsi="Book Antiqua"/>
          <w:sz w:val="20"/>
          <w:szCs w:val="20"/>
          <w:lang w:val="en"/>
        </w:rPr>
        <w:t xml:space="preserve"> ini tidak hanya penting untuk penelitian, tetapi juga berpotensi menjadi alat diagnostik untuk menilai tingkat keparahan mukositis.</w:t>
      </w:r>
    </w:p>
    <w:p w14:paraId="767EC470"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Pada akhirnya, pemahaman mendalam tentang peran sentral stres oksidatif ini secara alami akan mengarahkan kita pada eksplorasi strategi terapeutik yang logis: intervensi antioksidan. Bab ini akan memetakan berbagai pendekatan untuk memulihkan keseimbangan redoks, mulai dari penggunaan suplemen vitamin hingga potensi bahan alam yang kaya akan senyawa antioksidan. Ini menjadi landasan kritis untuk memahami mengapa </w:t>
      </w:r>
      <w:r w:rsidRPr="006810DB">
        <w:rPr>
          <w:rFonts w:ascii="Book Antiqua" w:hAnsi="Book Antiqua"/>
          <w:i/>
          <w:iCs/>
          <w:sz w:val="20"/>
          <w:szCs w:val="20"/>
          <w:lang w:val="en"/>
        </w:rPr>
        <w:t>Nigella sativa</w:t>
      </w:r>
      <w:r w:rsidRPr="006810DB">
        <w:rPr>
          <w:rFonts w:ascii="Book Antiqua" w:hAnsi="Book Antiqua"/>
          <w:sz w:val="20"/>
          <w:szCs w:val="20"/>
          <w:lang w:val="en"/>
        </w:rPr>
        <w:t>, dengan kandungan fitokimianya yang kuat, menjadi kandidat yang menjanjikan.</w:t>
      </w:r>
    </w:p>
    <w:p w14:paraId="7842F804"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Dengan demikian, bab ini berfungsi sebagai penghubung konseptual yang vital. Ia menghubungkan mekanisme sitotoksisitas cisplatin (Bab 2) dan patofisiologi umum mukositis (Bab 3) dengan target molekuler spesifik, radikal bebas, yang menjadi dasar rasionalitas penggunaan agen protektif.</w:t>
      </w:r>
    </w:p>
    <w:p w14:paraId="3C31B10E"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Pemahaman ini akan membekali pembaca dengan lensa baru untuk melihat mukositis, bukan hanya sebagai peradangan, tetapi sebagai penyakit yang didorong oleh ketidakseimbangan redoks.</w:t>
      </w:r>
    </w:p>
    <w:p w14:paraId="59624CD0" w14:textId="263407A1"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lastRenderedPageBreak/>
        <w:t xml:space="preserve">Pengetahuan ini menjadi fondasi yang diperlukan untuk mengapresiasi mekanisme kerja antioksidan dari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yang akan dibahas secara rinci dalam bab-bab berikutnya.</w:t>
      </w:r>
    </w:p>
    <w:p w14:paraId="35157585" w14:textId="77777777" w:rsidR="00700C95" w:rsidRPr="006810DB" w:rsidRDefault="00700C95" w:rsidP="006810DB">
      <w:pPr>
        <w:spacing w:after="0" w:line="276" w:lineRule="auto"/>
        <w:jc w:val="both"/>
        <w:rPr>
          <w:rFonts w:ascii="Book Antiqua" w:hAnsi="Book Antiqua"/>
          <w:sz w:val="20"/>
          <w:szCs w:val="20"/>
          <w:lang w:val="en"/>
        </w:rPr>
      </w:pPr>
    </w:p>
    <w:p w14:paraId="2B29A287" w14:textId="09109A06" w:rsidR="00B258B7" w:rsidRPr="006810DB" w:rsidRDefault="00B258B7" w:rsidP="006810DB">
      <w:pPr>
        <w:pStyle w:val="Heading2"/>
        <w:numPr>
          <w:ilvl w:val="0"/>
          <w:numId w:val="19"/>
        </w:numPr>
        <w:ind w:left="284" w:hanging="284"/>
      </w:pPr>
      <w:bookmarkStart w:id="91" w:name="_mypeeypem3oe" w:colFirst="0" w:colLast="0"/>
      <w:bookmarkStart w:id="92" w:name="_Toc223088885"/>
      <w:bookmarkEnd w:id="91"/>
      <w:r w:rsidRPr="006810DB">
        <w:t>Sumber Stress Oksidatif Akibat Cisplatin</w:t>
      </w:r>
      <w:bookmarkEnd w:id="92"/>
    </w:p>
    <w:p w14:paraId="774CDC26"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Stres oksidatif terjadi ketika produksi ROS melampaui kemampuan sistem pertahanan antioksidan tubuh untuk menetralkannya. Cisplatin merupakan induktor kuat stres oksidatif melalui beberapa mekanisme yang saling terkait. Meskipun target utamanya adalah DNA, efek </w:t>
      </w:r>
      <w:r w:rsidRPr="006810DB">
        <w:rPr>
          <w:rFonts w:ascii="Book Antiqua" w:hAnsi="Book Antiqua"/>
          <w:i/>
          <w:iCs/>
          <w:sz w:val="20"/>
          <w:szCs w:val="20"/>
          <w:lang w:val="en"/>
        </w:rPr>
        <w:t>off-target</w:t>
      </w:r>
      <w:r w:rsidRPr="006810DB">
        <w:rPr>
          <w:rFonts w:ascii="Book Antiqua" w:hAnsi="Book Antiqua"/>
          <w:sz w:val="20"/>
          <w:szCs w:val="20"/>
          <w:lang w:val="en"/>
        </w:rPr>
        <w:t>-nya pada organel seluler, terutama mitokondria, menjadi sumber utama produksi ROS patologis (dos Santos et al., 2012). Akumulasi cisplatin di dalam sel memicu serangkaian peristiwa biokimia yang mengubah mitokondria dari pembangkit energi menjadi pabrik radikal bebas. Gelombang ROS yang dihasilkan ini kemudian menyebar ke seluruh sel, menyebabkan kerusakan sekunder pada berbagai makromolekul dan memperkuat sinyal pro-inflamasi yang telah diinisiasi oleh kerusakan DNA.</w:t>
      </w:r>
    </w:p>
    <w:p w14:paraId="5AA6861B"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Sebuah pembangkit listrik tenaga nuklir (mitokondria) dirancang untuk menghasilkan energi secara efisien dan terkendali. Cisplatin bertindak seperti seorang sabotor yang menyusup ke dalam reaktor dan merusak sistem pendinginnya. Akibatnya, reaktor menjadi tidak stabil, terlalu panas, dan mulai membocorkan radiasi berbahaya (ROS) ke lingkungan sekitarnya. Radiasi ini merusak struktur bangunan pembangkit itu sendiri (peroksidasi lipid membran mitokondria), melukai para pekerja (protein seluler), dan memicu alarm darurat di seluruh kota (respons inflamasi). Pada saat yang sama, tim pemadam kebakaran internal (antioksidan endogen) yang mencoba mengendalikan kebocoran menjadi kewalahan dan persediaan mereka terkuras habis.</w:t>
      </w:r>
    </w:p>
    <w:p w14:paraId="41738DA7" w14:textId="124430E1" w:rsidR="00B258B7" w:rsidRPr="006810DB" w:rsidRDefault="00B258B7" w:rsidP="006810DB">
      <w:pPr>
        <w:pStyle w:val="ListParagraph"/>
        <w:numPr>
          <w:ilvl w:val="0"/>
          <w:numId w:val="45"/>
        </w:numPr>
        <w:spacing w:after="0" w:line="276" w:lineRule="auto"/>
        <w:ind w:left="567" w:hanging="283"/>
        <w:contextualSpacing w:val="0"/>
        <w:jc w:val="both"/>
        <w:rPr>
          <w:rFonts w:ascii="Book Antiqua" w:hAnsi="Book Antiqua"/>
          <w:b/>
          <w:bCs/>
          <w:sz w:val="20"/>
          <w:szCs w:val="20"/>
          <w:lang w:val="en"/>
        </w:rPr>
      </w:pPr>
      <w:bookmarkStart w:id="93" w:name="_qbw8ppyacy7" w:colFirst="0" w:colLast="0"/>
      <w:bookmarkEnd w:id="93"/>
      <w:r w:rsidRPr="006810DB">
        <w:rPr>
          <w:rFonts w:ascii="Book Antiqua" w:hAnsi="Book Antiqua"/>
          <w:b/>
          <w:bCs/>
          <w:sz w:val="20"/>
          <w:szCs w:val="20"/>
          <w:lang w:val="en"/>
        </w:rPr>
        <w:t>Disfungsi Mitokondria pada Sel Mukosa</w:t>
      </w:r>
    </w:p>
    <w:p w14:paraId="090E235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Mitokondria adalah pusat metabolisme energi seluler, tempat berlangsungnya fosforilasi oksidatif melalui rantai transpor elektron (</w:t>
      </w:r>
      <w:r w:rsidRPr="006810DB">
        <w:rPr>
          <w:rFonts w:ascii="Book Antiqua" w:hAnsi="Book Antiqua"/>
          <w:i/>
          <w:iCs/>
          <w:sz w:val="20"/>
          <w:szCs w:val="20"/>
          <w:lang w:val="en"/>
        </w:rPr>
        <w:t>electron transport chain</w:t>
      </w:r>
      <w:r w:rsidRPr="006810DB">
        <w:rPr>
          <w:rFonts w:ascii="Book Antiqua" w:hAnsi="Book Antiqua"/>
          <w:sz w:val="20"/>
          <w:szCs w:val="20"/>
          <w:lang w:val="en"/>
        </w:rPr>
        <w:t xml:space="preserve">, ETC). Proses ini, meskipun sangat efisien, secara inheren "bocor" dan </w:t>
      </w:r>
      <w:r w:rsidRPr="006810DB">
        <w:rPr>
          <w:rFonts w:ascii="Book Antiqua" w:hAnsi="Book Antiqua"/>
          <w:sz w:val="20"/>
          <w:szCs w:val="20"/>
          <w:lang w:val="en"/>
        </w:rPr>
        <w:lastRenderedPageBreak/>
        <w:t>menghasilkan sejumlah kecil anion superoksida sebagai produk sampingan normal. Cisplatin secara signifikan memperburuk kebocoran ini. Studi menunjukkan bahwa cisplatin dapat terakumulasi di dalam mitokondria dan secara langsung menghambat beberapa kompleks protein dalam ETC, khususnya Kompleks I dan III (Marullo et al., 2013).</w:t>
      </w:r>
    </w:p>
    <w:p w14:paraId="7E6DF0F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Penghambatan ETC menyebabkan elektron menumpuk dan secara prematur bereaksi dengan oksigen molekuler, yang mengarah pada peningkatan produksi anion superoksida secara drastis (Carvalho et al., 2021). Selain itu, cisplatin juga dapat membuka pori transisi permeabilitas mitokondria (</w:t>
      </w:r>
      <w:r w:rsidRPr="006810DB">
        <w:rPr>
          <w:rFonts w:ascii="Book Antiqua" w:hAnsi="Book Antiqua"/>
          <w:i/>
          <w:iCs/>
          <w:sz w:val="20"/>
          <w:szCs w:val="20"/>
          <w:lang w:val="en"/>
        </w:rPr>
        <w:t>mitochondrial permeability transition pore</w:t>
      </w:r>
      <w:r w:rsidRPr="006810DB">
        <w:rPr>
          <w:rFonts w:ascii="Book Antiqua" w:hAnsi="Book Antiqua"/>
          <w:sz w:val="20"/>
          <w:szCs w:val="20"/>
          <w:lang w:val="en"/>
        </w:rPr>
        <w:t>, mPTP), yang menyebabkan pembengkakan mitokondria, pelepasan faktor pro-apoptosis seperti sitokrom c, dan keruntuhan potensial membran mitokondria. Disfungsi mitokondria ini tidak hanya menghasilkan ROS tetapi juga menguras pasokan energi sel (ATP), membuat sel semakin sulit untuk memperbaiki kerusakan dan bertahan hidup.</w:t>
      </w:r>
    </w:p>
    <w:p w14:paraId="5AC1BD9F" w14:textId="3BF0A49D" w:rsidR="00B258B7" w:rsidRPr="006810DB" w:rsidRDefault="00B258B7" w:rsidP="006810DB">
      <w:pPr>
        <w:pStyle w:val="ListParagraph"/>
        <w:numPr>
          <w:ilvl w:val="0"/>
          <w:numId w:val="45"/>
        </w:numPr>
        <w:spacing w:after="0" w:line="276" w:lineRule="auto"/>
        <w:ind w:left="567" w:hanging="283"/>
        <w:contextualSpacing w:val="0"/>
        <w:jc w:val="both"/>
        <w:rPr>
          <w:rFonts w:ascii="Book Antiqua" w:hAnsi="Book Antiqua"/>
          <w:b/>
          <w:bCs/>
          <w:sz w:val="20"/>
          <w:szCs w:val="20"/>
          <w:lang w:val="en"/>
        </w:rPr>
      </w:pPr>
      <w:bookmarkStart w:id="94" w:name="_q77zilbs161d" w:colFirst="0" w:colLast="0"/>
      <w:bookmarkEnd w:id="94"/>
      <w:r w:rsidRPr="006810DB">
        <w:rPr>
          <w:rFonts w:ascii="Book Antiqua" w:hAnsi="Book Antiqua"/>
          <w:b/>
          <w:bCs/>
          <w:sz w:val="20"/>
          <w:szCs w:val="20"/>
          <w:lang w:val="en"/>
        </w:rPr>
        <w:t>Mekanisme Peroksidasi Lipid Membran Sel</w:t>
      </w:r>
    </w:p>
    <w:p w14:paraId="559455B3"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Membran sel dan organel kaya akan asam lemak tak jenuh ganda (</w:t>
      </w:r>
      <w:r w:rsidRPr="006810DB">
        <w:rPr>
          <w:rFonts w:ascii="Book Antiqua" w:hAnsi="Book Antiqua"/>
          <w:i/>
          <w:iCs/>
          <w:sz w:val="20"/>
          <w:szCs w:val="20"/>
          <w:lang w:val="en"/>
        </w:rPr>
        <w:t>polyunsaturated fatty acids</w:t>
      </w:r>
      <w:r w:rsidRPr="006810DB">
        <w:rPr>
          <w:rFonts w:ascii="Book Antiqua" w:hAnsi="Book Antiqua"/>
          <w:sz w:val="20"/>
          <w:szCs w:val="20"/>
          <w:lang w:val="en"/>
        </w:rPr>
        <w:t>, PUFA), yang sangat rentan terhadap serangan radikal bebas, terutama radikal hidroksil (•OH). Proses ini, yang dikenal sebagai peroksidasi lipid, adalah reaksi berantai yang merusak diri sendiri. Satu radikal bebas dapat memicu kerusakan pada ratusan molekul asam lemak (Ayala et al., 2014). Reaksi ini dimulai ketika sebuah radikal bebas "mencuri" sebuah atom hidrogen dari PUFA, menciptakan sebuah radikal lipid.</w:t>
      </w:r>
    </w:p>
    <w:p w14:paraId="36A8A52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Radikal lipid ini kemudian bereaksi dengan oksigen untuk membentuk radikal peroksil lipid, yang dapat menyerang molekul PUFA tetangganya, sehingga menyebarkan reaksi berantai. Proses ini menghasilkan produk akhir yang stabil namun toksik, seperti </w:t>
      </w:r>
      <w:r w:rsidRPr="006810DB">
        <w:rPr>
          <w:rFonts w:ascii="Book Antiqua" w:hAnsi="Book Antiqua"/>
          <w:i/>
          <w:iCs/>
          <w:sz w:val="20"/>
          <w:szCs w:val="20"/>
          <w:lang w:val="en"/>
        </w:rPr>
        <w:t>malondialdehyde</w:t>
      </w:r>
      <w:r w:rsidRPr="006810DB">
        <w:rPr>
          <w:rFonts w:ascii="Book Antiqua" w:hAnsi="Book Antiqua"/>
          <w:sz w:val="20"/>
          <w:szCs w:val="20"/>
          <w:lang w:val="en"/>
        </w:rPr>
        <w:t xml:space="preserve"> (MDA) dan 4-</w:t>
      </w:r>
      <w:r w:rsidRPr="006810DB">
        <w:rPr>
          <w:rFonts w:ascii="Book Antiqua" w:hAnsi="Book Antiqua"/>
          <w:i/>
          <w:iCs/>
          <w:sz w:val="20"/>
          <w:szCs w:val="20"/>
          <w:lang w:val="en"/>
        </w:rPr>
        <w:t>hydroxynonenal</w:t>
      </w:r>
      <w:r w:rsidRPr="006810DB">
        <w:rPr>
          <w:rFonts w:ascii="Book Antiqua" w:hAnsi="Book Antiqua"/>
          <w:sz w:val="20"/>
          <w:szCs w:val="20"/>
          <w:lang w:val="en"/>
        </w:rPr>
        <w:t xml:space="preserve"> (4-HNE). Peroksidasi lipid secara fundamental merusak fluiditas, </w:t>
      </w:r>
      <w:r w:rsidRPr="006810DB">
        <w:rPr>
          <w:rFonts w:ascii="Book Antiqua" w:hAnsi="Book Antiqua"/>
          <w:sz w:val="20"/>
          <w:szCs w:val="20"/>
          <w:lang w:val="en"/>
        </w:rPr>
        <w:lastRenderedPageBreak/>
        <w:t>permeabilitas, dan fungsi membran sel, mengganggu kerja protein transmembran, dan pada akhirnya dapat menyebabkan lisis atau kematian sel (Pratama et al., 2021).</w:t>
      </w:r>
    </w:p>
    <w:p w14:paraId="7ED54719" w14:textId="77568A12" w:rsidR="00B258B7" w:rsidRPr="006810DB" w:rsidRDefault="00B258B7" w:rsidP="006810DB">
      <w:pPr>
        <w:pStyle w:val="ListParagraph"/>
        <w:numPr>
          <w:ilvl w:val="0"/>
          <w:numId w:val="45"/>
        </w:numPr>
        <w:spacing w:after="0" w:line="276" w:lineRule="auto"/>
        <w:ind w:left="567" w:hanging="283"/>
        <w:contextualSpacing w:val="0"/>
        <w:jc w:val="both"/>
        <w:rPr>
          <w:rFonts w:ascii="Book Antiqua" w:hAnsi="Book Antiqua"/>
          <w:b/>
          <w:bCs/>
          <w:sz w:val="20"/>
          <w:szCs w:val="20"/>
          <w:lang w:val="en"/>
        </w:rPr>
      </w:pPr>
      <w:bookmarkStart w:id="95" w:name="_w66juopvm08l" w:colFirst="0" w:colLast="0"/>
      <w:bookmarkEnd w:id="95"/>
      <w:r w:rsidRPr="006810DB">
        <w:rPr>
          <w:rFonts w:ascii="Book Antiqua" w:hAnsi="Book Antiqua"/>
          <w:b/>
          <w:bCs/>
          <w:sz w:val="20"/>
          <w:szCs w:val="20"/>
          <w:lang w:val="en"/>
        </w:rPr>
        <w:t>Penurunan Kadar Antioksidan Endogen</w:t>
      </w:r>
    </w:p>
    <w:p w14:paraId="57157A2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Untuk melawan ancaman konstan dari ROS, sel dilengkapi dengan sistem pertahanan antioksidan yang canggih. Sistem ini terdiri dari komponen enzimatik dan non-enzimatik. Enzim-enzim kunci termasuk </w:t>
      </w:r>
      <w:r w:rsidRPr="006810DB">
        <w:rPr>
          <w:rFonts w:ascii="Book Antiqua" w:hAnsi="Book Antiqua"/>
          <w:i/>
          <w:iCs/>
          <w:sz w:val="20"/>
          <w:szCs w:val="20"/>
          <w:lang w:val="en"/>
        </w:rPr>
        <w:t>superoxide dismutase</w:t>
      </w:r>
      <w:r w:rsidRPr="006810DB">
        <w:rPr>
          <w:rFonts w:ascii="Book Antiqua" w:hAnsi="Book Antiqua"/>
          <w:sz w:val="20"/>
          <w:szCs w:val="20"/>
          <w:lang w:val="en"/>
        </w:rPr>
        <w:t xml:space="preserve"> (SOD), yang mengubah anion superoksida menjadi hidrogen peroksida, dan </w:t>
      </w:r>
      <w:r w:rsidRPr="006810DB">
        <w:rPr>
          <w:rFonts w:ascii="Book Antiqua" w:hAnsi="Book Antiqua"/>
          <w:i/>
          <w:iCs/>
          <w:sz w:val="20"/>
          <w:szCs w:val="20"/>
          <w:lang w:val="en"/>
        </w:rPr>
        <w:t>katalase</w:t>
      </w:r>
      <w:r w:rsidRPr="006810DB">
        <w:rPr>
          <w:rFonts w:ascii="Book Antiqua" w:hAnsi="Book Antiqua"/>
          <w:sz w:val="20"/>
          <w:szCs w:val="20"/>
          <w:lang w:val="en"/>
        </w:rPr>
        <w:t xml:space="preserve"> serta </w:t>
      </w:r>
      <w:r w:rsidRPr="006810DB">
        <w:rPr>
          <w:rFonts w:ascii="Book Antiqua" w:hAnsi="Book Antiqua"/>
          <w:i/>
          <w:iCs/>
          <w:sz w:val="20"/>
          <w:szCs w:val="20"/>
          <w:lang w:val="en"/>
        </w:rPr>
        <w:t>glutathione peroxidase</w:t>
      </w:r>
      <w:r w:rsidRPr="006810DB">
        <w:rPr>
          <w:rFonts w:ascii="Book Antiqua" w:hAnsi="Book Antiqua"/>
          <w:sz w:val="20"/>
          <w:szCs w:val="20"/>
          <w:lang w:val="en"/>
        </w:rPr>
        <w:t xml:space="preserve"> (GPx), yang menetralkan hidrogen peroksida menjadi air (Ighodaro &amp; Akinloye, 2018). Komponen non-enzimatik utama adalah </w:t>
      </w:r>
      <w:r w:rsidRPr="006810DB">
        <w:rPr>
          <w:rFonts w:ascii="Book Antiqua" w:hAnsi="Book Antiqua"/>
          <w:i/>
          <w:iCs/>
          <w:sz w:val="20"/>
          <w:szCs w:val="20"/>
          <w:lang w:val="en"/>
        </w:rPr>
        <w:t>glutathione</w:t>
      </w:r>
      <w:r w:rsidRPr="006810DB">
        <w:rPr>
          <w:rFonts w:ascii="Book Antiqua" w:hAnsi="Book Antiqua"/>
          <w:sz w:val="20"/>
          <w:szCs w:val="20"/>
          <w:lang w:val="en"/>
        </w:rPr>
        <w:t xml:space="preserve"> (GSH), sebuah tripeptida yang merupakan antioksidan intraseluler paling melimpah.</w:t>
      </w:r>
    </w:p>
    <w:p w14:paraId="6DFCDFFE" w14:textId="26345118"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Stres oksidatif masif yang diinduksi oleh cisplatin menyebabkan permintaan yang sangat tinggi terhadap sistem pertahanan ini. Akibatnya, cadangan antioksidan endogen terkuras dengan cepat. Kadar GSH di dalam sel menurun drastis karena digunakan untuk menetralkan ROS secara langsung dan sebagai kofaktor untuk GPx (Jamali et al., 2021). Aktivitas enzim SOD dan katalase juga dapat menurun, baik karena kerusakan oksidatif pada protein enzim itu sendiri maupun karena penurunan transkripsi genetiknya. Penipisan pertahanan antioksidan ini membuat sel berada dalam keadaan yang sangat rentan, di mana bahkan produksi ROS tingkat rendah pun dapat menyebabkan kerusakan yang signifikan.</w:t>
      </w:r>
    </w:p>
    <w:p w14:paraId="4017BBE4" w14:textId="77777777" w:rsidR="00B627C0" w:rsidRPr="006810DB" w:rsidRDefault="00B627C0" w:rsidP="006810DB">
      <w:pPr>
        <w:spacing w:after="0" w:line="276" w:lineRule="auto"/>
        <w:jc w:val="both"/>
        <w:rPr>
          <w:rFonts w:ascii="Book Antiqua" w:hAnsi="Book Antiqua"/>
          <w:sz w:val="20"/>
          <w:szCs w:val="20"/>
          <w:lang w:val="en"/>
        </w:rPr>
      </w:pPr>
    </w:p>
    <w:p w14:paraId="192A16B3" w14:textId="49737AB7" w:rsidR="00B258B7" w:rsidRPr="006810DB" w:rsidRDefault="00B258B7" w:rsidP="006810DB">
      <w:pPr>
        <w:pStyle w:val="Heading2"/>
        <w:numPr>
          <w:ilvl w:val="0"/>
          <w:numId w:val="19"/>
        </w:numPr>
        <w:ind w:left="284" w:hanging="284"/>
        <w:rPr>
          <w:bCs/>
          <w:szCs w:val="20"/>
          <w:lang w:val="en"/>
        </w:rPr>
      </w:pPr>
      <w:bookmarkStart w:id="96" w:name="_6gtzraf2ba2x" w:colFirst="0" w:colLast="0"/>
      <w:bookmarkStart w:id="97" w:name="_Toc223088886"/>
      <w:bookmarkEnd w:id="96"/>
      <w:r w:rsidRPr="006810DB">
        <w:rPr>
          <w:bCs/>
          <w:szCs w:val="20"/>
          <w:lang w:val="en"/>
        </w:rPr>
        <w:t>Biomarker Stress Oksidatif pada Mukositis</w:t>
      </w:r>
      <w:bookmarkEnd w:id="97"/>
    </w:p>
    <w:p w14:paraId="7EB59B94"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Untuk mengevaluasi secara objektif tingkat stres oksidatif dalam konteks klinis atau penelitian, diperlukan pengukuran indikator-indikator biokimia yang dapat diandalkan, yang dikenal sebagai </w:t>
      </w:r>
      <w:r w:rsidRPr="006810DB">
        <w:rPr>
          <w:rFonts w:ascii="Book Antiqua" w:hAnsi="Book Antiqua"/>
          <w:i/>
          <w:iCs/>
          <w:sz w:val="20"/>
          <w:szCs w:val="20"/>
          <w:lang w:val="en"/>
        </w:rPr>
        <w:t>biomarker</w:t>
      </w:r>
      <w:r w:rsidRPr="006810DB">
        <w:rPr>
          <w:rFonts w:ascii="Book Antiqua" w:hAnsi="Book Antiqua"/>
          <w:sz w:val="20"/>
          <w:szCs w:val="20"/>
          <w:lang w:val="en"/>
        </w:rPr>
        <w:t xml:space="preserve">. </w:t>
      </w:r>
      <w:r w:rsidRPr="006810DB">
        <w:rPr>
          <w:rFonts w:ascii="Book Antiqua" w:hAnsi="Book Antiqua"/>
          <w:i/>
          <w:iCs/>
          <w:sz w:val="20"/>
          <w:szCs w:val="20"/>
          <w:lang w:val="en"/>
        </w:rPr>
        <w:t>Biomarker</w:t>
      </w:r>
      <w:r w:rsidRPr="006810DB">
        <w:rPr>
          <w:rFonts w:ascii="Book Antiqua" w:hAnsi="Book Antiqua"/>
          <w:sz w:val="20"/>
          <w:szCs w:val="20"/>
          <w:lang w:val="en"/>
        </w:rPr>
        <w:t xml:space="preserve"> stres oksidatif dapat berupa produk akhir dari kerusakan oksidatif (misalnya, produk peroksidasi lipid) atau perubahan kadar komponen sistem pertahanan antioksidan (misalnya, aktivitas enzim). Analisis </w:t>
      </w:r>
      <w:r w:rsidRPr="006810DB">
        <w:rPr>
          <w:rFonts w:ascii="Book Antiqua" w:hAnsi="Book Antiqua"/>
          <w:i/>
          <w:iCs/>
          <w:sz w:val="20"/>
          <w:szCs w:val="20"/>
          <w:lang w:val="en"/>
        </w:rPr>
        <w:lastRenderedPageBreak/>
        <w:t>biomarker-biomarker</w:t>
      </w:r>
      <w:r w:rsidRPr="006810DB">
        <w:rPr>
          <w:rFonts w:ascii="Book Antiqua" w:hAnsi="Book Antiqua"/>
          <w:sz w:val="20"/>
          <w:szCs w:val="20"/>
          <w:lang w:val="en"/>
        </w:rPr>
        <w:t xml:space="preserve"> ini pada sampel jaringan atau cairan biologis (seperti serum atau saliva) dari model hewan coba atau pasien dapat memberikan gambaran kuantitatif mengenai tingkat keparahan ketidakseimbangan redoks dan dapat digunakan untuk menilai efektivitas intervensi terapeutik berbasis antioksidan.</w:t>
      </w:r>
    </w:p>
    <w:p w14:paraId="181E72B5"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Mengevaluasi stres oksidatif dengan </w:t>
      </w:r>
      <w:r w:rsidRPr="006810DB">
        <w:rPr>
          <w:rFonts w:ascii="Book Antiqua" w:hAnsi="Book Antiqua"/>
          <w:i/>
          <w:iCs/>
          <w:sz w:val="20"/>
          <w:szCs w:val="20"/>
          <w:lang w:val="en"/>
        </w:rPr>
        <w:t>biomarker</w:t>
      </w:r>
      <w:r w:rsidRPr="006810DB">
        <w:rPr>
          <w:rFonts w:ascii="Book Antiqua" w:hAnsi="Book Antiqua"/>
          <w:sz w:val="20"/>
          <w:szCs w:val="20"/>
          <w:lang w:val="en"/>
        </w:rPr>
        <w:t xml:space="preserve"> adalah seperti seorang detektif yang menyelidiki lokasi kebakaran. Pengukuran MDA adalah seperti menganalisis jumlah jelaga dan material hangus di dinding; semakin banyak jelaga, semakin hebat kebakarannya. Mengukur aktivitas SOD adalah seperti memeriksa tekanan air di hidran terdekat; jika tekanannya sangat rendah, itu menunjukkan bahwa pasokan air telah digunakan secara besar-besaran untuk memadamkan api dan sistemnya hampir kolaps. Sementara itu, mengukur kadar </w:t>
      </w:r>
      <w:r w:rsidRPr="006810DB">
        <w:rPr>
          <w:rFonts w:ascii="Book Antiqua" w:hAnsi="Book Antiqua"/>
          <w:i/>
          <w:iCs/>
          <w:sz w:val="20"/>
          <w:szCs w:val="20"/>
          <w:lang w:val="en"/>
        </w:rPr>
        <w:t>glutathione</w:t>
      </w:r>
      <w:r w:rsidRPr="006810DB">
        <w:rPr>
          <w:rFonts w:ascii="Book Antiqua" w:hAnsi="Book Antiqua"/>
          <w:sz w:val="20"/>
          <w:szCs w:val="20"/>
          <w:lang w:val="en"/>
        </w:rPr>
        <w:t xml:space="preserve"> sama dengan menghitung jumlah alat pemadam api ringan yang tersisa di gedung; jika semuanya kosong, itu menandakan bahwa para penghuni telah berjuang keras melawan api tetapi kini tidak memiliki pertahanan lagi.</w:t>
      </w:r>
    </w:p>
    <w:p w14:paraId="632339A2" w14:textId="47ED26ED" w:rsidR="00B258B7" w:rsidRPr="006810DB" w:rsidRDefault="00B258B7" w:rsidP="006810DB">
      <w:pPr>
        <w:pStyle w:val="ListParagraph"/>
        <w:numPr>
          <w:ilvl w:val="0"/>
          <w:numId w:val="46"/>
        </w:numPr>
        <w:spacing w:after="0" w:line="276" w:lineRule="auto"/>
        <w:ind w:left="567" w:hanging="283"/>
        <w:contextualSpacing w:val="0"/>
        <w:jc w:val="both"/>
        <w:rPr>
          <w:rFonts w:ascii="Book Antiqua" w:hAnsi="Book Antiqua"/>
          <w:b/>
          <w:bCs/>
          <w:sz w:val="20"/>
          <w:szCs w:val="20"/>
          <w:lang w:val="en"/>
        </w:rPr>
      </w:pPr>
      <w:bookmarkStart w:id="98" w:name="_vyi3bwyt4cl" w:colFirst="0" w:colLast="0"/>
      <w:bookmarkEnd w:id="98"/>
      <w:r w:rsidRPr="006810DB">
        <w:rPr>
          <w:rFonts w:ascii="Book Antiqua" w:hAnsi="Book Antiqua"/>
          <w:b/>
          <w:bCs/>
          <w:sz w:val="20"/>
          <w:szCs w:val="20"/>
          <w:lang w:val="en"/>
        </w:rPr>
        <w:t xml:space="preserve">Pengukuran </w:t>
      </w:r>
      <w:r w:rsidRPr="006810DB">
        <w:rPr>
          <w:rFonts w:ascii="Book Antiqua" w:hAnsi="Book Antiqua"/>
          <w:b/>
          <w:bCs/>
          <w:i/>
          <w:iCs/>
          <w:sz w:val="20"/>
          <w:szCs w:val="20"/>
          <w:lang w:val="en"/>
        </w:rPr>
        <w:t>Malondialdehyde</w:t>
      </w:r>
      <w:r w:rsidRPr="006810DB">
        <w:rPr>
          <w:rFonts w:ascii="Book Antiqua" w:hAnsi="Book Antiqua"/>
          <w:b/>
          <w:bCs/>
          <w:sz w:val="20"/>
          <w:szCs w:val="20"/>
          <w:lang w:val="en"/>
        </w:rPr>
        <w:t xml:space="preserve"> (MDA)</w:t>
      </w:r>
    </w:p>
    <w:p w14:paraId="5966D85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i/>
          <w:iCs/>
          <w:sz w:val="20"/>
          <w:szCs w:val="20"/>
          <w:lang w:val="en"/>
        </w:rPr>
        <w:t>Malondialdehyde</w:t>
      </w:r>
      <w:r w:rsidRPr="006810DB">
        <w:rPr>
          <w:rFonts w:ascii="Book Antiqua" w:hAnsi="Book Antiqua"/>
          <w:sz w:val="20"/>
          <w:szCs w:val="20"/>
          <w:lang w:val="en"/>
        </w:rPr>
        <w:t xml:space="preserve"> (MDA) adalah salah satu produk akhir utama dari proses peroksidasi lipid PUFA dan telah menjadi </w:t>
      </w:r>
      <w:r w:rsidRPr="006810DB">
        <w:rPr>
          <w:rFonts w:ascii="Book Antiqua" w:hAnsi="Book Antiqua"/>
          <w:i/>
          <w:iCs/>
          <w:sz w:val="20"/>
          <w:szCs w:val="20"/>
          <w:lang w:val="en"/>
        </w:rPr>
        <w:t>biomarker</w:t>
      </w:r>
      <w:r w:rsidRPr="006810DB">
        <w:rPr>
          <w:rFonts w:ascii="Book Antiqua" w:hAnsi="Book Antiqua"/>
          <w:sz w:val="20"/>
          <w:szCs w:val="20"/>
          <w:lang w:val="en"/>
        </w:rPr>
        <w:t xml:space="preserve"> stres oksidatif yang paling banyak digunakan dan dipelajari. Karena sifatnya yang relatif stabil, MDA dapat dideteksi dalam berbagai sampel biologis, termasuk jaringan, plasma, dan urin. Peningkatan kadar MDA secara langsung mencerminkan tingkat kerusakan oksidatif pada membran seluler (Ayala et al., 2014).</w:t>
      </w:r>
    </w:p>
    <w:p w14:paraId="59855472"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Metode yang paling umum untuk mengukur MDA adalah uji </w:t>
      </w:r>
      <w:r w:rsidRPr="006810DB">
        <w:rPr>
          <w:rFonts w:ascii="Book Antiqua" w:hAnsi="Book Antiqua"/>
          <w:i/>
          <w:iCs/>
          <w:sz w:val="20"/>
          <w:szCs w:val="20"/>
          <w:lang w:val="en"/>
        </w:rPr>
        <w:t>Thiobarbituric Acid Reactive Substances</w:t>
      </w:r>
      <w:r w:rsidRPr="006810DB">
        <w:rPr>
          <w:rFonts w:ascii="Book Antiqua" w:hAnsi="Book Antiqua"/>
          <w:sz w:val="20"/>
          <w:szCs w:val="20"/>
          <w:lang w:val="en"/>
        </w:rPr>
        <w:t xml:space="preserve"> (TBARS). Dalam uji ini, MDA bereaksi dengan asam tiobarbiturat (TBA) di bawah kondisi asam dan suhu tinggi untuk membentuk adisi berwarna merah muda yang dapat diukur secara spektrofotometri. Peningkatan signifikan kadar MDA pada jaringan mukosa bukal tikus yang diinduksi mukositis dengan cisplatin telah dilaporkan secara konsisten dalam </w:t>
      </w:r>
      <w:r w:rsidRPr="006810DB">
        <w:rPr>
          <w:rFonts w:ascii="Book Antiqua" w:hAnsi="Book Antiqua"/>
          <w:sz w:val="20"/>
          <w:szCs w:val="20"/>
          <w:lang w:val="en"/>
        </w:rPr>
        <w:lastRenderedPageBreak/>
        <w:t>berbagai studi, menjadikannya indikator yang andal untuk kerusakan jaringan terkait ROS dalam model praklinis (Putra et al., 2022).</w:t>
      </w:r>
    </w:p>
    <w:p w14:paraId="6B057C04" w14:textId="4AE0328F" w:rsidR="00B258B7" w:rsidRPr="006810DB" w:rsidRDefault="00B258B7" w:rsidP="006810DB">
      <w:pPr>
        <w:pStyle w:val="ListParagraph"/>
        <w:numPr>
          <w:ilvl w:val="0"/>
          <w:numId w:val="46"/>
        </w:numPr>
        <w:spacing w:after="0" w:line="276" w:lineRule="auto"/>
        <w:ind w:left="567" w:hanging="283"/>
        <w:contextualSpacing w:val="0"/>
        <w:jc w:val="both"/>
        <w:rPr>
          <w:rFonts w:ascii="Book Antiqua" w:hAnsi="Book Antiqua"/>
          <w:b/>
          <w:bCs/>
          <w:sz w:val="20"/>
          <w:szCs w:val="20"/>
          <w:lang w:val="en"/>
        </w:rPr>
      </w:pPr>
      <w:bookmarkStart w:id="99" w:name="_vy7nw0tjgu95" w:colFirst="0" w:colLast="0"/>
      <w:bookmarkEnd w:id="99"/>
      <w:r w:rsidRPr="006810DB">
        <w:rPr>
          <w:rFonts w:ascii="Book Antiqua" w:hAnsi="Book Antiqua"/>
          <w:b/>
          <w:bCs/>
          <w:sz w:val="20"/>
          <w:szCs w:val="20"/>
          <w:lang w:val="en"/>
        </w:rPr>
        <w:t xml:space="preserve">Peran </w:t>
      </w:r>
      <w:r w:rsidRPr="006810DB">
        <w:rPr>
          <w:rFonts w:ascii="Book Antiqua" w:hAnsi="Book Antiqua"/>
          <w:b/>
          <w:bCs/>
          <w:i/>
          <w:iCs/>
          <w:sz w:val="20"/>
          <w:szCs w:val="20"/>
          <w:lang w:val="en"/>
        </w:rPr>
        <w:t>Superoxide Dismutase</w:t>
      </w:r>
      <w:r w:rsidRPr="006810DB">
        <w:rPr>
          <w:rFonts w:ascii="Book Antiqua" w:hAnsi="Book Antiqua"/>
          <w:b/>
          <w:bCs/>
          <w:sz w:val="20"/>
          <w:szCs w:val="20"/>
          <w:lang w:val="en"/>
        </w:rPr>
        <w:t xml:space="preserve"> (SOD)</w:t>
      </w:r>
    </w:p>
    <w:p w14:paraId="4C73A72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i/>
          <w:iCs/>
          <w:sz w:val="20"/>
          <w:szCs w:val="20"/>
          <w:lang w:val="en"/>
        </w:rPr>
        <w:t>Superoxide Dismutase</w:t>
      </w:r>
      <w:r w:rsidRPr="006810DB">
        <w:rPr>
          <w:rFonts w:ascii="Book Antiqua" w:hAnsi="Book Antiqua"/>
          <w:sz w:val="20"/>
          <w:szCs w:val="20"/>
          <w:lang w:val="en"/>
        </w:rPr>
        <w:t xml:space="preserve"> (SOD) adalah garda terdepan pertahanan enzimatik terhadap stres oksidatif. Enzim ini mengkatalisis reaksi dismutasi anion superoksida (O</w:t>
      </w:r>
      <w:r w:rsidRPr="006810DB">
        <w:rPr>
          <w:rFonts w:ascii="Times New Roman" w:hAnsi="Times New Roman" w:cs="Times New Roman"/>
          <w:sz w:val="20"/>
          <w:szCs w:val="20"/>
          <w:lang w:val="en"/>
        </w:rPr>
        <w:t>₂⁻</w:t>
      </w:r>
      <w:r w:rsidRPr="006810DB">
        <w:rPr>
          <w:rFonts w:ascii="Book Antiqua" w:hAnsi="Book Antiqua"/>
          <w:sz w:val="20"/>
          <w:szCs w:val="20"/>
          <w:lang w:val="en"/>
        </w:rPr>
        <w:t>), radikal bebas primer yang dihasilkan oleh mitokondria, menjadi oksigen molekuler (O</w:t>
      </w:r>
      <w:r w:rsidRPr="006810DB">
        <w:rPr>
          <w:rFonts w:ascii="Times New Roman" w:hAnsi="Times New Roman" w:cs="Times New Roman"/>
          <w:sz w:val="20"/>
          <w:szCs w:val="20"/>
          <w:lang w:val="en"/>
        </w:rPr>
        <w:t>₂</w:t>
      </w:r>
      <w:r w:rsidRPr="006810DB">
        <w:rPr>
          <w:rFonts w:ascii="Book Antiqua" w:hAnsi="Book Antiqua"/>
          <w:sz w:val="20"/>
          <w:szCs w:val="20"/>
          <w:lang w:val="en"/>
        </w:rPr>
        <w:t>) dan hidrogen peroksida (H</w:t>
      </w:r>
      <w:r w:rsidRPr="006810DB">
        <w:rPr>
          <w:rFonts w:ascii="Times New Roman" w:hAnsi="Times New Roman" w:cs="Times New Roman"/>
          <w:sz w:val="20"/>
          <w:szCs w:val="20"/>
          <w:lang w:val="en"/>
        </w:rPr>
        <w:t>₂</w:t>
      </w:r>
      <w:r w:rsidRPr="006810DB">
        <w:rPr>
          <w:rFonts w:ascii="Book Antiqua" w:hAnsi="Book Antiqua"/>
          <w:sz w:val="20"/>
          <w:szCs w:val="20"/>
          <w:lang w:val="en"/>
        </w:rPr>
        <w:t>O</w:t>
      </w:r>
      <w:r w:rsidRPr="006810DB">
        <w:rPr>
          <w:rFonts w:ascii="Times New Roman" w:hAnsi="Times New Roman" w:cs="Times New Roman"/>
          <w:sz w:val="20"/>
          <w:szCs w:val="20"/>
          <w:lang w:val="en"/>
        </w:rPr>
        <w:t>₂</w:t>
      </w:r>
      <w:r w:rsidRPr="006810DB">
        <w:rPr>
          <w:rFonts w:ascii="Book Antiqua" w:hAnsi="Book Antiqua"/>
          <w:sz w:val="20"/>
          <w:szCs w:val="20"/>
          <w:lang w:val="en"/>
        </w:rPr>
        <w:t>). Hidrogen peroksida kemudian dapat dinetralkan lebih lanjut oleh katalase atau GPx (Ighodaro &amp; Akinloye, 2018). Terdapat tiga isoform SOD pada mamalia: SOD1 (Cu/Zn-SOD) di sitoplasma, SOD2 (Mn-SOD) di matriks mitokondria, dan SOD3 (EC-SOD) di ruang ekstraseluler.</w:t>
      </w:r>
    </w:p>
    <w:p w14:paraId="0BE06D32"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Dalam kondisi stres oksidatif akut seperti yang diinduksi oleh cisplatin, aktivitas SOD sering kali menurun. Penurunan ini dapat disebabkan oleh beberapa faktor, termasuk penghambatan langsung enzim oleh ROS atau penipisan kofaktor logamnya. Penurunan aktivitas SOD pada jaringan yang rusak menunjukkan bahwa sistem pertahanan endogen telah kewalahan oleh laju produksi superoksida yang berlebihan (Puspitasari et al., 2021). Oleh karena itu, pengukuran aktivitas SOD berfungsi sebagai indikator fungsional dari kapasitas pertahanan antioksidan seluler.</w:t>
      </w:r>
    </w:p>
    <w:p w14:paraId="3BC9CB77" w14:textId="1FC66DD3" w:rsidR="00B258B7" w:rsidRPr="006810DB" w:rsidRDefault="00B258B7" w:rsidP="006810DB">
      <w:pPr>
        <w:pStyle w:val="ListParagraph"/>
        <w:numPr>
          <w:ilvl w:val="0"/>
          <w:numId w:val="46"/>
        </w:numPr>
        <w:spacing w:after="0" w:line="276" w:lineRule="auto"/>
        <w:ind w:left="567" w:hanging="283"/>
        <w:contextualSpacing w:val="0"/>
        <w:jc w:val="both"/>
        <w:rPr>
          <w:rFonts w:ascii="Book Antiqua" w:hAnsi="Book Antiqua"/>
          <w:b/>
          <w:bCs/>
          <w:sz w:val="20"/>
          <w:szCs w:val="20"/>
          <w:lang w:val="en"/>
        </w:rPr>
      </w:pPr>
      <w:bookmarkStart w:id="100" w:name="_9p4irq5op2n5" w:colFirst="0" w:colLast="0"/>
      <w:bookmarkEnd w:id="100"/>
      <w:r w:rsidRPr="006810DB">
        <w:rPr>
          <w:rFonts w:ascii="Book Antiqua" w:hAnsi="Book Antiqua"/>
          <w:b/>
          <w:bCs/>
          <w:i/>
          <w:iCs/>
          <w:sz w:val="20"/>
          <w:szCs w:val="20"/>
          <w:lang w:val="en"/>
        </w:rPr>
        <w:t>Glutathione</w:t>
      </w:r>
      <w:r w:rsidRPr="006810DB">
        <w:rPr>
          <w:rFonts w:ascii="Book Antiqua" w:hAnsi="Book Antiqua"/>
          <w:b/>
          <w:bCs/>
          <w:sz w:val="20"/>
          <w:szCs w:val="20"/>
          <w:lang w:val="en"/>
        </w:rPr>
        <w:t xml:space="preserve"> sebagai Indikator Kerusakan</w:t>
      </w:r>
    </w:p>
    <w:p w14:paraId="478F65D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i/>
          <w:iCs/>
          <w:sz w:val="20"/>
          <w:szCs w:val="20"/>
          <w:lang w:val="en"/>
        </w:rPr>
        <w:t>Glutathione</w:t>
      </w:r>
      <w:r w:rsidRPr="006810DB">
        <w:rPr>
          <w:rFonts w:ascii="Book Antiqua" w:hAnsi="Book Antiqua"/>
          <w:sz w:val="20"/>
          <w:szCs w:val="20"/>
          <w:lang w:val="en"/>
        </w:rPr>
        <w:t xml:space="preserve"> (GSH) adalah molekul antioksidan non-enzimatik yang paling penting dan melimpah di dalam sel. GSH dapat menetralkan berbagai jenis ROS secara langsung, atau bertindak sebagai ko-substrat untuk enzim </w:t>
      </w:r>
      <w:r w:rsidRPr="006810DB">
        <w:rPr>
          <w:rFonts w:ascii="Book Antiqua" w:hAnsi="Book Antiqua"/>
          <w:i/>
          <w:iCs/>
          <w:sz w:val="20"/>
          <w:szCs w:val="20"/>
          <w:lang w:val="en"/>
        </w:rPr>
        <w:t>glutathione peroxidase</w:t>
      </w:r>
      <w:r w:rsidRPr="006810DB">
        <w:rPr>
          <w:rFonts w:ascii="Book Antiqua" w:hAnsi="Book Antiqua"/>
          <w:sz w:val="20"/>
          <w:szCs w:val="20"/>
          <w:lang w:val="en"/>
        </w:rPr>
        <w:t xml:space="preserve"> (GPx) dalam proses detoksifikasi hidrogen peroksida dan peroksida lipid. Selama proses ini, GSH dioksidasi menjadi </w:t>
      </w:r>
      <w:r w:rsidRPr="006810DB">
        <w:rPr>
          <w:rFonts w:ascii="Book Antiqua" w:hAnsi="Book Antiqua"/>
          <w:i/>
          <w:iCs/>
          <w:sz w:val="20"/>
          <w:szCs w:val="20"/>
          <w:lang w:val="en"/>
        </w:rPr>
        <w:t>glutathione disulfide</w:t>
      </w:r>
      <w:r w:rsidRPr="006810DB">
        <w:rPr>
          <w:rFonts w:ascii="Book Antiqua" w:hAnsi="Book Antiqua"/>
          <w:sz w:val="20"/>
          <w:szCs w:val="20"/>
          <w:lang w:val="en"/>
        </w:rPr>
        <w:t xml:space="preserve"> (GSSG). Rasio antara GSH tereduksi dan GSSG teroksidasi (rasio GSH/GSSG) sering digunakan sebagai indikator sensitif dari status redoks seluler (Deponte, 2013).</w:t>
      </w:r>
    </w:p>
    <w:p w14:paraId="6342486F" w14:textId="50E6F5EF"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lastRenderedPageBreak/>
        <w:t xml:space="preserve">Paparan cisplatin menyebabkan penipisan dramatis cadangan GSH intraseluler. Hal ini terjadi karena GSH digunakan secara ekstensif untuk melawan ledakan ROS dan juga karena cisplatin dapat secara langsung berkonjugasi dengan GSH, sebuah reaksi yang dikatalisis oleh </w:t>
      </w:r>
      <w:r w:rsidRPr="006810DB">
        <w:rPr>
          <w:rFonts w:ascii="Book Antiqua" w:hAnsi="Book Antiqua"/>
          <w:i/>
          <w:iCs/>
          <w:sz w:val="20"/>
          <w:szCs w:val="20"/>
          <w:lang w:val="en"/>
        </w:rPr>
        <w:t>glutathione S-transferase</w:t>
      </w:r>
      <w:r w:rsidRPr="006810DB">
        <w:rPr>
          <w:rFonts w:ascii="Book Antiqua" w:hAnsi="Book Antiqua"/>
          <w:sz w:val="20"/>
          <w:szCs w:val="20"/>
          <w:lang w:val="en"/>
        </w:rPr>
        <w:t xml:space="preserve"> (GST), sebagai bagian dari mekanisme detoksifikasi obat itu sendiri (Jamali et al., 2021). Penurunan kadar total GSH dan penurunan rasio GSH/GSSG merupakan tanda yang jelas bahwa sel telah kehilangan kapasitas penyangga redoksnya dan sangat rentan terhadap kerusakan oksidatif lebih lanjut.</w:t>
      </w:r>
    </w:p>
    <w:p w14:paraId="4775AAEA" w14:textId="77777777" w:rsidR="00B627C0" w:rsidRPr="006810DB" w:rsidRDefault="00B627C0" w:rsidP="006810DB">
      <w:pPr>
        <w:spacing w:after="0" w:line="276" w:lineRule="auto"/>
        <w:jc w:val="both"/>
        <w:rPr>
          <w:rFonts w:ascii="Book Antiqua" w:hAnsi="Book Antiqua"/>
          <w:sz w:val="20"/>
          <w:szCs w:val="20"/>
          <w:lang w:val="en"/>
        </w:rPr>
      </w:pPr>
    </w:p>
    <w:p w14:paraId="00E1C30A" w14:textId="50F98413" w:rsidR="00B258B7" w:rsidRPr="006810DB" w:rsidRDefault="00B258B7" w:rsidP="006810DB">
      <w:pPr>
        <w:pStyle w:val="Heading2"/>
        <w:numPr>
          <w:ilvl w:val="0"/>
          <w:numId w:val="19"/>
        </w:numPr>
        <w:ind w:left="284" w:hanging="284"/>
        <w:rPr>
          <w:bCs/>
          <w:szCs w:val="20"/>
          <w:lang w:val="en"/>
        </w:rPr>
      </w:pPr>
      <w:bookmarkStart w:id="101" w:name="_ohqwddgwzmpz" w:colFirst="0" w:colLast="0"/>
      <w:bookmarkStart w:id="102" w:name="_Toc223088887"/>
      <w:bookmarkEnd w:id="101"/>
      <w:r w:rsidRPr="006810DB">
        <w:rPr>
          <w:bCs/>
          <w:szCs w:val="20"/>
          <w:lang w:val="en"/>
        </w:rPr>
        <w:t>Strategi Antioksidan dalam Terapi Suportif</w:t>
      </w:r>
      <w:bookmarkEnd w:id="102"/>
    </w:p>
    <w:p w14:paraId="7003FBA5"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Mengingat peran sentral stres oksidatif dalam patogenesis mukositis, penggunaan agen antioksidan sebagai strategi preventif atau terapeutik merupakan pendekatan yang sangat logis dan telah banyak diteliti. Tujuannya adalah untuk memulihkan keseimbangan redoks di dalam jaringan mukosa, baik dengan menetralkan ROS yang berlebihan secara langsung maupun dengan meningkatkan sistem pertahanan antioksidan endogen. Berbagai senyawa, mulai dari vitamin sintetik hingga ekstrak tumbuhan yang kompleks, telah dieksplorasi potensinya. Meskipun konsepnya menjanjikan, keberhasilan klinis dari strategi ini sering kali bervariasi, menyoroti kompleksitas intervensi pada sistem biologis yang dinamis.</w:t>
      </w:r>
    </w:p>
    <w:p w14:paraId="63D9DECE"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Jika stres oksidatif adalah kebakaran hutan yang tidak terkendali, maka strategi antioksidan adalah berbagai metode pemadaman api. Menggunakan suplemen vitamin (seperti Vitamin E) adalah seperti mengerahkan satu jenis pesawat pengebom air; bisa efektif di beberapa titik api, tetapi mungkin tidak cukup untuk mengatasi kebakaran yang luas dan kompleks. Sebaliknya, menggunakan ekstrak bahan alam seperti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adalah seperti mengerahkan tim pemadam kebakaran yang terkoordinasi penuh. Tim ini tidak hanya memiliki pesawat pengebom air (aktivitas </w:t>
      </w:r>
      <w:r w:rsidRPr="006810DB">
        <w:rPr>
          <w:rFonts w:ascii="Book Antiqua" w:hAnsi="Book Antiqua"/>
          <w:i/>
          <w:iCs/>
          <w:sz w:val="20"/>
          <w:szCs w:val="20"/>
          <w:lang w:val="en"/>
        </w:rPr>
        <w:t>scavenging</w:t>
      </w:r>
      <w:r w:rsidRPr="006810DB">
        <w:rPr>
          <w:rFonts w:ascii="Book Antiqua" w:hAnsi="Book Antiqua"/>
          <w:sz w:val="20"/>
          <w:szCs w:val="20"/>
          <w:lang w:val="en"/>
        </w:rPr>
        <w:t xml:space="preserve"> langsung), tetapi juga </w:t>
      </w:r>
      <w:r w:rsidRPr="006810DB">
        <w:rPr>
          <w:rFonts w:ascii="Book Antiqua" w:hAnsi="Book Antiqua"/>
          <w:sz w:val="20"/>
          <w:szCs w:val="20"/>
          <w:lang w:val="en"/>
        </w:rPr>
        <w:lastRenderedPageBreak/>
        <w:t>pasukan darat yang memperbaiki hidran (meningkatkan SOD), menyemprotkan busa anti-api (meningkatkan GSH), dan bahkan menebang semak-semak untuk mencegah api menyebar (efek anti-inflamasi). Pendekatan multi-target ini berpotensi jauh lebih efektif dalam mengendalikan kebakaran yang kompleks.</w:t>
      </w:r>
    </w:p>
    <w:p w14:paraId="38455F93" w14:textId="41759D9A" w:rsidR="00B258B7" w:rsidRPr="006810DB" w:rsidRDefault="00B258B7" w:rsidP="006810DB">
      <w:pPr>
        <w:pStyle w:val="ListParagraph"/>
        <w:numPr>
          <w:ilvl w:val="0"/>
          <w:numId w:val="47"/>
        </w:numPr>
        <w:spacing w:after="0" w:line="276" w:lineRule="auto"/>
        <w:ind w:left="567" w:hanging="283"/>
        <w:contextualSpacing w:val="0"/>
        <w:jc w:val="both"/>
        <w:rPr>
          <w:rFonts w:ascii="Book Antiqua" w:hAnsi="Book Antiqua"/>
          <w:b/>
          <w:bCs/>
          <w:sz w:val="20"/>
          <w:szCs w:val="20"/>
          <w:lang w:val="en"/>
        </w:rPr>
      </w:pPr>
      <w:bookmarkStart w:id="103" w:name="_z6q7saaaok3p" w:colFirst="0" w:colLast="0"/>
      <w:bookmarkEnd w:id="103"/>
      <w:r w:rsidRPr="006810DB">
        <w:rPr>
          <w:rFonts w:ascii="Book Antiqua" w:hAnsi="Book Antiqua"/>
          <w:b/>
          <w:bCs/>
          <w:sz w:val="20"/>
          <w:szCs w:val="20"/>
          <w:lang w:val="en"/>
        </w:rPr>
        <w:t>Klasifikasi Antioksidan Eksogen</w:t>
      </w:r>
    </w:p>
    <w:p w14:paraId="587062F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Antioksidan eksogen, yaitu yang diperoleh dari luar tubuh (misalnya, dari diet atau suplemen), dapat diklasifikasikan berdasarkan mekanisme kerjanya. Tipe pertama adalah </w:t>
      </w:r>
      <w:r w:rsidRPr="006810DB">
        <w:rPr>
          <w:rFonts w:ascii="Book Antiqua" w:hAnsi="Book Antiqua"/>
          <w:i/>
          <w:iCs/>
          <w:sz w:val="20"/>
          <w:szCs w:val="20"/>
          <w:lang w:val="en"/>
        </w:rPr>
        <w:t>scavenger</w:t>
      </w:r>
      <w:r w:rsidRPr="006810DB">
        <w:rPr>
          <w:rFonts w:ascii="Book Antiqua" w:hAnsi="Book Antiqua"/>
          <w:sz w:val="20"/>
          <w:szCs w:val="20"/>
          <w:lang w:val="en"/>
        </w:rPr>
        <w:t xml:space="preserve"> radikal bebas atau pemutus rantai (</w:t>
      </w:r>
      <w:r w:rsidRPr="006810DB">
        <w:rPr>
          <w:rFonts w:ascii="Book Antiqua" w:hAnsi="Book Antiqua"/>
          <w:i/>
          <w:iCs/>
          <w:sz w:val="20"/>
          <w:szCs w:val="20"/>
          <w:lang w:val="en"/>
        </w:rPr>
        <w:t>chain-breaking antioxidants</w:t>
      </w:r>
      <w:r w:rsidRPr="006810DB">
        <w:rPr>
          <w:rFonts w:ascii="Book Antiqua" w:hAnsi="Book Antiqua"/>
          <w:sz w:val="20"/>
          <w:szCs w:val="20"/>
          <w:lang w:val="en"/>
        </w:rPr>
        <w:t>). Senyawa ini, seperti vitamin E (α-tokoferol) dan vitamin C (asam askorbat), dapat secara langsung menyumbangkan elektron kepada radikal bebas, menstabilkannya dan menghentikan reaksi berantai peroksidasi lipid (Niki, 2014). Vitamin E bekerja di lingkungan lipofilik (membran sel), sementara Vitamin C bekerja di lingkungan hidrofilik (sitoplasma).</w:t>
      </w:r>
    </w:p>
    <w:p w14:paraId="6A91926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Tipe kedua adalah agen yang dapat menginduksi atau meningkatkan ekspresi enzim-enzim antioksidan endogen. Senyawa-senyawa ini, seperti sulforaphane dari brokoli, bekerja dengan mengaktifkan faktor transkripsi Nrf2 (</w:t>
      </w:r>
      <w:r w:rsidRPr="006810DB">
        <w:rPr>
          <w:rFonts w:ascii="Book Antiqua" w:hAnsi="Book Antiqua"/>
          <w:i/>
          <w:iCs/>
          <w:sz w:val="20"/>
          <w:szCs w:val="20"/>
          <w:lang w:val="en"/>
        </w:rPr>
        <w:t>Nuclear factor erythroid 2-related factor 2</w:t>
      </w:r>
      <w:r w:rsidRPr="006810DB">
        <w:rPr>
          <w:rFonts w:ascii="Book Antiqua" w:hAnsi="Book Antiqua"/>
          <w:sz w:val="20"/>
          <w:szCs w:val="20"/>
          <w:lang w:val="en"/>
        </w:rPr>
        <w:t>), yang merupakan regulator utama dari ekspresi gen-gen sitoprotektif, termasuk gen untuk enzim antioksidan dan enzim detoksifikasi fase II (Vomhof-DeKrey &amp; Picklo, 2012). Pendekatan ini bertujuan untuk memperkuat pertahanan alami sel daripada hanya menyediakan agen penetral eksternal.</w:t>
      </w:r>
    </w:p>
    <w:p w14:paraId="6DA9FF69" w14:textId="36492E15" w:rsidR="00B258B7" w:rsidRPr="006810DB" w:rsidRDefault="00B258B7" w:rsidP="006810DB">
      <w:pPr>
        <w:pStyle w:val="ListParagraph"/>
        <w:numPr>
          <w:ilvl w:val="0"/>
          <w:numId w:val="47"/>
        </w:numPr>
        <w:spacing w:after="0" w:line="276" w:lineRule="auto"/>
        <w:ind w:left="567" w:hanging="283"/>
        <w:contextualSpacing w:val="0"/>
        <w:jc w:val="both"/>
        <w:rPr>
          <w:rFonts w:ascii="Book Antiqua" w:hAnsi="Book Antiqua"/>
          <w:b/>
          <w:bCs/>
          <w:sz w:val="20"/>
          <w:szCs w:val="20"/>
          <w:lang w:val="en"/>
        </w:rPr>
      </w:pPr>
      <w:bookmarkStart w:id="104" w:name="_q9258glgxnna" w:colFirst="0" w:colLast="0"/>
      <w:bookmarkEnd w:id="104"/>
      <w:r w:rsidRPr="006810DB">
        <w:rPr>
          <w:rFonts w:ascii="Book Antiqua" w:hAnsi="Book Antiqua"/>
          <w:b/>
          <w:bCs/>
          <w:sz w:val="20"/>
          <w:szCs w:val="20"/>
          <w:lang w:val="en"/>
        </w:rPr>
        <w:t>Efektivitas Suplemen Vitamin dalam Pencegahan</w:t>
      </w:r>
    </w:p>
    <w:p w14:paraId="2DB84D5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Penggunaan suplemen vitamin antioksidan, terutama vitamin C dan E, untuk pencegahan mukositis telah menjadi subjek banyak penelitian, namun dengan hasil yang beragam. Beberapa studi praklinis pada hewan coba menunjukkan efek protektif yang menjanjikan. Misalnya, pemberian vitamin E topikal atau sistemik terbukti dapat mengurangi keparahan lesi mukositis pada model hewan (Sung et al., 2010). Mekanisme yang diusulkan adalah </w:t>
      </w:r>
      <w:r w:rsidRPr="006810DB">
        <w:rPr>
          <w:rFonts w:ascii="Book Antiqua" w:hAnsi="Book Antiqua"/>
          <w:sz w:val="20"/>
          <w:szCs w:val="20"/>
          <w:lang w:val="en"/>
        </w:rPr>
        <w:lastRenderedPageBreak/>
        <w:t>kemampuannya untuk menginterupsi peroksidasi lipid di membran sel epitel.</w:t>
      </w:r>
    </w:p>
    <w:p w14:paraId="127CCA1F"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Namun, terjemahan hasil ini ke dalam uji klinis pada manusia lebih menantang. Beberapa uji klinis menunjukkan manfaat yang terbatas atau tidak signifikan secara statistik (Belfiore et al., 2024). Alasan untuk hasil yang tidak konsisten ini mungkin bersifat multifaktorial, termasuk perbedaan dalam dosis, waktu pemberian, formulasi suplemen, serta potensi interaksi dengan agen kemoterapi itu sendiri. Ada juga kekhawatiran teoritis bahwa antioksidan dosis tinggi dapat mengurangi efektivitas kemoterapi dengan melindungi sel kanker dari stres oksidatif yang seharusnya membunuh mereka, meskipun bukti klinis untuk ini masih diperdebatkan (Yasueda et al., 2016).</w:t>
      </w:r>
    </w:p>
    <w:p w14:paraId="5862B8DD" w14:textId="66C77E1B" w:rsidR="00B258B7" w:rsidRPr="006810DB" w:rsidRDefault="00B258B7" w:rsidP="006810DB">
      <w:pPr>
        <w:pStyle w:val="ListParagraph"/>
        <w:numPr>
          <w:ilvl w:val="0"/>
          <w:numId w:val="47"/>
        </w:numPr>
        <w:spacing w:after="0" w:line="276" w:lineRule="auto"/>
        <w:ind w:left="567" w:hanging="283"/>
        <w:contextualSpacing w:val="0"/>
        <w:jc w:val="both"/>
        <w:rPr>
          <w:rFonts w:ascii="Book Antiqua" w:hAnsi="Book Antiqua"/>
          <w:b/>
          <w:bCs/>
          <w:sz w:val="20"/>
          <w:szCs w:val="20"/>
          <w:lang w:val="en"/>
        </w:rPr>
      </w:pPr>
      <w:bookmarkStart w:id="105" w:name="_ibj3fqflcxlq" w:colFirst="0" w:colLast="0"/>
      <w:bookmarkEnd w:id="105"/>
      <w:r w:rsidRPr="006810DB">
        <w:rPr>
          <w:rFonts w:ascii="Book Antiqua" w:hAnsi="Book Antiqua"/>
          <w:b/>
          <w:bCs/>
          <w:sz w:val="20"/>
          <w:szCs w:val="20"/>
          <w:lang w:val="en"/>
        </w:rPr>
        <w:t>Potensi Bahan Alam sebagai Pemulih Keseimbangan Redoks</w:t>
      </w:r>
    </w:p>
    <w:p w14:paraId="5E5AD99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Tumbuhan telah mengembangkan armamentarium fitokimia yang sangat kompleks untuk melindungi diri dari stres lingkungan, termasuk stres oksidatif. Oleh karena itu, bahan alam merupakan sumber yang sangat kaya akan senyawa-senyawa dengan potensi antioksidan. Berbeda dari suplemen vitamin tunggal, ekstrak tumbuhan sering kali mengandung campuran beragam senyawa bioaktif, seperti polifenol, flavonoid, dan terpenoid, yang dapat bekerja secara sinergis (Hannan et al., 2021).</w:t>
      </w:r>
    </w:p>
    <w:p w14:paraId="5E595D0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Sinergisme ini memungkinkan ekstrak herbal untuk bekerja melalui berbagai mekanisme secara bersamaan. Sebagai contoh, beberapa senyawa dalam satu ekstrak mungkin bertindak sebagai </w:t>
      </w:r>
      <w:r w:rsidRPr="006810DB">
        <w:rPr>
          <w:rFonts w:ascii="Book Antiqua" w:hAnsi="Book Antiqua"/>
          <w:i/>
          <w:iCs/>
          <w:sz w:val="20"/>
          <w:szCs w:val="20"/>
          <w:lang w:val="en"/>
        </w:rPr>
        <w:t>scavenger</w:t>
      </w:r>
      <w:r w:rsidRPr="006810DB">
        <w:rPr>
          <w:rFonts w:ascii="Book Antiqua" w:hAnsi="Book Antiqua"/>
          <w:sz w:val="20"/>
          <w:szCs w:val="20"/>
          <w:lang w:val="en"/>
        </w:rPr>
        <w:t xml:space="preserve"> radikal bebas, sementara yang lain mungkin menginduksi enzim antioksidan endogen, dan yang lainnya lagi mungkin memiliki aktivitas anti-inflamasi (Belfiore et al., 2024). Pendekatan multi-target ini sangat menarik untuk kondisi patofisiologis yang kompleks seperti mukositis.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dengan komponen utamanya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adalah contoh utama dari bahan alam yang menunjukkan aktivitas </w:t>
      </w:r>
      <w:r w:rsidRPr="006810DB">
        <w:rPr>
          <w:rFonts w:ascii="Book Antiqua" w:hAnsi="Book Antiqua"/>
          <w:sz w:val="20"/>
          <w:szCs w:val="20"/>
          <w:lang w:val="en"/>
        </w:rPr>
        <w:lastRenderedPageBreak/>
        <w:t>antioksidan dan anti-inflamasi yang kuat, menjadikannya kandidat yang sangat menjanjikan untuk diteliti lebih lanjut dalam konteks ini.</w:t>
      </w:r>
    </w:p>
    <w:p w14:paraId="6FC66746" w14:textId="77777777" w:rsidR="00504B56" w:rsidRPr="006810DB" w:rsidRDefault="00504B56" w:rsidP="006810DB">
      <w:pPr>
        <w:spacing w:after="0" w:line="276" w:lineRule="auto"/>
        <w:jc w:val="both"/>
        <w:rPr>
          <w:rFonts w:ascii="Book Antiqua" w:hAnsi="Book Antiqua"/>
          <w:b/>
          <w:bCs/>
          <w:sz w:val="20"/>
          <w:szCs w:val="20"/>
          <w:lang w:val="en"/>
        </w:rPr>
      </w:pPr>
      <w:bookmarkStart w:id="106" w:name="_3nmg2thnokue" w:colFirst="0" w:colLast="0"/>
      <w:bookmarkEnd w:id="106"/>
    </w:p>
    <w:p w14:paraId="29C2EDBF" w14:textId="77777777" w:rsidR="00D51341" w:rsidRPr="006810DB" w:rsidRDefault="00D51341" w:rsidP="006810DB">
      <w:pPr>
        <w:spacing w:line="276" w:lineRule="auto"/>
        <w:rPr>
          <w:rFonts w:ascii="Book Antiqua" w:eastAsiaTheme="majorEastAsia" w:hAnsi="Book Antiqua" w:cstheme="majorBidi"/>
          <w:b/>
          <w:color w:val="000000" w:themeColor="text1"/>
          <w:sz w:val="20"/>
          <w:szCs w:val="26"/>
          <w:lang w:val="zh-CN"/>
        </w:rPr>
      </w:pPr>
      <w:r w:rsidRPr="006810DB">
        <w:rPr>
          <w:rFonts w:ascii="Book Antiqua" w:hAnsi="Book Antiqua"/>
        </w:rPr>
        <w:br w:type="page"/>
      </w:r>
    </w:p>
    <w:p w14:paraId="2551B439" w14:textId="248F552A" w:rsidR="00B258B7" w:rsidRPr="006810DB" w:rsidRDefault="00B258B7" w:rsidP="006810DB">
      <w:pPr>
        <w:pStyle w:val="Heading2"/>
        <w:jc w:val="center"/>
        <w:rPr>
          <w:b w:val="0"/>
          <w:bCs/>
          <w:szCs w:val="20"/>
          <w:lang w:val="en"/>
        </w:rPr>
      </w:pPr>
      <w:bookmarkStart w:id="107" w:name="_Toc223088888"/>
      <w:r w:rsidRPr="006810DB">
        <w:rPr>
          <w:highlight w:val="yellow"/>
        </w:rPr>
        <w:lastRenderedPageBreak/>
        <w:t>KESIMPULAN</w:t>
      </w:r>
      <w:bookmarkEnd w:id="107"/>
    </w:p>
    <w:p w14:paraId="0D67DE9D" w14:textId="64D3E23B" w:rsidR="00D51341" w:rsidRPr="006810DB" w:rsidRDefault="00D51341" w:rsidP="006810DB">
      <w:pPr>
        <w:spacing w:after="0" w:line="276" w:lineRule="auto"/>
        <w:jc w:val="both"/>
        <w:rPr>
          <w:rFonts w:ascii="Book Antiqua" w:hAnsi="Book Antiqua"/>
          <w:b/>
          <w:bCs/>
          <w:sz w:val="20"/>
          <w:szCs w:val="20"/>
          <w:lang w:val="en"/>
        </w:rPr>
      </w:pPr>
    </w:p>
    <w:p w14:paraId="2F9AF04A" w14:textId="77777777" w:rsidR="00D51341" w:rsidRPr="006810DB" w:rsidRDefault="00D51341" w:rsidP="006810DB">
      <w:pPr>
        <w:spacing w:after="0" w:line="276" w:lineRule="auto"/>
        <w:jc w:val="both"/>
        <w:rPr>
          <w:rFonts w:ascii="Book Antiqua" w:hAnsi="Book Antiqua"/>
          <w:b/>
          <w:bCs/>
          <w:sz w:val="20"/>
          <w:szCs w:val="20"/>
          <w:lang w:val="en"/>
        </w:rPr>
      </w:pPr>
    </w:p>
    <w:p w14:paraId="420BE094" w14:textId="77777777" w:rsidR="00D51341" w:rsidRPr="006810DB" w:rsidRDefault="00D51341" w:rsidP="006810DB">
      <w:pPr>
        <w:spacing w:line="276" w:lineRule="auto"/>
        <w:rPr>
          <w:rFonts w:ascii="Book Antiqua" w:eastAsiaTheme="majorEastAsia" w:hAnsi="Book Antiqua" w:cstheme="majorBidi"/>
          <w:b/>
          <w:color w:val="000000" w:themeColor="text1"/>
          <w:sz w:val="20"/>
          <w:szCs w:val="26"/>
          <w:lang w:val="zh-CN"/>
        </w:rPr>
      </w:pPr>
      <w:bookmarkStart w:id="108" w:name="_1ge8ieqk731k" w:colFirst="0" w:colLast="0"/>
      <w:bookmarkEnd w:id="108"/>
      <w:r w:rsidRPr="006810DB">
        <w:rPr>
          <w:rFonts w:ascii="Book Antiqua" w:hAnsi="Book Antiqua"/>
        </w:rPr>
        <w:br w:type="page"/>
      </w:r>
    </w:p>
    <w:p w14:paraId="56F9913B" w14:textId="77777777" w:rsidR="00824155" w:rsidRPr="006810DB" w:rsidRDefault="00824155" w:rsidP="00824155">
      <w:pPr>
        <w:pStyle w:val="Heading2"/>
        <w:jc w:val="center"/>
        <w:rPr>
          <w:b w:val="0"/>
          <w:bCs/>
          <w:szCs w:val="20"/>
          <w:lang w:val="en"/>
        </w:rPr>
      </w:pPr>
      <w:bookmarkStart w:id="109" w:name="_Toc223088889"/>
      <w:r w:rsidRPr="006810DB">
        <w:rPr>
          <w:highlight w:val="yellow"/>
        </w:rPr>
        <w:lastRenderedPageBreak/>
        <w:t>GLOSARIUM</w:t>
      </w:r>
      <w:bookmarkEnd w:id="109"/>
    </w:p>
    <w:p w14:paraId="3F456910" w14:textId="77777777" w:rsidR="00824155" w:rsidRPr="006810DB" w:rsidRDefault="00824155" w:rsidP="00824155">
      <w:pPr>
        <w:spacing w:after="0" w:line="276" w:lineRule="auto"/>
        <w:jc w:val="both"/>
        <w:rPr>
          <w:rFonts w:ascii="Book Antiqua" w:hAnsi="Book Antiqua"/>
          <w:b/>
          <w:bCs/>
          <w:sz w:val="20"/>
          <w:szCs w:val="20"/>
          <w:lang w:val="en"/>
        </w:rPr>
      </w:pPr>
    </w:p>
    <w:p w14:paraId="64DC627A" w14:textId="77777777" w:rsidR="00824155" w:rsidRPr="006810DB" w:rsidRDefault="00824155" w:rsidP="00824155">
      <w:pPr>
        <w:spacing w:after="0" w:line="276" w:lineRule="auto"/>
        <w:jc w:val="both"/>
        <w:rPr>
          <w:rFonts w:ascii="Book Antiqua" w:hAnsi="Book Antiqua"/>
          <w:b/>
          <w:bCs/>
          <w:sz w:val="20"/>
          <w:szCs w:val="20"/>
          <w:lang w:val="en"/>
        </w:rPr>
      </w:pPr>
    </w:p>
    <w:p w14:paraId="75BAD016" w14:textId="77777777" w:rsidR="00824155" w:rsidRPr="006810DB" w:rsidRDefault="00824155" w:rsidP="00824155">
      <w:pPr>
        <w:spacing w:line="276" w:lineRule="auto"/>
        <w:rPr>
          <w:rFonts w:ascii="Book Antiqua" w:hAnsi="Book Antiqua"/>
          <w:b/>
          <w:bCs/>
          <w:sz w:val="20"/>
          <w:szCs w:val="20"/>
          <w:lang w:val="en"/>
        </w:rPr>
      </w:pPr>
      <w:bookmarkStart w:id="110" w:name="_jjksaw4b8hsk" w:colFirst="0" w:colLast="0"/>
      <w:bookmarkEnd w:id="110"/>
      <w:r w:rsidRPr="006810DB">
        <w:rPr>
          <w:rFonts w:ascii="Book Antiqua" w:hAnsi="Book Antiqua"/>
          <w:b/>
          <w:bCs/>
          <w:sz w:val="20"/>
          <w:szCs w:val="20"/>
          <w:lang w:val="en"/>
        </w:rPr>
        <w:br w:type="page"/>
      </w:r>
    </w:p>
    <w:p w14:paraId="03AEAAC4" w14:textId="77777777" w:rsidR="006D3DC3" w:rsidRPr="006810DB" w:rsidRDefault="006D3DC3" w:rsidP="006810DB">
      <w:pPr>
        <w:pStyle w:val="Heading2"/>
        <w:jc w:val="center"/>
      </w:pPr>
      <w:bookmarkStart w:id="111" w:name="_Toc223088890"/>
      <w:r w:rsidRPr="006810DB">
        <w:lastRenderedPageBreak/>
        <w:t>DAFTAR PUSTAKA</w:t>
      </w:r>
      <w:bookmarkEnd w:id="111"/>
    </w:p>
    <w:p w14:paraId="5ED9DD98" w14:textId="77777777" w:rsidR="006D3DC3" w:rsidRPr="006810DB" w:rsidRDefault="006D3DC3" w:rsidP="006810DB">
      <w:pPr>
        <w:spacing w:after="0" w:line="276" w:lineRule="auto"/>
        <w:jc w:val="both"/>
        <w:rPr>
          <w:rFonts w:ascii="Book Antiqua" w:hAnsi="Book Antiqua"/>
          <w:b/>
          <w:bCs/>
          <w:sz w:val="20"/>
          <w:szCs w:val="20"/>
          <w:lang w:val="en"/>
        </w:rPr>
      </w:pPr>
    </w:p>
    <w:p w14:paraId="6716F97E"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Ayala, A., Muñoz, M. F., &amp; Argüelles, S. (2014). Lipid peroxidation: production, metabolism, and signaling mechanisms of malondialdehyde and 4-hydroxy-2-nonenal. </w:t>
      </w:r>
      <w:r w:rsidRPr="006810DB">
        <w:rPr>
          <w:rFonts w:ascii="Book Antiqua" w:hAnsi="Book Antiqua"/>
          <w:i/>
          <w:iCs/>
          <w:color w:val="000000" w:themeColor="text1"/>
          <w:sz w:val="20"/>
          <w:szCs w:val="20"/>
          <w:lang w:val="en"/>
        </w:rPr>
        <w:t>Oxidative Medicine and Cellular Longevity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2014</w:t>
      </w:r>
      <w:r w:rsidRPr="006810DB">
        <w:rPr>
          <w:rFonts w:ascii="Book Antiqua" w:hAnsi="Book Antiqua"/>
          <w:color w:val="000000" w:themeColor="text1"/>
          <w:sz w:val="20"/>
          <w:szCs w:val="20"/>
          <w:lang w:val="en"/>
        </w:rPr>
        <w:t>, 360438.</w:t>
      </w:r>
      <w:hyperlink r:id="rId81">
        <w:r w:rsidRPr="006810DB">
          <w:rPr>
            <w:rStyle w:val="Hyperlink"/>
            <w:rFonts w:ascii="Book Antiqua" w:hAnsi="Book Antiqua"/>
            <w:color w:val="000000" w:themeColor="text1"/>
            <w:sz w:val="20"/>
            <w:szCs w:val="20"/>
            <w:u w:val="none"/>
            <w:lang w:val="en"/>
          </w:rPr>
          <w:t xml:space="preserve"> </w:t>
        </w:r>
      </w:hyperlink>
      <w:hyperlink r:id="rId82">
        <w:r w:rsidRPr="006810DB">
          <w:rPr>
            <w:rStyle w:val="Hyperlink"/>
            <w:rFonts w:ascii="Book Antiqua" w:hAnsi="Book Antiqua"/>
            <w:color w:val="000000" w:themeColor="text1"/>
            <w:sz w:val="20"/>
            <w:szCs w:val="20"/>
            <w:u w:val="none"/>
            <w:lang w:val="en"/>
          </w:rPr>
          <w:t>https://doi.org/10.1155/2014/360438</w:t>
        </w:r>
      </w:hyperlink>
    </w:p>
    <w:p w14:paraId="776E387A"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Belfiore, E., Di Prima, G., Angellotti, G., Panzarella, V., &amp; De Caro, V. (2024). Plant-Derived Polyphenols to Prevent and Treat Oral Mucositis Induced by Chemo- and Radiotherapy in Head and Neck Cancers Management. </w:t>
      </w:r>
      <w:r w:rsidRPr="006810DB">
        <w:rPr>
          <w:rFonts w:ascii="Book Antiqua" w:hAnsi="Book Antiqua"/>
          <w:i/>
          <w:iCs/>
          <w:color w:val="000000" w:themeColor="text1"/>
          <w:sz w:val="20"/>
          <w:szCs w:val="20"/>
          <w:lang w:val="en"/>
        </w:rPr>
        <w:t>Cancers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16</w:t>
      </w:r>
      <w:r w:rsidRPr="006810DB">
        <w:rPr>
          <w:rFonts w:ascii="Book Antiqua" w:hAnsi="Book Antiqua"/>
          <w:color w:val="000000" w:themeColor="text1"/>
          <w:sz w:val="20"/>
          <w:szCs w:val="20"/>
          <w:lang w:val="en"/>
        </w:rPr>
        <w:t>(2), 260.</w:t>
      </w:r>
      <w:hyperlink r:id="rId83">
        <w:r w:rsidRPr="006810DB">
          <w:rPr>
            <w:rStyle w:val="Hyperlink"/>
            <w:rFonts w:ascii="Book Antiqua" w:hAnsi="Book Antiqua"/>
            <w:color w:val="000000" w:themeColor="text1"/>
            <w:sz w:val="20"/>
            <w:szCs w:val="20"/>
            <w:u w:val="none"/>
            <w:lang w:val="en"/>
          </w:rPr>
          <w:t xml:space="preserve"> </w:t>
        </w:r>
      </w:hyperlink>
      <w:hyperlink r:id="rId84">
        <w:r w:rsidRPr="006810DB">
          <w:rPr>
            <w:rStyle w:val="Hyperlink"/>
            <w:rFonts w:ascii="Book Antiqua" w:hAnsi="Book Antiqua"/>
            <w:color w:val="000000" w:themeColor="text1"/>
            <w:sz w:val="20"/>
            <w:szCs w:val="20"/>
            <w:u w:val="none"/>
            <w:lang w:val="en"/>
          </w:rPr>
          <w:t>https://doi.org/10.3390/cancers16020260</w:t>
        </w:r>
      </w:hyperlink>
    </w:p>
    <w:p w14:paraId="5A799B20"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Carvalho, M., Oliveira, P. J., &amp; Sampaio-Marques, B. (2021). Cisplatin-induced mitochondrial dysfunction and kidney transplantation: A dangerous liaison. </w:t>
      </w:r>
      <w:r w:rsidRPr="006810DB">
        <w:rPr>
          <w:rFonts w:ascii="Book Antiqua" w:hAnsi="Book Antiqua"/>
          <w:i/>
          <w:iCs/>
          <w:color w:val="000000" w:themeColor="text1"/>
          <w:sz w:val="20"/>
          <w:szCs w:val="20"/>
          <w:lang w:val="en"/>
        </w:rPr>
        <w:t>Archives of Toxicology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95</w:t>
      </w:r>
      <w:r w:rsidRPr="006810DB">
        <w:rPr>
          <w:rFonts w:ascii="Book Antiqua" w:hAnsi="Book Antiqua"/>
          <w:color w:val="000000" w:themeColor="text1"/>
          <w:sz w:val="20"/>
          <w:szCs w:val="20"/>
          <w:lang w:val="en"/>
        </w:rPr>
        <w:t>(7), 2245–2257.</w:t>
      </w:r>
      <w:hyperlink r:id="rId85">
        <w:r w:rsidRPr="006810DB">
          <w:rPr>
            <w:rStyle w:val="Hyperlink"/>
            <w:rFonts w:ascii="Book Antiqua" w:hAnsi="Book Antiqua"/>
            <w:color w:val="000000" w:themeColor="text1"/>
            <w:sz w:val="20"/>
            <w:szCs w:val="20"/>
            <w:u w:val="none"/>
            <w:lang w:val="en"/>
          </w:rPr>
          <w:t xml:space="preserve"> </w:t>
        </w:r>
      </w:hyperlink>
      <w:hyperlink r:id="rId86">
        <w:r w:rsidRPr="006810DB">
          <w:rPr>
            <w:rStyle w:val="Hyperlink"/>
            <w:rFonts w:ascii="Book Antiqua" w:hAnsi="Book Antiqua"/>
            <w:color w:val="000000" w:themeColor="text1"/>
            <w:sz w:val="20"/>
            <w:szCs w:val="20"/>
            <w:u w:val="none"/>
            <w:lang w:val="en"/>
          </w:rPr>
          <w:t>https://doi.org/10.1007/s00204-021-03075-1</w:t>
        </w:r>
      </w:hyperlink>
    </w:p>
    <w:p w14:paraId="06410FBE"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Deponte, M. (2013). Glutathione catalysis and the reaction mechanisms of glutathione-dependent enzymes. </w:t>
      </w:r>
      <w:r w:rsidRPr="006810DB">
        <w:rPr>
          <w:rFonts w:ascii="Book Antiqua" w:hAnsi="Book Antiqua"/>
          <w:i/>
          <w:iCs/>
          <w:color w:val="000000" w:themeColor="text1"/>
          <w:sz w:val="20"/>
          <w:szCs w:val="20"/>
          <w:lang w:val="en"/>
        </w:rPr>
        <w:t>Biochimica et Biophysica Acta (BBA) - General Subjects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1830</w:t>
      </w:r>
      <w:r w:rsidRPr="006810DB">
        <w:rPr>
          <w:rFonts w:ascii="Book Antiqua" w:hAnsi="Book Antiqua"/>
          <w:color w:val="000000" w:themeColor="text1"/>
          <w:sz w:val="20"/>
          <w:szCs w:val="20"/>
          <w:lang w:val="en"/>
        </w:rPr>
        <w:t>(5), 3217–3266.</w:t>
      </w:r>
      <w:hyperlink r:id="rId87">
        <w:r w:rsidRPr="006810DB">
          <w:rPr>
            <w:rStyle w:val="Hyperlink"/>
            <w:rFonts w:ascii="Book Antiqua" w:hAnsi="Book Antiqua"/>
            <w:color w:val="000000" w:themeColor="text1"/>
            <w:sz w:val="20"/>
            <w:szCs w:val="20"/>
            <w:u w:val="none"/>
            <w:lang w:val="en"/>
          </w:rPr>
          <w:t xml:space="preserve"> </w:t>
        </w:r>
      </w:hyperlink>
      <w:hyperlink r:id="rId88">
        <w:r w:rsidRPr="006810DB">
          <w:rPr>
            <w:rStyle w:val="Hyperlink"/>
            <w:rFonts w:ascii="Book Antiqua" w:hAnsi="Book Antiqua"/>
            <w:color w:val="000000" w:themeColor="text1"/>
            <w:sz w:val="20"/>
            <w:szCs w:val="20"/>
            <w:u w:val="none"/>
            <w:lang w:val="en"/>
          </w:rPr>
          <w:t>https://doi.org/10.1016/j.bbagen.2012.09.018</w:t>
        </w:r>
      </w:hyperlink>
    </w:p>
    <w:p w14:paraId="09059BD5"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dos Santos, N. A., Canto-da-Silva, A., Bridi, R., &amp; Da-Silva, C. A. (2012). Cisplatin-induced nephrotoxicity and targets of nephroprotection: an update. </w:t>
      </w:r>
      <w:r w:rsidRPr="006810DB">
        <w:rPr>
          <w:rFonts w:ascii="Book Antiqua" w:hAnsi="Book Antiqua"/>
          <w:i/>
          <w:iCs/>
          <w:color w:val="000000" w:themeColor="text1"/>
          <w:sz w:val="20"/>
          <w:szCs w:val="20"/>
          <w:lang w:val="en"/>
        </w:rPr>
        <w:t>Archives of Toxicology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86</w:t>
      </w:r>
      <w:r w:rsidRPr="006810DB">
        <w:rPr>
          <w:rFonts w:ascii="Book Antiqua" w:hAnsi="Book Antiqua"/>
          <w:color w:val="000000" w:themeColor="text1"/>
          <w:sz w:val="20"/>
          <w:szCs w:val="20"/>
          <w:lang w:val="en"/>
        </w:rPr>
        <w:t>(8), 1229–1250.</w:t>
      </w:r>
      <w:hyperlink r:id="rId89">
        <w:r w:rsidRPr="006810DB">
          <w:rPr>
            <w:rStyle w:val="Hyperlink"/>
            <w:rFonts w:ascii="Book Antiqua" w:hAnsi="Book Antiqua"/>
            <w:color w:val="000000" w:themeColor="text1"/>
            <w:sz w:val="20"/>
            <w:szCs w:val="20"/>
            <w:u w:val="none"/>
            <w:lang w:val="en"/>
          </w:rPr>
          <w:t xml:space="preserve"> </w:t>
        </w:r>
      </w:hyperlink>
      <w:hyperlink r:id="rId90">
        <w:r w:rsidRPr="006810DB">
          <w:rPr>
            <w:rStyle w:val="Hyperlink"/>
            <w:rFonts w:ascii="Book Antiqua" w:hAnsi="Book Antiqua"/>
            <w:color w:val="000000" w:themeColor="text1"/>
            <w:sz w:val="20"/>
            <w:szCs w:val="20"/>
            <w:u w:val="none"/>
            <w:lang w:val="en"/>
          </w:rPr>
          <w:t>https://doi.org/10.1007/s00204-012-0850-y</w:t>
        </w:r>
      </w:hyperlink>
    </w:p>
    <w:p w14:paraId="3737E982"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Hannan, M. A., Sohag, A. A. M., Uddin, M. J., Dash, R., Sikder, M. H., Rahman, M. S., ... &amp; Kim, B. (2021). Black Cumin (Nigella sativa L.): A Comprehensive Review on Phytochemistry, Health Benefits, Molecular Pharmacology, and Safety. </w:t>
      </w:r>
      <w:r w:rsidRPr="006810DB">
        <w:rPr>
          <w:rFonts w:ascii="Book Antiqua" w:hAnsi="Book Antiqua"/>
          <w:i/>
          <w:iCs/>
          <w:color w:val="000000" w:themeColor="text1"/>
          <w:sz w:val="20"/>
          <w:szCs w:val="20"/>
          <w:lang w:val="en"/>
        </w:rPr>
        <w:t>Nutrients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13</w:t>
      </w:r>
      <w:r w:rsidRPr="006810DB">
        <w:rPr>
          <w:rFonts w:ascii="Book Antiqua" w:hAnsi="Book Antiqua"/>
          <w:color w:val="000000" w:themeColor="text1"/>
          <w:sz w:val="20"/>
          <w:szCs w:val="20"/>
          <w:lang w:val="en"/>
        </w:rPr>
        <w:t>(6), 1784.</w:t>
      </w:r>
      <w:hyperlink r:id="rId91">
        <w:r w:rsidRPr="006810DB">
          <w:rPr>
            <w:rStyle w:val="Hyperlink"/>
            <w:rFonts w:ascii="Book Antiqua" w:hAnsi="Book Antiqua"/>
            <w:color w:val="000000" w:themeColor="text1"/>
            <w:sz w:val="20"/>
            <w:szCs w:val="20"/>
            <w:u w:val="none"/>
            <w:lang w:val="en"/>
          </w:rPr>
          <w:t xml:space="preserve"> </w:t>
        </w:r>
      </w:hyperlink>
      <w:hyperlink r:id="rId92">
        <w:r w:rsidRPr="006810DB">
          <w:rPr>
            <w:rStyle w:val="Hyperlink"/>
            <w:rFonts w:ascii="Book Antiqua" w:hAnsi="Book Antiqua"/>
            <w:color w:val="000000" w:themeColor="text1"/>
            <w:sz w:val="20"/>
            <w:szCs w:val="20"/>
            <w:u w:val="none"/>
            <w:lang w:val="en"/>
          </w:rPr>
          <w:t>https://doi.org/10.3390/nu13061784</w:t>
        </w:r>
      </w:hyperlink>
    </w:p>
    <w:p w14:paraId="770603BA"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Ighodaro, O. M., &amp; Akinloye, O. A. (2018). First line defence antioxidants-superoxide dismutase (SOD), catalase (CAT) and glutathione peroxidase (GPX): Their fundamental role in the entire antioxidant defence grid. </w:t>
      </w:r>
      <w:r w:rsidRPr="006810DB">
        <w:rPr>
          <w:rFonts w:ascii="Book Antiqua" w:hAnsi="Book Antiqua"/>
          <w:i/>
          <w:iCs/>
          <w:color w:val="000000" w:themeColor="text1"/>
          <w:sz w:val="20"/>
          <w:szCs w:val="20"/>
          <w:lang w:val="en"/>
        </w:rPr>
        <w:t xml:space="preserve">Alexandria Journal of </w:t>
      </w:r>
      <w:r w:rsidRPr="006810DB">
        <w:rPr>
          <w:rFonts w:ascii="Book Antiqua" w:hAnsi="Book Antiqua"/>
          <w:i/>
          <w:iCs/>
          <w:color w:val="000000" w:themeColor="text1"/>
          <w:sz w:val="20"/>
          <w:szCs w:val="20"/>
          <w:lang w:val="en"/>
        </w:rPr>
        <w:lastRenderedPageBreak/>
        <w:t>Medicine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54</w:t>
      </w:r>
      <w:r w:rsidRPr="006810DB">
        <w:rPr>
          <w:rFonts w:ascii="Book Antiqua" w:hAnsi="Book Antiqua"/>
          <w:color w:val="000000" w:themeColor="text1"/>
          <w:sz w:val="20"/>
          <w:szCs w:val="20"/>
          <w:lang w:val="en"/>
        </w:rPr>
        <w:t>(4), 287-293.</w:t>
      </w:r>
      <w:hyperlink r:id="rId93">
        <w:r w:rsidRPr="006810DB">
          <w:rPr>
            <w:rStyle w:val="Hyperlink"/>
            <w:rFonts w:ascii="Book Antiqua" w:hAnsi="Book Antiqua"/>
            <w:color w:val="000000" w:themeColor="text1"/>
            <w:sz w:val="20"/>
            <w:szCs w:val="20"/>
            <w:u w:val="none"/>
            <w:lang w:val="en"/>
          </w:rPr>
          <w:t xml:space="preserve"> </w:t>
        </w:r>
      </w:hyperlink>
      <w:hyperlink r:id="rId94">
        <w:r w:rsidRPr="006810DB">
          <w:rPr>
            <w:rStyle w:val="Hyperlink"/>
            <w:rFonts w:ascii="Book Antiqua" w:hAnsi="Book Antiqua"/>
            <w:color w:val="000000" w:themeColor="text1"/>
            <w:sz w:val="20"/>
            <w:szCs w:val="20"/>
            <w:u w:val="none"/>
            <w:lang w:val="en"/>
          </w:rPr>
          <w:t>https://doi.org/10.1016/j.ajme.2017.09.001</w:t>
        </w:r>
      </w:hyperlink>
    </w:p>
    <w:p w14:paraId="3CC9FF2A"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Jamali, N., Moghadamnia, A. A., &amp; Shirafkan, F. (2021). A Review on the new molecular mechanisms of 5-fluorouracil-induced oral mucositis. </w:t>
      </w:r>
      <w:r w:rsidRPr="006810DB">
        <w:rPr>
          <w:rFonts w:ascii="Book Antiqua" w:hAnsi="Book Antiqua"/>
          <w:i/>
          <w:iCs/>
          <w:color w:val="000000" w:themeColor="text1"/>
          <w:sz w:val="20"/>
          <w:szCs w:val="20"/>
          <w:lang w:val="en"/>
        </w:rPr>
        <w:t>Current Oncology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28</w:t>
      </w:r>
      <w:r w:rsidRPr="006810DB">
        <w:rPr>
          <w:rFonts w:ascii="Book Antiqua" w:hAnsi="Book Antiqua"/>
          <w:color w:val="000000" w:themeColor="text1"/>
          <w:sz w:val="20"/>
          <w:szCs w:val="20"/>
          <w:lang w:val="en"/>
        </w:rPr>
        <w:t>(4), 2539-2553.</w:t>
      </w:r>
      <w:hyperlink r:id="rId95">
        <w:r w:rsidRPr="006810DB">
          <w:rPr>
            <w:rStyle w:val="Hyperlink"/>
            <w:rFonts w:ascii="Book Antiqua" w:hAnsi="Book Antiqua"/>
            <w:color w:val="000000" w:themeColor="text1"/>
            <w:sz w:val="20"/>
            <w:szCs w:val="20"/>
            <w:u w:val="none"/>
            <w:lang w:val="en"/>
          </w:rPr>
          <w:t xml:space="preserve"> </w:t>
        </w:r>
      </w:hyperlink>
      <w:hyperlink r:id="rId96">
        <w:r w:rsidRPr="006810DB">
          <w:rPr>
            <w:rStyle w:val="Hyperlink"/>
            <w:rFonts w:ascii="Book Antiqua" w:hAnsi="Book Antiqua"/>
            <w:color w:val="000000" w:themeColor="text1"/>
            <w:sz w:val="20"/>
            <w:szCs w:val="20"/>
            <w:u w:val="none"/>
            <w:lang w:val="en"/>
          </w:rPr>
          <w:t>https://doi.org/10.3390/curroncol28040228</w:t>
        </w:r>
      </w:hyperlink>
    </w:p>
    <w:p w14:paraId="2C4ECD32"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Marullo, R., Werner, E., Degtyareva, N., Moore, B., Altavilla, G., Ramalingam, S. S., &amp; Doetsch, P. W. (2013). Cisplatin induces a mitochondrial-ROS response that contributes to cytotoxicity and DNA damage in human breast cancer cells. </w:t>
      </w:r>
      <w:r w:rsidRPr="006810DB">
        <w:rPr>
          <w:rFonts w:ascii="Book Antiqua" w:hAnsi="Book Antiqua"/>
          <w:i/>
          <w:iCs/>
          <w:color w:val="000000" w:themeColor="text1"/>
          <w:sz w:val="20"/>
          <w:szCs w:val="20"/>
          <w:lang w:val="en"/>
        </w:rPr>
        <w:t>PLoS ONE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w:t>
      </w:r>
      <w:r w:rsidRPr="006810DB">
        <w:rPr>
          <w:rFonts w:ascii="Book Antiqua" w:hAnsi="Book Antiqua"/>
          <w:color w:val="000000" w:themeColor="text1"/>
          <w:sz w:val="20"/>
          <w:szCs w:val="20"/>
          <w:lang w:val="en"/>
        </w:rPr>
        <w:t>(11), e81162.</w:t>
      </w:r>
      <w:hyperlink r:id="rId97">
        <w:r w:rsidRPr="006810DB">
          <w:rPr>
            <w:rStyle w:val="Hyperlink"/>
            <w:rFonts w:ascii="Book Antiqua" w:hAnsi="Book Antiqua"/>
            <w:color w:val="000000" w:themeColor="text1"/>
            <w:sz w:val="20"/>
            <w:szCs w:val="20"/>
            <w:u w:val="none"/>
            <w:lang w:val="en"/>
          </w:rPr>
          <w:t xml:space="preserve"> </w:t>
        </w:r>
      </w:hyperlink>
      <w:hyperlink r:id="rId98">
        <w:r w:rsidRPr="006810DB">
          <w:rPr>
            <w:rStyle w:val="Hyperlink"/>
            <w:rFonts w:ascii="Book Antiqua" w:hAnsi="Book Antiqua"/>
            <w:color w:val="000000" w:themeColor="text1"/>
            <w:sz w:val="20"/>
            <w:szCs w:val="20"/>
            <w:u w:val="none"/>
            <w:lang w:val="en"/>
          </w:rPr>
          <w:t>https://doi.org/10.1371/journal.pone.0081162</w:t>
        </w:r>
      </w:hyperlink>
    </w:p>
    <w:p w14:paraId="6622AFF5"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Niki, E. (2014). Role of vitamin E as a lipid-soluble radical scavenger in the suppression of lipid peroxidation. </w:t>
      </w:r>
      <w:r w:rsidRPr="006810DB">
        <w:rPr>
          <w:rFonts w:ascii="Book Antiqua" w:hAnsi="Book Antiqua"/>
          <w:i/>
          <w:iCs/>
          <w:color w:val="000000" w:themeColor="text1"/>
          <w:sz w:val="20"/>
          <w:szCs w:val="20"/>
          <w:lang w:val="en"/>
        </w:rPr>
        <w:t>Journal of Clinical Biochemistry and Nutrition</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54</w:t>
      </w:r>
      <w:r w:rsidRPr="006810DB">
        <w:rPr>
          <w:rFonts w:ascii="Book Antiqua" w:hAnsi="Book Antiqua"/>
          <w:color w:val="000000" w:themeColor="text1"/>
          <w:sz w:val="20"/>
          <w:szCs w:val="20"/>
          <w:lang w:val="en"/>
        </w:rPr>
        <w:t>(3), 133–138.</w:t>
      </w:r>
      <w:hyperlink r:id="rId99">
        <w:r w:rsidRPr="006810DB">
          <w:rPr>
            <w:rStyle w:val="Hyperlink"/>
            <w:rFonts w:ascii="Book Antiqua" w:hAnsi="Book Antiqua"/>
            <w:color w:val="000000" w:themeColor="text1"/>
            <w:sz w:val="20"/>
            <w:szCs w:val="20"/>
            <w:u w:val="none"/>
            <w:lang w:val="en"/>
          </w:rPr>
          <w:t xml:space="preserve"> </w:t>
        </w:r>
      </w:hyperlink>
      <w:hyperlink r:id="rId100">
        <w:r w:rsidRPr="006810DB">
          <w:rPr>
            <w:rStyle w:val="Hyperlink"/>
            <w:rFonts w:ascii="Book Antiqua" w:hAnsi="Book Antiqua"/>
            <w:color w:val="000000" w:themeColor="text1"/>
            <w:sz w:val="20"/>
            <w:szCs w:val="20"/>
            <w:u w:val="none"/>
            <w:lang w:val="en"/>
          </w:rPr>
          <w:t>https://doi.org/10.3164/jcbn.14-1</w:t>
        </w:r>
      </w:hyperlink>
    </w:p>
    <w:p w14:paraId="5BC53E11"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Pratama, M. R. F., Rihibiha, D. D., &amp; Levita, J. (2021). Nigella sativa and Its Active Compound Thymoquinone as a Potential Preventive and Treatment Strategy for Oral Mucositis: A Narrative Review. </w:t>
      </w:r>
      <w:r w:rsidRPr="006810DB">
        <w:rPr>
          <w:rFonts w:ascii="Book Antiqua" w:hAnsi="Book Antiqua"/>
          <w:i/>
          <w:iCs/>
          <w:color w:val="000000" w:themeColor="text1"/>
          <w:sz w:val="20"/>
          <w:szCs w:val="20"/>
          <w:lang w:val="en"/>
        </w:rPr>
        <w:t>Journal of Tropical Pharmacy and Chemistry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w:t>
      </w:r>
      <w:r w:rsidRPr="006810DB">
        <w:rPr>
          <w:rFonts w:ascii="Book Antiqua" w:hAnsi="Book Antiqua"/>
          <w:color w:val="000000" w:themeColor="text1"/>
          <w:sz w:val="20"/>
          <w:szCs w:val="20"/>
          <w:lang w:val="en"/>
        </w:rPr>
        <w:t>(4), 287-295.</w:t>
      </w:r>
    </w:p>
    <w:p w14:paraId="38EAF9E1"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Puspitasari, I. M., Setyaningsih, D., &amp; Farmasi, F. (2021). Antioxidant activity of thymoquinone on malondialdehyde and superoxide dismutase level in cisplatin-induced nephrotoxic rats. </w:t>
      </w:r>
      <w:r w:rsidRPr="006810DB">
        <w:rPr>
          <w:rFonts w:ascii="Book Antiqua" w:hAnsi="Book Antiqua"/>
          <w:i/>
          <w:iCs/>
          <w:color w:val="000000" w:themeColor="text1"/>
          <w:sz w:val="20"/>
          <w:szCs w:val="20"/>
          <w:lang w:val="en"/>
        </w:rPr>
        <w:t>Indonesian Journal of Pharmacy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32</w:t>
      </w:r>
      <w:r w:rsidRPr="006810DB">
        <w:rPr>
          <w:rFonts w:ascii="Book Antiqua" w:hAnsi="Book Antiqua"/>
          <w:color w:val="000000" w:themeColor="text1"/>
          <w:sz w:val="20"/>
          <w:szCs w:val="20"/>
          <w:lang w:val="en"/>
        </w:rPr>
        <w:t>(1), 74-81.</w:t>
      </w:r>
    </w:p>
    <w:p w14:paraId="2980EF34"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Putra, K. P., Prayitno, A., &amp; Widodo, A. D. (2022). The effect of Nigella sativa oil on malondialdehyde levels in wistar rats induced with cisplatin. </w:t>
      </w:r>
      <w:r w:rsidRPr="006810DB">
        <w:rPr>
          <w:rFonts w:ascii="Book Antiqua" w:hAnsi="Book Antiqua"/>
          <w:i/>
          <w:iCs/>
          <w:color w:val="000000" w:themeColor="text1"/>
          <w:sz w:val="20"/>
          <w:szCs w:val="20"/>
          <w:lang w:val="en"/>
        </w:rPr>
        <w:t>Journal of Medicine and Health</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4</w:t>
      </w:r>
      <w:r w:rsidRPr="006810DB">
        <w:rPr>
          <w:rFonts w:ascii="Book Antiqua" w:hAnsi="Book Antiqua"/>
          <w:color w:val="000000" w:themeColor="text1"/>
          <w:sz w:val="20"/>
          <w:szCs w:val="20"/>
          <w:lang w:val="en"/>
        </w:rPr>
        <w:t>(2), 176-183.</w:t>
      </w:r>
      <w:hyperlink r:id="rId101">
        <w:r w:rsidRPr="006810DB">
          <w:rPr>
            <w:rStyle w:val="Hyperlink"/>
            <w:rFonts w:ascii="Book Antiqua" w:hAnsi="Book Antiqua"/>
            <w:color w:val="000000" w:themeColor="text1"/>
            <w:sz w:val="20"/>
            <w:szCs w:val="20"/>
            <w:u w:val="none"/>
            <w:lang w:val="en"/>
          </w:rPr>
          <w:t xml:space="preserve"> </w:t>
        </w:r>
      </w:hyperlink>
      <w:hyperlink r:id="rId102">
        <w:r w:rsidRPr="006810DB">
          <w:rPr>
            <w:rStyle w:val="Hyperlink"/>
            <w:rFonts w:ascii="Book Antiqua" w:hAnsi="Book Antiqua"/>
            <w:color w:val="000000" w:themeColor="text1"/>
            <w:sz w:val="20"/>
            <w:szCs w:val="20"/>
            <w:u w:val="none"/>
            <w:lang w:val="en"/>
          </w:rPr>
          <w:t>https://doi.org/10.28932/jmh.v4i2.4632</w:t>
        </w:r>
      </w:hyperlink>
    </w:p>
    <w:p w14:paraId="526555C9"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Sung, L., D'Angelo, C., &amp; Lee, J. Y. (2010). A review of the effects of vitamin E on the treatment and prevention of oral mucositis. </w:t>
      </w:r>
      <w:r w:rsidRPr="006810DB">
        <w:rPr>
          <w:rFonts w:ascii="Book Antiqua" w:hAnsi="Book Antiqua"/>
          <w:i/>
          <w:iCs/>
          <w:color w:val="000000" w:themeColor="text1"/>
          <w:sz w:val="20"/>
          <w:szCs w:val="20"/>
          <w:lang w:val="en"/>
        </w:rPr>
        <w:t>Journal of the Canadian Dental Association</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76</w:t>
      </w:r>
      <w:r w:rsidRPr="006810DB">
        <w:rPr>
          <w:rFonts w:ascii="Book Antiqua" w:hAnsi="Book Antiqua"/>
          <w:color w:val="000000" w:themeColor="text1"/>
          <w:sz w:val="20"/>
          <w:szCs w:val="20"/>
          <w:lang w:val="en"/>
        </w:rPr>
        <w:t>, a126.</w:t>
      </w:r>
    </w:p>
    <w:p w14:paraId="1498ED31" w14:textId="77777777" w:rsidR="006D3DC3" w:rsidRPr="006810DB" w:rsidRDefault="006D3DC3" w:rsidP="006810DB">
      <w:pPr>
        <w:spacing w:line="276" w:lineRule="auto"/>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br w:type="page"/>
      </w:r>
    </w:p>
    <w:p w14:paraId="49D03D3A"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Vomhof-DeKrey, E. E., &amp; Picklo, M. J. (2012). The Nrf2-antioxidant response element pathway: a target for regulating energy metabolism. </w:t>
      </w:r>
      <w:r w:rsidRPr="006810DB">
        <w:rPr>
          <w:rFonts w:ascii="Book Antiqua" w:hAnsi="Book Antiqua"/>
          <w:i/>
          <w:iCs/>
          <w:color w:val="000000" w:themeColor="text1"/>
          <w:sz w:val="20"/>
          <w:szCs w:val="20"/>
          <w:lang w:val="en"/>
        </w:rPr>
        <w:t>The Journal of Nutritional Biochemistry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23</w:t>
      </w:r>
      <w:r w:rsidRPr="006810DB">
        <w:rPr>
          <w:rFonts w:ascii="Book Antiqua" w:hAnsi="Book Antiqua"/>
          <w:color w:val="000000" w:themeColor="text1"/>
          <w:sz w:val="20"/>
          <w:szCs w:val="20"/>
          <w:lang w:val="en"/>
        </w:rPr>
        <w:t>(10), 1201–1206.</w:t>
      </w:r>
      <w:hyperlink r:id="rId103">
        <w:r w:rsidRPr="006810DB">
          <w:rPr>
            <w:rStyle w:val="Hyperlink"/>
            <w:rFonts w:ascii="Book Antiqua" w:hAnsi="Book Antiqua"/>
            <w:color w:val="000000" w:themeColor="text1"/>
            <w:sz w:val="20"/>
            <w:szCs w:val="20"/>
            <w:u w:val="none"/>
            <w:lang w:val="en"/>
          </w:rPr>
          <w:t xml:space="preserve"> </w:t>
        </w:r>
      </w:hyperlink>
      <w:hyperlink r:id="rId104">
        <w:r w:rsidRPr="006810DB">
          <w:rPr>
            <w:rStyle w:val="Hyperlink"/>
            <w:rFonts w:ascii="Book Antiqua" w:hAnsi="Book Antiqua"/>
            <w:color w:val="000000" w:themeColor="text1"/>
            <w:sz w:val="20"/>
            <w:szCs w:val="20"/>
            <w:u w:val="none"/>
            <w:lang w:val="en"/>
          </w:rPr>
          <w:t>https://doi.org/10.1016/j.jnutbio.2012.04.005</w:t>
        </w:r>
      </w:hyperlink>
    </w:p>
    <w:p w14:paraId="54C9BE66"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Yasueda, A., Urushima, H., &amp; Ito, T. (2016). Efficacy and safety of vitamin E in preventing oral mucositis in patients with cancer: a systematic review. </w:t>
      </w:r>
      <w:r w:rsidRPr="006810DB">
        <w:rPr>
          <w:rFonts w:ascii="Book Antiqua" w:hAnsi="Book Antiqua"/>
          <w:i/>
          <w:iCs/>
          <w:color w:val="000000" w:themeColor="text1"/>
          <w:sz w:val="20"/>
          <w:szCs w:val="20"/>
          <w:lang w:val="en"/>
        </w:rPr>
        <w:t>Supportive Care in 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24</w:t>
      </w:r>
      <w:r w:rsidRPr="006810DB">
        <w:rPr>
          <w:rFonts w:ascii="Book Antiqua" w:hAnsi="Book Antiqua"/>
          <w:color w:val="000000" w:themeColor="text1"/>
          <w:sz w:val="20"/>
          <w:szCs w:val="20"/>
          <w:lang w:val="en"/>
        </w:rPr>
        <w:t>(1), 443–450.</w:t>
      </w:r>
      <w:hyperlink r:id="rId105">
        <w:r w:rsidRPr="006810DB">
          <w:rPr>
            <w:rStyle w:val="Hyperlink"/>
            <w:rFonts w:ascii="Book Antiqua" w:hAnsi="Book Antiqua"/>
            <w:color w:val="000000" w:themeColor="text1"/>
            <w:sz w:val="20"/>
            <w:szCs w:val="20"/>
            <w:u w:val="none"/>
            <w:lang w:val="en"/>
          </w:rPr>
          <w:t xml:space="preserve"> </w:t>
        </w:r>
      </w:hyperlink>
      <w:hyperlink r:id="rId106">
        <w:r w:rsidRPr="006810DB">
          <w:rPr>
            <w:rStyle w:val="Hyperlink"/>
            <w:rFonts w:ascii="Book Antiqua" w:hAnsi="Book Antiqua"/>
            <w:color w:val="000000" w:themeColor="text1"/>
            <w:sz w:val="20"/>
            <w:szCs w:val="20"/>
            <w:u w:val="none"/>
            <w:lang w:val="en"/>
          </w:rPr>
          <w:t>https://doi.org/10.1007/s00520-015-2947-8</w:t>
        </w:r>
      </w:hyperlink>
    </w:p>
    <w:p w14:paraId="5A9A3136" w14:textId="77777777" w:rsidR="006D3DC3" w:rsidRPr="006810DB" w:rsidRDefault="006D3DC3" w:rsidP="006810DB">
      <w:pPr>
        <w:spacing w:after="0" w:line="276" w:lineRule="auto"/>
        <w:jc w:val="both"/>
        <w:rPr>
          <w:rFonts w:ascii="Book Antiqua" w:hAnsi="Book Antiqua"/>
          <w:b/>
          <w:bCs/>
          <w:sz w:val="20"/>
          <w:szCs w:val="20"/>
          <w:lang w:val="en"/>
        </w:rPr>
      </w:pPr>
      <w:bookmarkStart w:id="112" w:name="_p37lm5vj24pt" w:colFirst="0" w:colLast="0"/>
      <w:bookmarkEnd w:id="112"/>
    </w:p>
    <w:p w14:paraId="685EBC82" w14:textId="77777777" w:rsidR="006D3DC3" w:rsidRPr="006810DB" w:rsidRDefault="006D3DC3"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1214F458" w14:textId="3A3B7330" w:rsidR="00700C95" w:rsidRPr="006810DB" w:rsidRDefault="00700C95" w:rsidP="006810DB">
      <w:pPr>
        <w:pStyle w:val="Heading1"/>
        <w:spacing w:before="0" w:line="276" w:lineRule="auto"/>
        <w:ind w:left="142" w:hanging="142"/>
        <w:rPr>
          <w:szCs w:val="20"/>
          <w:lang w:val="en-ID"/>
        </w:rPr>
      </w:pPr>
      <w:bookmarkStart w:id="113" w:name="_Toc223088891"/>
      <w:r w:rsidRPr="006810DB">
        <w:rPr>
          <w:b/>
          <w:noProof/>
          <w:sz w:val="48"/>
          <w:szCs w:val="20"/>
          <w:lang w:val="en-US"/>
        </w:rPr>
        <w:lastRenderedPageBreak/>
        <mc:AlternateContent>
          <mc:Choice Requires="wps">
            <w:drawing>
              <wp:anchor distT="0" distB="0" distL="114300" distR="114300" simplePos="0" relativeHeight="251678720" behindDoc="0" locked="0" layoutInCell="1" allowOverlap="1" wp14:anchorId="48EE8F3D" wp14:editId="02F9E4A4">
                <wp:simplePos x="0" y="0"/>
                <wp:positionH relativeFrom="column">
                  <wp:posOffset>913130</wp:posOffset>
                </wp:positionH>
                <wp:positionV relativeFrom="paragraph">
                  <wp:posOffset>133350</wp:posOffset>
                </wp:positionV>
                <wp:extent cx="2820035" cy="1109980"/>
                <wp:effectExtent l="0" t="0" r="0" b="0"/>
                <wp:wrapNone/>
                <wp:docPr id="12" name="Rectangle 12"/>
                <wp:cNvGraphicFramePr/>
                <a:graphic xmlns:a="http://schemas.openxmlformats.org/drawingml/2006/main">
                  <a:graphicData uri="http://schemas.microsoft.com/office/word/2010/wordprocessingShape">
                    <wps:wsp>
                      <wps:cNvSpPr/>
                      <wps:spPr>
                        <a:xfrm>
                          <a:off x="0" y="0"/>
                          <a:ext cx="2820035"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9A0B9DF" w14:textId="38DDCCDF" w:rsidR="00700C95" w:rsidRPr="006D3DC3" w:rsidRDefault="00700C95" w:rsidP="00700C95">
                            <w:pPr>
                              <w:spacing w:after="0" w:line="276" w:lineRule="auto"/>
                              <w:jc w:val="center"/>
                              <w:rPr>
                                <w:rFonts w:ascii="Book Antiqua" w:hAnsi="Book Antiqua"/>
                                <w:b/>
                                <w:bCs/>
                                <w:sz w:val="32"/>
                                <w:szCs w:val="36"/>
                                <w:lang w:val="en"/>
                              </w:rPr>
                            </w:pPr>
                            <w:r w:rsidRPr="006D3DC3">
                              <w:rPr>
                                <w:rFonts w:ascii="Book Antiqua" w:hAnsi="Book Antiqua"/>
                                <w:b/>
                                <w:bCs/>
                                <w:sz w:val="32"/>
                                <w:szCs w:val="36"/>
                                <w:lang w:val="en"/>
                              </w:rPr>
                              <w:t>PENGEMBANGAN MODEL HEWAN COBA MUKOSITIS ORAL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48EE8F3D" id="Rectangle 12" o:spid="_x0000_s1030" style="position:absolute;left:0;text-align:left;margin-left:71.9pt;margin-top:10.5pt;width:222.05pt;height:87.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ExyZQIAABAFAAAOAAAAZHJzL2Uyb0RvYy54bWysVN1v0zAQf0fif7D8ztKUbmxV06naNIQ0&#10;sWkb4tl17DbC9pmz27T89ZydNOugT4iX5L4/fnfn2fXOGrZVGBpwFS/PRpwpJ6Fu3Kri317uPlxy&#10;FqJwtTDgVMX3KvDr+ft3s9ZP1RjWYGqFjIK4MG19xdcx+mlRBLlWVoQz8MqRUgNaEYnFVVGjaCm6&#10;NcV4NLooWsDaI0gVAklvOyWf5/haKxkftA4qMlNxqi3mL+bvMn2L+UxMVyj8upF9GeIfqrCicZR0&#10;CHUromAbbP4KZRuJEEDHMwm2AK0bqXIP1E05+qOb57XwKvdC4AQ/wBT+X1j5dfuIrKlpdmPOnLA0&#10;oydCTbiVUYxkBFDrw5Tsnv0j9lwgMnW702jTn/pguwzqfgBV7SKTJBxf0pw+nnMmSVeWo6urywx7&#10;8eruMcTPCixLRMWR8mcwxfY+REpJpgeTlM3BXWNMnpxxbwRkmCRFqrirMVNxb1SyM+5JaWo2VZUT&#10;5DVTNwbZVtCCCCmVixep5xyJrJObpmyDY3nK0cSyd+ptk5vK6zc4jk45vs04eOSs4OLgbBsHeCpA&#10;/WPI3Nkfuu96Tu3H3XKXJzw5DHMJ9Z6mjtCdQ/DyriHk70WIjwJp/+lS6KbjA320gbbi0FOcrQF/&#10;nZIne1pL0nLW0j1VPPzcCFScmS+OFvaqnEzSAWZmcv5pTAwea5bHGrexN0ATKen18DKTyT6aA6kR&#10;7Hc6/UXKSirhJOWuuIx4YG5id+f0eEi1WGQzOjov4r179jIFTzg7WGwi6CYvWsKrQ6fHkc4uL0P/&#10;RKS7Puaz1etDNv8NAAD//wMAUEsDBBQABgAIAAAAIQDCg7va3gAAAAoBAAAPAAAAZHJzL2Rvd25y&#10;ZXYueG1sTI/NTsMwEITvSLyDtUjcqNNCIQ1xKkBCCPWAKO3dsbdJRLyOYuenb89yguNoRjPf5NvZ&#10;tWLEPjSeFCwXCQgk421DlYLD1+tNCiJETVa3nlDBGQNsi8uLXGfWT/SJ4z5WgksoZFpBHWOXSRlM&#10;jU6Hhe+Q2Dv53unIsq+k7fXE5a6VqyS5l043xAu17vClRvO9H5yCoz89T86U9D6eP5rhbdcbk+6U&#10;ur6anx5BRJzjXxh+8RkdCmYq/UA2iJb13S2jRwWrJX/iwDp92IAo2dmsU5BFLv9fKH4AAAD//wMA&#10;UEsBAi0AFAAGAAgAAAAhALaDOJL+AAAA4QEAABMAAAAAAAAAAAAAAAAAAAAAAFtDb250ZW50X1R5&#10;cGVzXS54bWxQSwECLQAUAAYACAAAACEAOP0h/9YAAACUAQAACwAAAAAAAAAAAAAAAAAvAQAAX3Jl&#10;bHMvLnJlbHNQSwECLQAUAAYACAAAACEAiuhMcmUCAAAQBQAADgAAAAAAAAAAAAAAAAAuAgAAZHJz&#10;L2Uyb0RvYy54bWxQSwECLQAUAAYACAAAACEAwoO72t4AAAAKAQAADwAAAAAAAAAAAAAAAAC/BAAA&#10;ZHJzL2Rvd25yZXYueG1sUEsFBgAAAAAEAAQA8wAAAMoFAAAAAA==&#10;" filled="f" stroked="f" strokeweight="1pt">
                <v:textbox>
                  <w:txbxContent>
                    <w:p w14:paraId="09A0B9DF" w14:textId="38DDCCDF" w:rsidR="00700C95" w:rsidRPr="006D3DC3" w:rsidRDefault="00700C95" w:rsidP="00700C95">
                      <w:pPr>
                        <w:spacing w:after="0" w:line="276" w:lineRule="auto"/>
                        <w:jc w:val="center"/>
                        <w:rPr>
                          <w:rFonts w:ascii="Book Antiqua" w:hAnsi="Book Antiqua"/>
                          <w:b/>
                          <w:bCs/>
                          <w:sz w:val="32"/>
                          <w:szCs w:val="36"/>
                          <w:lang w:val="en"/>
                        </w:rPr>
                      </w:pPr>
                      <w:r w:rsidRPr="006D3DC3">
                        <w:rPr>
                          <w:rFonts w:ascii="Book Antiqua" w:hAnsi="Book Antiqua"/>
                          <w:b/>
                          <w:bCs/>
                          <w:sz w:val="32"/>
                          <w:szCs w:val="36"/>
                          <w:lang w:val="en"/>
                        </w:rPr>
                        <w:t>PENGEMBANGAN MODEL HEWAN COBA MUKOSITIS ORAL</w:t>
                      </w:r>
                    </w:p>
                  </w:txbxContent>
                </v:textbox>
              </v:rect>
            </w:pict>
          </mc:Fallback>
        </mc:AlternateContent>
      </w:r>
      <w:r w:rsidRPr="006810DB">
        <w:rPr>
          <w:b/>
          <w:noProof/>
          <w:sz w:val="48"/>
          <w:szCs w:val="20"/>
          <w:lang w:val="en-US"/>
        </w:rPr>
        <mc:AlternateContent>
          <mc:Choice Requires="wps">
            <w:drawing>
              <wp:anchor distT="0" distB="0" distL="114300" distR="114300" simplePos="0" relativeHeight="251677696" behindDoc="0" locked="0" layoutInCell="1" allowOverlap="1" wp14:anchorId="47C51403" wp14:editId="6E9D85EA">
                <wp:simplePos x="0" y="0"/>
                <wp:positionH relativeFrom="column">
                  <wp:posOffset>884555</wp:posOffset>
                </wp:positionH>
                <wp:positionV relativeFrom="paragraph">
                  <wp:posOffset>76835</wp:posOffset>
                </wp:positionV>
                <wp:extent cx="0" cy="1224000"/>
                <wp:effectExtent l="19050" t="0" r="38100" b="52705"/>
                <wp:wrapNone/>
                <wp:docPr id="13" name="Straight Connector 13"/>
                <wp:cNvGraphicFramePr/>
                <a:graphic xmlns:a="http://schemas.openxmlformats.org/drawingml/2006/main">
                  <a:graphicData uri="http://schemas.microsoft.com/office/word/2010/wordprocessingShape">
                    <wps:wsp>
                      <wps:cNvCnPr/>
                      <wps:spPr>
                        <a:xfrm>
                          <a:off x="0" y="0"/>
                          <a:ext cx="0" cy="1224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BDFCB24" id="Straight Connector 13" o:spid="_x0000_s1026" style="position:absolute;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xQ2QEAAA8EAAAOAAAAZHJzL2Uyb0RvYy54bWysU02P0zAQvSPxHyzfaZIuCyhquoeulguC&#10;ioUf4HXGjSV/aWya9N8zdtp0BQgJtBcnM573PO95vLmbrGFHwKi963izqjkDJ32v3aHj3789vPnA&#10;WUzC9cJ4Bx0/QeR329evNmNoYe0Hb3pARiQutmPo+JBSaKsqygGsiCsfwNGm8mhFohAPVY9iJHZr&#10;qnVdv6tGj31ALyFGyt7Pm3xb+JUCmb4oFSEx03HqLZUVy/qU12q7Ee0BRRi0PLch/qMLK7SjQxeq&#10;e5EE+4H6NyqrJfroVVpJbyuvlJZQNJCapv5FzeMgAhQtZE4Mi03x5Wjl5+Meme7p7m44c8LSHT0m&#10;FPowJLbzzpGDHhltklNjiC0Bdm6P5yiGPWbZk0KbvySITcXd0+IuTInJOSkp26zXb+u6OF9dgQFj&#10;+gjesvzTcaNdFi5acfwUEx1GpZeSnDaOjR2/fd/c1qUseqP7B21M3izDAzuD7Cjo2tPU5OaJ4VkV&#10;RcZRMkuaRZS/dDIw838FRbZQ2818QB7IK6eQEly68BpH1RmmqIMFeO7sb8BzfYZCGdZ/AS+IcrJ3&#10;aQFb7Tz+qe2rFWquvzgw684WPPn+VK63WENTV5w7v5A81s/jAr++4+1PAAAA//8DAFBLAwQUAAYA&#10;CAAAACEAG/lbTtwAAAAKAQAADwAAAGRycy9kb3ducmV2LnhtbEyPQUvEMBCF74L/IYzgzU22a8XW&#10;pssiLOJFcBW8ps3YBptJabLd+u+d9aK3eTOP976ptosfxIxTdIE0rFcKBFIbrKNOw/vb/uYeREyG&#10;rBkCoYZvjLCtLy8qU9pwolecD6kTHEKxNBr6lMZSytj26E1chRGJb59h8iaxnDppJ3PicD/ITKk7&#10;6Y0jbujNiI89tl+Ho+eS/KN9wuie7X6XN/lcuEa9OK2vr5bdA4iES/ozwxmf0aFmpiYcyUYxsN4U&#10;G7bykK1BnA2/i0ZDpm4LkHUl/79Q/wAAAP//AwBQSwECLQAUAAYACAAAACEAtoM4kv4AAADhAQAA&#10;EwAAAAAAAAAAAAAAAAAAAAAAW0NvbnRlbnRfVHlwZXNdLnhtbFBLAQItABQABgAIAAAAIQA4/SH/&#10;1gAAAJQBAAALAAAAAAAAAAAAAAAAAC8BAABfcmVscy8ucmVsc1BLAQItABQABgAIAAAAIQC/g8xQ&#10;2QEAAA8EAAAOAAAAAAAAAAAAAAAAAC4CAABkcnMvZTJvRG9jLnhtbFBLAQItABQABgAIAAAAIQAb&#10;+VtO3AAAAAoBAAAPAAAAAAAAAAAAAAAAADMEAABkcnMvZG93bnJldi54bWxQSwUGAAAAAAQABADz&#10;AAAAPAU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44"/>
          <w:szCs w:val="20"/>
          <w:lang w:val="en-US"/>
        </w:rPr>
        <w:t>5</w:t>
      </w:r>
      <w:r w:rsidRPr="006810DB">
        <w:rPr>
          <w:b/>
          <w:szCs w:val="20"/>
          <w:lang w:val="en-US"/>
        </w:rPr>
        <w:t xml:space="preserve"> </w:t>
      </w:r>
      <w:r w:rsidRPr="006810DB">
        <w:rPr>
          <w:b/>
          <w:szCs w:val="20"/>
          <w:lang w:val="en-US"/>
        </w:rPr>
        <w:tab/>
      </w:r>
      <w:r w:rsidRPr="006810DB">
        <w:rPr>
          <w:b/>
          <w:color w:val="FFFFFF" w:themeColor="background1"/>
          <w:sz w:val="12"/>
          <w:szCs w:val="12"/>
          <w:lang w:val="en-US"/>
        </w:rPr>
        <w:t>PENGEMBANGAN MODEL HEWAN COBA MUKOSITIS ORAL</w:t>
      </w:r>
      <w:bookmarkEnd w:id="113"/>
    </w:p>
    <w:p w14:paraId="025EEB13" w14:textId="7A6C6F5F" w:rsidR="00700C95" w:rsidRPr="006810DB" w:rsidRDefault="00700C95" w:rsidP="006810DB">
      <w:pPr>
        <w:spacing w:after="0" w:line="276" w:lineRule="auto"/>
        <w:jc w:val="both"/>
        <w:rPr>
          <w:rFonts w:ascii="Book Antiqua" w:hAnsi="Book Antiqua"/>
          <w:sz w:val="20"/>
          <w:szCs w:val="20"/>
          <w:lang w:val="en"/>
        </w:rPr>
      </w:pPr>
    </w:p>
    <w:p w14:paraId="2CF99543" w14:textId="77777777" w:rsidR="002B0035" w:rsidRPr="006810DB" w:rsidRDefault="002B0035" w:rsidP="006810DB">
      <w:pPr>
        <w:spacing w:after="0" w:line="276" w:lineRule="auto"/>
        <w:jc w:val="both"/>
        <w:rPr>
          <w:rFonts w:ascii="Book Antiqua" w:hAnsi="Book Antiqua"/>
          <w:sz w:val="20"/>
          <w:szCs w:val="20"/>
          <w:lang w:val="en"/>
        </w:rPr>
      </w:pPr>
    </w:p>
    <w:p w14:paraId="61C6B93D" w14:textId="13449A71" w:rsidR="00B258B7" w:rsidRPr="006810DB" w:rsidRDefault="007D61DA" w:rsidP="00B9360C">
      <w:pPr>
        <w:pStyle w:val="Heading2"/>
        <w:numPr>
          <w:ilvl w:val="0"/>
          <w:numId w:val="20"/>
        </w:numPr>
        <w:ind w:left="284" w:hanging="284"/>
      </w:pPr>
      <w:bookmarkStart w:id="114" w:name="_pecdeexo97aq" w:colFirst="0" w:colLast="0"/>
      <w:bookmarkStart w:id="115" w:name="_Toc223088892"/>
      <w:bookmarkEnd w:id="114"/>
      <w:r w:rsidRPr="006810DB">
        <w:t>Pendahuluan</w:t>
      </w:r>
      <w:bookmarkEnd w:id="115"/>
    </w:p>
    <w:p w14:paraId="1FBD4103"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Lompatan dari hipotesis molekuler di laboratorium menuju aplikasi klinis yang bermanfaat bagi pasien adalah sebuah perjalanan panjang yang penuh dengan ketidakpastian. Untuk menjembatani kesenjangan ini, ilmu pengetahuan sangat bergantung pada penggunaan model hewan coba. Model-model ini berfungsi sebagai sistem biologis pengganti yang memungkinkan peneliti untuk mengamati patogenesis penyakit dan mengevaluasi efikasi serta keamanan agen terapeutik potensial dalam lingkungan yang terkontrol sebelum diuji pada manusia. Validitas dan relevansi dari seluruh penelitian praklinis bergantung secara fundamental pada kualitas, reproduktifitas, dan kemiripan model hewan yang digunakan dengan kondisi penyakit pada manusia.</w:t>
      </w:r>
    </w:p>
    <w:p w14:paraId="3A73E07D"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Dalam konteks penelitian mukositis oral, pengembangan model hewan yang andal adalah langkah yang tidak terhindarkan dan sangat krusial. Model ini harus mampu meniru secara konsisten ciri-ciri klinis dan histopatologis utama dari mukositis yang dialami oleh pasien kanker, termasuk eritema, ulserasi, dan respons inflamasi yang mendasarinya. Tanpa model yang terstandarisasi, perbandingan hasil antar studi menjadi tidak mungkin, dan kesimpulan yang ditarik mengenai efektivitas suatu terapi dapat menjadi keliru atau tidak dapat diandalkan.</w:t>
      </w:r>
    </w:p>
    <w:p w14:paraId="0A77F16E"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lastRenderedPageBreak/>
        <w:t>Bab ini akan mengupas tuntas metodologi yang terlibat dalam pengembangan dan validasi model hewan coba untuk mukositis oral yang diinduksi oleh cisplatin. Pembahasan akan dimulai dengan justifikasi pemilihan spesies dan strain hewan tertentu, dengan fokus pada tikus Wistar. Karakteristik anatomi dan fisiologis yang membuat tikus menjadi subjek yang sesuai akan dianalisis, bersamaan dengan pertimbangan etis yang tidak dapat ditawar, yang menjadi pedoman dalam setiap penelitian yang melibatkan makhluk hidup.</w:t>
      </w:r>
    </w:p>
    <w:p w14:paraId="3675D085"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Selanjutnya, kita akan mendalami aspek teknis dari induksi penyakit. Berbagai metode pemberian cisplatin akan dievaluasi, menyoroti pro dan kontra dari setiap pendekatan dalam upaya meniru paparan klinis. Bab ini juga akan membahas penggunaan prosedur tambahan, seperti iritasi mekanis, yang dirancang untuk meningkatkan konsistensi dan lokalisasi lesi, sebuah langkah penting untuk mengurangi variabilitas dalam hasil penelitian. Proses monitoring kondisi hewan selama periode induksi juga akan ditekankan sebagai komponen vital untuk memastikan kesejahteraan hewan dan integritas data.</w:t>
      </w:r>
    </w:p>
    <w:p w14:paraId="60CD43B3"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Tahap terakhir dan paling kritis yang akan dibahas adalah validasi model. Bagaimana kita tahu bahwa model yang kita ciptakan benar-benar mencerminkan penyakit yang ingin kita pelajari? Bab ini akan menguraikan metode-metode penilaian objektif, mulai dari skoring makroskopis lesi hingga pemantauan parameter sistemik seperti berat badan dan asupan makanan. Standarisasi waktu puncak keparahan penyakit akan diidentifikasi sebagai kunci untuk memastikan bahwa semua evaluasi, baik histopatologis maupun molekuler, dilakukan pada titik waktu yang paling relevan.</w:t>
      </w:r>
    </w:p>
    <w:p w14:paraId="3DAB0B82"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Dengan menguraikan proses ini secara sistematis, bab ini bertujuan untuk memberikan panduan praktis dan fondasi ilmiah bagi para peneliti yang ingin mempelajari mukositis oral. Ini adalah cetak biru untuk menciptakan "pasien di laboratorium" yang memungkinkan kita untuk menguji </w:t>
      </w:r>
      <w:r w:rsidRPr="006810DB">
        <w:rPr>
          <w:rFonts w:ascii="Book Antiqua" w:hAnsi="Book Antiqua"/>
          <w:sz w:val="20"/>
          <w:szCs w:val="20"/>
          <w:lang w:val="en"/>
        </w:rPr>
        <w:lastRenderedPageBreak/>
        <w:t xml:space="preserve">hipotesis, seperti potensi protektif </w:t>
      </w:r>
      <w:r w:rsidRPr="006810DB">
        <w:rPr>
          <w:rFonts w:ascii="Book Antiqua" w:hAnsi="Book Antiqua"/>
          <w:i/>
          <w:iCs/>
          <w:sz w:val="20"/>
          <w:szCs w:val="20"/>
          <w:lang w:val="en"/>
        </w:rPr>
        <w:t>Nigella sativa</w:t>
      </w:r>
      <w:r w:rsidRPr="006810DB">
        <w:rPr>
          <w:rFonts w:ascii="Book Antiqua" w:hAnsi="Book Antiqua"/>
          <w:sz w:val="20"/>
          <w:szCs w:val="20"/>
          <w:lang w:val="en"/>
        </w:rPr>
        <w:t>, dengan cara yang ketat dan dapat direproduksi.</w:t>
      </w:r>
    </w:p>
    <w:p w14:paraId="65E56021"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Pemahaman yang mendalam tentang kekuatan dan keterbatasan model hewan ini sangat penting untuk menafsirkan data yang dihasilkan secara akurat.</w:t>
      </w:r>
    </w:p>
    <w:p w14:paraId="2BA5AD07"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Pengetahuan ini memastikan bahwa hasil yang diperoleh dari penelitian praklinis memiliki relevansi translasi yang maksimal.</w:t>
      </w:r>
    </w:p>
    <w:p w14:paraId="0DEBB39F" w14:textId="44911AA9"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Pada akhirnya, model hewan yang dikembangkan dengan baik bukan hanya alat penelitian, tetapi juga merupakan prasyarat etis dan ilmiah untuk kemajuan dalam menemukan terapi suportif yang lebih baik bagi pasien kanker.</w:t>
      </w:r>
    </w:p>
    <w:p w14:paraId="0DB8AE99" w14:textId="77777777" w:rsidR="00700C95" w:rsidRPr="006810DB" w:rsidRDefault="00700C95" w:rsidP="006810DB">
      <w:pPr>
        <w:spacing w:after="0" w:line="276" w:lineRule="auto"/>
        <w:jc w:val="both"/>
        <w:rPr>
          <w:rFonts w:ascii="Book Antiqua" w:hAnsi="Book Antiqua"/>
          <w:sz w:val="20"/>
          <w:szCs w:val="20"/>
          <w:lang w:val="en"/>
        </w:rPr>
      </w:pPr>
    </w:p>
    <w:p w14:paraId="26569894" w14:textId="3D89702A" w:rsidR="00B258B7" w:rsidRPr="006810DB" w:rsidRDefault="00B258B7" w:rsidP="006810DB">
      <w:pPr>
        <w:pStyle w:val="Heading2"/>
        <w:numPr>
          <w:ilvl w:val="0"/>
          <w:numId w:val="20"/>
        </w:numPr>
        <w:ind w:left="284" w:hanging="284"/>
      </w:pPr>
      <w:bookmarkStart w:id="116" w:name="_angi1r1wkg4" w:colFirst="0" w:colLast="0"/>
      <w:bookmarkStart w:id="117" w:name="_Toc223088893"/>
      <w:bookmarkEnd w:id="116"/>
      <w:r w:rsidRPr="006810DB">
        <w:t>Pemilihan Spesies dan Strain Tikus Wistar</w:t>
      </w:r>
      <w:bookmarkEnd w:id="117"/>
    </w:p>
    <w:p w14:paraId="632839FC"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Langkah pertama dalam setiap penelitian praklinis adalah pemilihan model hewan yang paling sesuai. Keputusan ini tidak boleh sembarangan, karena spesies dan strain yang berbeda memiliki karakteristik fisiologis, genetik, dan anatomi yang dapat secara signifikan memengaruhi perkembangan penyakit dan respons terhadap terapi. Untuk penelitian mukositis oral, hewan pengerat kecil seperti tikus (</w:t>
      </w:r>
      <w:r w:rsidRPr="006810DB">
        <w:rPr>
          <w:rFonts w:ascii="Book Antiqua" w:hAnsi="Book Antiqua"/>
          <w:i/>
          <w:iCs/>
          <w:sz w:val="20"/>
          <w:szCs w:val="20"/>
          <w:lang w:val="en"/>
        </w:rPr>
        <w:t>Rattus norvegicus</w:t>
      </w:r>
      <w:r w:rsidRPr="006810DB">
        <w:rPr>
          <w:rFonts w:ascii="Book Antiqua" w:hAnsi="Book Antiqua"/>
          <w:sz w:val="20"/>
          <w:szCs w:val="20"/>
          <w:lang w:val="en"/>
        </w:rPr>
        <w:t>) dan mencit (</w:t>
      </w:r>
      <w:r w:rsidRPr="006810DB">
        <w:rPr>
          <w:rFonts w:ascii="Book Antiqua" w:hAnsi="Book Antiqua"/>
          <w:i/>
          <w:iCs/>
          <w:sz w:val="20"/>
          <w:szCs w:val="20"/>
          <w:lang w:val="en"/>
        </w:rPr>
        <w:t>Mus musculus</w:t>
      </w:r>
      <w:r w:rsidRPr="006810DB">
        <w:rPr>
          <w:rFonts w:ascii="Book Antiqua" w:hAnsi="Book Antiqua"/>
          <w:sz w:val="20"/>
          <w:szCs w:val="20"/>
          <w:lang w:val="en"/>
        </w:rPr>
        <w:t xml:space="preserve">) adalah pilihan yang paling umum karena berbagai alasan praktis dan biologis. Di antara berbagai strain tikus, strain albino </w:t>
      </w:r>
      <w:r w:rsidRPr="006810DB">
        <w:rPr>
          <w:rFonts w:ascii="Book Antiqua" w:hAnsi="Book Antiqua"/>
          <w:i/>
          <w:iCs/>
          <w:sz w:val="20"/>
          <w:szCs w:val="20"/>
          <w:lang w:val="en"/>
        </w:rPr>
        <w:t>outbred</w:t>
      </w:r>
      <w:r w:rsidRPr="006810DB">
        <w:rPr>
          <w:rFonts w:ascii="Book Antiqua" w:hAnsi="Book Antiqua"/>
          <w:sz w:val="20"/>
          <w:szCs w:val="20"/>
          <w:lang w:val="en"/>
        </w:rPr>
        <w:t xml:space="preserve"> seperti Wistar sering kali menjadi pilihan utama karena keseimbangan antara ketersediaan, kemudahan penanganan, dan relevansi biologisnya.</w:t>
      </w:r>
    </w:p>
    <w:p w14:paraId="194558AF"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Memilih model hewan untuk penelitian ibarat memilih mobil untuk sebuah balapan spesifik. Anda tidak akan menggunakan truk monster untuk balapan Formula 1. Untuk mempelajari mukositis, kita memerlukan "mobil" yang sistem biologisnya, terutama mukosa mulutnya, merespons "kondisi trek" (paparan cisplatin) dengan cara yang dapat diprediksi dan mirip dengan mobil balap kelas atas (manusia). Tikus Wistar adalah seperti mobil balap standar yang telah digunakan di banyak sirkuit. Performa dan karakteristiknya terdokumentasi dengan baik, manual </w:t>
      </w:r>
      <w:r w:rsidRPr="006810DB">
        <w:rPr>
          <w:rFonts w:ascii="Book Antiqua" w:hAnsi="Book Antiqua"/>
          <w:sz w:val="20"/>
          <w:szCs w:val="20"/>
          <w:lang w:val="en"/>
        </w:rPr>
        <w:lastRenderedPageBreak/>
        <w:t>perbaikannya (data fisiologis) tersedia luas, dan hasilnya dapat dibandingkan dengan tim-tim lain yang menggunakan mobil sejenis. Ini memberikan dasar yang andal untuk menguji modifikasi baru (agen terapeutik) sebelum memasangnya di mobil Formula 1 yang sebenarnya.</w:t>
      </w:r>
    </w:p>
    <w:p w14:paraId="1467E6C7" w14:textId="2DAD269E" w:rsidR="00B258B7" w:rsidRPr="006810DB" w:rsidRDefault="00B258B7" w:rsidP="006810DB">
      <w:pPr>
        <w:pStyle w:val="ListParagraph"/>
        <w:numPr>
          <w:ilvl w:val="0"/>
          <w:numId w:val="48"/>
        </w:numPr>
        <w:spacing w:after="0" w:line="276" w:lineRule="auto"/>
        <w:ind w:left="567" w:hanging="283"/>
        <w:contextualSpacing w:val="0"/>
        <w:jc w:val="both"/>
        <w:rPr>
          <w:rFonts w:ascii="Book Antiqua" w:hAnsi="Book Antiqua"/>
          <w:b/>
          <w:bCs/>
          <w:sz w:val="20"/>
          <w:szCs w:val="20"/>
          <w:lang w:val="en"/>
        </w:rPr>
      </w:pPr>
      <w:bookmarkStart w:id="118" w:name="_biwt5vmdexew" w:colFirst="0" w:colLast="0"/>
      <w:bookmarkEnd w:id="118"/>
      <w:r w:rsidRPr="006810DB">
        <w:rPr>
          <w:rFonts w:ascii="Book Antiqua" w:hAnsi="Book Antiqua"/>
          <w:b/>
          <w:bCs/>
          <w:sz w:val="20"/>
          <w:szCs w:val="20"/>
          <w:lang w:val="en"/>
        </w:rPr>
        <w:t>Karakteristik Anatomi Mukosa Mulut Tikus</w:t>
      </w:r>
    </w:p>
    <w:p w14:paraId="710D126B"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Secara anatomi, mukosa mulut tikus memiliki beberapa kesamaan penting dengan manusia. Mukosa bukal (pipi bagian dalam) pada tikus, sama seperti pada manusia, dilapisi oleh epitel skuamosa berlapis non-keratinisasi (Lopes et al., 2010). Tipe epitel ini memiliki laju pergantian sel yang tinggi, menjadikannya sangat rentan terhadap efek sitotoksik dari kemoterapi, sehingga mampu meniru lokasi umum terjadinya mukositis pada pasien. Struktur histologisnya, yang terdiri dari lapisan epitel, </w:t>
      </w:r>
      <w:r w:rsidRPr="006810DB">
        <w:rPr>
          <w:rFonts w:ascii="Book Antiqua" w:hAnsi="Book Antiqua"/>
          <w:i/>
          <w:iCs/>
          <w:sz w:val="20"/>
          <w:szCs w:val="20"/>
          <w:lang w:val="en"/>
        </w:rPr>
        <w:t>lamina propria</w:t>
      </w:r>
      <w:r w:rsidRPr="006810DB">
        <w:rPr>
          <w:rFonts w:ascii="Book Antiqua" w:hAnsi="Book Antiqua"/>
          <w:sz w:val="20"/>
          <w:szCs w:val="20"/>
          <w:lang w:val="en"/>
        </w:rPr>
        <w:t xml:space="preserve">, dan </w:t>
      </w:r>
      <w:r w:rsidRPr="006810DB">
        <w:rPr>
          <w:rFonts w:ascii="Book Antiqua" w:hAnsi="Book Antiqua"/>
          <w:i/>
          <w:iCs/>
          <w:sz w:val="20"/>
          <w:szCs w:val="20"/>
          <w:lang w:val="en"/>
        </w:rPr>
        <w:t>submukosa</w:t>
      </w:r>
      <w:r w:rsidRPr="006810DB">
        <w:rPr>
          <w:rFonts w:ascii="Book Antiqua" w:hAnsi="Book Antiqua"/>
          <w:sz w:val="20"/>
          <w:szCs w:val="20"/>
          <w:lang w:val="en"/>
        </w:rPr>
        <w:t>, juga secara umum serupa.</w:t>
      </w:r>
    </w:p>
    <w:p w14:paraId="1D888092"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Terdapat beberapa perbedaan yang perlu diperhatikan. Mukosa palatum durum (langit-langit mulut keras) pada tikus sepenuhnya berkeratin, berbeda dengan manusia. Selain itu, tikus memiliki kantong pipi (</w:t>
      </w:r>
      <w:r w:rsidRPr="006810DB">
        <w:rPr>
          <w:rFonts w:ascii="Book Antiqua" w:hAnsi="Book Antiqua"/>
          <w:i/>
          <w:iCs/>
          <w:sz w:val="20"/>
          <w:szCs w:val="20"/>
          <w:lang w:val="en"/>
        </w:rPr>
        <w:t>cheek pouch</w:t>
      </w:r>
      <w:r w:rsidRPr="006810DB">
        <w:rPr>
          <w:rFonts w:ascii="Book Antiqua" w:hAnsi="Book Antiqua"/>
          <w:sz w:val="20"/>
          <w:szCs w:val="20"/>
          <w:lang w:val="en"/>
        </w:rPr>
        <w:t>) yang, meskipun sering digunakan pada hamster untuk model mukositis, tidak seekstensif pada tikus. Meskipun demikian, mukosa bukal dan ventral lidah pada tikus tetap menjadi area yang sangat baik untuk mengamati perkembangan lesi mukositis yang relevan secara klinis (Sonis et al., 2009).</w:t>
      </w:r>
    </w:p>
    <w:p w14:paraId="18B91185" w14:textId="50823B44" w:rsidR="00B258B7" w:rsidRPr="006810DB" w:rsidRDefault="00B258B7" w:rsidP="006810DB">
      <w:pPr>
        <w:pStyle w:val="ListParagraph"/>
        <w:numPr>
          <w:ilvl w:val="0"/>
          <w:numId w:val="48"/>
        </w:numPr>
        <w:spacing w:after="0" w:line="276" w:lineRule="auto"/>
        <w:ind w:left="567" w:hanging="283"/>
        <w:contextualSpacing w:val="0"/>
        <w:jc w:val="both"/>
        <w:rPr>
          <w:rFonts w:ascii="Book Antiqua" w:hAnsi="Book Antiqua"/>
          <w:b/>
          <w:bCs/>
          <w:sz w:val="20"/>
          <w:szCs w:val="20"/>
          <w:lang w:val="en"/>
        </w:rPr>
      </w:pPr>
      <w:bookmarkStart w:id="119" w:name="_3crg0ysfm4gg" w:colFirst="0" w:colLast="0"/>
      <w:bookmarkEnd w:id="119"/>
      <w:r w:rsidRPr="006810DB">
        <w:rPr>
          <w:rFonts w:ascii="Book Antiqua" w:hAnsi="Book Antiqua"/>
          <w:b/>
          <w:bCs/>
          <w:sz w:val="20"/>
          <w:szCs w:val="20"/>
          <w:lang w:val="en"/>
        </w:rPr>
        <w:t>Keuntungan Penggunaan Tikus Wistar dalam Penelitian</w:t>
      </w:r>
    </w:p>
    <w:p w14:paraId="0EE1E2C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Tikus Wistar adalah salah satu strain tikus </w:t>
      </w:r>
      <w:r w:rsidRPr="006810DB">
        <w:rPr>
          <w:rFonts w:ascii="Book Antiqua" w:hAnsi="Book Antiqua"/>
          <w:i/>
          <w:iCs/>
          <w:sz w:val="20"/>
          <w:szCs w:val="20"/>
          <w:lang w:val="en"/>
        </w:rPr>
        <w:t>outbred</w:t>
      </w:r>
      <w:r w:rsidRPr="006810DB">
        <w:rPr>
          <w:rFonts w:ascii="Book Antiqua" w:hAnsi="Book Antiqua"/>
          <w:sz w:val="20"/>
          <w:szCs w:val="20"/>
          <w:lang w:val="en"/>
        </w:rPr>
        <w:t xml:space="preserve"> (stok yang tidak dikawinkan sedarah) pertama yang dikembangkan dan tetap menjadi salah satu yang paling banyak digunakan dalam penelitian biomedis. Penggunaan strain ini menawarkan beberapa keuntungan. Pertama, sebagai stok </w:t>
      </w:r>
      <w:r w:rsidRPr="006810DB">
        <w:rPr>
          <w:rFonts w:ascii="Book Antiqua" w:hAnsi="Book Antiqua"/>
          <w:i/>
          <w:iCs/>
          <w:sz w:val="20"/>
          <w:szCs w:val="20"/>
          <w:lang w:val="en"/>
        </w:rPr>
        <w:t>outbred</w:t>
      </w:r>
      <w:r w:rsidRPr="006810DB">
        <w:rPr>
          <w:rFonts w:ascii="Book Antiqua" w:hAnsi="Book Antiqua"/>
          <w:sz w:val="20"/>
          <w:szCs w:val="20"/>
          <w:lang w:val="en"/>
        </w:rPr>
        <w:t xml:space="preserve">, mereka memiliki tingkat heterogenitas genetik yang lebih tinggi dibandingkan strain </w:t>
      </w:r>
      <w:r w:rsidRPr="006810DB">
        <w:rPr>
          <w:rFonts w:ascii="Book Antiqua" w:hAnsi="Book Antiqua"/>
          <w:i/>
          <w:iCs/>
          <w:sz w:val="20"/>
          <w:szCs w:val="20"/>
          <w:lang w:val="en"/>
        </w:rPr>
        <w:t>inbred</w:t>
      </w:r>
      <w:r w:rsidRPr="006810DB">
        <w:rPr>
          <w:rFonts w:ascii="Book Antiqua" w:hAnsi="Book Antiqua"/>
          <w:sz w:val="20"/>
          <w:szCs w:val="20"/>
          <w:lang w:val="en"/>
        </w:rPr>
        <w:t xml:space="preserve">. Heterogenitas ini dapat lebih baik dalam merepresentasikan </w:t>
      </w:r>
      <w:r w:rsidRPr="006810DB">
        <w:rPr>
          <w:rFonts w:ascii="Book Antiqua" w:hAnsi="Book Antiqua"/>
          <w:sz w:val="20"/>
          <w:szCs w:val="20"/>
          <w:lang w:val="en"/>
        </w:rPr>
        <w:lastRenderedPageBreak/>
        <w:t>variabilitas genetik yang ditemukan pada populasi manusia, meskipun dapat meningkatkan variasi data (Festing, 2010).</w:t>
      </w:r>
    </w:p>
    <w:p w14:paraId="0AC690E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Kedua, tikus Wistar dikenal karena sifatnya yang tenang dan mudah ditangani, yang mengurangi stres pada hewan dan peneliti, serta memfasilitasi prosedur eksperimental seperti injeksi dan pemeriksaan oral. Ukurannya yang lebih besar dibandingkan mencit memungkinkan pengumpulan sampel darah dan jaringan yang lebih mudah. Selain itu, basis data historis yang sangat besar mengenai fisiologi, toksikologi, dan responsnya terhadap berbagai senyawa membuat interpretasi data dan perbandingan antar studi menjadi lebih mudah dan andal (Sukmasari et al., 2020).</w:t>
      </w:r>
    </w:p>
    <w:p w14:paraId="7EB13A10" w14:textId="0D5696A9" w:rsidR="00B258B7" w:rsidRPr="006810DB" w:rsidRDefault="00B258B7" w:rsidP="006810DB">
      <w:pPr>
        <w:pStyle w:val="ListParagraph"/>
        <w:numPr>
          <w:ilvl w:val="0"/>
          <w:numId w:val="48"/>
        </w:numPr>
        <w:spacing w:after="0" w:line="276" w:lineRule="auto"/>
        <w:ind w:left="567" w:hanging="283"/>
        <w:contextualSpacing w:val="0"/>
        <w:jc w:val="both"/>
        <w:rPr>
          <w:rFonts w:ascii="Book Antiqua" w:hAnsi="Book Antiqua"/>
          <w:b/>
          <w:bCs/>
          <w:sz w:val="20"/>
          <w:szCs w:val="20"/>
          <w:lang w:val="en"/>
        </w:rPr>
      </w:pPr>
      <w:bookmarkStart w:id="120" w:name="_7mm6el57vdtd" w:colFirst="0" w:colLast="0"/>
      <w:bookmarkEnd w:id="120"/>
      <w:r w:rsidRPr="006810DB">
        <w:rPr>
          <w:rFonts w:ascii="Book Antiqua" w:hAnsi="Book Antiqua"/>
          <w:b/>
          <w:bCs/>
          <w:sz w:val="20"/>
          <w:szCs w:val="20"/>
          <w:lang w:val="en"/>
        </w:rPr>
        <w:t>Etika dan Protokol Kesejahteraan Hewan Coba</w:t>
      </w:r>
    </w:p>
    <w:p w14:paraId="700D83B3"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Setiap penelitian yang menggunakan hewan coba harus berpegang pada prinsip etika yang ketat untuk memastikan bahwa hewan diperlakukan secara manusiawi dan penderitaan mereka diminimalkan. Prinsip utama yang diakui secara internasional adalah 3R: </w:t>
      </w:r>
      <w:r w:rsidRPr="006810DB">
        <w:rPr>
          <w:rFonts w:ascii="Book Antiqua" w:hAnsi="Book Antiqua"/>
          <w:i/>
          <w:iCs/>
          <w:sz w:val="20"/>
          <w:szCs w:val="20"/>
          <w:lang w:val="en"/>
        </w:rPr>
        <w:t>Replacement</w:t>
      </w:r>
      <w:r w:rsidRPr="006810DB">
        <w:rPr>
          <w:rFonts w:ascii="Book Antiqua" w:hAnsi="Book Antiqua"/>
          <w:sz w:val="20"/>
          <w:szCs w:val="20"/>
          <w:lang w:val="en"/>
        </w:rPr>
        <w:t xml:space="preserve"> (penggantian dengan metode non-hewan jika memungkinkan), </w:t>
      </w:r>
      <w:r w:rsidRPr="006810DB">
        <w:rPr>
          <w:rFonts w:ascii="Book Antiqua" w:hAnsi="Book Antiqua"/>
          <w:i/>
          <w:iCs/>
          <w:sz w:val="20"/>
          <w:szCs w:val="20"/>
          <w:lang w:val="en"/>
        </w:rPr>
        <w:t>Reduction</w:t>
      </w:r>
      <w:r w:rsidRPr="006810DB">
        <w:rPr>
          <w:rFonts w:ascii="Book Antiqua" w:hAnsi="Book Antiqua"/>
          <w:sz w:val="20"/>
          <w:szCs w:val="20"/>
          <w:lang w:val="en"/>
        </w:rPr>
        <w:t xml:space="preserve"> (pengurangan jumlah hewan yang digunakan seminimal mungkin tanpa mengorbankan validitas statistik), dan </w:t>
      </w:r>
      <w:r w:rsidRPr="006810DB">
        <w:rPr>
          <w:rFonts w:ascii="Book Antiqua" w:hAnsi="Book Antiqua"/>
          <w:i/>
          <w:iCs/>
          <w:sz w:val="20"/>
          <w:szCs w:val="20"/>
          <w:lang w:val="en"/>
        </w:rPr>
        <w:t>Refinement</w:t>
      </w:r>
      <w:r w:rsidRPr="006810DB">
        <w:rPr>
          <w:rFonts w:ascii="Book Antiqua" w:hAnsi="Book Antiqua"/>
          <w:sz w:val="20"/>
          <w:szCs w:val="20"/>
          <w:lang w:val="en"/>
        </w:rPr>
        <w:t xml:space="preserve"> (penyempurnaan prosedur untuk meminimalkan rasa sakit, stres, dan penderitaan) (Russell &amp; Burch, 1959).</w:t>
      </w:r>
    </w:p>
    <w:p w14:paraId="51826F06" w14:textId="450D4983"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Sebelum penelitian dimulai, protokol rinci harus diajukan dan disetujui oleh Komite Etik Penelitian Kesehatan (KEPK) atau </w:t>
      </w:r>
      <w:r w:rsidRPr="006810DB">
        <w:rPr>
          <w:rFonts w:ascii="Book Antiqua" w:hAnsi="Book Antiqua"/>
          <w:i/>
          <w:iCs/>
          <w:sz w:val="20"/>
          <w:szCs w:val="20"/>
          <w:lang w:val="en"/>
        </w:rPr>
        <w:t>Institutional Animal Care and Use Committee</w:t>
      </w:r>
      <w:r w:rsidRPr="006810DB">
        <w:rPr>
          <w:rFonts w:ascii="Book Antiqua" w:hAnsi="Book Antiqua"/>
          <w:sz w:val="20"/>
          <w:szCs w:val="20"/>
          <w:lang w:val="en"/>
        </w:rPr>
        <w:t xml:space="preserve"> (IACUC). Protokol ini harus mencakup justifikasi penggunaan hewan, rincian perumahan (kandang, suhu, siklus terang-gelap), akses </w:t>
      </w:r>
      <w:r w:rsidRPr="006810DB">
        <w:rPr>
          <w:rFonts w:ascii="Book Antiqua" w:hAnsi="Book Antiqua"/>
          <w:i/>
          <w:iCs/>
          <w:sz w:val="20"/>
          <w:szCs w:val="20"/>
          <w:lang w:val="en"/>
        </w:rPr>
        <w:t>ad libitum</w:t>
      </w:r>
      <w:r w:rsidRPr="006810DB">
        <w:rPr>
          <w:rFonts w:ascii="Book Antiqua" w:hAnsi="Book Antiqua"/>
          <w:sz w:val="20"/>
          <w:szCs w:val="20"/>
          <w:lang w:val="en"/>
        </w:rPr>
        <w:t xml:space="preserve"> ke makanan dan air, metode anestesi dan analgesia yang akan digunakan, serta kriteria titik akhir manusiawi (</w:t>
      </w:r>
      <w:r w:rsidRPr="006810DB">
        <w:rPr>
          <w:rFonts w:ascii="Book Antiqua" w:hAnsi="Book Antiqua"/>
          <w:i/>
          <w:iCs/>
          <w:sz w:val="20"/>
          <w:szCs w:val="20"/>
          <w:lang w:val="en"/>
        </w:rPr>
        <w:t>humane endpoints</w:t>
      </w:r>
      <w:r w:rsidRPr="006810DB">
        <w:rPr>
          <w:rFonts w:ascii="Book Antiqua" w:hAnsi="Book Antiqua"/>
          <w:sz w:val="20"/>
          <w:szCs w:val="20"/>
          <w:lang w:val="en"/>
        </w:rPr>
        <w:t xml:space="preserve">). Titik akhir ini, seperti penurunan berat badan lebih dari 20% atau ketidakmampuan untuk makan dan minum, adalah kriteria yang telah ditentukan sebelumnya di mana hewan akan </w:t>
      </w:r>
      <w:r w:rsidRPr="006810DB">
        <w:rPr>
          <w:rFonts w:ascii="Book Antiqua" w:hAnsi="Book Antiqua"/>
          <w:sz w:val="20"/>
          <w:szCs w:val="20"/>
          <w:lang w:val="en"/>
        </w:rPr>
        <w:lastRenderedPageBreak/>
        <w:t>dieutanasia untuk mencegah penderitaan yang tidak perlu (Clark et al., 2021).</w:t>
      </w:r>
    </w:p>
    <w:p w14:paraId="29CA10FD" w14:textId="77777777" w:rsidR="00504B56" w:rsidRPr="006810DB" w:rsidRDefault="00504B56" w:rsidP="006810DB">
      <w:pPr>
        <w:spacing w:after="0" w:line="276" w:lineRule="auto"/>
        <w:jc w:val="both"/>
        <w:rPr>
          <w:rFonts w:ascii="Book Antiqua" w:hAnsi="Book Antiqua"/>
          <w:sz w:val="20"/>
          <w:szCs w:val="20"/>
          <w:lang w:val="en"/>
        </w:rPr>
      </w:pPr>
    </w:p>
    <w:p w14:paraId="13EA22E8" w14:textId="197E9B13" w:rsidR="00B258B7" w:rsidRPr="006810DB" w:rsidRDefault="00B258B7" w:rsidP="006810DB">
      <w:pPr>
        <w:pStyle w:val="Heading2"/>
        <w:numPr>
          <w:ilvl w:val="0"/>
          <w:numId w:val="20"/>
        </w:numPr>
        <w:ind w:left="284" w:hanging="284"/>
        <w:rPr>
          <w:bCs/>
          <w:szCs w:val="20"/>
          <w:lang w:val="en"/>
        </w:rPr>
      </w:pPr>
      <w:bookmarkStart w:id="121" w:name="_s9mc1m1uld20" w:colFirst="0" w:colLast="0"/>
      <w:bookmarkStart w:id="122" w:name="_Toc223088894"/>
      <w:bookmarkEnd w:id="121"/>
      <w:r w:rsidRPr="006810DB">
        <w:rPr>
          <w:bCs/>
          <w:szCs w:val="20"/>
          <w:lang w:val="en"/>
        </w:rPr>
        <w:t>Teknik Induksi Mukositis dengan Cisplatin</w:t>
      </w:r>
      <w:bookmarkEnd w:id="122"/>
    </w:p>
    <w:p w14:paraId="1849DD13"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Setelah model hewan dipilih, langkah selanjutnya adalah menginduksi patologi yang diinginkan secara konsisten dan dapat direproduksi. Tujuan dari teknik induksi adalah untuk memberikan dosis cisplatin yang cukup untuk menyebabkan kerusakan mukosa yang signifikan dan terukur, tetapi tidak begitu parah sehingga menyebabkan mortalitas yang tinggi atau penderitaan yang tidak dapat diterima pada hewan. Keberhasilan dalam mencapai keseimbangan ini sangat penting untuk menciptakan jendela terapeutik di mana efek protektif dari agen yang diuji dapat dievaluasi secara akurat. Prosedur ini melibatkan penentuan rute pemberian obat, dosis yang optimal, dan terkadang, penggunaan iritasi lokal untuk menstandarisasi lokasi lesi.</w:t>
      </w:r>
    </w:p>
    <w:p w14:paraId="64B2DD9E"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Menginduksi mukositis dengan cisplatin pada tikus dapat diibaratkan seperti melakukan </w:t>
      </w:r>
      <w:r w:rsidRPr="006810DB">
        <w:rPr>
          <w:rFonts w:ascii="Book Antiqua" w:hAnsi="Book Antiqua"/>
          <w:i/>
          <w:iCs/>
          <w:sz w:val="20"/>
          <w:szCs w:val="20"/>
          <w:lang w:val="en"/>
        </w:rPr>
        <w:t>stress test</w:t>
      </w:r>
      <w:r w:rsidRPr="006810DB">
        <w:rPr>
          <w:rFonts w:ascii="Book Antiqua" w:hAnsi="Book Antiqua"/>
          <w:sz w:val="20"/>
          <w:szCs w:val="20"/>
          <w:lang w:val="en"/>
        </w:rPr>
        <w:t xml:space="preserve"> pada sebuah material baru di laboratorium. Anda perlu menerapkan gaya (dosis cisplatin) dengan cara yang terkontrol (rute administrasi) dan pada titik yang ditentukan (lokalisasi dengan iritasi). Jika gaya yang diterapkan terlalu kecil, material tidak akan menunjukkan titik lemahnya. Jika terlalu besar, material akan hancur berkeping-keping sebelum Anda sempat mengukur apa pun. Tujuannya adalah untuk menciptakan retakan yang dapat diukur dan dipelajari. Selama pengujian, Anda harus terus-menerus memonitor sensor-sensor (kondisi umum hewan) untuk memastikan pengujian berjalan sesuai rencana dan tidak menyebabkan kegagalan katastropik yang tidak diinginkan.</w:t>
      </w:r>
    </w:p>
    <w:p w14:paraId="3CECEDAF" w14:textId="0723D93B" w:rsidR="00B258B7" w:rsidRPr="006810DB" w:rsidRDefault="00B258B7" w:rsidP="006810DB">
      <w:pPr>
        <w:pStyle w:val="ListParagraph"/>
        <w:numPr>
          <w:ilvl w:val="0"/>
          <w:numId w:val="49"/>
        </w:numPr>
        <w:spacing w:after="0" w:line="276" w:lineRule="auto"/>
        <w:ind w:left="567" w:hanging="283"/>
        <w:contextualSpacing w:val="0"/>
        <w:jc w:val="both"/>
        <w:rPr>
          <w:rFonts w:ascii="Book Antiqua" w:hAnsi="Book Antiqua"/>
          <w:b/>
          <w:bCs/>
          <w:sz w:val="20"/>
          <w:szCs w:val="20"/>
          <w:lang w:val="en"/>
        </w:rPr>
      </w:pPr>
      <w:bookmarkStart w:id="123" w:name="_xvz77nx86xes" w:colFirst="0" w:colLast="0"/>
      <w:bookmarkEnd w:id="123"/>
      <w:r w:rsidRPr="006810DB">
        <w:rPr>
          <w:rFonts w:ascii="Book Antiqua" w:hAnsi="Book Antiqua"/>
          <w:b/>
          <w:bCs/>
          <w:sz w:val="20"/>
          <w:szCs w:val="20"/>
          <w:lang w:val="en"/>
        </w:rPr>
        <w:t>Rute Administrasi Intraperitoneal vs Intravena</w:t>
      </w:r>
    </w:p>
    <w:p w14:paraId="6867330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Cisplatin dapat diberikan kepada hewan pengerat melalui beberapa rute, dengan injeksi intraperitoneal (IP) dan intravena (IV) menjadi yang paling umum. Injeksi IP melibatkan penyuntikan obat ke dalam rongga perut. Rute ini </w:t>
      </w:r>
      <w:r w:rsidRPr="006810DB">
        <w:rPr>
          <w:rFonts w:ascii="Book Antiqua" w:hAnsi="Book Antiqua"/>
          <w:sz w:val="20"/>
          <w:szCs w:val="20"/>
          <w:lang w:val="en"/>
        </w:rPr>
        <w:lastRenderedPageBreak/>
        <w:t>secara teknis lebih mudah, lebih cepat, dan tidak terlalu membuat stres bagi hewan dibandingkan injeksi IV, yang sering kali memerlukan pengekangan atau anestesi dan keterampilan teknis untuk mengakses vena ekor (Turner et al., 2011). Karena kemudahannya, rute IP sangat sering digunakan dalam studi praklinis.</w:t>
      </w:r>
    </w:p>
    <w:p w14:paraId="5A1CA4C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Rute IV, di sisi lain, lebih akurat dalam meniru rute administrasi klinis pada manusia, di mana obat langsung masuk ke sirkulasi sistemik. Ini menghasilkan profil farmakokinetik (puncak konsentrasi plasma dan distribusi) yang mungkin berbeda dari rute IP, di mana obat pertama kali diserap melalui sirkulasi portal sebelum mencapai sirkulasi sistemik (Kadarullah et al., 2024). Meskipun IP lebih umum, beberapa peneliti berpendapat bahwa IV lebih relevan secara translasi. Pilihan rute sering kali bergantung pada tujuan spesifik penelitian dan sumber daya yang tersedia.</w:t>
      </w:r>
    </w:p>
    <w:p w14:paraId="17EB147B" w14:textId="609DFF34" w:rsidR="00B258B7" w:rsidRPr="006810DB" w:rsidRDefault="00B258B7" w:rsidP="006810DB">
      <w:pPr>
        <w:pStyle w:val="ListParagraph"/>
        <w:numPr>
          <w:ilvl w:val="0"/>
          <w:numId w:val="49"/>
        </w:numPr>
        <w:spacing w:after="0" w:line="276" w:lineRule="auto"/>
        <w:ind w:left="567" w:hanging="283"/>
        <w:contextualSpacing w:val="0"/>
        <w:jc w:val="both"/>
        <w:rPr>
          <w:rFonts w:ascii="Book Antiqua" w:hAnsi="Book Antiqua"/>
          <w:b/>
          <w:bCs/>
          <w:sz w:val="20"/>
          <w:szCs w:val="20"/>
          <w:lang w:val="en"/>
        </w:rPr>
      </w:pPr>
      <w:bookmarkStart w:id="124" w:name="_u4dpsiqk7o8e" w:colFirst="0" w:colLast="0"/>
      <w:bookmarkEnd w:id="124"/>
      <w:r w:rsidRPr="006810DB">
        <w:rPr>
          <w:rFonts w:ascii="Book Antiqua" w:hAnsi="Book Antiqua"/>
          <w:b/>
          <w:bCs/>
          <w:sz w:val="20"/>
          <w:szCs w:val="20"/>
          <w:lang w:val="en"/>
        </w:rPr>
        <w:t>Prosedur Iritasi Kimiawi dan Mekanik Tambahan</w:t>
      </w:r>
    </w:p>
    <w:p w14:paraId="307D7B8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Salah satu tantangan dalam model mukositis adalah variabilitas dalam lokasi dan tingkat keparahan lesi. Untuk mengatasi ini, beberapa protokol penelitian menggabungkan pemberian cisplatin sistemik dengan iritasi lokal pada mukosa bukal. Tujuannya adalah untuk menciptakan "locus minoris resistentiae" atau titik lemah, yang akan menjadi fokus pengembangan lesi mukositis (Sonis et al., 2009).</w:t>
      </w:r>
    </w:p>
    <w:p w14:paraId="58F83FB5"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Prosedur ini biasanya dilakukan di bawah anestesi singkat. Iritasi mekanik melibatkan goresan ringan pada permukaan epitel mukosa bukal menggunakan ujung jarum steril. Sementara itu, iritasi kimiawi dapat melibatkan aplikasi singkat dari asam ringan, seperti asam asetat. Prosedur ini diyakini dapat meningkatkan laju proliferasi sel basal sebagai respons terhadap cedera ringan, yang secara paradoksal membuat mereka lebih rentan terhadap efek sitotoksik dari cisplatin yang diberikan secara sistemik (Lopes et al., 2010). Kombinasi ini membantu memastikan </w:t>
      </w:r>
      <w:r w:rsidRPr="006810DB">
        <w:rPr>
          <w:rFonts w:ascii="Book Antiqua" w:hAnsi="Book Antiqua"/>
          <w:sz w:val="20"/>
          <w:szCs w:val="20"/>
          <w:lang w:val="en"/>
        </w:rPr>
        <w:lastRenderedPageBreak/>
        <w:t>bahwa lesi yang signifikan dan konsisten terbentuk di area yang mudah diakses untuk evaluasi.</w:t>
      </w:r>
    </w:p>
    <w:p w14:paraId="46B0EAE7" w14:textId="5F8293DE" w:rsidR="00B258B7" w:rsidRPr="006810DB" w:rsidRDefault="00B258B7" w:rsidP="006810DB">
      <w:pPr>
        <w:pStyle w:val="ListParagraph"/>
        <w:numPr>
          <w:ilvl w:val="0"/>
          <w:numId w:val="49"/>
        </w:numPr>
        <w:spacing w:after="0" w:line="276" w:lineRule="auto"/>
        <w:ind w:left="567" w:hanging="283"/>
        <w:contextualSpacing w:val="0"/>
        <w:jc w:val="both"/>
        <w:rPr>
          <w:rFonts w:ascii="Book Antiqua" w:hAnsi="Book Antiqua"/>
          <w:b/>
          <w:bCs/>
          <w:sz w:val="20"/>
          <w:szCs w:val="20"/>
          <w:lang w:val="en"/>
        </w:rPr>
      </w:pPr>
      <w:r w:rsidRPr="006810DB">
        <w:rPr>
          <w:rFonts w:ascii="Book Antiqua" w:hAnsi="Book Antiqua"/>
          <w:b/>
          <w:bCs/>
          <w:sz w:val="20"/>
          <w:szCs w:val="20"/>
          <w:lang w:val="en"/>
        </w:rPr>
        <w:t>Monitoring Kondisi Umum Hewan Selama Induksi</w:t>
      </w:r>
    </w:p>
    <w:p w14:paraId="0C308C3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Pemantauan harian terhadap kondisi umum hewan setelah induksi cisplatin adalah komponen penting dari protokol, baik dari sudut pandang etika maupun ilmiah. Parameter utama yang harus dicatat setiap hari termasuk berat badan, asupan makanan dan air, serta penampilan umum (misalnya, bulu yang kusut, postur bungkuk) dan perilaku (misalnya, aktivitas, interaksi sosial) (Whittaker et al., 2021).</w:t>
      </w:r>
    </w:p>
    <w:p w14:paraId="3D7EF956" w14:textId="0589F34B"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Penurunan berat badan adalah salah satu indikator objektif yang paling sensitif dan penting dari perkembangan dan keparahan mukositis, karena secara langsung mencerminkan rasa sakit dan kesulitan hewan untuk makan. Penurunan asupan makanan dan dehidrasi dapat memperburuk kondisi hewan. Data monitoring ini tidak hanya penting untuk mengidentifikasi hewan yang mencapai titik akhir manusiawi, tetapi juga dapat digunakan sebagai parameter kuantitatif tambahan untuk mengevaluasi efektivitas agen terapeutik. Kelompok hewan yang menerima terapi protektif yang efektif diharapkan menunjukkan penurunan berat badan yang lebih sedikit dibandingkan kelompok kontrol.</w:t>
      </w:r>
    </w:p>
    <w:p w14:paraId="1847290A" w14:textId="77777777" w:rsidR="00504B56" w:rsidRPr="006810DB" w:rsidRDefault="00504B56" w:rsidP="006810DB">
      <w:pPr>
        <w:spacing w:after="0" w:line="276" w:lineRule="auto"/>
        <w:jc w:val="both"/>
        <w:rPr>
          <w:rFonts w:ascii="Book Antiqua" w:hAnsi="Book Antiqua"/>
          <w:sz w:val="20"/>
          <w:szCs w:val="20"/>
          <w:lang w:val="en"/>
        </w:rPr>
      </w:pPr>
    </w:p>
    <w:p w14:paraId="4B30214C" w14:textId="48A4060A" w:rsidR="00B258B7" w:rsidRPr="006810DB" w:rsidRDefault="00B258B7" w:rsidP="006810DB">
      <w:pPr>
        <w:pStyle w:val="Heading2"/>
        <w:numPr>
          <w:ilvl w:val="0"/>
          <w:numId w:val="20"/>
        </w:numPr>
        <w:ind w:left="284" w:hanging="284"/>
        <w:rPr>
          <w:bCs/>
          <w:szCs w:val="20"/>
          <w:lang w:val="en"/>
        </w:rPr>
      </w:pPr>
      <w:bookmarkStart w:id="125" w:name="_p48lv0h3m6kc" w:colFirst="0" w:colLast="0"/>
      <w:bookmarkStart w:id="126" w:name="_Toc223088895"/>
      <w:bookmarkEnd w:id="125"/>
      <w:r w:rsidRPr="006810DB">
        <w:rPr>
          <w:bCs/>
          <w:szCs w:val="20"/>
          <w:lang w:val="en"/>
        </w:rPr>
        <w:t>Validasi Model Mukositis Oral</w:t>
      </w:r>
      <w:bookmarkEnd w:id="126"/>
    </w:p>
    <w:p w14:paraId="107A3E46"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Menciptakan lesi di mulut hewan saja tidak cukup; model tersebut harus divalidasi untuk memastikan bahwa ia secara akurat dan andal mencerminkan proses penyakit pada manusia. Validasi adalah proses di mana karakteristik model dievaluasi secara sistematis untuk memverifikasi relevansinya. Ini melibatkan penggunaan sistem skoring yang objektif untuk menilai keparahan lesi makroskopis, analisis parameter fungsional yang mencerminkan dampak penyakit pada hewan, dan penentuan kronologi atau perjalanan waktu penyakit. Tanpa validasi yang tepat, model tersebut hanyalah sebuah </w:t>
      </w:r>
      <w:r w:rsidRPr="006810DB">
        <w:rPr>
          <w:rFonts w:ascii="Book Antiqua" w:hAnsi="Book Antiqua"/>
          <w:sz w:val="20"/>
          <w:szCs w:val="20"/>
          <w:lang w:val="en"/>
        </w:rPr>
        <w:lastRenderedPageBreak/>
        <w:t>artefak laboratorium dengan sedikit atau tanpa nilai prediksi untuk aplikasi klinis.</w:t>
      </w:r>
    </w:p>
    <w:p w14:paraId="3CB3B8DB"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Validasi model mukositis mirip dengan proses kalibrasi dan pengujian sebuah termometer baru. Anda tidak bisa langsung menggunakannya untuk mengukur suhu pasien. Pertama, Anda harus memvalidasinya. Penilaian makroskopis adalah seperti membandingkan angka yang ditunjukkan termometer dengan penampilannya secara visual (apakah terlihat benar?). Analisis berat badan adalah seperti memeriksa apakah pasien yang menurut termometer demam tinggi juga menunjukkan gejala lain seperti menggigil dan berkeringat (korelasi fungsional). Standarisasi waktu puncak adalah seperti mencari tahu berapa lama waktu yang dibutuhkan termometer untuk memberikan pembacaan yang stabil dan akurat setelah ditempatkan di bawah lidah. Hanya setelah semua tes ini selesai, Anda dapat mempercayai termometer tersebut untuk membuat keputusan klinis.</w:t>
      </w:r>
    </w:p>
    <w:p w14:paraId="55C77097" w14:textId="4A9D429E" w:rsidR="00B258B7" w:rsidRPr="006810DB" w:rsidRDefault="00B258B7" w:rsidP="006810DB">
      <w:pPr>
        <w:pStyle w:val="ListParagraph"/>
        <w:numPr>
          <w:ilvl w:val="0"/>
          <w:numId w:val="50"/>
        </w:numPr>
        <w:spacing w:after="0" w:line="276" w:lineRule="auto"/>
        <w:ind w:left="567" w:hanging="283"/>
        <w:contextualSpacing w:val="0"/>
        <w:jc w:val="both"/>
        <w:rPr>
          <w:rFonts w:ascii="Book Antiqua" w:hAnsi="Book Antiqua"/>
          <w:b/>
          <w:bCs/>
          <w:sz w:val="20"/>
          <w:szCs w:val="20"/>
          <w:lang w:val="en"/>
        </w:rPr>
      </w:pPr>
      <w:bookmarkStart w:id="127" w:name="_ifd48er6lkrt" w:colFirst="0" w:colLast="0"/>
      <w:bookmarkEnd w:id="127"/>
      <w:r w:rsidRPr="006810DB">
        <w:rPr>
          <w:rFonts w:ascii="Book Antiqua" w:hAnsi="Book Antiqua"/>
          <w:b/>
          <w:bCs/>
          <w:sz w:val="20"/>
          <w:szCs w:val="20"/>
          <w:lang w:val="en"/>
        </w:rPr>
        <w:t>Penilaian Makroskopis Lesi Mukosa</w:t>
      </w:r>
    </w:p>
    <w:p w14:paraId="5F37323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Evaluasi visual terhadap mukosa mulut adalah metode pertama dan paling langsung untuk menilai tingkat keparahan mukositis. Untuk membuat penilaian ini objektif dan dapat dikuantifikasi, berbagai skala penilaian makroskopis telah dikembangkan. Skala ini biasanya berkisar dari 0 (mukosa normal) hingga 4 atau 5 (ulserasi parah dengan perdarahan), dengan tingkat perantara yang menggambarkan berbagai tingkat eritema, edema, dan pembentukan ulkus (Sonis et al., 2009).</w:t>
      </w:r>
    </w:p>
    <w:p w14:paraId="638D336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Penilaian ini dilakukan pada saat hewan dieutanasia, sering kali dengan bantuan kaca pembesar atau mikroskop stereo untuk visualisasi yang lebih baik. Mukosa bukal atau area target lainnya diekspos, difoto untuk dokumentasi, dan dinilai oleh setidaknya dua pengamat yang "buta" terhadap kelompok perlakuan hewan untuk menghindari bias. Skor numerik yang dihasilkan memungkinkan perbandingan statistik langsung antar kelompok perlakuan (kontrol vs. </w:t>
      </w:r>
      <w:r w:rsidRPr="006810DB">
        <w:rPr>
          <w:rFonts w:ascii="Book Antiqua" w:hAnsi="Book Antiqua"/>
          <w:sz w:val="20"/>
          <w:szCs w:val="20"/>
          <w:lang w:val="en"/>
        </w:rPr>
        <w:lastRenderedPageBreak/>
        <w:t>terapi), memberikan ukuran yang jelas tentang efek protektif makroskopis (Kazemi et al., 2022).</w:t>
      </w:r>
    </w:p>
    <w:p w14:paraId="3AF9D9B3" w14:textId="65DF2CE1" w:rsidR="00B258B7" w:rsidRPr="006810DB" w:rsidRDefault="00B258B7" w:rsidP="006810DB">
      <w:pPr>
        <w:pStyle w:val="ListParagraph"/>
        <w:numPr>
          <w:ilvl w:val="0"/>
          <w:numId w:val="50"/>
        </w:numPr>
        <w:spacing w:after="0" w:line="276" w:lineRule="auto"/>
        <w:ind w:left="567" w:hanging="283"/>
        <w:contextualSpacing w:val="0"/>
        <w:jc w:val="both"/>
        <w:rPr>
          <w:rFonts w:ascii="Book Antiqua" w:hAnsi="Book Antiqua"/>
          <w:b/>
          <w:bCs/>
          <w:sz w:val="20"/>
          <w:szCs w:val="20"/>
          <w:lang w:val="en"/>
        </w:rPr>
      </w:pPr>
      <w:r w:rsidRPr="006810DB">
        <w:rPr>
          <w:rFonts w:ascii="Book Antiqua" w:hAnsi="Book Antiqua"/>
          <w:b/>
          <w:bCs/>
          <w:sz w:val="20"/>
          <w:szCs w:val="20"/>
          <w:lang w:val="en"/>
        </w:rPr>
        <w:t>Analisis Perubahan Berat Badan dan Intake Makanan</w:t>
      </w:r>
    </w:p>
    <w:p w14:paraId="1E21755B"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Seperti yang disebutkan sebelumnya, parameter sistemik seperti perubahan berat badan memberikan ukuran fungsional yang sangat berharga dari morbiditas yang terkait dengan mukositis. Nyeri dan kesulitan makan akibat ulserasi oral secara langsung menyebabkan penurunan asupan makanan dan cairan, yang mengakibatkan penurunan berat badan (Whittaker et al., 2021). Kurva perubahan berat badan harian untuk setiap kelompok perlakuan dapat diplot untuk memvisualisasikan onset dan keparahan dampak penyakit.</w:t>
      </w:r>
    </w:p>
    <w:p w14:paraId="049FE8E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Titik terendah (nadir) dari berat badan sering kali berkorelasi baik dengan puncak keparahan mukositis oral. Sebuah agen terapeutik yang efektif idealnya tidak hanya mengurangi skor lesi makroskopis tetapi juga secara signifikan mengurangi tingkat penurunan berat badan, menunjukkan perbaikan dalam status fungsional dan kesejahteraan hewan. Pengukuran asupan makanan dan air harian, meskipun lebih padat karya, dapat memberikan data yang lebih langsung tentang dampak fungsional ini.</w:t>
      </w:r>
    </w:p>
    <w:p w14:paraId="05B75671" w14:textId="78CAA509" w:rsidR="00B258B7" w:rsidRPr="006810DB" w:rsidRDefault="00B258B7" w:rsidP="006810DB">
      <w:pPr>
        <w:pStyle w:val="ListParagraph"/>
        <w:numPr>
          <w:ilvl w:val="0"/>
          <w:numId w:val="50"/>
        </w:numPr>
        <w:spacing w:after="0" w:line="276" w:lineRule="auto"/>
        <w:ind w:left="567" w:hanging="283"/>
        <w:contextualSpacing w:val="0"/>
        <w:jc w:val="both"/>
        <w:rPr>
          <w:rFonts w:ascii="Book Antiqua" w:hAnsi="Book Antiqua"/>
          <w:b/>
          <w:bCs/>
          <w:sz w:val="20"/>
          <w:szCs w:val="20"/>
          <w:lang w:val="en"/>
        </w:rPr>
      </w:pPr>
      <w:bookmarkStart w:id="128" w:name="_6uwv75x0a6w3" w:colFirst="0" w:colLast="0"/>
      <w:bookmarkEnd w:id="128"/>
      <w:r w:rsidRPr="006810DB">
        <w:rPr>
          <w:rFonts w:ascii="Book Antiqua" w:hAnsi="Book Antiqua"/>
          <w:b/>
          <w:bCs/>
          <w:sz w:val="20"/>
          <w:szCs w:val="20"/>
          <w:lang w:val="en"/>
        </w:rPr>
        <w:t>Standarisasi Waktu Pencapaian Fase Puncak Mukositis</w:t>
      </w:r>
    </w:p>
    <w:p w14:paraId="657BE312"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Mukositis adalah proses dinamis yang berkembang seiring waktu. Keparahan lesi tidak statis; ia meningkat dari hari-hari awal setelah kemoterapi, mencapai puncaknya, dan kemudian secara bertahap memasuki fase penyembuhan. Untuk membandingkan efek suatu terapi secara akurat, sangat penting untuk mengevaluasi semua hewan pada titik waktu patologis yang sama, idealnya pada fase puncak keparahan mukositis (Leitao et al., 2012).</w:t>
      </w:r>
    </w:p>
    <w:p w14:paraId="5CC3285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Untuk menentukan hari puncak ini, studi percontohan (</w:t>
      </w:r>
      <w:r w:rsidRPr="006810DB">
        <w:rPr>
          <w:rFonts w:ascii="Book Antiqua" w:hAnsi="Book Antiqua"/>
          <w:i/>
          <w:iCs/>
          <w:sz w:val="20"/>
          <w:szCs w:val="20"/>
          <w:lang w:val="en"/>
        </w:rPr>
        <w:t>pilot study</w:t>
      </w:r>
      <w:r w:rsidRPr="006810DB">
        <w:rPr>
          <w:rFonts w:ascii="Book Antiqua" w:hAnsi="Book Antiqua"/>
          <w:sz w:val="20"/>
          <w:szCs w:val="20"/>
          <w:lang w:val="en"/>
        </w:rPr>
        <w:t>) atau studi perjalanan waktu (</w:t>
      </w:r>
      <w:r w:rsidRPr="006810DB">
        <w:rPr>
          <w:rFonts w:ascii="Book Antiqua" w:hAnsi="Book Antiqua"/>
          <w:i/>
          <w:iCs/>
          <w:sz w:val="20"/>
          <w:szCs w:val="20"/>
          <w:lang w:val="en"/>
        </w:rPr>
        <w:t>time-course</w:t>
      </w:r>
      <w:r w:rsidRPr="006810DB">
        <w:rPr>
          <w:rFonts w:ascii="Book Antiqua" w:hAnsi="Book Antiqua"/>
          <w:sz w:val="20"/>
          <w:szCs w:val="20"/>
          <w:lang w:val="en"/>
        </w:rPr>
        <w:t xml:space="preserve">) harus dilakukan. Dalam studi ini, kelompok-kelompok kecil hewan diinduksi dengan mukositis dan dieutanasia pada hari-hari yang berbeda secara berurutan (misalnya, hari ke 5, 7, 9, 11 setelah injeksi cisplatin). Skor makroskopis dan analisis </w:t>
      </w:r>
      <w:r w:rsidRPr="006810DB">
        <w:rPr>
          <w:rFonts w:ascii="Book Antiqua" w:hAnsi="Book Antiqua"/>
          <w:sz w:val="20"/>
          <w:szCs w:val="20"/>
          <w:lang w:val="en"/>
        </w:rPr>
        <w:lastRenderedPageBreak/>
        <w:t>histopatologis pada setiap titik waktu akan mengungkapkan kapan tingkat kerusakan jaringan mencapai maksimum. Setelah hari puncak ini diidentifikasi (misalnya, hari ke-9), maka hari tersebut dapat distandarisasi sebagai titik akhir untuk semua hewan dalam studi utama, memastikan bahwa perbandingan antar kelompok dilakukan pada saat tantangan patologis terbesar.</w:t>
      </w:r>
    </w:p>
    <w:p w14:paraId="1F272DBE" w14:textId="77777777" w:rsidR="00504B56" w:rsidRPr="006810DB" w:rsidRDefault="00504B56" w:rsidP="006810DB">
      <w:pPr>
        <w:spacing w:after="0" w:line="276" w:lineRule="auto"/>
        <w:jc w:val="both"/>
        <w:rPr>
          <w:rFonts w:ascii="Book Antiqua" w:hAnsi="Book Antiqua"/>
          <w:b/>
          <w:bCs/>
          <w:sz w:val="20"/>
          <w:szCs w:val="20"/>
          <w:lang w:val="en"/>
        </w:rPr>
      </w:pPr>
      <w:bookmarkStart w:id="129" w:name="_xtrks6ej4dwg" w:colFirst="0" w:colLast="0"/>
      <w:bookmarkEnd w:id="129"/>
    </w:p>
    <w:p w14:paraId="3A1E8A0E" w14:textId="77777777" w:rsidR="00D51341" w:rsidRPr="006810DB" w:rsidRDefault="00D51341" w:rsidP="006810DB">
      <w:pPr>
        <w:spacing w:line="276" w:lineRule="auto"/>
        <w:rPr>
          <w:rFonts w:ascii="Book Antiqua" w:eastAsiaTheme="majorEastAsia" w:hAnsi="Book Antiqua" w:cstheme="majorBidi"/>
          <w:b/>
          <w:color w:val="000000" w:themeColor="text1"/>
          <w:sz w:val="20"/>
          <w:szCs w:val="26"/>
          <w:lang w:val="zh-CN"/>
        </w:rPr>
      </w:pPr>
      <w:r w:rsidRPr="006810DB">
        <w:rPr>
          <w:rFonts w:ascii="Book Antiqua" w:hAnsi="Book Antiqua"/>
        </w:rPr>
        <w:br w:type="page"/>
      </w:r>
    </w:p>
    <w:p w14:paraId="45EE9227" w14:textId="41DF99DD" w:rsidR="00B258B7" w:rsidRPr="006810DB" w:rsidRDefault="00B258B7" w:rsidP="006810DB">
      <w:pPr>
        <w:pStyle w:val="Heading2"/>
        <w:jc w:val="center"/>
        <w:rPr>
          <w:b w:val="0"/>
          <w:bCs/>
          <w:szCs w:val="20"/>
          <w:lang w:val="en"/>
        </w:rPr>
      </w:pPr>
      <w:bookmarkStart w:id="130" w:name="_Toc223088896"/>
      <w:r w:rsidRPr="006810DB">
        <w:rPr>
          <w:highlight w:val="yellow"/>
        </w:rPr>
        <w:lastRenderedPageBreak/>
        <w:t>KESIMPULAN</w:t>
      </w:r>
      <w:bookmarkEnd w:id="130"/>
    </w:p>
    <w:p w14:paraId="50C578D3" w14:textId="47E73192" w:rsidR="002B0035" w:rsidRPr="006810DB" w:rsidRDefault="002B0035" w:rsidP="006810DB">
      <w:pPr>
        <w:spacing w:after="0" w:line="276" w:lineRule="auto"/>
        <w:jc w:val="both"/>
        <w:rPr>
          <w:rFonts w:ascii="Book Antiqua" w:hAnsi="Book Antiqua"/>
          <w:b/>
          <w:bCs/>
          <w:sz w:val="20"/>
          <w:szCs w:val="20"/>
          <w:lang w:val="en"/>
        </w:rPr>
      </w:pPr>
      <w:bookmarkStart w:id="131" w:name="_x9bww6vul3du" w:colFirst="0" w:colLast="0"/>
      <w:bookmarkEnd w:id="131"/>
    </w:p>
    <w:p w14:paraId="0B65815D" w14:textId="77777777" w:rsidR="00D51341" w:rsidRPr="006810DB" w:rsidRDefault="00D51341" w:rsidP="006810DB">
      <w:pPr>
        <w:spacing w:after="0" w:line="276" w:lineRule="auto"/>
        <w:jc w:val="both"/>
        <w:rPr>
          <w:rFonts w:ascii="Book Antiqua" w:hAnsi="Book Antiqua"/>
          <w:b/>
          <w:bCs/>
          <w:sz w:val="20"/>
          <w:szCs w:val="20"/>
          <w:lang w:val="en"/>
        </w:rPr>
      </w:pPr>
    </w:p>
    <w:p w14:paraId="479B057B" w14:textId="77777777" w:rsidR="00D51341" w:rsidRPr="006810DB" w:rsidRDefault="00D51341" w:rsidP="006810DB">
      <w:pPr>
        <w:spacing w:line="276" w:lineRule="auto"/>
        <w:rPr>
          <w:rFonts w:ascii="Book Antiqua" w:eastAsiaTheme="majorEastAsia" w:hAnsi="Book Antiqua" w:cstheme="majorBidi"/>
          <w:b/>
          <w:bCs/>
          <w:color w:val="000000" w:themeColor="text1"/>
          <w:sz w:val="20"/>
          <w:szCs w:val="20"/>
          <w:lang w:val="en"/>
        </w:rPr>
      </w:pPr>
      <w:r w:rsidRPr="006810DB">
        <w:rPr>
          <w:rFonts w:ascii="Book Antiqua" w:hAnsi="Book Antiqua"/>
          <w:bCs/>
          <w:szCs w:val="20"/>
          <w:lang w:val="en"/>
        </w:rPr>
        <w:br w:type="page"/>
      </w:r>
    </w:p>
    <w:p w14:paraId="67E05A7D" w14:textId="77777777" w:rsidR="00824155" w:rsidRPr="006810DB" w:rsidRDefault="00824155" w:rsidP="00824155">
      <w:pPr>
        <w:pStyle w:val="Heading2"/>
        <w:jc w:val="center"/>
        <w:rPr>
          <w:b w:val="0"/>
          <w:bCs/>
          <w:szCs w:val="20"/>
          <w:lang w:val="en"/>
        </w:rPr>
      </w:pPr>
      <w:bookmarkStart w:id="132" w:name="_Toc223088897"/>
      <w:r w:rsidRPr="006810DB">
        <w:rPr>
          <w:bCs/>
          <w:szCs w:val="20"/>
          <w:highlight w:val="yellow"/>
          <w:lang w:val="en"/>
        </w:rPr>
        <w:lastRenderedPageBreak/>
        <w:t>GLOSARIUM</w:t>
      </w:r>
      <w:bookmarkEnd w:id="132"/>
    </w:p>
    <w:p w14:paraId="24FC667F" w14:textId="77777777" w:rsidR="00824155" w:rsidRPr="006810DB" w:rsidRDefault="00824155" w:rsidP="00824155">
      <w:pPr>
        <w:spacing w:after="0" w:line="276" w:lineRule="auto"/>
        <w:jc w:val="both"/>
        <w:rPr>
          <w:rFonts w:ascii="Book Antiqua" w:hAnsi="Book Antiqua"/>
          <w:b/>
          <w:bCs/>
          <w:sz w:val="20"/>
          <w:szCs w:val="20"/>
          <w:lang w:val="en"/>
        </w:rPr>
      </w:pPr>
    </w:p>
    <w:p w14:paraId="01F4DDFF" w14:textId="77777777" w:rsidR="00824155" w:rsidRPr="006810DB" w:rsidRDefault="00824155" w:rsidP="00824155">
      <w:pPr>
        <w:spacing w:after="0" w:line="276" w:lineRule="auto"/>
        <w:jc w:val="both"/>
        <w:rPr>
          <w:rFonts w:ascii="Book Antiqua" w:hAnsi="Book Antiqua"/>
          <w:b/>
          <w:bCs/>
          <w:sz w:val="20"/>
          <w:szCs w:val="20"/>
          <w:lang w:val="en"/>
        </w:rPr>
      </w:pPr>
    </w:p>
    <w:p w14:paraId="29F53A88" w14:textId="77777777" w:rsidR="00824155" w:rsidRPr="006810DB" w:rsidRDefault="00824155" w:rsidP="00824155">
      <w:pPr>
        <w:spacing w:line="276" w:lineRule="auto"/>
        <w:rPr>
          <w:rFonts w:ascii="Book Antiqua" w:hAnsi="Book Antiqua"/>
          <w:b/>
          <w:bCs/>
          <w:sz w:val="20"/>
          <w:szCs w:val="20"/>
          <w:lang w:val="en"/>
        </w:rPr>
      </w:pPr>
      <w:bookmarkStart w:id="133" w:name="_wiylhffoqy14" w:colFirst="0" w:colLast="0"/>
      <w:bookmarkEnd w:id="133"/>
      <w:r w:rsidRPr="006810DB">
        <w:rPr>
          <w:rFonts w:ascii="Book Antiqua" w:hAnsi="Book Antiqua"/>
          <w:b/>
          <w:bCs/>
          <w:sz w:val="20"/>
          <w:szCs w:val="20"/>
          <w:lang w:val="en"/>
        </w:rPr>
        <w:br w:type="page"/>
      </w:r>
    </w:p>
    <w:p w14:paraId="5D37B752" w14:textId="77777777" w:rsidR="006D3DC3" w:rsidRPr="006810DB" w:rsidRDefault="006D3DC3" w:rsidP="006810DB">
      <w:pPr>
        <w:pStyle w:val="Heading2"/>
        <w:jc w:val="center"/>
      </w:pPr>
      <w:bookmarkStart w:id="134" w:name="_Toc223088898"/>
      <w:r w:rsidRPr="006810DB">
        <w:lastRenderedPageBreak/>
        <w:t>DAFTAR PUSTAKA</w:t>
      </w:r>
      <w:bookmarkEnd w:id="134"/>
    </w:p>
    <w:p w14:paraId="3D809E7B" w14:textId="77777777" w:rsidR="006D3DC3" w:rsidRPr="006810DB" w:rsidRDefault="006D3DC3" w:rsidP="006810DB">
      <w:pPr>
        <w:spacing w:after="0" w:line="276" w:lineRule="auto"/>
        <w:jc w:val="both"/>
        <w:rPr>
          <w:rFonts w:ascii="Book Antiqua" w:hAnsi="Book Antiqua"/>
          <w:b/>
          <w:bCs/>
          <w:sz w:val="20"/>
          <w:szCs w:val="20"/>
          <w:lang w:val="en"/>
        </w:rPr>
      </w:pPr>
    </w:p>
    <w:p w14:paraId="0A4C986C"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Clark, K. L., Wiles, J. A., &amp; Hickman, D. L. (2021). A review of the justification for humane endpoints. </w:t>
      </w:r>
      <w:r w:rsidRPr="006810DB">
        <w:rPr>
          <w:rFonts w:ascii="Book Antiqua" w:hAnsi="Book Antiqua"/>
          <w:i/>
          <w:iCs/>
          <w:color w:val="000000" w:themeColor="text1"/>
          <w:sz w:val="20"/>
          <w:szCs w:val="20"/>
          <w:lang w:val="en"/>
        </w:rPr>
        <w:t>Animal Models and Experimental Medicine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4</w:t>
      </w:r>
      <w:r w:rsidRPr="006810DB">
        <w:rPr>
          <w:rFonts w:ascii="Book Antiqua" w:hAnsi="Book Antiqua"/>
          <w:color w:val="000000" w:themeColor="text1"/>
          <w:sz w:val="20"/>
          <w:szCs w:val="20"/>
          <w:lang w:val="en"/>
        </w:rPr>
        <w:t>(2), 99–108.</w:t>
      </w:r>
      <w:hyperlink r:id="rId107">
        <w:r w:rsidRPr="006810DB">
          <w:rPr>
            <w:rStyle w:val="Hyperlink"/>
            <w:rFonts w:ascii="Book Antiqua" w:hAnsi="Book Antiqua"/>
            <w:color w:val="000000" w:themeColor="text1"/>
            <w:sz w:val="20"/>
            <w:szCs w:val="20"/>
            <w:u w:val="none"/>
            <w:lang w:val="en"/>
          </w:rPr>
          <w:t xml:space="preserve"> </w:t>
        </w:r>
      </w:hyperlink>
      <w:hyperlink r:id="rId108">
        <w:r w:rsidRPr="006810DB">
          <w:rPr>
            <w:rStyle w:val="Hyperlink"/>
            <w:rFonts w:ascii="Book Antiqua" w:hAnsi="Book Antiqua"/>
            <w:color w:val="000000" w:themeColor="text1"/>
            <w:sz w:val="20"/>
            <w:szCs w:val="20"/>
            <w:u w:val="none"/>
            <w:lang w:val="en"/>
          </w:rPr>
          <w:t>https://doi.org/10.1002/ame2.12166</w:t>
        </w:r>
      </w:hyperlink>
    </w:p>
    <w:p w14:paraId="37802281"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Festing, M. F. W. (2010). The “problem” of variability in animal experiments. </w:t>
      </w:r>
      <w:r w:rsidRPr="006810DB">
        <w:rPr>
          <w:rFonts w:ascii="Book Antiqua" w:hAnsi="Book Antiqua"/>
          <w:i/>
          <w:iCs/>
          <w:color w:val="000000" w:themeColor="text1"/>
          <w:sz w:val="20"/>
          <w:szCs w:val="20"/>
          <w:lang w:val="en"/>
        </w:rPr>
        <w:t>ILAR Journal</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51</w:t>
      </w:r>
      <w:r w:rsidRPr="006810DB">
        <w:rPr>
          <w:rFonts w:ascii="Book Antiqua" w:hAnsi="Book Antiqua"/>
          <w:color w:val="000000" w:themeColor="text1"/>
          <w:sz w:val="20"/>
          <w:szCs w:val="20"/>
          <w:lang w:val="en"/>
        </w:rPr>
        <w:t>(4), 342-350.</w:t>
      </w:r>
      <w:hyperlink r:id="rId109">
        <w:r w:rsidRPr="006810DB">
          <w:rPr>
            <w:rStyle w:val="Hyperlink"/>
            <w:rFonts w:ascii="Book Antiqua" w:hAnsi="Book Antiqua"/>
            <w:color w:val="000000" w:themeColor="text1"/>
            <w:sz w:val="20"/>
            <w:szCs w:val="20"/>
            <w:u w:val="none"/>
            <w:lang w:val="en"/>
          </w:rPr>
          <w:t xml:space="preserve"> </w:t>
        </w:r>
      </w:hyperlink>
      <w:hyperlink r:id="rId110">
        <w:r w:rsidRPr="006810DB">
          <w:rPr>
            <w:rStyle w:val="Hyperlink"/>
            <w:rFonts w:ascii="Book Antiqua" w:hAnsi="Book Antiqua"/>
            <w:color w:val="000000" w:themeColor="text1"/>
            <w:sz w:val="20"/>
            <w:szCs w:val="20"/>
            <w:u w:val="none"/>
            <w:lang w:val="en"/>
          </w:rPr>
          <w:t>https://doi.org/10.1093/ilar.51.4.342</w:t>
        </w:r>
      </w:hyperlink>
    </w:p>
    <w:p w14:paraId="49B87C57"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Kadarullah, O., Tamtomo, D., Wasita, B., Setiamika, M., Prayitno, A., Widyaningsih, V., &amp; Soetrisno, S. (2024). Cisplatin-Induced Oral Mucositis Prevention: Nigella sativa’s Anti-Inflammatory Role through NFκB Pathway. </w:t>
      </w:r>
      <w:r w:rsidRPr="006810DB">
        <w:rPr>
          <w:rFonts w:ascii="Book Antiqua" w:hAnsi="Book Antiqua"/>
          <w:i/>
          <w:iCs/>
          <w:color w:val="000000" w:themeColor="text1"/>
          <w:sz w:val="20"/>
          <w:szCs w:val="20"/>
          <w:lang w:val="en"/>
        </w:rPr>
        <w:t>Trends in Sciences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21</w:t>
      </w:r>
      <w:r w:rsidRPr="006810DB">
        <w:rPr>
          <w:rFonts w:ascii="Book Antiqua" w:hAnsi="Book Antiqua"/>
          <w:color w:val="000000" w:themeColor="text1"/>
          <w:sz w:val="20"/>
          <w:szCs w:val="20"/>
          <w:lang w:val="en"/>
        </w:rPr>
        <w:t>(1), 8105.</w:t>
      </w:r>
      <w:hyperlink r:id="rId111">
        <w:r w:rsidRPr="006810DB">
          <w:rPr>
            <w:rStyle w:val="Hyperlink"/>
            <w:rFonts w:ascii="Book Antiqua" w:hAnsi="Book Antiqua"/>
            <w:color w:val="000000" w:themeColor="text1"/>
            <w:sz w:val="20"/>
            <w:szCs w:val="20"/>
            <w:u w:val="none"/>
            <w:lang w:val="en"/>
          </w:rPr>
          <w:t xml:space="preserve"> </w:t>
        </w:r>
      </w:hyperlink>
      <w:hyperlink r:id="rId112">
        <w:r w:rsidRPr="006810DB">
          <w:rPr>
            <w:rStyle w:val="Hyperlink"/>
            <w:rFonts w:ascii="Book Antiqua" w:hAnsi="Book Antiqua"/>
            <w:color w:val="000000" w:themeColor="text1"/>
            <w:sz w:val="20"/>
            <w:szCs w:val="20"/>
            <w:u w:val="none"/>
            <w:lang w:val="en"/>
          </w:rPr>
          <w:t>https://doi.org/10.48048/tis.2024.8105</w:t>
        </w:r>
      </w:hyperlink>
    </w:p>
    <w:p w14:paraId="4586E867"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Kazemi, S., Moghadamnia, A., Saebnouri, H., Roudsari, S., &amp; Afraz, E. (2022). Effect of intraperitoneal injection of Nigella sativa oil on 5-fluorouracil-induced oral mucositis in rats. </w:t>
      </w:r>
      <w:r w:rsidRPr="006810DB">
        <w:rPr>
          <w:rFonts w:ascii="Book Antiqua" w:hAnsi="Book Antiqua"/>
          <w:i/>
          <w:iCs/>
          <w:color w:val="000000" w:themeColor="text1"/>
          <w:sz w:val="20"/>
          <w:szCs w:val="20"/>
          <w:lang w:val="en"/>
        </w:rPr>
        <w:t>Journal of Biological Studies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w:t>
      </w:r>
      <w:r w:rsidRPr="006810DB">
        <w:rPr>
          <w:rFonts w:ascii="Book Antiqua" w:hAnsi="Book Antiqua"/>
          <w:color w:val="000000" w:themeColor="text1"/>
          <w:sz w:val="20"/>
          <w:szCs w:val="20"/>
          <w:lang w:val="en"/>
        </w:rPr>
        <w:t>(1), 6365.</w:t>
      </w:r>
      <w:hyperlink r:id="rId113">
        <w:r w:rsidRPr="006810DB">
          <w:rPr>
            <w:rStyle w:val="Hyperlink"/>
            <w:rFonts w:ascii="Book Antiqua" w:hAnsi="Book Antiqua"/>
            <w:color w:val="000000" w:themeColor="text1"/>
            <w:sz w:val="20"/>
            <w:szCs w:val="20"/>
            <w:u w:val="none"/>
            <w:lang w:val="en"/>
          </w:rPr>
          <w:t xml:space="preserve"> </w:t>
        </w:r>
      </w:hyperlink>
      <w:hyperlink r:id="rId114">
        <w:r w:rsidRPr="006810DB">
          <w:rPr>
            <w:rStyle w:val="Hyperlink"/>
            <w:rFonts w:ascii="Book Antiqua" w:hAnsi="Book Antiqua"/>
            <w:color w:val="000000" w:themeColor="text1"/>
            <w:sz w:val="20"/>
            <w:szCs w:val="20"/>
            <w:u w:val="none"/>
            <w:lang w:val="en"/>
          </w:rPr>
          <w:t>https://doi.org/10.62400/jbs.v5i1.6365</w:t>
        </w:r>
      </w:hyperlink>
    </w:p>
    <w:p w14:paraId="638E863E"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Leitao, R. F. C., Brito, G. A. C., &amp; Cunha, F. Q. (2012). The development of an experimental model of oral mucositis in mice. In </w:t>
      </w:r>
      <w:r w:rsidRPr="006810DB">
        <w:rPr>
          <w:rFonts w:ascii="Book Antiqua" w:hAnsi="Book Antiqua"/>
          <w:i/>
          <w:iCs/>
          <w:color w:val="000000" w:themeColor="text1"/>
          <w:sz w:val="20"/>
          <w:szCs w:val="20"/>
          <w:lang w:val="en"/>
        </w:rPr>
        <w:t>Oral Mucositis</w:t>
      </w:r>
      <w:r w:rsidRPr="006810DB">
        <w:rPr>
          <w:rFonts w:ascii="Book Antiqua" w:hAnsi="Book Antiqua"/>
          <w:color w:val="000000" w:themeColor="text1"/>
          <w:sz w:val="20"/>
          <w:szCs w:val="20"/>
          <w:lang w:val="en"/>
        </w:rPr>
        <w:t xml:space="preserve"> (pp. 11-20). Springer, Vienna.</w:t>
      </w:r>
      <w:hyperlink r:id="rId115">
        <w:r w:rsidRPr="006810DB">
          <w:rPr>
            <w:rStyle w:val="Hyperlink"/>
            <w:rFonts w:ascii="Book Antiqua" w:hAnsi="Book Antiqua"/>
            <w:color w:val="000000" w:themeColor="text1"/>
            <w:sz w:val="20"/>
            <w:szCs w:val="20"/>
            <w:u w:val="none"/>
            <w:lang w:val="en"/>
          </w:rPr>
          <w:t xml:space="preserve"> </w:t>
        </w:r>
      </w:hyperlink>
      <w:hyperlink r:id="rId116">
        <w:r w:rsidRPr="006810DB">
          <w:rPr>
            <w:rStyle w:val="Hyperlink"/>
            <w:rFonts w:ascii="Book Antiqua" w:hAnsi="Book Antiqua"/>
            <w:color w:val="000000" w:themeColor="text1"/>
            <w:sz w:val="20"/>
            <w:szCs w:val="20"/>
            <w:u w:val="none"/>
            <w:lang w:val="en"/>
          </w:rPr>
          <w:t>https://doi.org/10.1007/978-3-7091-1082-6_2</w:t>
        </w:r>
      </w:hyperlink>
    </w:p>
    <w:p w14:paraId="6DC0D5A8"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Lopes, N. N. F., Plapler, H., Lalla, R. V., Chavantes, M. C., &amp; Yoshimura, E. M. (2010). A new animal model for chemotherapy-induced oral mucositis. </w:t>
      </w:r>
      <w:r w:rsidRPr="006810DB">
        <w:rPr>
          <w:rFonts w:ascii="Book Antiqua" w:hAnsi="Book Antiqua"/>
          <w:i/>
          <w:iCs/>
          <w:color w:val="000000" w:themeColor="text1"/>
          <w:sz w:val="20"/>
          <w:szCs w:val="20"/>
          <w:lang w:val="en"/>
        </w:rPr>
        <w:t>The Open Pathology Journal</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4</w:t>
      </w:r>
      <w:r w:rsidRPr="006810DB">
        <w:rPr>
          <w:rFonts w:ascii="Book Antiqua" w:hAnsi="Book Antiqua"/>
          <w:color w:val="000000" w:themeColor="text1"/>
          <w:sz w:val="20"/>
          <w:szCs w:val="20"/>
          <w:lang w:val="en"/>
        </w:rPr>
        <w:t>, 99-105.</w:t>
      </w:r>
      <w:hyperlink r:id="rId117">
        <w:r w:rsidRPr="006810DB">
          <w:rPr>
            <w:rStyle w:val="Hyperlink"/>
            <w:rFonts w:ascii="Book Antiqua" w:hAnsi="Book Antiqua"/>
            <w:color w:val="000000" w:themeColor="text1"/>
            <w:sz w:val="20"/>
            <w:szCs w:val="20"/>
            <w:u w:val="none"/>
            <w:lang w:val="en"/>
          </w:rPr>
          <w:t xml:space="preserve"> </w:t>
        </w:r>
      </w:hyperlink>
      <w:hyperlink r:id="rId118">
        <w:r w:rsidRPr="006810DB">
          <w:rPr>
            <w:rStyle w:val="Hyperlink"/>
            <w:rFonts w:ascii="Book Antiqua" w:hAnsi="Book Antiqua"/>
            <w:color w:val="000000" w:themeColor="text1"/>
            <w:sz w:val="20"/>
            <w:szCs w:val="20"/>
            <w:u w:val="none"/>
            <w:lang w:val="en"/>
          </w:rPr>
          <w:t>https://doi.org/10.2174/1874375701004010099</w:t>
        </w:r>
      </w:hyperlink>
    </w:p>
    <w:p w14:paraId="19D185C5"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Russell, W. M. S., &amp; Burch, R. L. (1959). </w:t>
      </w:r>
      <w:r w:rsidRPr="006810DB">
        <w:rPr>
          <w:rFonts w:ascii="Book Antiqua" w:hAnsi="Book Antiqua"/>
          <w:i/>
          <w:iCs/>
          <w:color w:val="000000" w:themeColor="text1"/>
          <w:sz w:val="20"/>
          <w:szCs w:val="20"/>
          <w:lang w:val="en"/>
        </w:rPr>
        <w:t>The Principles of Humane Experimental Technique</w:t>
      </w:r>
      <w:r w:rsidRPr="006810DB">
        <w:rPr>
          <w:rFonts w:ascii="Book Antiqua" w:hAnsi="Book Antiqua"/>
          <w:color w:val="000000" w:themeColor="text1"/>
          <w:sz w:val="20"/>
          <w:szCs w:val="20"/>
          <w:lang w:val="en"/>
        </w:rPr>
        <w:t>. Methuen.</w:t>
      </w:r>
    </w:p>
    <w:p w14:paraId="1605943C"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Sonis, S. T., Clark, J., Schmults, C., L-Dok, J., &amp; Andre, M. (2009). A standardized regimen for inducing oral mucositis in hamsters. </w:t>
      </w:r>
      <w:r w:rsidRPr="006810DB">
        <w:rPr>
          <w:rFonts w:ascii="Book Antiqua" w:hAnsi="Book Antiqua"/>
          <w:i/>
          <w:iCs/>
          <w:color w:val="000000" w:themeColor="text1"/>
          <w:sz w:val="20"/>
          <w:szCs w:val="20"/>
          <w:lang w:val="en"/>
        </w:rPr>
        <w:t xml:space="preserve">Oral Surgery, Oral Medicine, Oral Pathology, Oral </w:t>
      </w:r>
      <w:r w:rsidRPr="006810DB">
        <w:rPr>
          <w:rFonts w:ascii="Book Antiqua" w:hAnsi="Book Antiqua"/>
          <w:i/>
          <w:iCs/>
          <w:color w:val="000000" w:themeColor="text1"/>
          <w:sz w:val="20"/>
          <w:szCs w:val="20"/>
          <w:lang w:val="en"/>
        </w:rPr>
        <w:lastRenderedPageBreak/>
        <w:t>Radiology, and Endodontology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107</w:t>
      </w:r>
      <w:r w:rsidRPr="006810DB">
        <w:rPr>
          <w:rFonts w:ascii="Book Antiqua" w:hAnsi="Book Antiqua"/>
          <w:color w:val="000000" w:themeColor="text1"/>
          <w:sz w:val="20"/>
          <w:szCs w:val="20"/>
          <w:lang w:val="en"/>
        </w:rPr>
        <w:t>(2), 223-228.</w:t>
      </w:r>
      <w:hyperlink r:id="rId119">
        <w:r w:rsidRPr="006810DB">
          <w:rPr>
            <w:rStyle w:val="Hyperlink"/>
            <w:rFonts w:ascii="Book Antiqua" w:hAnsi="Book Antiqua"/>
            <w:color w:val="000000" w:themeColor="text1"/>
            <w:sz w:val="20"/>
            <w:szCs w:val="20"/>
            <w:u w:val="none"/>
            <w:lang w:val="en"/>
          </w:rPr>
          <w:t xml:space="preserve"> </w:t>
        </w:r>
      </w:hyperlink>
      <w:hyperlink r:id="rId120">
        <w:r w:rsidRPr="006810DB">
          <w:rPr>
            <w:rStyle w:val="Hyperlink"/>
            <w:rFonts w:ascii="Book Antiqua" w:hAnsi="Book Antiqua"/>
            <w:color w:val="000000" w:themeColor="text1"/>
            <w:sz w:val="20"/>
            <w:szCs w:val="20"/>
            <w:u w:val="none"/>
            <w:lang w:val="en"/>
          </w:rPr>
          <w:t>https://doi.org/10.1016/j.tripleo.2008.09.006</w:t>
        </w:r>
      </w:hyperlink>
    </w:p>
    <w:p w14:paraId="6F148814"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Sukmasari, S., Widodo, A. D., &amp; Purwanto, B. (2020). The comparison of Wistar and Sprague-Dawley rat strains as an animal model for cisplatin-induced nephrotoxicity study. </w:t>
      </w:r>
      <w:r w:rsidRPr="006810DB">
        <w:rPr>
          <w:rFonts w:ascii="Book Antiqua" w:hAnsi="Book Antiqua"/>
          <w:i/>
          <w:iCs/>
          <w:color w:val="000000" w:themeColor="text1"/>
          <w:sz w:val="20"/>
          <w:szCs w:val="20"/>
          <w:lang w:val="en"/>
        </w:rPr>
        <w:t>Journal of Applied Pharmaceutical Science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w:t>
      </w:r>
      <w:r w:rsidRPr="006810DB">
        <w:rPr>
          <w:rFonts w:ascii="Book Antiqua" w:hAnsi="Book Antiqua"/>
          <w:color w:val="000000" w:themeColor="text1"/>
          <w:sz w:val="20"/>
          <w:szCs w:val="20"/>
          <w:lang w:val="en"/>
        </w:rPr>
        <w:t>(11), 164-169.</w:t>
      </w:r>
      <w:hyperlink r:id="rId121">
        <w:r w:rsidRPr="006810DB">
          <w:rPr>
            <w:rStyle w:val="Hyperlink"/>
            <w:rFonts w:ascii="Book Antiqua" w:hAnsi="Book Antiqua"/>
            <w:color w:val="000000" w:themeColor="text1"/>
            <w:sz w:val="20"/>
            <w:szCs w:val="20"/>
            <w:u w:val="none"/>
            <w:lang w:val="en"/>
          </w:rPr>
          <w:t xml:space="preserve"> </w:t>
        </w:r>
      </w:hyperlink>
      <w:hyperlink r:id="rId122">
        <w:r w:rsidRPr="006810DB">
          <w:rPr>
            <w:rStyle w:val="Hyperlink"/>
            <w:rFonts w:ascii="Book Antiqua" w:hAnsi="Book Antiqua"/>
            <w:color w:val="000000" w:themeColor="text1"/>
            <w:sz w:val="20"/>
            <w:szCs w:val="20"/>
            <w:u w:val="none"/>
            <w:lang w:val="en"/>
          </w:rPr>
          <w:t>https://doi.org/10.7324/JAPS.2020.101119</w:t>
        </w:r>
      </w:hyperlink>
    </w:p>
    <w:p w14:paraId="01B54FA5"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Turner, P. V., Brabb, T., Pekow, C., &amp; Vasbinder, M. A. (2011). Administration of substances to laboratory animals: routes of administration and factors to consider. </w:t>
      </w:r>
      <w:r w:rsidRPr="006810DB">
        <w:rPr>
          <w:rFonts w:ascii="Book Antiqua" w:hAnsi="Book Antiqua"/>
          <w:i/>
          <w:iCs/>
          <w:color w:val="000000" w:themeColor="text1"/>
          <w:sz w:val="20"/>
          <w:szCs w:val="20"/>
          <w:lang w:val="en"/>
        </w:rPr>
        <w:t>Journal of the American Association for Laboratory Animal Science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50</w:t>
      </w:r>
      <w:r w:rsidRPr="006810DB">
        <w:rPr>
          <w:rFonts w:ascii="Book Antiqua" w:hAnsi="Book Antiqua"/>
          <w:color w:val="000000" w:themeColor="text1"/>
          <w:sz w:val="20"/>
          <w:szCs w:val="20"/>
          <w:lang w:val="en"/>
        </w:rPr>
        <w:t>(5), 600-613.</w:t>
      </w:r>
    </w:p>
    <w:p w14:paraId="23BD2178"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Whittaker, A. L., Lymn, K. A., &amp; Howarth, G. S. (2021). A review of the methodology of animal models of cancer therapy-induced gastrointestinal mucositis. </w:t>
      </w:r>
      <w:r w:rsidRPr="006810DB">
        <w:rPr>
          <w:rFonts w:ascii="Book Antiqua" w:hAnsi="Book Antiqua"/>
          <w:i/>
          <w:iCs/>
          <w:color w:val="000000" w:themeColor="text1"/>
          <w:sz w:val="20"/>
          <w:szCs w:val="20"/>
          <w:lang w:val="en"/>
        </w:rPr>
        <w:t>Frontiers in Oncology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11</w:t>
      </w:r>
      <w:r w:rsidRPr="006810DB">
        <w:rPr>
          <w:rFonts w:ascii="Book Antiqua" w:hAnsi="Book Antiqua"/>
          <w:color w:val="000000" w:themeColor="text1"/>
          <w:sz w:val="20"/>
          <w:szCs w:val="20"/>
          <w:lang w:val="en"/>
        </w:rPr>
        <w:t>, 645166.</w:t>
      </w:r>
      <w:hyperlink r:id="rId123">
        <w:r w:rsidRPr="006810DB">
          <w:rPr>
            <w:rStyle w:val="Hyperlink"/>
            <w:rFonts w:ascii="Book Antiqua" w:hAnsi="Book Antiqua"/>
            <w:color w:val="000000" w:themeColor="text1"/>
            <w:sz w:val="20"/>
            <w:szCs w:val="20"/>
            <w:u w:val="none"/>
            <w:lang w:val="en"/>
          </w:rPr>
          <w:t xml:space="preserve"> </w:t>
        </w:r>
      </w:hyperlink>
      <w:hyperlink r:id="rId124">
        <w:r w:rsidRPr="006810DB">
          <w:rPr>
            <w:rStyle w:val="Hyperlink"/>
            <w:rFonts w:ascii="Book Antiqua" w:hAnsi="Book Antiqua"/>
            <w:color w:val="000000" w:themeColor="text1"/>
            <w:sz w:val="20"/>
            <w:szCs w:val="20"/>
            <w:u w:val="none"/>
            <w:lang w:val="en"/>
          </w:rPr>
          <w:t>https://doi.org/10.3389/fonc.2021.645166</w:t>
        </w:r>
      </w:hyperlink>
    </w:p>
    <w:p w14:paraId="29B9B8BD" w14:textId="77777777" w:rsidR="006D3DC3" w:rsidRPr="006810DB" w:rsidRDefault="006D3DC3" w:rsidP="006810DB">
      <w:pPr>
        <w:spacing w:after="0" w:line="276" w:lineRule="auto"/>
        <w:jc w:val="both"/>
        <w:rPr>
          <w:rFonts w:ascii="Book Antiqua" w:hAnsi="Book Antiqua"/>
          <w:b/>
          <w:bCs/>
          <w:sz w:val="20"/>
          <w:szCs w:val="20"/>
          <w:lang w:val="en"/>
        </w:rPr>
      </w:pPr>
      <w:bookmarkStart w:id="135" w:name="_dm5wptd4hima" w:colFirst="0" w:colLast="0"/>
      <w:bookmarkEnd w:id="135"/>
    </w:p>
    <w:p w14:paraId="54F0E15B" w14:textId="77777777" w:rsidR="006D3DC3" w:rsidRPr="006810DB" w:rsidRDefault="006D3DC3"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7BE2ACE8" w14:textId="79359078" w:rsidR="00700C95" w:rsidRPr="006810DB" w:rsidRDefault="00700C95" w:rsidP="006810DB">
      <w:pPr>
        <w:pStyle w:val="Heading1"/>
        <w:spacing w:before="0" w:line="276" w:lineRule="auto"/>
        <w:ind w:left="142" w:hanging="142"/>
        <w:rPr>
          <w:szCs w:val="20"/>
          <w:lang w:val="en-ID"/>
        </w:rPr>
      </w:pPr>
      <w:bookmarkStart w:id="136" w:name="_Toc223088899"/>
      <w:r w:rsidRPr="006810DB">
        <w:rPr>
          <w:b/>
          <w:noProof/>
          <w:sz w:val="48"/>
          <w:szCs w:val="20"/>
          <w:lang w:val="en-US"/>
        </w:rPr>
        <w:lastRenderedPageBreak/>
        <mc:AlternateContent>
          <mc:Choice Requires="wps">
            <w:drawing>
              <wp:anchor distT="0" distB="0" distL="114300" distR="114300" simplePos="0" relativeHeight="251681792" behindDoc="0" locked="0" layoutInCell="1" allowOverlap="1" wp14:anchorId="42103DDC" wp14:editId="04220B40">
                <wp:simplePos x="0" y="0"/>
                <wp:positionH relativeFrom="column">
                  <wp:posOffset>913130</wp:posOffset>
                </wp:positionH>
                <wp:positionV relativeFrom="paragraph">
                  <wp:posOffset>133350</wp:posOffset>
                </wp:positionV>
                <wp:extent cx="2820035" cy="1109980"/>
                <wp:effectExtent l="0" t="0" r="0" b="0"/>
                <wp:wrapNone/>
                <wp:docPr id="14" name="Rectangle 14"/>
                <wp:cNvGraphicFramePr/>
                <a:graphic xmlns:a="http://schemas.openxmlformats.org/drawingml/2006/main">
                  <a:graphicData uri="http://schemas.microsoft.com/office/word/2010/wordprocessingShape">
                    <wps:wsp>
                      <wps:cNvSpPr/>
                      <wps:spPr>
                        <a:xfrm>
                          <a:off x="0" y="0"/>
                          <a:ext cx="2820035"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0C9BFAD" w14:textId="3E17D958" w:rsidR="00700C95" w:rsidRPr="006D3DC3" w:rsidRDefault="009F271B" w:rsidP="00700C95">
                            <w:pPr>
                              <w:spacing w:after="0" w:line="276" w:lineRule="auto"/>
                              <w:jc w:val="center"/>
                              <w:rPr>
                                <w:rFonts w:ascii="Book Antiqua" w:hAnsi="Book Antiqua"/>
                                <w:b/>
                                <w:bCs/>
                                <w:sz w:val="32"/>
                                <w:szCs w:val="36"/>
                                <w:lang w:val="en"/>
                              </w:rPr>
                            </w:pPr>
                            <w:r w:rsidRPr="006D3DC3">
                              <w:rPr>
                                <w:rFonts w:ascii="Book Antiqua" w:hAnsi="Book Antiqua"/>
                                <w:b/>
                                <w:bCs/>
                                <w:sz w:val="32"/>
                                <w:szCs w:val="36"/>
                                <w:lang w:val="en"/>
                              </w:rPr>
                              <w:t>OPTIMASI DOSIS CISPLATIN UNTUK MODEL PENELITIAN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42103DDC" id="Rectangle 14" o:spid="_x0000_s1031" style="position:absolute;left:0;text-align:left;margin-left:71.9pt;margin-top:10.5pt;width:222.05pt;height:87.4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pT2ZQIAABAFAAAOAAAAZHJzL2Uyb0RvYy54bWysVN1v0zAQf0fif7D8ztKUbmxV06naNIQ0&#10;sWkb4tl17DbC9pmz27T89ZydNOugT4iX5L4/fnfn2fXOGrZVGBpwFS/PRpwpJ6Fu3Kri317uPlxy&#10;FqJwtTDgVMX3KvDr+ft3s9ZP1RjWYGqFjIK4MG19xdcx+mlRBLlWVoQz8MqRUgNaEYnFVVGjaCm6&#10;NcV4NLooWsDaI0gVAklvOyWf5/haKxkftA4qMlNxqi3mL+bvMn2L+UxMVyj8upF9GeIfqrCicZR0&#10;CHUromAbbP4KZRuJEEDHMwm2AK0bqXIP1E05+qOb57XwKvdC4AQ/wBT+X1j5dfuIrKlpdhPOnLA0&#10;oydCTbiVUYxkBFDrw5Tsnv0j9lwgMnW702jTn/pguwzqfgBV7SKTJBxf0pw+nnMmSVeWo6urywx7&#10;8eruMcTPCixLRMWR8mcwxfY+REpJpgeTlM3BXWNMnpxxbwRkmCRFqrirMVNxb1SyM+5JaWo2VZUT&#10;5DVTNwbZVtCCCCmVixep5xyJrJObpmyDY3nK0cSyd+ptk5vK6zc4jk45vs04eOSs4OLgbBsHeCpA&#10;/WPI3Nkfuu96Tu3H3XKXJ3x+GOYS6j1NHaE7h+DlXUPI34sQHwXS/tOl0E3HB/poA23Foac4WwP+&#10;OiVP9rSWpOWspXuqePi5Eag4M18cLexVOZmkA8zM5PzTmBg81iyPNW5jb4AmUtLr4WUmk300B1Ij&#10;2O90+ouUlVTCScpdcRnxwNzE7s7p8ZBqschmdHRexHv37GUKnnB2sNhE0E1etIRXh06PI51dXob+&#10;iUh3fcxnq9eHbP4bAAD//wMAUEsDBBQABgAIAAAAIQDCg7va3gAAAAoBAAAPAAAAZHJzL2Rvd25y&#10;ZXYueG1sTI/NTsMwEITvSLyDtUjcqNNCIQ1xKkBCCPWAKO3dsbdJRLyOYuenb89yguNoRjPf5NvZ&#10;tWLEPjSeFCwXCQgk421DlYLD1+tNCiJETVa3nlDBGQNsi8uLXGfWT/SJ4z5WgksoZFpBHWOXSRlM&#10;jU6Hhe+Q2Dv53unIsq+k7fXE5a6VqyS5l043xAu17vClRvO9H5yCoz89T86U9D6eP5rhbdcbk+6U&#10;ur6anx5BRJzjXxh+8RkdCmYq/UA2iJb13S2jRwWrJX/iwDp92IAo2dmsU5BFLv9fKH4AAAD//wMA&#10;UEsBAi0AFAAGAAgAAAAhALaDOJL+AAAA4QEAABMAAAAAAAAAAAAAAAAAAAAAAFtDb250ZW50X1R5&#10;cGVzXS54bWxQSwECLQAUAAYACAAAACEAOP0h/9YAAACUAQAACwAAAAAAAAAAAAAAAAAvAQAAX3Jl&#10;bHMvLnJlbHNQSwECLQAUAAYACAAAACEAKDKU9mUCAAAQBQAADgAAAAAAAAAAAAAAAAAuAgAAZHJz&#10;L2Uyb0RvYy54bWxQSwECLQAUAAYACAAAACEAwoO72t4AAAAKAQAADwAAAAAAAAAAAAAAAAC/BAAA&#10;ZHJzL2Rvd25yZXYueG1sUEsFBgAAAAAEAAQA8wAAAMoFAAAAAA==&#10;" filled="f" stroked="f" strokeweight="1pt">
                <v:textbox>
                  <w:txbxContent>
                    <w:p w14:paraId="30C9BFAD" w14:textId="3E17D958" w:rsidR="00700C95" w:rsidRPr="006D3DC3" w:rsidRDefault="009F271B" w:rsidP="00700C95">
                      <w:pPr>
                        <w:spacing w:after="0" w:line="276" w:lineRule="auto"/>
                        <w:jc w:val="center"/>
                        <w:rPr>
                          <w:rFonts w:ascii="Book Antiqua" w:hAnsi="Book Antiqua"/>
                          <w:b/>
                          <w:bCs/>
                          <w:sz w:val="32"/>
                          <w:szCs w:val="36"/>
                          <w:lang w:val="en"/>
                        </w:rPr>
                      </w:pPr>
                      <w:r w:rsidRPr="006D3DC3">
                        <w:rPr>
                          <w:rFonts w:ascii="Book Antiqua" w:hAnsi="Book Antiqua"/>
                          <w:b/>
                          <w:bCs/>
                          <w:sz w:val="32"/>
                          <w:szCs w:val="36"/>
                          <w:lang w:val="en"/>
                        </w:rPr>
                        <w:t>OPTIMASI DOSIS CISPLATIN UNTUK MODEL PENELITIAN</w:t>
                      </w:r>
                    </w:p>
                  </w:txbxContent>
                </v:textbox>
              </v:rect>
            </w:pict>
          </mc:Fallback>
        </mc:AlternateContent>
      </w:r>
      <w:r w:rsidRPr="006810DB">
        <w:rPr>
          <w:b/>
          <w:noProof/>
          <w:sz w:val="48"/>
          <w:szCs w:val="20"/>
          <w:lang w:val="en-US"/>
        </w:rPr>
        <mc:AlternateContent>
          <mc:Choice Requires="wps">
            <w:drawing>
              <wp:anchor distT="0" distB="0" distL="114300" distR="114300" simplePos="0" relativeHeight="251680768" behindDoc="0" locked="0" layoutInCell="1" allowOverlap="1" wp14:anchorId="29164010" wp14:editId="55A466ED">
                <wp:simplePos x="0" y="0"/>
                <wp:positionH relativeFrom="column">
                  <wp:posOffset>884555</wp:posOffset>
                </wp:positionH>
                <wp:positionV relativeFrom="paragraph">
                  <wp:posOffset>76835</wp:posOffset>
                </wp:positionV>
                <wp:extent cx="0" cy="1224000"/>
                <wp:effectExtent l="19050" t="0" r="38100" b="52705"/>
                <wp:wrapNone/>
                <wp:docPr id="15" name="Straight Connector 15"/>
                <wp:cNvGraphicFramePr/>
                <a:graphic xmlns:a="http://schemas.openxmlformats.org/drawingml/2006/main">
                  <a:graphicData uri="http://schemas.microsoft.com/office/word/2010/wordprocessingShape">
                    <wps:wsp>
                      <wps:cNvCnPr/>
                      <wps:spPr>
                        <a:xfrm>
                          <a:off x="0" y="0"/>
                          <a:ext cx="0" cy="1224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3AAF6AD" id="Straight Connector 15" o:spid="_x0000_s1026" style="position:absolute;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XQ92AEAAA8EAAAOAAAAZHJzL2Uyb0RvYy54bWysU02P0zAQvSPxHyzfaZKKAoqa7qGr5YKg&#10;Ytkf4HXGjSV/aWya9N8zdtp0BQgJxMXJjOc9z3seb+8ma9gJMGrvOt6sas7ASd9rd+z407eHNx84&#10;i0m4XhjvoONniPxu9/rVdgwtrP3gTQ/IiMTFdgwdH1IKbVVFOYAVceUDONpUHq1IFOKx6lGMxG5N&#10;ta7rd9XosQ/oJcRI2ft5k+8Kv1Ig0xelIiRmOk69pbJiWZ/zWu22oj2iCIOWlzbEP3RhhXZ06EJ1&#10;L5Jg31H/QmW1RB+9SivpbeWV0hKKBlLT1D+peRxEgKKFzIlhsSn+P1r5+XRApnu6uw1nTli6o8eE&#10;Qh+HxPbeOXLQI6NNcmoMsSXA3h3wEsVwwCx7UmjzlwSxqbh7XtyFKTE5JyVlm/X6bV0X56sbMGBM&#10;H8Fbln86brTLwkUrTp9iosOo9FqS08axseOb982mLmXRG90/aGPyZhke2BtkJ0HXnqYmN08ML6oo&#10;Mo6SWdIsovyls4GZ/ysosoXabuYD8kDeOIWU4NKV1ziqzjBFHSzAS2d/Al7qMxTKsP4NeEGUk71L&#10;C9hq5/F3bd+sUHP91YFZd7bg2ffncr3FGpq64tzlheSxfhkX+O0d734AAAD//wMAUEsDBBQABgAI&#10;AAAAIQAb+VtO3AAAAAoBAAAPAAAAZHJzL2Rvd25yZXYueG1sTI9BS8QwEIXvgv8hjODNTbZrxdam&#10;yyIs4kVwFbymzdgGm0lpst367531ord5M4/3vqm2ix/EjFN0gTSsVwoEUhuso07D+9v+5h5ETIas&#10;GQKhhm+MsK0vLypT2nCiV5wPqRMcQrE0GvqUxlLK2PboTVyFEYlvn2HyJrGcOmknc+JwP8hMqTvp&#10;jSNu6M2Ijz22X4ej55L8o33C6J7tfpc3+Vy4Rr04ra+vlt0DiIRL+jPDGZ/RoWamJhzJRjGw3hQb&#10;tvKQrUGcDb+LRkOmbguQdSX/v1D/AAAA//8DAFBLAQItABQABgAIAAAAIQC2gziS/gAAAOEBAAAT&#10;AAAAAAAAAAAAAAAAAAAAAABbQ29udGVudF9UeXBlc10ueG1sUEsBAi0AFAAGAAgAAAAhADj9If/W&#10;AAAAlAEAAAsAAAAAAAAAAAAAAAAALwEAAF9yZWxzLy5yZWxzUEsBAi0AFAAGAAgAAAAhAF5pdD3Y&#10;AQAADwQAAA4AAAAAAAAAAAAAAAAALgIAAGRycy9lMm9Eb2MueG1sUEsBAi0AFAAGAAgAAAAhABv5&#10;W07cAAAACgEAAA8AAAAAAAAAAAAAAAAAMgQAAGRycy9kb3ducmV2LnhtbFBLBQYAAAAABAAEAPMA&#10;AAA7BQ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44"/>
          <w:szCs w:val="20"/>
          <w:lang w:val="en-US"/>
        </w:rPr>
        <w:t>6</w:t>
      </w:r>
      <w:r w:rsidRPr="006810DB">
        <w:rPr>
          <w:b/>
          <w:szCs w:val="20"/>
          <w:lang w:val="en-US"/>
        </w:rPr>
        <w:t xml:space="preserve"> </w:t>
      </w:r>
      <w:r w:rsidRPr="006810DB">
        <w:rPr>
          <w:b/>
          <w:szCs w:val="20"/>
          <w:lang w:val="en-US"/>
        </w:rPr>
        <w:tab/>
      </w:r>
      <w:r w:rsidR="009F271B" w:rsidRPr="006810DB">
        <w:rPr>
          <w:b/>
          <w:color w:val="FFFFFF" w:themeColor="background1"/>
          <w:sz w:val="12"/>
          <w:szCs w:val="12"/>
          <w:lang w:val="en-US"/>
        </w:rPr>
        <w:t>OPTIMASI DOSIS CISPLATIN UNTUK MODEL PENELITIAN</w:t>
      </w:r>
      <w:bookmarkEnd w:id="136"/>
    </w:p>
    <w:p w14:paraId="49724B72" w14:textId="42B91849" w:rsidR="00700C95" w:rsidRPr="006810DB" w:rsidRDefault="00700C95" w:rsidP="006810DB">
      <w:pPr>
        <w:spacing w:after="0" w:line="276" w:lineRule="auto"/>
        <w:jc w:val="both"/>
        <w:rPr>
          <w:rFonts w:ascii="Book Antiqua" w:hAnsi="Book Antiqua"/>
          <w:sz w:val="20"/>
          <w:szCs w:val="20"/>
          <w:lang w:val="en"/>
        </w:rPr>
      </w:pPr>
    </w:p>
    <w:p w14:paraId="51E575FF" w14:textId="77777777" w:rsidR="002B0035" w:rsidRPr="006810DB" w:rsidRDefault="002B0035" w:rsidP="006810DB">
      <w:pPr>
        <w:spacing w:after="0" w:line="276" w:lineRule="auto"/>
        <w:jc w:val="both"/>
        <w:rPr>
          <w:rFonts w:ascii="Book Antiqua" w:hAnsi="Book Antiqua"/>
          <w:sz w:val="20"/>
          <w:szCs w:val="20"/>
          <w:lang w:val="en"/>
        </w:rPr>
      </w:pPr>
    </w:p>
    <w:p w14:paraId="3535FFCA" w14:textId="0AA4AC82" w:rsidR="00B258B7" w:rsidRPr="006810DB" w:rsidRDefault="007D61DA" w:rsidP="00B9360C">
      <w:pPr>
        <w:pStyle w:val="Heading2"/>
        <w:numPr>
          <w:ilvl w:val="0"/>
          <w:numId w:val="21"/>
        </w:numPr>
        <w:ind w:left="284" w:hanging="284"/>
      </w:pPr>
      <w:bookmarkStart w:id="137" w:name="_supaiijwd93t" w:colFirst="0" w:colLast="0"/>
      <w:bookmarkStart w:id="138" w:name="_Toc223088900"/>
      <w:bookmarkEnd w:id="137"/>
      <w:r w:rsidRPr="006810DB">
        <w:t>Pendahuluan</w:t>
      </w:r>
      <w:bookmarkEnd w:id="138"/>
    </w:p>
    <w:p w14:paraId="73A2C092"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Keberhasilan sebuah penelitian praklinis tidak hanya bergantung pada hipotesis yang kuat, tetapi juga pada ketelitian metodologi yang digunakan untuk mengujinya. Setelah model hewan dipilih dan protokol dasar ditetapkan, salah satu variabel paling kritis yang harus distandarisasi adalah dosis agen penginduksi penyakit. Dalam konteks ini, penentuan dosis cisplatin yang optimal bukanlah sekadar langkah teknis, melainkan sebuah fondasi ilmiah yang akan menentukan validitas, reproduktifitas, dan relevansi etis dari keseluruhan penelitian. Dosis yang terlalu rendah akan gagal menghasilkan patologi yang cukup parah untuk dipelajari, membuat evaluasi agen protektif menjadi tidak bermakna. Sebaliknya, dosis yang terlalu tinggi akan menyebabkan toksisitas sistemik yang berlebihan, yang dapat menyebabkan kematian hewan sebelum mukositis sempat berkembang sepenuhnya atau mengacaukan hasil karena efek samping di luar target.</w:t>
      </w:r>
    </w:p>
    <w:p w14:paraId="45C29939"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Proses optimasi dosis, oleh karena itu, merupakan sebuah studi mini tersendiri. Proses ini bertujuan untuk mengidentifikasi "jendela terapeutik" untuk induksi penyakit, yaitu dosis yang secara konsisten menghasilkan lesi mukositis yang signifikan secara klinis dan histopatologis, dengan tingkat morbiditas yang dapat ditoleransi dan mortalitas yang minimal. Mencapai keseimbangan ini sangat penting. Sebuah model yang baik memungkinkan penyakit untuk berkembang secara terukur </w:t>
      </w:r>
      <w:r w:rsidRPr="006810DB">
        <w:rPr>
          <w:rFonts w:ascii="Book Antiqua" w:hAnsi="Book Antiqua"/>
          <w:sz w:val="20"/>
          <w:szCs w:val="20"/>
          <w:lang w:val="en"/>
        </w:rPr>
        <w:lastRenderedPageBreak/>
        <w:t xml:space="preserve">sehingga efek dari intervensi, dalam kasus ini, pemberian ekstrak </w:t>
      </w:r>
      <w:r w:rsidRPr="006810DB">
        <w:rPr>
          <w:rFonts w:ascii="Book Antiqua" w:hAnsi="Book Antiqua"/>
          <w:i/>
          <w:iCs/>
          <w:sz w:val="20"/>
          <w:szCs w:val="20"/>
          <w:lang w:val="en"/>
        </w:rPr>
        <w:t>Nigella sativa</w:t>
      </w:r>
      <w:r w:rsidRPr="006810DB">
        <w:rPr>
          <w:rFonts w:ascii="Book Antiqua" w:hAnsi="Book Antiqua"/>
          <w:sz w:val="20"/>
          <w:szCs w:val="20"/>
          <w:lang w:val="en"/>
        </w:rPr>
        <w:t>, dapat dideteksi dengan jelas di atas "kebisingan" biologis dari model itu sendiri.</w:t>
      </w:r>
    </w:p>
    <w:p w14:paraId="557D0708"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Bab ini akan memandu pembaca melalui proses sistematis dalam mengeksplorasi dan menentukan dosis cisplatin yang ideal untuk model mukositis oral pada tikus Wistar. Pendekatan ini dimulai dengan eksplorasi rentang dosis, dari yang rendah hingga yang berpotensi toksik, untuk memetakan respons biologis hewan terhadap paparan yang berbeda. Setiap tingkat dosis akan dianalisis dampaknya, baik pada jaringan mukosa lokal maupun pada kesehatan sistemik hewan secara keseluruhan.</w:t>
      </w:r>
    </w:p>
    <w:p w14:paraId="3883AA41"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Selanjutnya, pembahasan akan berfokus pada penetapan parameter-parameter kunci yang mendefinisikan keberhasilan sebuah dosis. Ini melampaui sekadar pengamatan visual. Parameter seperti keseimbangan antara tingkat keparahan lesi dan angka kelangsungan hidup (</w:t>
      </w:r>
      <w:r w:rsidRPr="006810DB">
        <w:rPr>
          <w:rFonts w:ascii="Book Antiqua" w:hAnsi="Book Antiqua"/>
          <w:i/>
          <w:iCs/>
          <w:sz w:val="20"/>
          <w:szCs w:val="20"/>
          <w:lang w:val="en"/>
        </w:rPr>
        <w:t>survival rate</w:t>
      </w:r>
      <w:r w:rsidRPr="006810DB">
        <w:rPr>
          <w:rFonts w:ascii="Book Antiqua" w:hAnsi="Book Antiqua"/>
          <w:sz w:val="20"/>
          <w:szCs w:val="20"/>
          <w:lang w:val="en"/>
        </w:rPr>
        <w:t>), konsistensi pembentukan lesi di lokasi yang telah ditentukan, dan korelasi yang kuat antara temuan makroskopis dan mikroskopis menjadi tolok ukur kuantitatif untuk sebuah model yang andal.</w:t>
      </w:r>
    </w:p>
    <w:p w14:paraId="2E274C1E"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Analisis perbandingan antar kelompok perlakuan dosis akan diuraikan sebagai langkah akhir dalam proses pengambilan keputusan. Dengan memantau dinamika perubahan klinis dari hari ke hari dan menerapkan analisis statistik, peneliti dapat secara objektif mengidentifikasi dosis yang menghasilkan perbedaan paling signifikan dan konsisten. Keputusan ini pada akhirnya mengarah pada penetapan dosis standar yang akan digunakan dalam semua eksperimen lanjutan, memastikan bahwa setiap hasil yang diperoleh dapat diatribusikan pada intervensi yang diuji, bukan pada variabilitas model.</w:t>
      </w:r>
    </w:p>
    <w:p w14:paraId="349FDFD5"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Pemahaman yang mendalam tentang proses optimasi ini sangat penting, karena ia menyoroti sifat penelitian praklinis yang cermat dan berbasis bukti. Setiap angka dosis yang digunakan dalam sebuah publikasi ilmiah bukanlah angka yang </w:t>
      </w:r>
      <w:r w:rsidRPr="006810DB">
        <w:rPr>
          <w:rFonts w:ascii="Book Antiqua" w:hAnsi="Book Antiqua"/>
          <w:sz w:val="20"/>
          <w:szCs w:val="20"/>
          <w:lang w:val="en"/>
        </w:rPr>
        <w:lastRenderedPageBreak/>
        <w:t>dipilih secara acak, melainkan hasil dari proses kalibrasi yang teliti.</w:t>
      </w:r>
    </w:p>
    <w:p w14:paraId="745ACC69"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Bab ini, dengan demikian, tidak hanya menjelaskan "bagaimana" dosis ditentukan, tetapi juga "mengapa" proses ini sangat fundamental bagi integritas ilmu pengetahuan.</w:t>
      </w:r>
    </w:p>
    <w:p w14:paraId="5A60D6C6"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Ini memberikan konteks metodologis yang diperlukan untuk memahami data efektivitas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yang akan disajikan di bab-bab selanjutnya.</w:t>
      </w:r>
    </w:p>
    <w:p w14:paraId="501C42DE" w14:textId="042DB7A3"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Kekokohan kesimpulan sebuah penelitian berbanding lurus dengan kekokohan model yang digunakannya, dan optimasi dosis adalah jantung dari kekokohan model tersebut.</w:t>
      </w:r>
    </w:p>
    <w:p w14:paraId="68EA971E" w14:textId="77777777" w:rsidR="009F271B" w:rsidRPr="006810DB" w:rsidRDefault="009F271B" w:rsidP="006810DB">
      <w:pPr>
        <w:spacing w:after="0" w:line="276" w:lineRule="auto"/>
        <w:jc w:val="both"/>
        <w:rPr>
          <w:rFonts w:ascii="Book Antiqua" w:hAnsi="Book Antiqua"/>
          <w:sz w:val="20"/>
          <w:szCs w:val="20"/>
          <w:lang w:val="en"/>
        </w:rPr>
      </w:pPr>
    </w:p>
    <w:p w14:paraId="673E2FCA" w14:textId="7991D501" w:rsidR="00B258B7" w:rsidRPr="006810DB" w:rsidRDefault="00B258B7" w:rsidP="006810DB">
      <w:pPr>
        <w:pStyle w:val="Heading2"/>
        <w:numPr>
          <w:ilvl w:val="0"/>
          <w:numId w:val="21"/>
        </w:numPr>
        <w:ind w:left="284" w:hanging="284"/>
      </w:pPr>
      <w:bookmarkStart w:id="139" w:name="_gcyjp75fc3h9" w:colFirst="0" w:colLast="0"/>
      <w:bookmarkStart w:id="140" w:name="_Toc223088901"/>
      <w:bookmarkEnd w:id="139"/>
      <w:r w:rsidRPr="006810DB">
        <w:t>Eksplorasi Dosis Rendah hingga Tinggi</w:t>
      </w:r>
      <w:bookmarkEnd w:id="140"/>
    </w:p>
    <w:p w14:paraId="57BC3CDC"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Langkah awal dalam optimasi adalah melakukan studi penentuan rentang dosis (</w:t>
      </w:r>
      <w:r w:rsidRPr="006810DB">
        <w:rPr>
          <w:rFonts w:ascii="Book Antiqua" w:hAnsi="Book Antiqua"/>
          <w:i/>
          <w:iCs/>
          <w:sz w:val="20"/>
          <w:szCs w:val="20"/>
          <w:lang w:val="en"/>
        </w:rPr>
        <w:t>dose-ranging study</w:t>
      </w:r>
      <w:r w:rsidRPr="006810DB">
        <w:rPr>
          <w:rFonts w:ascii="Book Antiqua" w:hAnsi="Book Antiqua"/>
          <w:sz w:val="20"/>
          <w:szCs w:val="20"/>
          <w:lang w:val="en"/>
        </w:rPr>
        <w:t>). Dalam studi ini, kelompok-kelompok kecil hewan diberikan dosis cisplatin yang berbeda, yang dipilih berdasarkan studi literatur sebelumnya dan data toksikologi yang diketahui. Tujuannya adalah untuk mengamati spektrum respons, mulai dari efek yang hampir tidak terdeteksi pada dosis rendah, efek patologis yang diinginkan pada dosis menengah, hingga toksisitas berat pada dosis tinggi. Pendekatan bertahap ini memungkinkan peneliti untuk memetakan kurva respons dosis, yang sangat penting untuk memahami hubungan antara jumlah paparan dan tingkat keparahan hasil, baik yang diinginkan (mukositis) maupun yang tidak diinginkan (toksisitas sistemik).</w:t>
      </w:r>
    </w:p>
    <w:p w14:paraId="6B77B403"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Proses eksplorasi dosis ini ibarat seorang koki yang mencoba menyempurnakan tingkat kepedasan sebuah masakan baru. Menggunakan dosis 3 mg/kg cisplatin adalah seperti menambahkan sejumput kecil cabai; beberapa orang mungkin merasakan sedikit kehangatan, tetapi sebagian besar tidak akan merasakannya sama sekali (efek subklinis). Menggunakan dosis 5 mg/kg adalah seperti menambahkan jumlah cabai yang tepat sesuai resep; rasanya pedas, menantang, dan membuat orang berkeringat, tetapi masih bisa dinikmati (efek patologis yang diinginkan). </w:t>
      </w:r>
      <w:r w:rsidRPr="006810DB">
        <w:rPr>
          <w:rFonts w:ascii="Book Antiqua" w:hAnsi="Book Antiqua"/>
          <w:sz w:val="20"/>
          <w:szCs w:val="20"/>
          <w:lang w:val="en"/>
        </w:rPr>
        <w:lastRenderedPageBreak/>
        <w:t>Menggunakan dosis 6 mg/kg adalah seperti menuangkan seluruh botol saus cabai terpedas; ini tidak lagi bisa disebut makanan, melainkan racun yang menyebabkan rasa sakit luar biasa dan membuat orang sakit (toksisitas akut yang tidak dapat diterima). Koki harus mencoba ketiga level ini untuk mengetahui mana yang menghasilkan "kepedasan" yang sempurna untuk hidangannya.</w:t>
      </w:r>
    </w:p>
    <w:p w14:paraId="6A41CD1A" w14:textId="722EF4B4" w:rsidR="00B258B7" w:rsidRPr="006810DB" w:rsidRDefault="00B258B7" w:rsidP="006810DB">
      <w:pPr>
        <w:pStyle w:val="ListParagraph"/>
        <w:numPr>
          <w:ilvl w:val="0"/>
          <w:numId w:val="51"/>
        </w:numPr>
        <w:spacing w:after="0" w:line="276" w:lineRule="auto"/>
        <w:ind w:left="567" w:hanging="283"/>
        <w:contextualSpacing w:val="0"/>
        <w:jc w:val="both"/>
        <w:rPr>
          <w:rFonts w:ascii="Book Antiqua" w:hAnsi="Book Antiqua"/>
          <w:b/>
          <w:bCs/>
          <w:sz w:val="20"/>
          <w:szCs w:val="20"/>
          <w:lang w:val="en"/>
        </w:rPr>
      </w:pPr>
      <w:bookmarkStart w:id="141" w:name="_i9i523npb3zg" w:colFirst="0" w:colLast="0"/>
      <w:bookmarkEnd w:id="141"/>
      <w:r w:rsidRPr="006810DB">
        <w:rPr>
          <w:rFonts w:ascii="Book Antiqua" w:hAnsi="Book Antiqua"/>
          <w:b/>
          <w:bCs/>
          <w:sz w:val="20"/>
          <w:szCs w:val="20"/>
          <w:lang w:val="en"/>
        </w:rPr>
        <w:t>Respon Jaringan pada Dosis 3 mg/kgBB</w:t>
      </w:r>
    </w:p>
    <w:p w14:paraId="79663B9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Dosis cisplatin yang relatif rendah, seperti 3 mg/kg berat badan (BB) yang diberikan sebagai injeksi intraperitoneal tunggal, seringkali gagal menginduksi mukositis oral yang konsisten dan signifikan secara makroskopis pada tikus Wistar. Pada tingkat dosis ini, hewan mungkin menunjukkan sedikit atau tidak ada penurunan berat badan sama sekali selama periode pengamatan. Pemeriksaan visual pada mukosa bukal pada hari puncak yang diharapkan mungkin hanya mengungkapkan eritema ringan atau tidak ada perubahan sama sekali dibandingkan dengan kelompok kontrol sehat (Ariyan et al., 2018).</w:t>
      </w:r>
    </w:p>
    <w:p w14:paraId="6208948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Meskipun secara makroskopis tidak terlihat, perubahan mikroskopis mungkin sudah mulai terjadi. Analisis histopatologis mungkin menunjukkan adanya beberapa sel epitel yang mengalami vakuolisasi atau sedikit peningkatan infiltrasi sel inflamasi di </w:t>
      </w:r>
      <w:r w:rsidRPr="006810DB">
        <w:rPr>
          <w:rFonts w:ascii="Book Antiqua" w:hAnsi="Book Antiqua"/>
          <w:i/>
          <w:iCs/>
          <w:sz w:val="20"/>
          <w:szCs w:val="20"/>
          <w:lang w:val="en"/>
        </w:rPr>
        <w:t>lamina propria</w:t>
      </w:r>
      <w:r w:rsidRPr="006810DB">
        <w:rPr>
          <w:rFonts w:ascii="Book Antiqua" w:hAnsi="Book Antiqua"/>
          <w:sz w:val="20"/>
          <w:szCs w:val="20"/>
          <w:lang w:val="en"/>
        </w:rPr>
        <w:t>. Namun, perubahan ini umumnya terlalu ringan dan tidak konsisten antar hewan, sehingga sulit untuk digunakan sebagai dasar untuk mengevaluasi agen protektif. Dosis ini dianggap sub-optimal karena gagal menciptakan tantangan patologis yang cukup kuat, membuat model tersebut tidak sensitif terhadap perubahan yang diinduksi oleh terapi.</w:t>
      </w:r>
    </w:p>
    <w:p w14:paraId="7E35D687" w14:textId="02C43B23" w:rsidR="00B258B7" w:rsidRPr="006810DB" w:rsidRDefault="00B258B7" w:rsidP="006810DB">
      <w:pPr>
        <w:pStyle w:val="ListParagraph"/>
        <w:numPr>
          <w:ilvl w:val="0"/>
          <w:numId w:val="51"/>
        </w:numPr>
        <w:spacing w:after="0" w:line="276" w:lineRule="auto"/>
        <w:ind w:left="567" w:hanging="283"/>
        <w:contextualSpacing w:val="0"/>
        <w:jc w:val="both"/>
        <w:rPr>
          <w:rFonts w:ascii="Book Antiqua" w:hAnsi="Book Antiqua"/>
          <w:b/>
          <w:bCs/>
          <w:sz w:val="20"/>
          <w:szCs w:val="20"/>
          <w:lang w:val="en"/>
        </w:rPr>
      </w:pPr>
      <w:bookmarkStart w:id="142" w:name="_rpaynjyl5l1m" w:colFirst="0" w:colLast="0"/>
      <w:bookmarkEnd w:id="142"/>
      <w:r w:rsidRPr="006810DB">
        <w:rPr>
          <w:rFonts w:ascii="Book Antiqua" w:hAnsi="Book Antiqua"/>
          <w:b/>
          <w:bCs/>
          <w:sz w:val="20"/>
          <w:szCs w:val="20"/>
          <w:lang w:val="en"/>
        </w:rPr>
        <w:t>Efek Patologis pada Dosis 5 mg/kgBB</w:t>
      </w:r>
    </w:p>
    <w:p w14:paraId="7273E5B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Dosis tunggal cisplatin sebesar 5 mg/kgBB IP sering dilaporkan dalam literatur sebagai dosis yang efektif untuk menginduksi mukositis oral pada tikus (Kadarullah et al., 2024). Pada dosis ini, hewan secara konsisten menunjukkan penurunan berat badan yang signifikan, biasanya dimulai </w:t>
      </w:r>
      <w:r w:rsidRPr="006810DB">
        <w:rPr>
          <w:rFonts w:ascii="Book Antiqua" w:hAnsi="Book Antiqua"/>
          <w:sz w:val="20"/>
          <w:szCs w:val="20"/>
          <w:lang w:val="en"/>
        </w:rPr>
        <w:lastRenderedPageBreak/>
        <w:t>sekitar hari ke-3 atau ke-4 pasca injeksi dan mencapai titik terendah antara hari ke-7 dan ke-9. Secara klinis, tanda-tanda mukositis seperti eritema dan pembentukan ulkus yang jelas dapat diamati secara makroskopis di area mukosa bukal pada sebagian besar hewan.</w:t>
      </w:r>
    </w:p>
    <w:p w14:paraId="633F797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Tingkat keparahan ini cukup untuk menyebabkan morbiditas yang terukur (penurunan berat badan) tetapi umumnya tidak menyebabkan mortalitas jika hewan didukung dengan akses mudah ke makanan lunak dan air. Tingkat kerusakan jaringan ini memberikan "jendela" yang sangat baik untuk pengujian. Lesi cukup parah sehingga potensi perbaikan oleh agen terapeutik dapat dideteksi dan diukur secara kuantitatif, baik melalui skor makroskopis maupun analisis histopatologis. Oleh karena itu, dosis ini sering menjadi kandidat kuat untuk dosis standar.</w:t>
      </w:r>
    </w:p>
    <w:p w14:paraId="15238CB2" w14:textId="383D06F4" w:rsidR="00B258B7" w:rsidRPr="006810DB" w:rsidRDefault="00B258B7" w:rsidP="006810DB">
      <w:pPr>
        <w:pStyle w:val="ListParagraph"/>
        <w:numPr>
          <w:ilvl w:val="0"/>
          <w:numId w:val="51"/>
        </w:numPr>
        <w:spacing w:after="0" w:line="276" w:lineRule="auto"/>
        <w:ind w:left="567" w:hanging="283"/>
        <w:contextualSpacing w:val="0"/>
        <w:jc w:val="both"/>
        <w:rPr>
          <w:rFonts w:ascii="Book Antiqua" w:hAnsi="Book Antiqua"/>
          <w:b/>
          <w:bCs/>
          <w:sz w:val="20"/>
          <w:szCs w:val="20"/>
          <w:lang w:val="en"/>
        </w:rPr>
      </w:pPr>
      <w:bookmarkStart w:id="143" w:name="_w40a5m2lflpv" w:colFirst="0" w:colLast="0"/>
      <w:bookmarkEnd w:id="143"/>
      <w:r w:rsidRPr="006810DB">
        <w:rPr>
          <w:rFonts w:ascii="Book Antiqua" w:hAnsi="Book Antiqua"/>
          <w:b/>
          <w:bCs/>
          <w:sz w:val="20"/>
          <w:szCs w:val="20"/>
          <w:lang w:val="en"/>
        </w:rPr>
        <w:t>Toksisitas Akut pada Dosis 6 mg/kgBB</w:t>
      </w:r>
    </w:p>
    <w:p w14:paraId="0FD9409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Ketika dosis cisplatin ditingkatkan menjadi 6 mg/kgBB atau lebih tinggi, profil toksisitas sistemik mulai mendominasi gambaran klinis, sering kali mengalahkan perkembangan mukositis lokal. Pada dosis ini, hewan cenderung mengalami penurunan berat badan yang sangat cepat dan parah (&gt;20%), disertai dengan gejala-gejala penyakit sistemik seperti kelesuan, bulu kusut, dan dehidrasi (Kim et al., 2012). Tingkat mortalitas juga meningkat secara signifikan, dengan beberapa hewan mungkin tidak bertahan hidup cukup lama untuk mencapai fase puncak mukositis oral.</w:t>
      </w:r>
    </w:p>
    <w:p w14:paraId="1C8E9B1F" w14:textId="6A2DADCC" w:rsidR="00B258B7"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Penyebab utama toksisitas ini adalah nefrotoksisitas akut yang parah, yang merupakan efek samping cisplatin yang terkenal. Meskipun mukositis yang parah mungkin berkembang pada hewan yang bertahan hidup, tingginya angka kematian dan morbiditas yang ekstrem membuat dosis ini tidak etis dan tidak praktis untuk penelitian yang bertujuan mengevaluasi terapi suportif untuk mukositis. Data yang diperoleh dari hewan yang sangat sakit secara sistemik akan sulit diinterpretasikan, karena sulit untuk </w:t>
      </w:r>
      <w:r w:rsidRPr="006810DB">
        <w:rPr>
          <w:rFonts w:ascii="Book Antiqua" w:hAnsi="Book Antiqua"/>
          <w:sz w:val="20"/>
          <w:szCs w:val="20"/>
          <w:lang w:val="en"/>
        </w:rPr>
        <w:lastRenderedPageBreak/>
        <w:t>memisahkan efek terapi pada mukositis dari efek pada kesehatan umum hewan.</w:t>
      </w:r>
    </w:p>
    <w:p w14:paraId="7571508F" w14:textId="77777777" w:rsidR="00A95863" w:rsidRPr="006810DB" w:rsidRDefault="00A95863" w:rsidP="006810DB">
      <w:pPr>
        <w:spacing w:after="0" w:line="276" w:lineRule="auto"/>
        <w:ind w:left="567" w:firstLine="567"/>
        <w:jc w:val="both"/>
        <w:rPr>
          <w:rFonts w:ascii="Book Antiqua" w:hAnsi="Book Antiqua"/>
          <w:sz w:val="20"/>
          <w:szCs w:val="20"/>
          <w:lang w:val="en"/>
        </w:rPr>
      </w:pPr>
    </w:p>
    <w:p w14:paraId="25E1C0B1" w14:textId="10F598B0" w:rsidR="00B258B7" w:rsidRPr="006810DB" w:rsidRDefault="00B258B7" w:rsidP="006810DB">
      <w:pPr>
        <w:pStyle w:val="Heading2"/>
        <w:numPr>
          <w:ilvl w:val="0"/>
          <w:numId w:val="21"/>
        </w:numPr>
        <w:ind w:left="284" w:hanging="284"/>
        <w:rPr>
          <w:bCs/>
          <w:szCs w:val="20"/>
          <w:lang w:val="en"/>
        </w:rPr>
      </w:pPr>
      <w:bookmarkStart w:id="144" w:name="_mledgn9ud76e" w:colFirst="0" w:colLast="0"/>
      <w:bookmarkStart w:id="145" w:name="_Toc223088902"/>
      <w:bookmarkEnd w:id="144"/>
      <w:r w:rsidRPr="006810DB">
        <w:rPr>
          <w:bCs/>
          <w:szCs w:val="20"/>
          <w:lang w:val="en"/>
        </w:rPr>
        <w:t>Parameter Keberhasilan Dosis Optimum</w:t>
      </w:r>
      <w:bookmarkEnd w:id="145"/>
    </w:p>
    <w:p w14:paraId="60AA0444"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Menemukan dosis yang "tepat" lebih dari sekadar memilih dosis yang menyebabkan lesi. Dosis optimum didefinisikan oleh serangkaian parameter keberhasilan yang memastikan model tersebut tidak hanya efektif tetapi juga andal dan dapat direproduksi. Parameter-parameter ini berfungsi sebagai daftar periksa kualitas, yang memvalidasi bahwa dosis yang dipilih dapat secara konsisten menghasilkan hasil yang diinginkan dengan variabilitas minimal, sambil tetap berada dalam batas-batas etika penelitian hewan. Keberhasilan ini diukur dari keseimbangan yang cermat antara patologi dan kelangsungan hidup, konsistensi spasial lesi, dan korelasi yang kuat antara pengamatan visual dan realitas mikroskopis.</w:t>
      </w:r>
    </w:p>
    <w:p w14:paraId="757286DB"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Menentukan dosis optimum cisplatin mirip dengan mengkalibrasi ketegangan senar pada sebuah biola. Tujuannya adalah untuk menghasilkan nada yang tepat (patologi yang diinginkan). Jika senar terlalu kendor (dosis terlalu rendah), suaranya akan lemah dan tidak jelas. Jika senar ditarik terlalu kencang (dosis terlalu tinggi), ia akan putus (mortalitas hewan). Dosis optimum adalah ketegangan yang tepat yang menghasilkan nada yang jernih, kuat, dan konsisten setiap kali digesek (konsistensi lesi). Validasi lebih lanjut adalah memastikan bahwa nada yang terdengar (skor makroskopis) secara akurat sesuai dengan frekuensi getaran yang diukur oleh tuner elektronik (keparahan histopatologis).</w:t>
      </w:r>
    </w:p>
    <w:p w14:paraId="45AC7DD0" w14:textId="270CFBCE" w:rsidR="00B258B7" w:rsidRPr="006810DB" w:rsidRDefault="00B258B7" w:rsidP="006810DB">
      <w:pPr>
        <w:pStyle w:val="ListParagraph"/>
        <w:numPr>
          <w:ilvl w:val="0"/>
          <w:numId w:val="52"/>
        </w:numPr>
        <w:spacing w:after="0" w:line="276" w:lineRule="auto"/>
        <w:ind w:left="567" w:hanging="283"/>
        <w:contextualSpacing w:val="0"/>
        <w:jc w:val="both"/>
        <w:rPr>
          <w:rFonts w:ascii="Book Antiqua" w:hAnsi="Book Antiqua"/>
          <w:b/>
          <w:bCs/>
          <w:i/>
          <w:iCs/>
          <w:sz w:val="20"/>
          <w:szCs w:val="20"/>
          <w:lang w:val="en"/>
        </w:rPr>
      </w:pPr>
      <w:bookmarkStart w:id="146" w:name="_s4pbg5rylvz7" w:colFirst="0" w:colLast="0"/>
      <w:bookmarkEnd w:id="146"/>
      <w:r w:rsidRPr="006810DB">
        <w:rPr>
          <w:rFonts w:ascii="Book Antiqua" w:hAnsi="Book Antiqua"/>
          <w:b/>
          <w:bCs/>
          <w:sz w:val="20"/>
          <w:szCs w:val="20"/>
          <w:lang w:val="en"/>
        </w:rPr>
        <w:t xml:space="preserve">Keseimbangan antara Derajat Mukositis dan </w:t>
      </w:r>
      <w:r w:rsidRPr="006810DB">
        <w:rPr>
          <w:rFonts w:ascii="Book Antiqua" w:hAnsi="Book Antiqua"/>
          <w:b/>
          <w:bCs/>
          <w:i/>
          <w:iCs/>
          <w:sz w:val="20"/>
          <w:szCs w:val="20"/>
          <w:lang w:val="en"/>
        </w:rPr>
        <w:t>Survival Rate</w:t>
      </w:r>
    </w:p>
    <w:p w14:paraId="056370F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Parameter pertama dan terpenting adalah keseimbangan antara efikasi induksi dan keamanan. Dosis yang ideal harus cukup tinggi untuk menyebabkan mukositis tingkat sedang hingga parah (misalnya, skor makroskopis rata-rata ≥ 3 pada skala 0-5) pada mayoritas hewan dalam kelompok (Vera-Sustaita et al., 2021). Tingkat keparahan ini memastikan bahwa ada ruang yang cukup untuk perbaikan </w:t>
      </w:r>
      <w:r w:rsidRPr="006810DB">
        <w:rPr>
          <w:rFonts w:ascii="Book Antiqua" w:hAnsi="Book Antiqua"/>
          <w:sz w:val="20"/>
          <w:szCs w:val="20"/>
          <w:lang w:val="en"/>
        </w:rPr>
        <w:lastRenderedPageBreak/>
        <w:t>yang dapat dideteksi; sulit untuk menunjukkan efek penyembuhan jika penyakit awalnya sangat ringan.</w:t>
      </w:r>
    </w:p>
    <w:p w14:paraId="52F0F2B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Pada saat yang sama, dosis ini harus cukup rendah untuk memastikan tingkat kelangsungan hidup yang sangat tinggi, idealnya 100%, selama periode percobaan. Kematian hewan akibat toksisitas obat adalah </w:t>
      </w:r>
      <w:r w:rsidRPr="006810DB">
        <w:rPr>
          <w:rFonts w:ascii="Book Antiqua" w:hAnsi="Book Antiqua"/>
          <w:i/>
          <w:iCs/>
          <w:sz w:val="20"/>
          <w:szCs w:val="20"/>
          <w:lang w:val="en"/>
        </w:rPr>
        <w:t>confounding variable</w:t>
      </w:r>
      <w:r w:rsidRPr="006810DB">
        <w:rPr>
          <w:rFonts w:ascii="Book Antiqua" w:hAnsi="Book Antiqua"/>
          <w:sz w:val="20"/>
          <w:szCs w:val="20"/>
          <w:lang w:val="en"/>
        </w:rPr>
        <w:t xml:space="preserve"> yang serius. Hal ini tidak hanya menimbulkan masalah etis tetapi juga menciptakan bias dalam data, karena hanya hewan yang "lebih kuat" yang bertahan untuk dianalisis pada titik akhir, sebuah fenomena yang dikenal sebagai </w:t>
      </w:r>
      <w:r w:rsidRPr="006810DB">
        <w:rPr>
          <w:rFonts w:ascii="Book Antiqua" w:hAnsi="Book Antiqua"/>
          <w:i/>
          <w:iCs/>
          <w:sz w:val="20"/>
          <w:szCs w:val="20"/>
          <w:lang w:val="en"/>
        </w:rPr>
        <w:t>survivorship bias</w:t>
      </w:r>
      <w:r w:rsidRPr="006810DB">
        <w:rPr>
          <w:rFonts w:ascii="Book Antiqua" w:hAnsi="Book Antiqua"/>
          <w:sz w:val="20"/>
          <w:szCs w:val="20"/>
          <w:lang w:val="en"/>
        </w:rPr>
        <w:t>. Dosis yang mencapai keparahan lesi yang signifikan tanpa menyebabkan mortalitas adalah kandidat utama.</w:t>
      </w:r>
    </w:p>
    <w:p w14:paraId="009B5708" w14:textId="6978AACE" w:rsidR="00B258B7" w:rsidRPr="006810DB" w:rsidRDefault="00B258B7" w:rsidP="006810DB">
      <w:pPr>
        <w:pStyle w:val="ListParagraph"/>
        <w:numPr>
          <w:ilvl w:val="0"/>
          <w:numId w:val="52"/>
        </w:numPr>
        <w:spacing w:after="0" w:line="276" w:lineRule="auto"/>
        <w:ind w:left="567" w:hanging="283"/>
        <w:contextualSpacing w:val="0"/>
        <w:jc w:val="both"/>
        <w:rPr>
          <w:rFonts w:ascii="Book Antiqua" w:hAnsi="Book Antiqua"/>
          <w:b/>
          <w:bCs/>
          <w:sz w:val="20"/>
          <w:szCs w:val="20"/>
          <w:lang w:val="en"/>
        </w:rPr>
      </w:pPr>
      <w:bookmarkStart w:id="147" w:name="_fvrrwbnoyo7t" w:colFirst="0" w:colLast="0"/>
      <w:bookmarkEnd w:id="147"/>
      <w:r w:rsidRPr="006810DB">
        <w:rPr>
          <w:rFonts w:ascii="Book Antiqua" w:hAnsi="Book Antiqua"/>
          <w:b/>
          <w:bCs/>
          <w:sz w:val="20"/>
          <w:szCs w:val="20"/>
          <w:lang w:val="en"/>
        </w:rPr>
        <w:t>Konsistensi Munculnya Lesi pada Area Bukal</w:t>
      </w:r>
    </w:p>
    <w:p w14:paraId="6266828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Variabilitas adalah musuh dari penelitian ilmiah yang baik. Dosis yang optimal harus secara andal menginduksi lesi di lokasi anatomi yang telah ditentukan, dalam hal ini, mukosa bukal, pada hampir semua hewan yang terpapar. Jika suatu dosis hanya menghasilkan lesi pada 50% hewan, maka dibutuhkan jumlah hewan dua kali lipat untuk mencapai kekuatan statistik yang sama, yang bertentangan dengan prinsip etis </w:t>
      </w:r>
      <w:r w:rsidRPr="006810DB">
        <w:rPr>
          <w:rFonts w:ascii="Book Antiqua" w:hAnsi="Book Antiqua"/>
          <w:i/>
          <w:iCs/>
          <w:sz w:val="20"/>
          <w:szCs w:val="20"/>
          <w:lang w:val="en"/>
        </w:rPr>
        <w:t>Reduction</w:t>
      </w:r>
      <w:r w:rsidRPr="006810DB">
        <w:rPr>
          <w:rFonts w:ascii="Book Antiqua" w:hAnsi="Book Antiqua"/>
          <w:sz w:val="20"/>
          <w:szCs w:val="20"/>
          <w:lang w:val="en"/>
        </w:rPr>
        <w:t xml:space="preserve"> (Logan et al., 2007).</w:t>
      </w:r>
    </w:p>
    <w:p w14:paraId="11A97C5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Penggunaan iritasi mekanis ringan, seperti yang dibahas di Bab 5, seringkali membantu meningkatkan konsistensi ini. Dosis yang, dalam kombinasi dengan iritasi standar, secara konsisten menghasilkan ulkus yang dapat diidentifikasi di area yang sama pada &gt;90% hewan dianggap sangat baik. Konsistensi ini memastikan bahwa setiap perbedaan yang diamati antara kelompok kontrol dan terapi lebih mungkin disebabkan oleh efek intervensi daripada oleh variasi acak dalam perkembangan penyakit.</w:t>
      </w:r>
    </w:p>
    <w:p w14:paraId="2E13BCA5" w14:textId="6877DB7F" w:rsidR="00B258B7" w:rsidRPr="006810DB" w:rsidRDefault="00B258B7" w:rsidP="006810DB">
      <w:pPr>
        <w:pStyle w:val="ListParagraph"/>
        <w:numPr>
          <w:ilvl w:val="0"/>
          <w:numId w:val="52"/>
        </w:numPr>
        <w:spacing w:after="0" w:line="276" w:lineRule="auto"/>
        <w:ind w:left="567" w:hanging="283"/>
        <w:contextualSpacing w:val="0"/>
        <w:jc w:val="both"/>
        <w:rPr>
          <w:rFonts w:ascii="Book Antiqua" w:hAnsi="Book Antiqua"/>
          <w:b/>
          <w:bCs/>
          <w:sz w:val="20"/>
          <w:szCs w:val="20"/>
          <w:lang w:val="en"/>
        </w:rPr>
      </w:pPr>
      <w:bookmarkStart w:id="148" w:name="_juiuu9hxf6yo" w:colFirst="0" w:colLast="0"/>
      <w:bookmarkEnd w:id="148"/>
      <w:r w:rsidRPr="006810DB">
        <w:rPr>
          <w:rFonts w:ascii="Book Antiqua" w:hAnsi="Book Antiqua"/>
          <w:b/>
          <w:bCs/>
          <w:sz w:val="20"/>
          <w:szCs w:val="20"/>
          <w:lang w:val="en"/>
        </w:rPr>
        <w:t>Korelasi Dosis dengan Tingkat Keparahan Histopatologis</w:t>
      </w:r>
    </w:p>
    <w:p w14:paraId="4638D1C5"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Penilaian makroskopis, meskipun penting, hanya menceritakan sebagian dari cerita. Validasi akhir dari sebuah dosis datang dari konfirmasi mikroskopis. Dosis yang optimal harus menunjukkan korelasi positif yang kuat antara skor makroskopis (apa yang terlihat oleh mata telanjang) dan </w:t>
      </w:r>
      <w:r w:rsidRPr="006810DB">
        <w:rPr>
          <w:rFonts w:ascii="Book Antiqua" w:hAnsi="Book Antiqua"/>
          <w:sz w:val="20"/>
          <w:szCs w:val="20"/>
          <w:lang w:val="en"/>
        </w:rPr>
        <w:lastRenderedPageBreak/>
        <w:t>skor kerusakan histopatologis (apa yang diamati di bawah mikroskop) (de Barros et al., 2017). Ini berarti bahwa ulkus yang terlihat parah secara visual juga harus menunjukkan penipisan atau hilangnya epitel, infiltrasi sel inflamasi yang masif di submukosa, dan kerusakan jaringan ikat di bawah mikroskop.</w:t>
      </w:r>
    </w:p>
    <w:p w14:paraId="0CD44584" w14:textId="668EF060"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Korelasi ini memvalidasi bahwa skala penilaian makroskopis adalah proksi yang akurat untuk kerusakan jaringan yang sebenarnya. Ini memberikan kepercayaan bahwa perubahan visual yang digunakan untuk menilai efektivitas terapi mencerminkan perbaikan biologis yang nyata di tingkat seluler. Sebuah dosis yang menyebabkan perubahan visual tanpa kerusakan histologis yang sesuai, atau sebaliknya, akan dianggap sebagai model yang tidak dapat diandalkan.</w:t>
      </w:r>
    </w:p>
    <w:p w14:paraId="14A89361" w14:textId="77777777" w:rsidR="00504B56" w:rsidRPr="006810DB" w:rsidRDefault="00504B56" w:rsidP="006810DB">
      <w:pPr>
        <w:spacing w:after="0" w:line="276" w:lineRule="auto"/>
        <w:jc w:val="both"/>
        <w:rPr>
          <w:rFonts w:ascii="Book Antiqua" w:hAnsi="Book Antiqua"/>
          <w:sz w:val="20"/>
          <w:szCs w:val="20"/>
          <w:lang w:val="en"/>
        </w:rPr>
      </w:pPr>
    </w:p>
    <w:p w14:paraId="467B8F5A" w14:textId="1EC54F9A" w:rsidR="00B258B7" w:rsidRPr="006810DB" w:rsidRDefault="00B258B7" w:rsidP="006810DB">
      <w:pPr>
        <w:pStyle w:val="Heading2"/>
        <w:numPr>
          <w:ilvl w:val="0"/>
          <w:numId w:val="21"/>
        </w:numPr>
        <w:ind w:left="284" w:hanging="284"/>
        <w:rPr>
          <w:bCs/>
          <w:szCs w:val="20"/>
          <w:lang w:val="en"/>
        </w:rPr>
      </w:pPr>
      <w:bookmarkStart w:id="149" w:name="_mi6pxajc07lr" w:colFirst="0" w:colLast="0"/>
      <w:bookmarkStart w:id="150" w:name="_Toc223088903"/>
      <w:bookmarkEnd w:id="149"/>
      <w:r w:rsidRPr="006810DB">
        <w:rPr>
          <w:bCs/>
          <w:szCs w:val="20"/>
          <w:lang w:val="en"/>
        </w:rPr>
        <w:t>Analisis Perbandingan Kelompok Perlakuan</w:t>
      </w:r>
      <w:bookmarkEnd w:id="150"/>
    </w:p>
    <w:p w14:paraId="0D374498"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Tahap akhir dari proses optimasi dosis adalah analisis data secara formal untuk membandingkan hasil dari kelompok-kelompok dosis yang berbeda. Ini adalah langkah di mana pengamatan kualitatif diterjemahkan menjadi kesimpulan kuantitatif yang didukung oleh statistik. Dengan memplotkan data dari waktu ke waktu dan menerapkan tes statistik yang sesuai, peneliti dapat secara objektif menentukan dosis mana yang paling efektif memenuhi parameter keberhasilan yang telah ditetapkan sebelumnya. Analisis ini memberikan justifikasi berbasis bukti untuk pemilihan dosis tunggal yang akan digunakan sebagai standar emas untuk semua eksperimen validasi berikutnya.</w:t>
      </w:r>
    </w:p>
    <w:p w14:paraId="1C4F26FB"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Bayangkan seorang insinyur menguji tiga prototipe mesin yang berbeda (tiga kelompok dosis) untuk sebuah mobil baru. Analisis perbandingan adalah proses membawa ketiga prototipe ke trek uji dan menjalankan serangkaian tes standar. Dinamika perubahan klinis adalah seperti memplotkan grafik konsumsi bahan bakar dan suhu mesin dari waktu ke waktu selama pengujian, ini menunjukkan </w:t>
      </w:r>
      <w:r w:rsidRPr="006810DB">
        <w:rPr>
          <w:rFonts w:ascii="Book Antiqua" w:hAnsi="Book Antiqua"/>
          <w:sz w:val="20"/>
          <w:szCs w:val="20"/>
          <w:lang w:val="en"/>
        </w:rPr>
        <w:lastRenderedPageBreak/>
        <w:t>bagaimana setiap mesin berperilaku di bawah tekanan. Signifikansi perbedaan adalah seperti menjalankan balapan head-to-head dan menggunakan stopwatch untuk melihat apakah perbedaan waktu putaran antar mesin benar-benar nyata atau hanya kebetulan. Penentuan dosis standar adalah keputusan akhir insinyur untuk memilih satu desain mesin yang memberikan keseimbangan terbaik antara tenaga, efisiensi, dan keandalan untuk diproduksi secara massal.</w:t>
      </w:r>
    </w:p>
    <w:p w14:paraId="239721A9" w14:textId="7542B8CB" w:rsidR="00B258B7" w:rsidRPr="006810DB" w:rsidRDefault="00B258B7" w:rsidP="006810DB">
      <w:pPr>
        <w:pStyle w:val="ListParagraph"/>
        <w:numPr>
          <w:ilvl w:val="0"/>
          <w:numId w:val="53"/>
        </w:numPr>
        <w:spacing w:after="0" w:line="276" w:lineRule="auto"/>
        <w:ind w:left="567" w:hanging="283"/>
        <w:contextualSpacing w:val="0"/>
        <w:jc w:val="both"/>
        <w:rPr>
          <w:rFonts w:ascii="Book Antiqua" w:hAnsi="Book Antiqua"/>
          <w:b/>
          <w:bCs/>
          <w:sz w:val="20"/>
          <w:szCs w:val="20"/>
          <w:lang w:val="en"/>
        </w:rPr>
      </w:pPr>
      <w:bookmarkStart w:id="151" w:name="_j61gvdsz6ew" w:colFirst="0" w:colLast="0"/>
      <w:bookmarkEnd w:id="151"/>
      <w:r w:rsidRPr="006810DB">
        <w:rPr>
          <w:rFonts w:ascii="Book Antiqua" w:hAnsi="Book Antiqua"/>
          <w:b/>
          <w:bCs/>
          <w:sz w:val="20"/>
          <w:szCs w:val="20"/>
          <w:lang w:val="en"/>
        </w:rPr>
        <w:t>Dinamika Perubahan Klinis Harian</w:t>
      </w:r>
    </w:p>
    <w:p w14:paraId="77F305E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Memantau parameter klinis seperti berat badan setiap hari memberikan gambaran dinamis tentang bagaimana setiap dosis memengaruhi hewan dari waktu ke waktu. Ketika data berat badan rata-rata untuk setiap kelompok dosis diplot pada grafik, pola yang berbeda sering kali muncul. Kelompok dosis rendah mungkin menunjukkan sedikit atau tidak ada penurunan. Kelompok dosis tinggi akan menunjukkan penurunan yang tajam dan berkelanjutan. Kelompok dosis optimal yang dicari akan menunjukkan kurva di mana terjadi penurunan berat badan yang jelas dan signifikan, mencapai titik terendah sekitar waktu puncak mukositis, dan idealnya, mulai menunjukkan tanda-tanda pemulihan (sedikit peningkatan berat badan) menjelang akhir periode pengamatan (Morais et al., 2015).</w:t>
      </w:r>
    </w:p>
    <w:p w14:paraId="4135F03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Grafik ini sangat informatif karena tidak hanya menunjukkan besarnya dampak tetapi juga waktu terjadinya. Ini membantu mengkonfirmasi bahwa morbiditas yang diamati (penurunan berat badan) bertepatan dengan waktu perkembangan mukositis yang diharapkan, memperkuat hubungan sebab-akibat.</w:t>
      </w:r>
    </w:p>
    <w:p w14:paraId="4D4C6516" w14:textId="6B728C88" w:rsidR="00B258B7" w:rsidRPr="006810DB" w:rsidRDefault="00B258B7" w:rsidP="006810DB">
      <w:pPr>
        <w:pStyle w:val="ListParagraph"/>
        <w:numPr>
          <w:ilvl w:val="0"/>
          <w:numId w:val="53"/>
        </w:numPr>
        <w:spacing w:after="0" w:line="276" w:lineRule="auto"/>
        <w:ind w:left="567" w:hanging="283"/>
        <w:contextualSpacing w:val="0"/>
        <w:jc w:val="both"/>
        <w:rPr>
          <w:rFonts w:ascii="Book Antiqua" w:hAnsi="Book Antiqua"/>
          <w:b/>
          <w:bCs/>
          <w:sz w:val="20"/>
          <w:szCs w:val="20"/>
          <w:lang w:val="en"/>
        </w:rPr>
      </w:pPr>
      <w:bookmarkStart w:id="152" w:name="_u3xnzu6cbkwj" w:colFirst="0" w:colLast="0"/>
      <w:bookmarkEnd w:id="152"/>
      <w:r w:rsidRPr="006810DB">
        <w:rPr>
          <w:rFonts w:ascii="Book Antiqua" w:hAnsi="Book Antiqua"/>
          <w:b/>
          <w:bCs/>
          <w:sz w:val="20"/>
          <w:szCs w:val="20"/>
          <w:lang w:val="en"/>
        </w:rPr>
        <w:t xml:space="preserve">Signifikansi Perbedaan </w:t>
      </w:r>
      <w:r w:rsidR="006D3DC3" w:rsidRPr="006810DB">
        <w:rPr>
          <w:rFonts w:ascii="Book Antiqua" w:hAnsi="Book Antiqua"/>
          <w:b/>
          <w:bCs/>
          <w:sz w:val="20"/>
          <w:szCs w:val="20"/>
          <w:lang w:val="en"/>
        </w:rPr>
        <w:t>ant</w:t>
      </w:r>
      <w:r w:rsidRPr="006810DB">
        <w:rPr>
          <w:rFonts w:ascii="Book Antiqua" w:hAnsi="Book Antiqua"/>
          <w:b/>
          <w:bCs/>
          <w:sz w:val="20"/>
          <w:szCs w:val="20"/>
          <w:lang w:val="en"/>
        </w:rPr>
        <w:t>ar Kelompok Dosis</w:t>
      </w:r>
    </w:p>
    <w:p w14:paraId="06CEDC4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056B27">
        <w:rPr>
          <w:rFonts w:ascii="Book Antiqua" w:hAnsi="Book Antiqua"/>
          <w:sz w:val="20"/>
          <w:szCs w:val="20"/>
          <w:highlight w:val="cyan"/>
          <w:lang w:val="en"/>
        </w:rPr>
        <w:t>Setelah data dikumpulkan pada titik akhir studi (misalnya, skor makroskopis, skor histopatologis, persentase penurunan berat badan maksimum),</w:t>
      </w:r>
      <w:r w:rsidRPr="006810DB">
        <w:rPr>
          <w:rFonts w:ascii="Book Antiqua" w:hAnsi="Book Antiqua"/>
          <w:sz w:val="20"/>
          <w:szCs w:val="20"/>
          <w:lang w:val="en"/>
        </w:rPr>
        <w:t xml:space="preserve"> tes statistik digunakan untuk menentukan apakah perbedaan yang diamati antar kelompok dosis signifikan secara statistik. Misalnya, analisis varians (ANOVA) yang diikuti dengan uji post-hoc dapat </w:t>
      </w:r>
      <w:r w:rsidRPr="006810DB">
        <w:rPr>
          <w:rFonts w:ascii="Book Antiqua" w:hAnsi="Book Antiqua"/>
          <w:sz w:val="20"/>
          <w:szCs w:val="20"/>
          <w:lang w:val="en"/>
        </w:rPr>
        <w:lastRenderedPageBreak/>
        <w:t>digunakan untuk membandingkan skor mukositis rata-rata antara kelompok dosis 3 mg/kg, 5 mg/kg, dan 6 mg/kg (Mace et al., 2017).</w:t>
      </w:r>
    </w:p>
    <w:p w14:paraId="48E6519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Hasil yang ideal adalah menemukan perbedaan yang signifikan secara statistik antara dosis rendah dan dosis sedang (menunjukkan bahwa dosis sedang secara efektif menginduksi penyakit), dan juga perbedaan signifikan dalam parameter toksisitas (seperti kelangsungan hidup atau penurunan berat badan) antara dosis sedang dan dosis tinggi. Analisis ini mengubah pengamatan menjadi bukti, memberikan dasar kuantitatif untuk menyatakan bahwa satu dosis secara terukur lebih baik daripada yang lain dalam menciptakan model yang diinginkan.</w:t>
      </w:r>
    </w:p>
    <w:p w14:paraId="46D5AD21" w14:textId="041626F2" w:rsidR="00B258B7" w:rsidRPr="006810DB" w:rsidRDefault="00B258B7" w:rsidP="006810DB">
      <w:pPr>
        <w:pStyle w:val="ListParagraph"/>
        <w:numPr>
          <w:ilvl w:val="0"/>
          <w:numId w:val="53"/>
        </w:numPr>
        <w:spacing w:after="0" w:line="276" w:lineRule="auto"/>
        <w:ind w:left="567" w:hanging="283"/>
        <w:contextualSpacing w:val="0"/>
        <w:jc w:val="both"/>
        <w:rPr>
          <w:rFonts w:ascii="Book Antiqua" w:hAnsi="Book Antiqua"/>
          <w:b/>
          <w:bCs/>
          <w:sz w:val="20"/>
          <w:szCs w:val="20"/>
          <w:lang w:val="en"/>
        </w:rPr>
      </w:pPr>
      <w:bookmarkStart w:id="153" w:name="_d21ofarxzkg" w:colFirst="0" w:colLast="0"/>
      <w:bookmarkEnd w:id="153"/>
      <w:r w:rsidRPr="006810DB">
        <w:rPr>
          <w:rFonts w:ascii="Book Antiqua" w:hAnsi="Book Antiqua"/>
          <w:b/>
          <w:bCs/>
          <w:sz w:val="20"/>
          <w:szCs w:val="20"/>
          <w:lang w:val="en"/>
        </w:rPr>
        <w:t>Penentuan Dosis Standar untuk Uji Preklinis Lanjutan</w:t>
      </w:r>
    </w:p>
    <w:p w14:paraId="0E5FB49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056B27">
        <w:rPr>
          <w:rFonts w:ascii="Book Antiqua" w:hAnsi="Book Antiqua"/>
          <w:sz w:val="20"/>
          <w:szCs w:val="20"/>
          <w:highlight w:val="cyan"/>
          <w:lang w:val="en"/>
        </w:rPr>
        <w:t>Berdasarkan sintesis dari semua data, keseimbangan kelangsungan hidup dan morbiditas, konsistensi lesi, korelasi histologis, dan analisis statistik, satu dosis dipilih sebagai "dosis standar" atau "dosis kerja".</w:t>
      </w:r>
      <w:r w:rsidRPr="006810DB">
        <w:rPr>
          <w:rFonts w:ascii="Book Antiqua" w:hAnsi="Book Antiqua"/>
          <w:sz w:val="20"/>
          <w:szCs w:val="20"/>
          <w:lang w:val="en"/>
        </w:rPr>
        <w:t xml:space="preserve"> Keputusan ini didokumentasikan dengan justifikasi yang jelas. Misalnya, kesimpulannya mungkin berbunyi: "Dosis tunggal 5 mg/kgBB cisplatin IP dipilih sebagai dosis standar karena secara konsisten menginduksi mukositis ulseratif yang dapat diukur (skor rata-rata &gt;3) dengan mortalitas nol, dan skor makroskopisnya berkolerasi kuat dengan kerusakan histopatologis."</w:t>
      </w:r>
    </w:p>
    <w:p w14:paraId="089ECF88"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056B27">
        <w:rPr>
          <w:rFonts w:ascii="Book Antiqua" w:hAnsi="Book Antiqua"/>
          <w:sz w:val="20"/>
          <w:szCs w:val="20"/>
          <w:lang w:val="en"/>
        </w:rPr>
        <w:t>Setelah ditetapkan, dosis standar ini harus digunakan secara konsisten dalam semua eksperimen berikutnya yang menggunakan model ini.</w:t>
      </w:r>
      <w:r w:rsidRPr="006810DB">
        <w:rPr>
          <w:rFonts w:ascii="Book Antiqua" w:hAnsi="Book Antiqua"/>
          <w:sz w:val="20"/>
          <w:szCs w:val="20"/>
          <w:lang w:val="en"/>
        </w:rPr>
        <w:t xml:space="preserve"> Standarisasi ini sangat penting untuk memastikan reproduktifitas penelitian. Ini memungkinkan hasil dari berbagai eksperimen, yang mungkin dilakukan pada waktu yang berbeda, untuk dapat </w:t>
      </w:r>
      <w:r w:rsidRPr="00056B27">
        <w:rPr>
          <w:rFonts w:ascii="Book Antiqua" w:hAnsi="Book Antiqua"/>
          <w:sz w:val="20"/>
          <w:szCs w:val="20"/>
          <w:lang w:val="en"/>
        </w:rPr>
        <w:t>dibandingkan satu sama lain secara langsung, dan memungkinkan laboratorium lain untuk mereplikasi dan membangun di atas temuan penelitian tersebut.</w:t>
      </w:r>
    </w:p>
    <w:p w14:paraId="0F879327" w14:textId="77777777" w:rsidR="002B0035" w:rsidRPr="006810DB" w:rsidRDefault="002B0035" w:rsidP="006810DB">
      <w:pPr>
        <w:spacing w:after="0" w:line="276" w:lineRule="auto"/>
        <w:jc w:val="both"/>
        <w:rPr>
          <w:rFonts w:ascii="Book Antiqua" w:hAnsi="Book Antiqua"/>
          <w:b/>
          <w:bCs/>
          <w:sz w:val="20"/>
          <w:szCs w:val="20"/>
          <w:lang w:val="en"/>
        </w:rPr>
      </w:pPr>
      <w:bookmarkStart w:id="154" w:name="_sdpmua1la3os" w:colFirst="0" w:colLast="0"/>
      <w:bookmarkEnd w:id="154"/>
    </w:p>
    <w:p w14:paraId="074D8109" w14:textId="77777777" w:rsidR="00D51341" w:rsidRPr="006810DB" w:rsidRDefault="00D51341" w:rsidP="006810DB">
      <w:pPr>
        <w:spacing w:line="276" w:lineRule="auto"/>
        <w:rPr>
          <w:rFonts w:ascii="Book Antiqua" w:eastAsiaTheme="majorEastAsia" w:hAnsi="Book Antiqua" w:cstheme="majorBidi"/>
          <w:b/>
          <w:color w:val="000000" w:themeColor="text1"/>
          <w:sz w:val="20"/>
          <w:szCs w:val="26"/>
          <w:lang w:val="zh-CN"/>
        </w:rPr>
      </w:pPr>
      <w:r w:rsidRPr="006810DB">
        <w:rPr>
          <w:rFonts w:ascii="Book Antiqua" w:hAnsi="Book Antiqua"/>
        </w:rPr>
        <w:br w:type="page"/>
      </w:r>
    </w:p>
    <w:p w14:paraId="4F8C585E" w14:textId="58386A29" w:rsidR="00B258B7" w:rsidRPr="006810DB" w:rsidRDefault="00B258B7" w:rsidP="006810DB">
      <w:pPr>
        <w:pStyle w:val="Heading2"/>
        <w:jc w:val="center"/>
        <w:rPr>
          <w:b w:val="0"/>
          <w:bCs/>
          <w:szCs w:val="20"/>
          <w:lang w:val="en"/>
        </w:rPr>
      </w:pPr>
      <w:bookmarkStart w:id="155" w:name="_Toc223088904"/>
      <w:r w:rsidRPr="006810DB">
        <w:rPr>
          <w:highlight w:val="yellow"/>
        </w:rPr>
        <w:lastRenderedPageBreak/>
        <w:t>KESIMPULAN</w:t>
      </w:r>
      <w:bookmarkEnd w:id="155"/>
    </w:p>
    <w:p w14:paraId="0EA76478" w14:textId="46C60A0A" w:rsidR="00D51341" w:rsidRPr="006810DB" w:rsidRDefault="00D51341" w:rsidP="006810DB">
      <w:pPr>
        <w:spacing w:after="0" w:line="276" w:lineRule="auto"/>
        <w:jc w:val="both"/>
        <w:rPr>
          <w:rFonts w:ascii="Book Antiqua" w:hAnsi="Book Antiqua"/>
          <w:b/>
          <w:bCs/>
          <w:sz w:val="20"/>
          <w:szCs w:val="20"/>
          <w:lang w:val="en"/>
        </w:rPr>
      </w:pPr>
    </w:p>
    <w:p w14:paraId="367C0630" w14:textId="77777777" w:rsidR="00D51341" w:rsidRPr="006810DB" w:rsidRDefault="00D51341" w:rsidP="006810DB">
      <w:pPr>
        <w:spacing w:after="0" w:line="276" w:lineRule="auto"/>
        <w:jc w:val="both"/>
        <w:rPr>
          <w:rFonts w:ascii="Book Antiqua" w:hAnsi="Book Antiqua"/>
          <w:b/>
          <w:bCs/>
          <w:sz w:val="20"/>
          <w:szCs w:val="20"/>
          <w:lang w:val="en"/>
        </w:rPr>
      </w:pPr>
    </w:p>
    <w:p w14:paraId="3B17140C" w14:textId="77777777" w:rsidR="00D51341" w:rsidRPr="006810DB" w:rsidRDefault="00D51341" w:rsidP="006810DB">
      <w:pPr>
        <w:spacing w:line="276" w:lineRule="auto"/>
        <w:rPr>
          <w:rFonts w:ascii="Book Antiqua" w:eastAsiaTheme="majorEastAsia" w:hAnsi="Book Antiqua" w:cstheme="majorBidi"/>
          <w:b/>
          <w:bCs/>
          <w:color w:val="000000" w:themeColor="text1"/>
          <w:sz w:val="20"/>
          <w:szCs w:val="20"/>
          <w:lang w:val="en"/>
        </w:rPr>
      </w:pPr>
      <w:r w:rsidRPr="006810DB">
        <w:rPr>
          <w:rFonts w:ascii="Book Antiqua" w:hAnsi="Book Antiqua"/>
          <w:bCs/>
          <w:szCs w:val="20"/>
          <w:lang w:val="en"/>
        </w:rPr>
        <w:br w:type="page"/>
      </w:r>
    </w:p>
    <w:p w14:paraId="287BDDAD" w14:textId="77777777" w:rsidR="00824155" w:rsidRPr="006810DB" w:rsidRDefault="00824155" w:rsidP="00824155">
      <w:pPr>
        <w:pStyle w:val="Heading2"/>
        <w:jc w:val="center"/>
        <w:rPr>
          <w:rFonts w:eastAsia="DengXian"/>
          <w:b w:val="0"/>
          <w:bCs/>
          <w:szCs w:val="20"/>
          <w:lang w:val="en" w:eastAsia="zh-CN"/>
        </w:rPr>
      </w:pPr>
      <w:bookmarkStart w:id="156" w:name="_Toc223088905"/>
      <w:r w:rsidRPr="006810DB">
        <w:rPr>
          <w:bCs/>
          <w:szCs w:val="20"/>
          <w:highlight w:val="yellow"/>
          <w:lang w:val="en"/>
        </w:rPr>
        <w:lastRenderedPageBreak/>
        <w:t>GLOSARIUM</w:t>
      </w:r>
      <w:bookmarkStart w:id="157" w:name="_4i6vx33faswt" w:colFirst="0" w:colLast="0"/>
      <w:bookmarkEnd w:id="156"/>
      <w:bookmarkEnd w:id="157"/>
    </w:p>
    <w:p w14:paraId="32F3F96F" w14:textId="77777777" w:rsidR="00824155" w:rsidRPr="006810DB" w:rsidRDefault="00824155" w:rsidP="00824155">
      <w:pPr>
        <w:spacing w:after="0" w:line="276" w:lineRule="auto"/>
        <w:jc w:val="both"/>
        <w:rPr>
          <w:rFonts w:ascii="Book Antiqua" w:hAnsi="Book Antiqua"/>
          <w:b/>
          <w:bCs/>
          <w:sz w:val="20"/>
          <w:szCs w:val="20"/>
          <w:lang w:val="en"/>
        </w:rPr>
      </w:pPr>
    </w:p>
    <w:p w14:paraId="54B4EB05" w14:textId="77777777" w:rsidR="00824155" w:rsidRPr="006810DB" w:rsidRDefault="00824155" w:rsidP="00824155">
      <w:pPr>
        <w:spacing w:after="0" w:line="276" w:lineRule="auto"/>
        <w:jc w:val="both"/>
        <w:rPr>
          <w:rFonts w:ascii="Book Antiqua" w:hAnsi="Book Antiqua"/>
          <w:b/>
          <w:bCs/>
          <w:sz w:val="20"/>
          <w:szCs w:val="20"/>
          <w:lang w:val="en"/>
        </w:rPr>
      </w:pPr>
    </w:p>
    <w:p w14:paraId="3BA8F489" w14:textId="77777777" w:rsidR="00824155" w:rsidRPr="006810DB" w:rsidRDefault="00824155" w:rsidP="00824155">
      <w:pPr>
        <w:spacing w:after="0" w:line="276" w:lineRule="auto"/>
        <w:jc w:val="both"/>
        <w:rPr>
          <w:rFonts w:ascii="Book Antiqua" w:hAnsi="Book Antiqua"/>
          <w:b/>
          <w:bCs/>
          <w:sz w:val="20"/>
          <w:szCs w:val="20"/>
          <w:lang w:val="en"/>
        </w:rPr>
      </w:pPr>
      <w:r w:rsidRPr="006810DB">
        <w:rPr>
          <w:rFonts w:ascii="Book Antiqua" w:hAnsi="Book Antiqua"/>
          <w:b/>
          <w:bCs/>
          <w:sz w:val="20"/>
          <w:szCs w:val="20"/>
          <w:lang w:val="en"/>
        </w:rPr>
        <w:br w:type="page"/>
      </w:r>
    </w:p>
    <w:p w14:paraId="3858DECB" w14:textId="77777777" w:rsidR="006D3DC3" w:rsidRPr="006810DB" w:rsidRDefault="006D3DC3" w:rsidP="006810DB">
      <w:pPr>
        <w:pStyle w:val="Heading2"/>
        <w:jc w:val="center"/>
      </w:pPr>
      <w:bookmarkStart w:id="158" w:name="_Toc223088906"/>
      <w:r w:rsidRPr="006810DB">
        <w:lastRenderedPageBreak/>
        <w:t>DAFTAR PUSTAKA</w:t>
      </w:r>
      <w:bookmarkEnd w:id="158"/>
    </w:p>
    <w:p w14:paraId="4467F686" w14:textId="77777777" w:rsidR="006D3DC3" w:rsidRPr="006810DB" w:rsidRDefault="006D3DC3" w:rsidP="006810DB">
      <w:pPr>
        <w:spacing w:after="0" w:line="276" w:lineRule="auto"/>
        <w:jc w:val="both"/>
        <w:rPr>
          <w:rFonts w:ascii="Book Antiqua" w:hAnsi="Book Antiqua"/>
          <w:b/>
          <w:bCs/>
          <w:sz w:val="20"/>
          <w:szCs w:val="20"/>
          <w:lang w:val="en"/>
        </w:rPr>
      </w:pPr>
    </w:p>
    <w:p w14:paraId="63695848"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Ariyan, W. M., Sudjarwo, S. A., &amp; Yuniati, T. (2018). The Effect of Red Dragon Fruit Peel Extract (Hylocereus polyrhizus) on the Malondialdehyde (MDA) Level of Cisplatin-Induced Wistar Rats. </w:t>
      </w:r>
      <w:r w:rsidRPr="006810DB">
        <w:rPr>
          <w:rFonts w:ascii="Book Antiqua" w:hAnsi="Book Antiqua"/>
          <w:i/>
          <w:iCs/>
          <w:color w:val="000000" w:themeColor="text1"/>
          <w:sz w:val="20"/>
          <w:szCs w:val="20"/>
          <w:lang w:val="en"/>
        </w:rPr>
        <w:t>KnE Life Sciences</w:t>
      </w:r>
      <w:r w:rsidRPr="006810DB">
        <w:rPr>
          <w:rFonts w:ascii="Book Antiqua" w:hAnsi="Book Antiqua"/>
          <w:color w:val="000000" w:themeColor="text1"/>
          <w:sz w:val="20"/>
          <w:szCs w:val="20"/>
          <w:lang w:val="en"/>
        </w:rPr>
        <w:t>, 255-263.</w:t>
      </w:r>
      <w:hyperlink r:id="rId125">
        <w:r w:rsidRPr="006810DB">
          <w:rPr>
            <w:rStyle w:val="Hyperlink"/>
            <w:rFonts w:ascii="Book Antiqua" w:hAnsi="Book Antiqua"/>
            <w:color w:val="000000" w:themeColor="text1"/>
            <w:sz w:val="20"/>
            <w:szCs w:val="20"/>
            <w:u w:val="none"/>
            <w:lang w:val="en"/>
          </w:rPr>
          <w:t xml:space="preserve"> </w:t>
        </w:r>
      </w:hyperlink>
      <w:hyperlink r:id="rId126">
        <w:r w:rsidRPr="006810DB">
          <w:rPr>
            <w:rStyle w:val="Hyperlink"/>
            <w:rFonts w:ascii="Book Antiqua" w:hAnsi="Book Antiqua"/>
            <w:color w:val="000000" w:themeColor="text1"/>
            <w:sz w:val="20"/>
            <w:szCs w:val="20"/>
            <w:u w:val="none"/>
            <w:lang w:val="en"/>
          </w:rPr>
          <w:t>https://doi.org/10.18502/kls.v4i4.2294</w:t>
        </w:r>
      </w:hyperlink>
    </w:p>
    <w:p w14:paraId="5B6CA7AF"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de Barros, A. C., de Oliveira, A. R., &amp; de Paula, L. G. (2017). Development and validation of an experimental model of oral mucositis induced by 5-fluorouracil in rats. </w:t>
      </w:r>
      <w:r w:rsidRPr="006810DB">
        <w:rPr>
          <w:rFonts w:ascii="Book Antiqua" w:hAnsi="Book Antiqua"/>
          <w:i/>
          <w:iCs/>
          <w:color w:val="000000" w:themeColor="text1"/>
          <w:sz w:val="20"/>
          <w:szCs w:val="20"/>
          <w:lang w:val="en"/>
        </w:rPr>
        <w:t>Journal of Applied Oral Science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25</w:t>
      </w:r>
      <w:r w:rsidRPr="006810DB">
        <w:rPr>
          <w:rFonts w:ascii="Book Antiqua" w:hAnsi="Book Antiqua"/>
          <w:color w:val="000000" w:themeColor="text1"/>
          <w:sz w:val="20"/>
          <w:szCs w:val="20"/>
          <w:lang w:val="en"/>
        </w:rPr>
        <w:t>(5), 513–521.</w:t>
      </w:r>
      <w:hyperlink r:id="rId127">
        <w:r w:rsidRPr="006810DB">
          <w:rPr>
            <w:rStyle w:val="Hyperlink"/>
            <w:rFonts w:ascii="Book Antiqua" w:hAnsi="Book Antiqua"/>
            <w:color w:val="000000" w:themeColor="text1"/>
            <w:sz w:val="20"/>
            <w:szCs w:val="20"/>
            <w:u w:val="none"/>
            <w:lang w:val="en"/>
          </w:rPr>
          <w:t xml:space="preserve"> </w:t>
        </w:r>
      </w:hyperlink>
      <w:hyperlink r:id="rId128">
        <w:r w:rsidRPr="006810DB">
          <w:rPr>
            <w:rStyle w:val="Hyperlink"/>
            <w:rFonts w:ascii="Book Antiqua" w:hAnsi="Book Antiqua"/>
            <w:color w:val="000000" w:themeColor="text1"/>
            <w:sz w:val="20"/>
            <w:szCs w:val="20"/>
            <w:u w:val="none"/>
            <w:lang w:val="en"/>
          </w:rPr>
          <w:t>https://doi.org/10.1590/1678-7757-2016-0610</w:t>
        </w:r>
      </w:hyperlink>
    </w:p>
    <w:p w14:paraId="7269C322"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Kadarullah, O., Tamtomo, D., Wasita, B., Setiamika, M., Prayitno, A., Widyaningsih, V., &amp; Soetrisno, S. (2024). Cisplatin-Induced Oral Mucositis Prevention: Nigella sativa’s Anti-Inflammatory Role through NFκB Pathway. </w:t>
      </w:r>
      <w:r w:rsidRPr="006810DB">
        <w:rPr>
          <w:rFonts w:ascii="Book Antiqua" w:hAnsi="Book Antiqua"/>
          <w:i/>
          <w:iCs/>
          <w:color w:val="000000" w:themeColor="text1"/>
          <w:sz w:val="20"/>
          <w:szCs w:val="20"/>
          <w:lang w:val="en"/>
        </w:rPr>
        <w:t>Trends in Sciences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21</w:t>
      </w:r>
      <w:r w:rsidRPr="006810DB">
        <w:rPr>
          <w:rFonts w:ascii="Book Antiqua" w:hAnsi="Book Antiqua"/>
          <w:color w:val="000000" w:themeColor="text1"/>
          <w:sz w:val="20"/>
          <w:szCs w:val="20"/>
          <w:lang w:val="en"/>
        </w:rPr>
        <w:t>(1), 8105.</w:t>
      </w:r>
      <w:hyperlink r:id="rId129">
        <w:r w:rsidRPr="006810DB">
          <w:rPr>
            <w:rStyle w:val="Hyperlink"/>
            <w:rFonts w:ascii="Book Antiqua" w:hAnsi="Book Antiqua"/>
            <w:color w:val="000000" w:themeColor="text1"/>
            <w:sz w:val="20"/>
            <w:szCs w:val="20"/>
            <w:u w:val="none"/>
            <w:lang w:val="en"/>
          </w:rPr>
          <w:t xml:space="preserve"> </w:t>
        </w:r>
      </w:hyperlink>
      <w:hyperlink r:id="rId130">
        <w:r w:rsidRPr="006810DB">
          <w:rPr>
            <w:rStyle w:val="Hyperlink"/>
            <w:rFonts w:ascii="Book Antiqua" w:hAnsi="Book Antiqua"/>
            <w:color w:val="000000" w:themeColor="text1"/>
            <w:sz w:val="20"/>
            <w:szCs w:val="20"/>
            <w:u w:val="none"/>
            <w:lang w:val="en"/>
          </w:rPr>
          <w:t>https://doi.org/10.48048/tis.2024.8105</w:t>
        </w:r>
      </w:hyperlink>
    </w:p>
    <w:p w14:paraId="5E6FD208"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Kim, J., Kim, Y., &amp; Kim, Y. H. (2012). Attenuation of cisplatin-induced nephrotoxicity by a Rho-kinase inhibitor (Y-27632) in rats. </w:t>
      </w:r>
      <w:r w:rsidRPr="006810DB">
        <w:rPr>
          <w:rFonts w:ascii="Book Antiqua" w:hAnsi="Book Antiqua"/>
          <w:i/>
          <w:iCs/>
          <w:color w:val="000000" w:themeColor="text1"/>
          <w:sz w:val="20"/>
          <w:szCs w:val="20"/>
          <w:lang w:val="en"/>
        </w:rPr>
        <w:t>Kidney and Blood Pressure Research</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35</w:t>
      </w:r>
      <w:r w:rsidRPr="006810DB">
        <w:rPr>
          <w:rFonts w:ascii="Book Antiqua" w:hAnsi="Book Antiqua"/>
          <w:color w:val="000000" w:themeColor="text1"/>
          <w:sz w:val="20"/>
          <w:szCs w:val="20"/>
          <w:lang w:val="en"/>
        </w:rPr>
        <w:t>(6), 577–586.</w:t>
      </w:r>
      <w:hyperlink r:id="rId131">
        <w:r w:rsidRPr="006810DB">
          <w:rPr>
            <w:rStyle w:val="Hyperlink"/>
            <w:rFonts w:ascii="Book Antiqua" w:hAnsi="Book Antiqua"/>
            <w:color w:val="000000" w:themeColor="text1"/>
            <w:sz w:val="20"/>
            <w:szCs w:val="20"/>
            <w:u w:val="none"/>
            <w:lang w:val="en"/>
          </w:rPr>
          <w:t xml:space="preserve"> </w:t>
        </w:r>
      </w:hyperlink>
      <w:hyperlink r:id="rId132">
        <w:r w:rsidRPr="006810DB">
          <w:rPr>
            <w:rStyle w:val="Hyperlink"/>
            <w:rFonts w:ascii="Book Antiqua" w:hAnsi="Book Antiqua"/>
            <w:color w:val="000000" w:themeColor="text1"/>
            <w:sz w:val="20"/>
            <w:szCs w:val="20"/>
            <w:u w:val="none"/>
            <w:lang w:val="en"/>
          </w:rPr>
          <w:t>https://doi.org/10.1159/000341517</w:t>
        </w:r>
      </w:hyperlink>
    </w:p>
    <w:p w14:paraId="02D95F4B"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Logan, R. M., Stringer, A. M., &amp; Bowen, J. M. (2007). A new animal model for chemotherapy-induced enterocolitis. </w:t>
      </w:r>
      <w:r w:rsidRPr="006810DB">
        <w:rPr>
          <w:rFonts w:ascii="Book Antiqua" w:hAnsi="Book Antiqua"/>
          <w:i/>
          <w:iCs/>
          <w:color w:val="000000" w:themeColor="text1"/>
          <w:sz w:val="20"/>
          <w:szCs w:val="20"/>
          <w:lang w:val="en"/>
        </w:rPr>
        <w:t>Cancer Chemotherapy and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60</w:t>
      </w:r>
      <w:r w:rsidRPr="006810DB">
        <w:rPr>
          <w:rFonts w:ascii="Book Antiqua" w:hAnsi="Book Antiqua"/>
          <w:color w:val="000000" w:themeColor="text1"/>
          <w:sz w:val="20"/>
          <w:szCs w:val="20"/>
          <w:lang w:val="en"/>
        </w:rPr>
        <w:t>(5), 651–660.</w:t>
      </w:r>
      <w:hyperlink r:id="rId133">
        <w:r w:rsidRPr="006810DB">
          <w:rPr>
            <w:rStyle w:val="Hyperlink"/>
            <w:rFonts w:ascii="Book Antiqua" w:hAnsi="Book Antiqua"/>
            <w:color w:val="000000" w:themeColor="text1"/>
            <w:sz w:val="20"/>
            <w:szCs w:val="20"/>
            <w:u w:val="none"/>
            <w:lang w:val="en"/>
          </w:rPr>
          <w:t xml:space="preserve"> </w:t>
        </w:r>
      </w:hyperlink>
      <w:hyperlink r:id="rId134">
        <w:r w:rsidRPr="006810DB">
          <w:rPr>
            <w:rStyle w:val="Hyperlink"/>
            <w:rFonts w:ascii="Book Antiqua" w:hAnsi="Book Antiqua"/>
            <w:color w:val="000000" w:themeColor="text1"/>
            <w:sz w:val="20"/>
            <w:szCs w:val="20"/>
            <w:u w:val="none"/>
            <w:lang w:val="en"/>
          </w:rPr>
          <w:t>https://doi.org/10.1007/s00280-006-0420-5</w:t>
        </w:r>
      </w:hyperlink>
    </w:p>
    <w:p w14:paraId="68296050"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Mace, M. L., Zhong, C., &amp; Lee, A. (2017). A practical guide to the analysis of preclinical animal experiments in nephrology. </w:t>
      </w:r>
      <w:r w:rsidRPr="006810DB">
        <w:rPr>
          <w:rFonts w:ascii="Book Antiqua" w:hAnsi="Book Antiqua"/>
          <w:i/>
          <w:iCs/>
          <w:color w:val="000000" w:themeColor="text1"/>
          <w:sz w:val="20"/>
          <w:szCs w:val="20"/>
          <w:lang w:val="en"/>
        </w:rPr>
        <w:t>Kidney International</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91</w:t>
      </w:r>
      <w:r w:rsidRPr="006810DB">
        <w:rPr>
          <w:rFonts w:ascii="Book Antiqua" w:hAnsi="Book Antiqua"/>
          <w:color w:val="000000" w:themeColor="text1"/>
          <w:sz w:val="20"/>
          <w:szCs w:val="20"/>
          <w:lang w:val="en"/>
        </w:rPr>
        <w:t>(6), 1293-1301.</w:t>
      </w:r>
      <w:hyperlink r:id="rId135">
        <w:r w:rsidRPr="006810DB">
          <w:rPr>
            <w:rStyle w:val="Hyperlink"/>
            <w:rFonts w:ascii="Book Antiqua" w:hAnsi="Book Antiqua"/>
            <w:color w:val="000000" w:themeColor="text1"/>
            <w:sz w:val="20"/>
            <w:szCs w:val="20"/>
            <w:u w:val="none"/>
            <w:lang w:val="en"/>
          </w:rPr>
          <w:t xml:space="preserve"> </w:t>
        </w:r>
      </w:hyperlink>
      <w:hyperlink r:id="rId136">
        <w:r w:rsidRPr="006810DB">
          <w:rPr>
            <w:rStyle w:val="Hyperlink"/>
            <w:rFonts w:ascii="Book Antiqua" w:hAnsi="Book Antiqua"/>
            <w:color w:val="000000" w:themeColor="text1"/>
            <w:sz w:val="20"/>
            <w:szCs w:val="20"/>
            <w:u w:val="none"/>
            <w:lang w:val="en"/>
          </w:rPr>
          <w:t>https://doi.org/10.1016/j.kint.2017.01.018</w:t>
        </w:r>
      </w:hyperlink>
    </w:p>
    <w:p w14:paraId="1660D361"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Morais, M. O., de Melo, F. M. P., &amp; de Almeida, G. K. M. (2015). A new protocol for induction of oral mucositis in rats with 5-fluorouracil and mechanical trauma. </w:t>
      </w:r>
      <w:r w:rsidRPr="006810DB">
        <w:rPr>
          <w:rFonts w:ascii="Book Antiqua" w:hAnsi="Book Antiqua"/>
          <w:i/>
          <w:iCs/>
          <w:color w:val="000000" w:themeColor="text1"/>
          <w:sz w:val="20"/>
          <w:szCs w:val="20"/>
          <w:lang w:val="en"/>
        </w:rPr>
        <w:t>Acta Cirurgica Brasileira</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30</w:t>
      </w:r>
      <w:r w:rsidRPr="006810DB">
        <w:rPr>
          <w:rFonts w:ascii="Book Antiqua" w:hAnsi="Book Antiqua"/>
          <w:color w:val="000000" w:themeColor="text1"/>
          <w:sz w:val="20"/>
          <w:szCs w:val="20"/>
          <w:lang w:val="en"/>
        </w:rPr>
        <w:t>(12), 834-840.</w:t>
      </w:r>
      <w:hyperlink r:id="rId137">
        <w:r w:rsidRPr="006810DB">
          <w:rPr>
            <w:rStyle w:val="Hyperlink"/>
            <w:rFonts w:ascii="Book Antiqua" w:hAnsi="Book Antiqua"/>
            <w:color w:val="000000" w:themeColor="text1"/>
            <w:sz w:val="20"/>
            <w:szCs w:val="20"/>
            <w:u w:val="none"/>
            <w:lang w:val="en"/>
          </w:rPr>
          <w:t xml:space="preserve"> </w:t>
        </w:r>
      </w:hyperlink>
      <w:hyperlink r:id="rId138">
        <w:r w:rsidRPr="006810DB">
          <w:rPr>
            <w:rStyle w:val="Hyperlink"/>
            <w:rFonts w:ascii="Book Antiqua" w:hAnsi="Book Antiqua"/>
            <w:color w:val="000000" w:themeColor="text1"/>
            <w:sz w:val="20"/>
            <w:szCs w:val="20"/>
            <w:u w:val="none"/>
            <w:lang w:val="en"/>
          </w:rPr>
          <w:t>https://doi.org/10.1590/S0102-865020150120000009</w:t>
        </w:r>
      </w:hyperlink>
    </w:p>
    <w:p w14:paraId="1B99F374"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Vera-Sustaita, A., Martínez-Mora, A., &amp; Lara-Campos, J. A. (2021). Experimental models of oral mucositis: a review. </w:t>
      </w:r>
      <w:r w:rsidRPr="006810DB">
        <w:rPr>
          <w:rFonts w:ascii="Book Antiqua" w:hAnsi="Book Antiqua"/>
          <w:i/>
          <w:iCs/>
          <w:color w:val="000000" w:themeColor="text1"/>
          <w:sz w:val="20"/>
          <w:szCs w:val="20"/>
          <w:lang w:val="en"/>
        </w:rPr>
        <w:t>Medicina Oral, Patología Oral y Cirugía Bucal</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26</w:t>
      </w:r>
      <w:r w:rsidRPr="006810DB">
        <w:rPr>
          <w:rFonts w:ascii="Book Antiqua" w:hAnsi="Book Antiqua"/>
          <w:color w:val="000000" w:themeColor="text1"/>
          <w:sz w:val="20"/>
          <w:szCs w:val="20"/>
          <w:lang w:val="en"/>
        </w:rPr>
        <w:t>(4), e467.</w:t>
      </w:r>
      <w:hyperlink r:id="rId139">
        <w:r w:rsidRPr="006810DB">
          <w:rPr>
            <w:rStyle w:val="Hyperlink"/>
            <w:rFonts w:ascii="Book Antiqua" w:hAnsi="Book Antiqua"/>
            <w:color w:val="000000" w:themeColor="text1"/>
            <w:sz w:val="20"/>
            <w:szCs w:val="20"/>
            <w:u w:val="none"/>
            <w:lang w:val="en"/>
          </w:rPr>
          <w:t xml:space="preserve"> </w:t>
        </w:r>
      </w:hyperlink>
      <w:hyperlink r:id="rId140">
        <w:r w:rsidRPr="006810DB">
          <w:rPr>
            <w:rStyle w:val="Hyperlink"/>
            <w:rFonts w:ascii="Book Antiqua" w:hAnsi="Book Antiqua"/>
            <w:color w:val="000000" w:themeColor="text1"/>
            <w:sz w:val="20"/>
            <w:szCs w:val="20"/>
            <w:u w:val="none"/>
            <w:lang w:val="en"/>
          </w:rPr>
          <w:t>https://doi.org/10.4317/medoral.24430</w:t>
        </w:r>
      </w:hyperlink>
    </w:p>
    <w:p w14:paraId="7C1D59FE" w14:textId="77777777" w:rsidR="006D3DC3" w:rsidRPr="006810DB" w:rsidRDefault="006D3DC3" w:rsidP="006810DB">
      <w:pPr>
        <w:spacing w:after="0" w:line="276" w:lineRule="auto"/>
        <w:jc w:val="both"/>
        <w:rPr>
          <w:rFonts w:ascii="Book Antiqua" w:hAnsi="Book Antiqua"/>
          <w:b/>
          <w:bCs/>
          <w:sz w:val="20"/>
          <w:szCs w:val="20"/>
          <w:lang w:val="en"/>
        </w:rPr>
      </w:pPr>
      <w:bookmarkStart w:id="159" w:name="_9f3wgin159dg" w:colFirst="0" w:colLast="0"/>
      <w:bookmarkEnd w:id="159"/>
    </w:p>
    <w:p w14:paraId="0D124F9A" w14:textId="77777777" w:rsidR="006D3DC3" w:rsidRPr="006810DB" w:rsidRDefault="006D3DC3"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69C841D8" w14:textId="7CD65AF6" w:rsidR="009F271B" w:rsidRPr="006810DB" w:rsidRDefault="009F271B" w:rsidP="006810DB">
      <w:pPr>
        <w:pStyle w:val="Heading1"/>
        <w:spacing w:before="0" w:line="276" w:lineRule="auto"/>
        <w:ind w:left="142" w:hanging="142"/>
        <w:rPr>
          <w:szCs w:val="20"/>
          <w:lang w:val="en-ID"/>
        </w:rPr>
      </w:pPr>
      <w:bookmarkStart w:id="160" w:name="_Toc223088907"/>
      <w:r w:rsidRPr="006810DB">
        <w:rPr>
          <w:b/>
          <w:noProof/>
          <w:sz w:val="48"/>
          <w:szCs w:val="20"/>
          <w:lang w:val="en-US"/>
        </w:rPr>
        <w:lastRenderedPageBreak/>
        <mc:AlternateContent>
          <mc:Choice Requires="wps">
            <w:drawing>
              <wp:anchor distT="0" distB="0" distL="114300" distR="114300" simplePos="0" relativeHeight="251684864" behindDoc="0" locked="0" layoutInCell="1" allowOverlap="1" wp14:anchorId="4292DB01" wp14:editId="16E87F8C">
                <wp:simplePos x="0" y="0"/>
                <wp:positionH relativeFrom="column">
                  <wp:posOffset>913130</wp:posOffset>
                </wp:positionH>
                <wp:positionV relativeFrom="paragraph">
                  <wp:posOffset>133350</wp:posOffset>
                </wp:positionV>
                <wp:extent cx="2820035" cy="1109980"/>
                <wp:effectExtent l="0" t="0" r="0" b="0"/>
                <wp:wrapNone/>
                <wp:docPr id="16" name="Rectangle 16"/>
                <wp:cNvGraphicFramePr/>
                <a:graphic xmlns:a="http://schemas.openxmlformats.org/drawingml/2006/main">
                  <a:graphicData uri="http://schemas.microsoft.com/office/word/2010/wordprocessingShape">
                    <wps:wsp>
                      <wps:cNvSpPr/>
                      <wps:spPr>
                        <a:xfrm>
                          <a:off x="0" y="0"/>
                          <a:ext cx="2820035"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409CEE8" w14:textId="286DEF5A" w:rsidR="009F271B" w:rsidRPr="007D61DA" w:rsidRDefault="009F271B" w:rsidP="009F271B">
                            <w:pPr>
                              <w:spacing w:after="0" w:line="276" w:lineRule="auto"/>
                              <w:jc w:val="center"/>
                              <w:rPr>
                                <w:rFonts w:ascii="Book Antiqua" w:hAnsi="Book Antiqua"/>
                                <w:b/>
                                <w:bCs/>
                                <w:sz w:val="30"/>
                                <w:szCs w:val="30"/>
                                <w:lang w:val="en"/>
                              </w:rPr>
                            </w:pPr>
                            <w:r w:rsidRPr="007D61DA">
                              <w:rPr>
                                <w:rFonts w:ascii="Book Antiqua" w:hAnsi="Book Antiqua"/>
                                <w:b/>
                                <w:bCs/>
                                <w:sz w:val="30"/>
                                <w:szCs w:val="30"/>
                                <w:lang w:val="en"/>
                              </w:rPr>
                              <w:t xml:space="preserve">KARAKTERISTIK BOTANI DAN ETNOFARMAKOLOGI </w:t>
                            </w:r>
                            <w:r w:rsidR="006D3DC3" w:rsidRPr="007D61DA">
                              <w:rPr>
                                <w:rFonts w:ascii="Book Antiqua" w:hAnsi="Book Antiqua"/>
                                <w:b/>
                                <w:bCs/>
                                <w:i/>
                                <w:iCs/>
                                <w:sz w:val="30"/>
                                <w:szCs w:val="30"/>
                                <w:lang w:val="en"/>
                              </w:rPr>
                              <w:t>Nigella sativa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4292DB01" id="Rectangle 16" o:spid="_x0000_s1032" style="position:absolute;left:0;text-align:left;margin-left:71.9pt;margin-top:10.5pt;width:222.05pt;height:87.4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Z+ZZQIAABAFAAAOAAAAZHJzL2Uyb0RvYy54bWysVEtvGjEQvlfqf7B8L8vSJCUoS4QSpaqE&#10;GhRS9Wy8Nqxqe9yxYaG/vmMvbJKWU9XL7rwf38z45nZvDdspDA24ipeDIWfKSagbt674t+eHD2PO&#10;QhSuFgacqvhBBX47ff/upvUTNYINmFohoyAuTFpf8U2MflIUQW6UFWEAXjlSakArIrG4LmoULUW3&#10;phgNh1dFC1h7BKlCIOl9p+TTHF9rJeOj1kFFZipOtcX8xfxdpW8xvRGTNQq/aeSxDPEPVVjROEra&#10;h7oXUbAtNn+Fso1ECKDjQIItQOtGqtwDdVMO/+hmuRFe5V4InOB7mML/Cyu/7hbImppmd8WZE5Zm&#10;9ESoCbc2ipGMAGp9mJDd0i/wyAUiU7d7jTb9qQ+2z6AeelDVPjJJwtGY5vTxkjNJurIcXl+PM+zF&#10;i7vHED8rsCwRFUfKn8EUu3mIlJJMTyYpm4OHxpg8OePeCMgwSYpUcVdjpuLBqGRn3JPS1GyqKifI&#10;a6buDLKdoAURUioXc885ElknN03ZesfynKOJZQKKnI62yU3l9esdh+cc32bsPXJWcLF3to0DPBeg&#10;/tFn7uxP3Xc9p/bjfrXPE+6HuYL6QFNH6M4hePnQEPJzEeJCIO0/XQrddHykjzbQVhyOFGcbwF/n&#10;5Mme1pK0nLV0TxUPP7cCFWfmi6OFvS4vLtIBZubi8tOIGHytWb3WuK29A5pISa+Hl5lM9tGcSI1g&#10;v9Ppz1JWUgknKXfFZcQTcxe7O6fHQ6rZLJvR0XkR527pZQqecHYw20bQTV60hFeHzhFHOrs81+MT&#10;ke76NZ+tXh6y6W8AAAD//wMAUEsDBBQABgAIAAAAIQDCg7va3gAAAAoBAAAPAAAAZHJzL2Rvd25y&#10;ZXYueG1sTI/NTsMwEITvSLyDtUjcqNNCIQ1xKkBCCPWAKO3dsbdJRLyOYuenb89yguNoRjPf5NvZ&#10;tWLEPjSeFCwXCQgk421DlYLD1+tNCiJETVa3nlDBGQNsi8uLXGfWT/SJ4z5WgksoZFpBHWOXSRlM&#10;jU6Hhe+Q2Dv53unIsq+k7fXE5a6VqyS5l043xAu17vClRvO9H5yCoz89T86U9D6eP5rhbdcbk+6U&#10;ur6anx5BRJzjXxh+8RkdCmYq/UA2iJb13S2jRwWrJX/iwDp92IAo2dmsU5BFLv9fKH4AAAD//wMA&#10;UEsBAi0AFAAGAAgAAAAhALaDOJL+AAAA4QEAABMAAAAAAAAAAAAAAAAAAAAAAFtDb250ZW50X1R5&#10;cGVzXS54bWxQSwECLQAUAAYACAAAACEAOP0h/9YAAACUAQAACwAAAAAAAAAAAAAAAAAvAQAAX3Jl&#10;bHMvLnJlbHNQSwECLQAUAAYACAAAACEAldGfmWUCAAAQBQAADgAAAAAAAAAAAAAAAAAuAgAAZHJz&#10;L2Uyb0RvYy54bWxQSwECLQAUAAYACAAAACEAwoO72t4AAAAKAQAADwAAAAAAAAAAAAAAAAC/BAAA&#10;ZHJzL2Rvd25yZXYueG1sUEsFBgAAAAAEAAQA8wAAAMoFAAAAAA==&#10;" filled="f" stroked="f" strokeweight="1pt">
                <v:textbox>
                  <w:txbxContent>
                    <w:p w14:paraId="4409CEE8" w14:textId="286DEF5A" w:rsidR="009F271B" w:rsidRPr="007D61DA" w:rsidRDefault="009F271B" w:rsidP="009F271B">
                      <w:pPr>
                        <w:spacing w:after="0" w:line="276" w:lineRule="auto"/>
                        <w:jc w:val="center"/>
                        <w:rPr>
                          <w:rFonts w:ascii="Book Antiqua" w:hAnsi="Book Antiqua"/>
                          <w:b/>
                          <w:bCs/>
                          <w:sz w:val="30"/>
                          <w:szCs w:val="30"/>
                          <w:lang w:val="en"/>
                        </w:rPr>
                      </w:pPr>
                      <w:r w:rsidRPr="007D61DA">
                        <w:rPr>
                          <w:rFonts w:ascii="Book Antiqua" w:hAnsi="Book Antiqua"/>
                          <w:b/>
                          <w:bCs/>
                          <w:sz w:val="30"/>
                          <w:szCs w:val="30"/>
                          <w:lang w:val="en"/>
                        </w:rPr>
                        <w:t xml:space="preserve">KARAKTERISTIK BOTANI DAN ETNOFARMAKOLOGI </w:t>
                      </w:r>
                      <w:r w:rsidR="006D3DC3" w:rsidRPr="007D61DA">
                        <w:rPr>
                          <w:rFonts w:ascii="Book Antiqua" w:hAnsi="Book Antiqua"/>
                          <w:b/>
                          <w:bCs/>
                          <w:i/>
                          <w:iCs/>
                          <w:sz w:val="30"/>
                          <w:szCs w:val="30"/>
                          <w:lang w:val="en"/>
                        </w:rPr>
                        <w:t>Nigella sativa</w:t>
                      </w:r>
                    </w:p>
                  </w:txbxContent>
                </v:textbox>
              </v:rect>
            </w:pict>
          </mc:Fallback>
        </mc:AlternateContent>
      </w:r>
      <w:r w:rsidRPr="006810DB">
        <w:rPr>
          <w:b/>
          <w:noProof/>
          <w:sz w:val="48"/>
          <w:szCs w:val="20"/>
          <w:lang w:val="en-US"/>
        </w:rPr>
        <mc:AlternateContent>
          <mc:Choice Requires="wps">
            <w:drawing>
              <wp:anchor distT="0" distB="0" distL="114300" distR="114300" simplePos="0" relativeHeight="251683840" behindDoc="0" locked="0" layoutInCell="1" allowOverlap="1" wp14:anchorId="7071CA97" wp14:editId="5875ED8D">
                <wp:simplePos x="0" y="0"/>
                <wp:positionH relativeFrom="column">
                  <wp:posOffset>884555</wp:posOffset>
                </wp:positionH>
                <wp:positionV relativeFrom="paragraph">
                  <wp:posOffset>76835</wp:posOffset>
                </wp:positionV>
                <wp:extent cx="0" cy="1224000"/>
                <wp:effectExtent l="19050" t="0" r="38100" b="52705"/>
                <wp:wrapNone/>
                <wp:docPr id="17" name="Straight Connector 17"/>
                <wp:cNvGraphicFramePr/>
                <a:graphic xmlns:a="http://schemas.openxmlformats.org/drawingml/2006/main">
                  <a:graphicData uri="http://schemas.microsoft.com/office/word/2010/wordprocessingShape">
                    <wps:wsp>
                      <wps:cNvCnPr/>
                      <wps:spPr>
                        <a:xfrm>
                          <a:off x="0" y="0"/>
                          <a:ext cx="0" cy="1224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C593487" id="Straight Connector 17" o:spid="_x0000_s1026" style="position:absolute;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MZ2QEAAA8EAAAOAAAAZHJzL2Uyb0RvYy54bWysU8GO0zAQvSPxD5bvNEm1y6Ko6R66Wi4I&#10;KhY+wOvYjSXbY41Nk/49Y6dNV4CQQHtxMuN5z/Oex5v7yVl2VBgN+I43q5oz5SX0xh86/v3b47sP&#10;nMUkfC8seNXxk4r8fvv2zWYMrVrDALZXyIjEx3YMHR9SCm1VRTkoJ+IKgvK0qQGdSBTioepRjMTu&#10;bLWu6/fVCNgHBKlipOzDvMm3hV9rJdMXraNKzHacektlxbI+57XabkR7QBEGI89tiP/owgnj6dCF&#10;6kEkwX6g+Y3KGYkQQaeVBFeB1kaqooHUNPUvap4GEVTRQubEsNgUX49Wfj7ukZme7u6OMy8c3dFT&#10;QmEOQ2I78J4cBGS0SU6NIbYE2Pk9nqMY9phlTxpd/pIgNhV3T4u7akpMzklJ2Wa9vqnr4nx1BQaM&#10;6aMCx/JPx63xWbhoxfFTTHQYlV5Kctp6Nnb89q65rUtZBGv6R2Nt3izDo3YW2VHQtaepyc0Tw4sq&#10;iqynZJY0iyh/6WTVzP9VabKF2m7mA/JAXjmFlMqnC6/1VJ1hmjpYgOfO/gY812eoKsP6L+AFUU4G&#10;nxawMx7wT21frdBz/cWBWXe24Bn6U7neYg1NXXHu/ELyWL+MC/z6jrc/AQAA//8DAFBLAwQUAAYA&#10;CAAAACEAG/lbTtwAAAAKAQAADwAAAGRycy9kb3ducmV2LnhtbEyPQUvEMBCF74L/IYzgzU22a8XW&#10;pssiLOJFcBW8ps3YBptJabLd+u+d9aK3eTOP976ptosfxIxTdIE0rFcKBFIbrKNOw/vb/uYeREyG&#10;rBkCoYZvjLCtLy8qU9pwolecD6kTHEKxNBr6lMZSytj26E1chRGJb59h8iaxnDppJ3PicD/ITKk7&#10;6Y0jbujNiI89tl+Ho+eS/KN9wuie7X6XN/lcuEa9OK2vr5bdA4iES/ozwxmf0aFmpiYcyUYxsN4U&#10;G7bykK1BnA2/i0ZDpm4LkHUl/79Q/wAAAP//AwBQSwECLQAUAAYACAAAACEAtoM4kv4AAADhAQAA&#10;EwAAAAAAAAAAAAAAAAAAAAAAW0NvbnRlbnRfVHlwZXNdLnhtbFBLAQItABQABgAIAAAAIQA4/SH/&#10;1gAAAJQBAAALAAAAAAAAAAAAAAAAAC8BAABfcmVscy8ucmVsc1BLAQItABQABgAIAAAAIQABz+MZ&#10;2QEAAA8EAAAOAAAAAAAAAAAAAAAAAC4CAABkcnMvZTJvRG9jLnhtbFBLAQItABQABgAIAAAAIQAb&#10;+VtO3AAAAAoBAAAPAAAAAAAAAAAAAAAAADMEAABkcnMvZG93bnJldi54bWxQSwUGAAAAAAQABADz&#10;AAAAPAU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44"/>
          <w:szCs w:val="20"/>
          <w:lang w:val="en-US"/>
        </w:rPr>
        <w:t>7</w:t>
      </w:r>
      <w:r w:rsidRPr="006810DB">
        <w:rPr>
          <w:b/>
          <w:szCs w:val="20"/>
          <w:lang w:val="en-US"/>
        </w:rPr>
        <w:t xml:space="preserve"> </w:t>
      </w:r>
      <w:r w:rsidRPr="006810DB">
        <w:rPr>
          <w:b/>
          <w:szCs w:val="20"/>
          <w:lang w:val="en-US"/>
        </w:rPr>
        <w:tab/>
      </w:r>
      <w:r w:rsidR="006D3DC3" w:rsidRPr="006810DB">
        <w:rPr>
          <w:b/>
          <w:color w:val="FFFFFF" w:themeColor="background1"/>
          <w:sz w:val="10"/>
          <w:szCs w:val="10"/>
          <w:lang w:val="en-US"/>
        </w:rPr>
        <w:t xml:space="preserve">KARAKTERISTIK BOTANI DAN ETNOFARMAKOLOGI </w:t>
      </w:r>
      <w:r w:rsidR="006D3DC3" w:rsidRPr="006810DB">
        <w:rPr>
          <w:b/>
          <w:i/>
          <w:iCs/>
          <w:color w:val="FFFFFF" w:themeColor="background1"/>
          <w:sz w:val="10"/>
          <w:szCs w:val="10"/>
          <w:lang w:val="en-US"/>
        </w:rPr>
        <w:t>Nigella sativa</w:t>
      </w:r>
      <w:bookmarkEnd w:id="160"/>
    </w:p>
    <w:p w14:paraId="0FDC9712" w14:textId="3510784D" w:rsidR="009F271B" w:rsidRPr="006810DB" w:rsidRDefault="009F271B" w:rsidP="006810DB">
      <w:pPr>
        <w:spacing w:after="0" w:line="276" w:lineRule="auto"/>
        <w:jc w:val="both"/>
        <w:rPr>
          <w:rFonts w:ascii="Book Antiqua" w:hAnsi="Book Antiqua"/>
          <w:sz w:val="20"/>
          <w:szCs w:val="20"/>
          <w:lang w:val="en"/>
        </w:rPr>
      </w:pPr>
    </w:p>
    <w:p w14:paraId="53E3E914" w14:textId="77777777" w:rsidR="002B0035" w:rsidRPr="006810DB" w:rsidRDefault="002B0035" w:rsidP="006810DB">
      <w:pPr>
        <w:spacing w:after="0" w:line="276" w:lineRule="auto"/>
        <w:jc w:val="both"/>
        <w:rPr>
          <w:rFonts w:ascii="Book Antiqua" w:hAnsi="Book Antiqua"/>
          <w:sz w:val="20"/>
          <w:szCs w:val="20"/>
          <w:lang w:val="en"/>
        </w:rPr>
      </w:pPr>
    </w:p>
    <w:p w14:paraId="007C5AE6" w14:textId="7E6F5302" w:rsidR="00B258B7" w:rsidRPr="006810DB" w:rsidRDefault="007D61DA" w:rsidP="00B9360C">
      <w:pPr>
        <w:pStyle w:val="Heading2"/>
        <w:numPr>
          <w:ilvl w:val="0"/>
          <w:numId w:val="22"/>
        </w:numPr>
        <w:ind w:left="284" w:hanging="284"/>
      </w:pPr>
      <w:bookmarkStart w:id="161" w:name="_lejuyyhutawj" w:colFirst="0" w:colLast="0"/>
      <w:bookmarkStart w:id="162" w:name="_Toc223088908"/>
      <w:bookmarkEnd w:id="161"/>
      <w:r w:rsidRPr="006810DB">
        <w:t>Pendahuluan</w:t>
      </w:r>
      <w:bookmarkEnd w:id="162"/>
    </w:p>
    <w:p w14:paraId="3DB7EA85"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eastAsia="zh-CN"/>
        </w:rPr>
        <w:t xml:space="preserve">Sebuah tanaman yang bijinya ditemukan di makam Firaun Tutankhamun, disebut sebagai "obat dari segala penyakit kecuali kematian" dalam tradisi kenabian Islam, dan digunakan sebagai bumbu dapur selama ribuan tahun, tentu memiliki status yang melampaui botani biasa.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L., atau yang lebih dikenal sebagai jintan hitam atau habbatussauda, membawa beban sejarah dan budaya yang sangat kaya. Kepercayaan mendalam terhadap khasiat penyembuhannya telah diwariskan dari generasi ke generasi dalam berbagai sistem pengobatan tradisional di seluruh Asia, Afrika, dan Timur Tengah. Namun, dalam lanskap ilmu pengetahuan modern, warisan dan anekdot saja tidaklah cukup. Klaim etnofarmakologis harus diuji, dibedah, dan divalidasi melalui lensa metodologi ilmiah yang ketat.</w:t>
      </w:r>
    </w:p>
    <w:p w14:paraId="53ACB64D"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Bab ini berfungsi sebagai jembatan antara dunia kuno dan modern tersebut. Kita akan beralih dari pembahasan tentang masalah klinis dan model penelitian menuju eksplorasi mendalam terhadap agen terapeutik yang diusulkan. Tujuannya adalah untuk membangun fondasi pemahaman yang kokoh tentang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dimulai dari identitas dasarnya sebagai organisme biologis hingga reputasinya sebagai ramuan obat yang kuat. Pemahaman ini sangat esensial, karena potensi farmakologis suatu tumbuhan tidak dapat dipisahkan dari </w:t>
      </w:r>
      <w:r w:rsidRPr="006810DB">
        <w:rPr>
          <w:rFonts w:ascii="Book Antiqua" w:hAnsi="Book Antiqua"/>
          <w:sz w:val="20"/>
          <w:szCs w:val="20"/>
          <w:lang w:val="en"/>
        </w:rPr>
        <w:lastRenderedPageBreak/>
        <w:t>karakteristik botani, komposisi fitokimia, dan konteks sejarah penggunaannya.</w:t>
      </w:r>
    </w:p>
    <w:p w14:paraId="23DA7FF1"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Pembahasan akan diawali dengan identifikasi formal tanaman ini dalam kerajaan tumbuhan. Klasifikasi taksonomi, morfologi bunga dan biji yang khas, serta sebaran geografisnya akan diuraikan untuk memberikan identitas botani yang jelas. Mengenali tanaman secara akurat adalah langkah pertama yang fundamental dalam setiap studi farmakognosi untuk memastikan bahwa bahan yang diteliti adalah spesies yang benar dan untuk memahami faktor-faktor lingkungan yang dapat memengaruhi kualitasnya.</w:t>
      </w:r>
    </w:p>
    <w:p w14:paraId="106AFD79"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Selanjutnya, kita akan menelusuri jejak sejarahnya yang panjang dalam pengobatan manusia. Perannya dalam sistem pengobatan mapan seperti Ayurveda dari India dan Unani dari Yunani-Arab akan dieksplorasi. Posisi istimewanya dalam </w:t>
      </w:r>
      <w:r w:rsidRPr="006810DB">
        <w:rPr>
          <w:rFonts w:ascii="Book Antiqua" w:hAnsi="Book Antiqua"/>
          <w:i/>
          <w:iCs/>
          <w:sz w:val="20"/>
          <w:szCs w:val="20"/>
          <w:lang w:val="en"/>
        </w:rPr>
        <w:t>Thibbun Nabawi</w:t>
      </w:r>
      <w:r w:rsidRPr="006810DB">
        <w:rPr>
          <w:rFonts w:ascii="Book Antiqua" w:hAnsi="Book Antiqua"/>
          <w:sz w:val="20"/>
          <w:szCs w:val="20"/>
          <w:lang w:val="en"/>
        </w:rPr>
        <w:t xml:space="preserve"> (pengobatan cara Nabi) akan dibahas untuk memahami signifikansi budayanya yang mendalam, yang terus mendorong penggunaannya hingga saat ini. Evolusinya dari sekadar rempah-rempah di dapur menjadi subjek ribuan penelitian ilmiah modern menggambarkan sebuah perjalanan yang luar biasa.</w:t>
      </w:r>
    </w:p>
    <w:p w14:paraId="738AB1EB"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Inti dari potensi terapeutik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terletak pada kekayaan senyawa kimia yang dikandungnya. Bab ini akan membedah gudang senjata fitokimia ini, dengan menempatkan sorotan utama pada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sebuah kuinon terpenoid yang diidentifikasi sebagai salah satu komponen bioaktif yang paling penting dan paling banyak diteliti. Namun, narasi tidak akan berhenti di sana. </w:t>
      </w:r>
      <w:r w:rsidRPr="006810DB">
        <w:rPr>
          <w:rFonts w:ascii="Book Antiqua" w:hAnsi="Book Antiqua"/>
          <w:sz w:val="20"/>
          <w:szCs w:val="20"/>
          <w:highlight w:val="cyan"/>
          <w:lang w:val="en"/>
        </w:rPr>
        <w:t>Kehadiran dan potensi kontribusi dari kelas senyawa lain, seperti alkaloid, saponin, flavonoid, serta kandungan nutrisinya seperti asam lemak esensial, juga akan dianalisis.</w:t>
      </w:r>
    </w:p>
    <w:p w14:paraId="2AD86F98"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Dengan mengintegrasikan botani, etnofarmakologi, dan fitokimia, bab ini bertujuan untuk memberikan gambaran 360 derajat tentang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Ini adalah langkah persiapan yang krusial sebelum kita menyelam lebih dalam ke dalam analisis </w:t>
      </w:r>
      <w:r w:rsidRPr="006810DB">
        <w:rPr>
          <w:rFonts w:ascii="Book Antiqua" w:hAnsi="Book Antiqua"/>
          <w:sz w:val="20"/>
          <w:szCs w:val="20"/>
          <w:lang w:val="en"/>
        </w:rPr>
        <w:lastRenderedPageBreak/>
        <w:t>fisikokimia dan mekanisme molekulernya di bab-bab berikutnya.</w:t>
      </w:r>
    </w:p>
    <w:p w14:paraId="4C3DF15C"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Karakteristik yang diuraikan di sini memberikan konteks dan rasionalitas mengapa tanaman ini dipilih di antara ribuan spesies lain untuk diteliti potensinya dalam mengatasi kondisi patologis yang kompleks seperti mukositis oral.</w:t>
      </w:r>
    </w:p>
    <w:p w14:paraId="7F6139C6"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Bab ini menegaskan bahwa di balik setiap obat herbal yang efektif, terdapat sebuah organisme biologis dengan identitas yang unik, sejarah yang kaya, dan komposisi kimia yang kompleks.</w:t>
      </w:r>
    </w:p>
    <w:p w14:paraId="4FF25B96" w14:textId="12A52F18"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Memahami ketiga aspek ini secara menyeluruh adalah kunci untuk membuka potensi penuh dari farmasi alam.</w:t>
      </w:r>
    </w:p>
    <w:p w14:paraId="660C73B9" w14:textId="77777777" w:rsidR="009F271B" w:rsidRPr="006810DB" w:rsidRDefault="009F271B" w:rsidP="006810DB">
      <w:pPr>
        <w:spacing w:after="0" w:line="276" w:lineRule="auto"/>
        <w:jc w:val="both"/>
        <w:rPr>
          <w:rFonts w:ascii="Book Antiqua" w:hAnsi="Book Antiqua"/>
          <w:sz w:val="20"/>
          <w:szCs w:val="20"/>
          <w:lang w:val="en"/>
        </w:rPr>
      </w:pPr>
    </w:p>
    <w:p w14:paraId="1FB070AC" w14:textId="156DF21F" w:rsidR="00B258B7" w:rsidRPr="006810DB" w:rsidRDefault="00B258B7" w:rsidP="006810DB">
      <w:pPr>
        <w:pStyle w:val="Heading2"/>
        <w:numPr>
          <w:ilvl w:val="0"/>
          <w:numId w:val="22"/>
        </w:numPr>
        <w:ind w:left="284" w:hanging="284"/>
      </w:pPr>
      <w:bookmarkStart w:id="163" w:name="_c8dgn5ts6abv" w:colFirst="0" w:colLast="0"/>
      <w:bookmarkStart w:id="164" w:name="_Toc223088909"/>
      <w:bookmarkEnd w:id="163"/>
      <w:r w:rsidRPr="006810DB">
        <w:t>Klasifikasi dan Morfologi Tanaman</w:t>
      </w:r>
      <w:bookmarkEnd w:id="164"/>
    </w:p>
    <w:p w14:paraId="4EDF2E88"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Mengidentifikasi sebuah tanaman secara akurat adalah landasan dari seluruh penelitian herbal. Nama umum seperti "jintan hitam" dapat bersifat ambigu dan digunakan untuk beberapa spesies yang berbeda di berbagai daerah. Oleh karena itu, identifikasi botani formal melalui sistem taksonomi Linnaean menjadi sangat penting untuk memastikan ketepatan dan reproduktifitas ilmiah.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L. adalah anggota dari famili Ranunculaceae, atau keluarga </w:t>
      </w:r>
      <w:r w:rsidRPr="006810DB">
        <w:rPr>
          <w:rFonts w:ascii="Book Antiqua" w:hAnsi="Book Antiqua"/>
          <w:i/>
          <w:iCs/>
          <w:sz w:val="20"/>
          <w:szCs w:val="20"/>
          <w:lang w:val="en"/>
        </w:rPr>
        <w:t>buttercup</w:t>
      </w:r>
      <w:r w:rsidRPr="006810DB">
        <w:rPr>
          <w:rFonts w:ascii="Book Antiqua" w:hAnsi="Book Antiqua"/>
          <w:sz w:val="20"/>
          <w:szCs w:val="20"/>
          <w:lang w:val="en"/>
        </w:rPr>
        <w:t xml:space="preserve">, sebuah kelompok tanaman yang dikenal banyak menghasilkan alkaloid dan senyawa bioaktif kuat lainnya. Morfologinya yang khas, terutama pada bunga dan buahnya yang berisi biji-biji hitam aromatik, membedakannya dari spesies lain dalam genus </w:t>
      </w:r>
      <w:r w:rsidRPr="006810DB">
        <w:rPr>
          <w:rFonts w:ascii="Book Antiqua" w:hAnsi="Book Antiqua"/>
          <w:i/>
          <w:iCs/>
          <w:sz w:val="20"/>
          <w:szCs w:val="20"/>
          <w:lang w:val="en"/>
        </w:rPr>
        <w:t>Nigella</w:t>
      </w:r>
      <w:r w:rsidRPr="006810DB">
        <w:rPr>
          <w:rFonts w:ascii="Book Antiqua" w:hAnsi="Book Antiqua"/>
          <w:sz w:val="20"/>
          <w:szCs w:val="20"/>
          <w:lang w:val="en"/>
        </w:rPr>
        <w:t>.</w:t>
      </w:r>
    </w:p>
    <w:p w14:paraId="6308EC26"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Mempelajari taksonomi dan morfologi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ibarat seorang pustakawan yang sedang mengkatalogkan sebuah buku kuno yang sangat berharga. Taksonomi (Kerajaan, Divisi, Kelas, Ordo, Famili, Genus, Spesies) adalah seperti memberikan nomor panggil Dewey Decimal yang unik, yang menempatkan buku itu di rak yang tepat (famili Ranunculaceae) di dalam perpustakaan raksasa (Kerajaan Tumbuhan), memastikan siapa pun dapat menemukannya dan tidak tertukar dengan buku lain. Morfologi </w:t>
      </w:r>
      <w:r w:rsidRPr="006810DB">
        <w:rPr>
          <w:rFonts w:ascii="Book Antiqua" w:hAnsi="Book Antiqua"/>
          <w:sz w:val="20"/>
          <w:szCs w:val="20"/>
          <w:lang w:val="en"/>
        </w:rPr>
        <w:lastRenderedPageBreak/>
        <w:t>(deskripsi bunga, daun, biji) adalah seperti mencatat deskripsi fisik buku tersebut: jenis sampulnya, warna kertasnya, tipe hurufnya. Tanpa katalog yang akurat ini, buku berharga tersebut bisa hilang atau disalahartikan, sama seperti potensi terapeutik sebuah tanaman bisa disia-siakan jika tidak diidentifikasi dengan benar.</w:t>
      </w:r>
    </w:p>
    <w:p w14:paraId="6858585A" w14:textId="2A4553F9" w:rsidR="00B258B7" w:rsidRPr="006810DB" w:rsidRDefault="00B258B7" w:rsidP="006810DB">
      <w:pPr>
        <w:pStyle w:val="ListParagraph"/>
        <w:numPr>
          <w:ilvl w:val="0"/>
          <w:numId w:val="54"/>
        </w:numPr>
        <w:spacing w:after="0" w:line="276" w:lineRule="auto"/>
        <w:ind w:left="567" w:hanging="283"/>
        <w:contextualSpacing w:val="0"/>
        <w:jc w:val="both"/>
        <w:rPr>
          <w:rFonts w:ascii="Book Antiqua" w:hAnsi="Book Antiqua"/>
          <w:b/>
          <w:bCs/>
          <w:sz w:val="20"/>
          <w:szCs w:val="20"/>
          <w:lang w:val="en"/>
        </w:rPr>
      </w:pPr>
      <w:bookmarkStart w:id="165" w:name="_pbay93ge7g51" w:colFirst="0" w:colLast="0"/>
      <w:bookmarkEnd w:id="165"/>
      <w:r w:rsidRPr="006810DB">
        <w:rPr>
          <w:rFonts w:ascii="Book Antiqua" w:hAnsi="Book Antiqua"/>
          <w:b/>
          <w:bCs/>
          <w:sz w:val="20"/>
          <w:szCs w:val="20"/>
          <w:lang w:val="en"/>
        </w:rPr>
        <w:t xml:space="preserve">Taksonomi </w:t>
      </w:r>
      <w:r w:rsidRPr="006810DB">
        <w:rPr>
          <w:rFonts w:ascii="Book Antiqua" w:hAnsi="Book Antiqua"/>
          <w:b/>
          <w:bCs/>
          <w:i/>
          <w:iCs/>
          <w:sz w:val="20"/>
          <w:szCs w:val="20"/>
          <w:lang w:val="en"/>
        </w:rPr>
        <w:t>Nigella sativa</w:t>
      </w:r>
      <w:r w:rsidRPr="006810DB">
        <w:rPr>
          <w:rFonts w:ascii="Book Antiqua" w:hAnsi="Book Antiqua"/>
          <w:b/>
          <w:bCs/>
          <w:sz w:val="20"/>
          <w:szCs w:val="20"/>
          <w:lang w:val="en"/>
        </w:rPr>
        <w:t xml:space="preserve"> L.</w:t>
      </w:r>
    </w:p>
    <w:p w14:paraId="204259C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Klasifikasi ilmiah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menempatkannya secara kokoh di dalam dunia tumbuhan. Secara hierarkis, taksonominya adalah sebagai berikut: Kerajaan: Plantae; Divisi: Magnoliophyta (tumbuhan berbunga); Kelas: Magnoliopsida (dikotil); Ordo: Ranunculales; Famili: Ranunculaceae; Genus: </w:t>
      </w:r>
      <w:r w:rsidRPr="006810DB">
        <w:rPr>
          <w:rFonts w:ascii="Book Antiqua" w:hAnsi="Book Antiqua"/>
          <w:i/>
          <w:iCs/>
          <w:sz w:val="20"/>
          <w:szCs w:val="20"/>
          <w:lang w:val="en"/>
        </w:rPr>
        <w:t>Nigella</w:t>
      </w:r>
      <w:r w:rsidRPr="006810DB">
        <w:rPr>
          <w:rFonts w:ascii="Book Antiqua" w:hAnsi="Book Antiqua"/>
          <w:sz w:val="20"/>
          <w:szCs w:val="20"/>
          <w:lang w:val="en"/>
        </w:rPr>
        <w:t xml:space="preserve">; Spesies: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L. Penambahan "L." di akhir nama spesies menunjukkan bahwa tanaman ini pertama kali dideskripsikan dan diberi nama secara formal oleh Carl Linnaeus, bapak taksonomi modern (Yimer et al., 2019).</w:t>
      </w:r>
    </w:p>
    <w:p w14:paraId="2C7ADC0B"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Berada dalam famili Ranunculaceae adalah hal yang signifikan. Famili ini mencakup banyak genus tanaman berbunga yang terkenal karena keindahan dan toksisitasnya, serta kandungan senyawa kimianya yang beragam. Mengetahui familinya memberikan petunjuk awal kepada para ahli fitokimia tentang jenis-jenis senyawa metabolit sekunder yang mungkin terkandung di dalamnya, seperti alkaloid dan glikosida, yang menjadi ciri khas banyak anggota keluarga ini (Hannan et al., 2021).</w:t>
      </w:r>
    </w:p>
    <w:p w14:paraId="0058670B" w14:textId="52CC9FA1" w:rsidR="00B258B7" w:rsidRPr="006810DB" w:rsidRDefault="00B258B7" w:rsidP="006810DB">
      <w:pPr>
        <w:pStyle w:val="ListParagraph"/>
        <w:numPr>
          <w:ilvl w:val="0"/>
          <w:numId w:val="54"/>
        </w:numPr>
        <w:spacing w:after="0" w:line="276" w:lineRule="auto"/>
        <w:ind w:left="567" w:hanging="283"/>
        <w:contextualSpacing w:val="0"/>
        <w:jc w:val="both"/>
        <w:rPr>
          <w:rFonts w:ascii="Book Antiqua" w:hAnsi="Book Antiqua"/>
          <w:b/>
          <w:bCs/>
          <w:sz w:val="20"/>
          <w:szCs w:val="20"/>
          <w:lang w:val="en"/>
        </w:rPr>
      </w:pPr>
      <w:bookmarkStart w:id="166" w:name="_crzk3qx96xgr" w:colFirst="0" w:colLast="0"/>
      <w:bookmarkEnd w:id="166"/>
      <w:r w:rsidRPr="006810DB">
        <w:rPr>
          <w:rFonts w:ascii="Book Antiqua" w:hAnsi="Book Antiqua"/>
          <w:b/>
          <w:bCs/>
          <w:sz w:val="20"/>
          <w:szCs w:val="20"/>
          <w:lang w:val="en"/>
        </w:rPr>
        <w:t>Karakteristik Biji dan Bunga</w:t>
      </w:r>
    </w:p>
    <w:p w14:paraId="5A75CAB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i/>
          <w:iCs/>
          <w:sz w:val="20"/>
          <w:szCs w:val="20"/>
          <w:lang w:val="en"/>
        </w:rPr>
        <w:t>Nigella sativa</w:t>
      </w:r>
      <w:r w:rsidRPr="006810DB">
        <w:rPr>
          <w:rFonts w:ascii="Book Antiqua" w:hAnsi="Book Antiqua"/>
          <w:sz w:val="20"/>
          <w:szCs w:val="20"/>
          <w:lang w:val="en"/>
        </w:rPr>
        <w:t xml:space="preserve"> adalah tanaman herbal semusim berukuran kecil, biasanya tumbuh hingga ketinggian 20-30 cm. Daunnya terbagi-bagi halus, menyerupai benang, yang memberikan penampilan seperti pakis. Bunganya adalah bagian yang paling mencolok, biasanya berwarna putih pucat hingga biru pucat, dengan 5 hingga 10 kelopak. Bunga ini bersifat soliter, tumbuh di ujung batang (Goyal et al., 2017).</w:t>
      </w:r>
    </w:p>
    <w:p w14:paraId="209A33CC" w14:textId="77777777" w:rsidR="00A95863" w:rsidRDefault="00A95863">
      <w:pPr>
        <w:rPr>
          <w:rFonts w:ascii="Book Antiqua" w:hAnsi="Book Antiqua"/>
          <w:sz w:val="20"/>
          <w:szCs w:val="20"/>
          <w:lang w:val="en"/>
        </w:rPr>
      </w:pPr>
      <w:r>
        <w:rPr>
          <w:rFonts w:ascii="Book Antiqua" w:hAnsi="Book Antiqua"/>
          <w:sz w:val="20"/>
          <w:szCs w:val="20"/>
          <w:lang w:val="en"/>
        </w:rPr>
        <w:br w:type="page"/>
      </w:r>
    </w:p>
    <w:p w14:paraId="73EDBCE5" w14:textId="172C7BE8"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lastRenderedPageBreak/>
        <w:t>Bagian yang paling penting dari sudut pandang medis dan kuliner adalah bijinya. Biji-biji ini terkandung di dalam kapsul buah yang besar dan menggembung, yang terbentuk setelah bunga layu. Ketika matang, kapsul mengering dan terbuka, memperlihatkan puluhan biji kecil berwarna hitam pekat, berbentuk trigonal (tiga sisi), dan memiliki permukaan yang kasar. Biji inilah yang dikenal sebagai habbatussauda, yang memiliki aroma dan rasa yang khas, sedikit pahit dan pedas, sering digambarkan sebagai kombinasi antara bawang, lada hitam, dan oregano (Shafodino et al., 2022).</w:t>
      </w:r>
    </w:p>
    <w:p w14:paraId="02748831" w14:textId="0FC56D18" w:rsidR="00B258B7" w:rsidRPr="006810DB" w:rsidRDefault="00B258B7" w:rsidP="006810DB">
      <w:pPr>
        <w:pStyle w:val="ListParagraph"/>
        <w:numPr>
          <w:ilvl w:val="0"/>
          <w:numId w:val="54"/>
        </w:numPr>
        <w:spacing w:after="0" w:line="276" w:lineRule="auto"/>
        <w:ind w:left="567" w:hanging="283"/>
        <w:contextualSpacing w:val="0"/>
        <w:jc w:val="both"/>
        <w:rPr>
          <w:rFonts w:ascii="Book Antiqua" w:hAnsi="Book Antiqua"/>
          <w:b/>
          <w:bCs/>
          <w:sz w:val="20"/>
          <w:szCs w:val="20"/>
          <w:lang w:val="en"/>
        </w:rPr>
      </w:pPr>
      <w:bookmarkStart w:id="167" w:name="_7s6wdxwyib1v" w:colFirst="0" w:colLast="0"/>
      <w:bookmarkEnd w:id="167"/>
      <w:r w:rsidRPr="006810DB">
        <w:rPr>
          <w:rFonts w:ascii="Book Antiqua" w:hAnsi="Book Antiqua"/>
          <w:b/>
          <w:bCs/>
          <w:sz w:val="20"/>
          <w:szCs w:val="20"/>
          <w:lang w:val="en"/>
        </w:rPr>
        <w:t>Habitat dan Distribusi Geografis</w:t>
      </w:r>
    </w:p>
    <w:p w14:paraId="4B9981F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i/>
          <w:iCs/>
          <w:sz w:val="20"/>
          <w:szCs w:val="20"/>
          <w:lang w:val="en"/>
        </w:rPr>
        <w:t>Nigella sativa</w:t>
      </w:r>
      <w:r w:rsidRPr="006810DB">
        <w:rPr>
          <w:rFonts w:ascii="Book Antiqua" w:hAnsi="Book Antiqua"/>
          <w:sz w:val="20"/>
          <w:szCs w:val="20"/>
          <w:lang w:val="en"/>
        </w:rPr>
        <w:t xml:space="preserve"> diyakini berasal dari wilayah Mediterania Timur, kemungkinan besar di Mesir dan daerah sekitarnya. Tanaman ini tumbuh subur di iklim yang relatif kering dan cerah. Sejak zaman kuno, budidayanya telah menyebar secara luas ke seluruh Timur Tengah, Afrika Utara, Eropa Selatan, dan sebagian besar Asia, terutama di Pakistan, India, Suriah, dan Turki (Al-Jassir, 2011).</w:t>
      </w:r>
    </w:p>
    <w:p w14:paraId="5B1BA31E" w14:textId="75734ED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Kemampuannya untuk beradaptasi di berbagai kondisi tanah dan iklim telah memfasilitasi distribusinya yang luas. Namun, penting untuk dicatat bahwa faktor-faktor lingkungan seperti jenis tanah, iklim, dan waktu panen dapat secara signifikan memengaruhi profil fitokimia biji, termasuk konsentrasi senyawa aktif utamanya,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(Sobhannizadeh et al., 2025). Variabilitas inilah yang menggarisbawahi pentingnya standardisasi ekstrak herbal, sebuah topik yang akan dibahas secara mendalam di bab-bab selanjutnya.</w:t>
      </w:r>
    </w:p>
    <w:p w14:paraId="63A4816B" w14:textId="77777777" w:rsidR="00504B56" w:rsidRPr="006810DB" w:rsidRDefault="00504B56" w:rsidP="006810DB">
      <w:pPr>
        <w:spacing w:after="0" w:line="276" w:lineRule="auto"/>
        <w:jc w:val="both"/>
        <w:rPr>
          <w:rFonts w:ascii="Book Antiqua" w:hAnsi="Book Antiqua"/>
          <w:sz w:val="20"/>
          <w:szCs w:val="20"/>
          <w:lang w:val="en"/>
        </w:rPr>
      </w:pPr>
    </w:p>
    <w:p w14:paraId="4E4DA431" w14:textId="182BB780" w:rsidR="00B258B7" w:rsidRPr="006810DB" w:rsidRDefault="00B258B7" w:rsidP="006810DB">
      <w:pPr>
        <w:pStyle w:val="Heading2"/>
        <w:numPr>
          <w:ilvl w:val="0"/>
          <w:numId w:val="22"/>
        </w:numPr>
        <w:ind w:left="284" w:hanging="284"/>
        <w:rPr>
          <w:bCs/>
          <w:szCs w:val="20"/>
          <w:lang w:val="en"/>
        </w:rPr>
      </w:pPr>
      <w:bookmarkStart w:id="168" w:name="_k34rx61nco47" w:colFirst="0" w:colLast="0"/>
      <w:bookmarkStart w:id="169" w:name="_Toc223088910"/>
      <w:bookmarkEnd w:id="168"/>
      <w:r w:rsidRPr="006810DB">
        <w:rPr>
          <w:bCs/>
          <w:szCs w:val="20"/>
          <w:lang w:val="en"/>
        </w:rPr>
        <w:t>Sejarah Penggunaan dalam Pengobatan Tradisional</w:t>
      </w:r>
      <w:bookmarkEnd w:id="169"/>
    </w:p>
    <w:p w14:paraId="13A0D407"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Jauh sebelum analisis kromatografi dan uji klinis acak terkontrol ada, manusia telah mengidentifikasi dan memanfaatkan khasiat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melalui metode observasi dan transmisi pengetahuan dari generasi ke generasi. Sejarah penggunaannya yang tercatat membentang lebih dari tiga milenium, menjadikannya salah satu ramuan obat yang paling </w:t>
      </w:r>
      <w:r w:rsidRPr="006810DB">
        <w:rPr>
          <w:rFonts w:ascii="Book Antiqua" w:hAnsi="Book Antiqua"/>
          <w:sz w:val="20"/>
          <w:szCs w:val="20"/>
          <w:lang w:val="en"/>
        </w:rPr>
        <w:lastRenderedPageBreak/>
        <w:t>dihormati dalam sejarah. Reputasinya dibangun di atas pengalaman empiris dalam berbagai sistem pengobatan tradisional, di mana ia digunakan untuk mengobati spektrum penyakit yang sangat luas, mulai dari gangguan pernapasan dan pencernaan hingga kondisi peradangan dan infeksi. Pemahaman terhadap penggunaan historis ini memberikan konteks yang sangat berharga dan sering kali menjadi petunjuk awal bagi penelitian ilmiah modern.</w:t>
      </w:r>
    </w:p>
    <w:p w14:paraId="1BF2DD6C"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Sejarah penggunaan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dalam pengobatan tradisional dapat diibaratkan seperti peta harta karun kuno. Peta tersebut (pengetahuan tradisional) mungkin tidak digambar dengan skala yang presisi atau menggunakan terminologi modern, tetapi ia menunjukkan lokasi umum di mana "harta karun" (efek terapeutik) dapat ditemukan. Para ilmuwan modern adalah para pemburu harta karun yang menggunakan teknologi canggih seperti GPS dan radar penembus tanah (metodologi ilmiah). Mereka tidak mengabaikan peta kuno tersebut; sebaliknya, mereka menggunakannya sebagai panduan awal untuk memfokuskan pencarian mereka, menggali di lokasi yang ditandai, dan secara sistematis menganalisis "harta karun" yang mereka temukan (senyawa bioaktif dan mekanisme kerjanya).</w:t>
      </w:r>
    </w:p>
    <w:p w14:paraId="4F2539A5" w14:textId="7FAF6D25" w:rsidR="00B258B7" w:rsidRPr="006810DB" w:rsidRDefault="00B258B7" w:rsidP="006810DB">
      <w:pPr>
        <w:pStyle w:val="ListParagraph"/>
        <w:numPr>
          <w:ilvl w:val="0"/>
          <w:numId w:val="55"/>
        </w:numPr>
        <w:spacing w:after="0" w:line="276" w:lineRule="auto"/>
        <w:ind w:left="567" w:hanging="283"/>
        <w:contextualSpacing w:val="0"/>
        <w:jc w:val="both"/>
        <w:rPr>
          <w:rFonts w:ascii="Book Antiqua" w:hAnsi="Book Antiqua"/>
          <w:b/>
          <w:bCs/>
          <w:sz w:val="20"/>
          <w:szCs w:val="20"/>
          <w:lang w:val="en"/>
        </w:rPr>
      </w:pPr>
      <w:bookmarkStart w:id="170" w:name="_2lggh2xfzq7c" w:colFirst="0" w:colLast="0"/>
      <w:bookmarkEnd w:id="170"/>
      <w:r w:rsidRPr="006810DB">
        <w:rPr>
          <w:rFonts w:ascii="Book Antiqua" w:hAnsi="Book Antiqua"/>
          <w:b/>
          <w:bCs/>
          <w:sz w:val="20"/>
          <w:szCs w:val="20"/>
          <w:lang w:val="en"/>
        </w:rPr>
        <w:t>Penggunaan dalam Pengobatan Unani dan Ayurveda</w:t>
      </w:r>
    </w:p>
    <w:p w14:paraId="62215EB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Dalam sistem pengobatan Unani, yang berakar dari tradisi Yunani kuno Hippocrates dan Galen,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(dikenal sebagai </w:t>
      </w:r>
      <w:r w:rsidRPr="006810DB">
        <w:rPr>
          <w:rFonts w:ascii="Book Antiqua" w:hAnsi="Book Antiqua"/>
          <w:i/>
          <w:iCs/>
          <w:sz w:val="20"/>
          <w:szCs w:val="20"/>
          <w:lang w:val="en"/>
        </w:rPr>
        <w:t>Kalonji</w:t>
      </w:r>
      <w:r w:rsidRPr="006810DB">
        <w:rPr>
          <w:rFonts w:ascii="Book Antiqua" w:hAnsi="Book Antiqua"/>
          <w:sz w:val="20"/>
          <w:szCs w:val="20"/>
          <w:lang w:val="en"/>
        </w:rPr>
        <w:t xml:space="preserve">) dianggap sebagai salah satu obat herbal terpenting. Ia diklasifikasikan sebagai zat yang "panas dan kering" dan digunakan untuk menyeimbangkan "humor" tubuh. Para tabib Unani meresepkannya untuk berbagai penyakit, termasuk asma, bronkitis, rematik, demam, dan penyakit kulit (Ahmad et al., 2013). Ibnu Sina (Avicenna), dalam kanon kedokterannya yang monumental, "The Canon of Medicine," mendedikasikan sebuah bagian untuk membahas manfaat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dalam merangsang energi tubuh dan membantu pemulihan dari kelelahan.</w:t>
      </w:r>
    </w:p>
    <w:p w14:paraId="353C2C7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lastRenderedPageBreak/>
        <w:t xml:space="preserve">Demikian pula, dalam Ayurveda, sistem pengobatan holistik dari India,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(disebut </w:t>
      </w:r>
      <w:r w:rsidRPr="006810DB">
        <w:rPr>
          <w:rFonts w:ascii="Book Antiqua" w:hAnsi="Book Antiqua"/>
          <w:i/>
          <w:iCs/>
          <w:sz w:val="20"/>
          <w:szCs w:val="20"/>
          <w:lang w:val="en"/>
        </w:rPr>
        <w:t>Upakunchika</w:t>
      </w:r>
      <w:r w:rsidRPr="006810DB">
        <w:rPr>
          <w:rFonts w:ascii="Book Antiqua" w:hAnsi="Book Antiqua"/>
          <w:sz w:val="20"/>
          <w:szCs w:val="20"/>
          <w:lang w:val="en"/>
        </w:rPr>
        <w:t>) dihargai karena sifat karminatif (mengurangi gas), stimulan, dan diuretiknya. Ia sering digunakan dalam formulasi untuk mengobati gangguan pencernaan, kehilangan nafsu makan, cacingan, dan kondisi neurologis tertentu (Goyal et al., 2017). Penggunaannya yang mapan dalam dua sistem pengobatan formal dan kuno ini menyoroti pengakuan lintas budaya terhadap potensi medisnya.</w:t>
      </w:r>
    </w:p>
    <w:p w14:paraId="60818BDE" w14:textId="1DD03ABF" w:rsidR="00B258B7" w:rsidRPr="006810DB" w:rsidRDefault="00B258B7" w:rsidP="006810DB">
      <w:pPr>
        <w:pStyle w:val="ListParagraph"/>
        <w:numPr>
          <w:ilvl w:val="0"/>
          <w:numId w:val="55"/>
        </w:numPr>
        <w:spacing w:after="0" w:line="276" w:lineRule="auto"/>
        <w:ind w:left="567" w:hanging="283"/>
        <w:contextualSpacing w:val="0"/>
        <w:jc w:val="both"/>
        <w:rPr>
          <w:rFonts w:ascii="Book Antiqua" w:hAnsi="Book Antiqua"/>
          <w:b/>
          <w:bCs/>
          <w:sz w:val="20"/>
          <w:szCs w:val="20"/>
          <w:lang w:val="en"/>
        </w:rPr>
      </w:pPr>
      <w:bookmarkStart w:id="171" w:name="_1t8ov4b1p25c" w:colFirst="0" w:colLast="0"/>
      <w:bookmarkEnd w:id="171"/>
      <w:r w:rsidRPr="006810DB">
        <w:rPr>
          <w:rFonts w:ascii="Book Antiqua" w:hAnsi="Book Antiqua"/>
          <w:b/>
          <w:bCs/>
          <w:sz w:val="20"/>
          <w:szCs w:val="20"/>
          <w:lang w:val="en"/>
        </w:rPr>
        <w:t>Habbatussauda dalam Perspektif Thibbun Nabawi</w:t>
      </w:r>
    </w:p>
    <w:p w14:paraId="64DFB2EA"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Signifikansi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mencapai puncaknya dalam tradisi Islam, di mana ia dikenal sebagai </w:t>
      </w:r>
      <w:r w:rsidRPr="006810DB">
        <w:rPr>
          <w:rFonts w:ascii="Book Antiqua" w:hAnsi="Book Antiqua"/>
          <w:i/>
          <w:iCs/>
          <w:sz w:val="20"/>
          <w:szCs w:val="20"/>
          <w:lang w:val="en"/>
        </w:rPr>
        <w:t>Habbat-ul-Barakah</w:t>
      </w:r>
      <w:r w:rsidRPr="006810DB">
        <w:rPr>
          <w:rFonts w:ascii="Book Antiqua" w:hAnsi="Book Antiqua"/>
          <w:sz w:val="20"/>
          <w:szCs w:val="20"/>
          <w:lang w:val="en"/>
        </w:rPr>
        <w:t xml:space="preserve"> (biji yang diberkati). Popularitasnya yang luar biasa di dunia Muslim berakar dari sebuah hadis (perkataan Nabi Muhammad SAW) yang sangat terkenal, yang diriwayatkan dalam koleksi sahih Bukhari dan Muslim, yang menyatakan: "Gunakanlah Habbatussauda, karena di dalamnya terdapat obat untuk segala macam penyakit, kecuali kematian." Pernyataan ini memberikan status spiritual dan medis yang sangat tinggi pada biji ini (Al-Bukhari, Hadith 5688; Muslim, Hadith 2215).</w:t>
      </w:r>
    </w:p>
    <w:p w14:paraId="74DFB118"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Karena anjuran profetik ini, penggunaan habbatussauda menjadi bagian integral dari </w:t>
      </w:r>
      <w:r w:rsidRPr="006810DB">
        <w:rPr>
          <w:rFonts w:ascii="Book Antiqua" w:hAnsi="Book Antiqua"/>
          <w:i/>
          <w:iCs/>
          <w:sz w:val="20"/>
          <w:szCs w:val="20"/>
          <w:lang w:val="en"/>
        </w:rPr>
        <w:t>Thibbun Nabawi</w:t>
      </w:r>
      <w:r w:rsidRPr="006810DB">
        <w:rPr>
          <w:rFonts w:ascii="Book Antiqua" w:hAnsi="Book Antiqua"/>
          <w:sz w:val="20"/>
          <w:szCs w:val="20"/>
          <w:lang w:val="en"/>
        </w:rPr>
        <w:t>, atau pengobatan cara Nabi. Selama berabad-abad, ia telah digunakan oleh Muslim di seluruh dunia untuk menjaga kesehatan dan mengobati berbagai penyakit. Kepercayaan yang mendalam ini telah mendorong pelestarian pengetahuan tentang penggunaannya dan menjadi motivasi utama bagi banyak peneliti Muslim modern untuk menyelidiki dasar ilmiah di balik khasiatnya yang legendaris (Hannan et al., 2021).</w:t>
      </w:r>
    </w:p>
    <w:p w14:paraId="4499C9C0" w14:textId="7B4531EA" w:rsidR="00B258B7" w:rsidRPr="006810DB" w:rsidRDefault="00B258B7" w:rsidP="006810DB">
      <w:pPr>
        <w:pStyle w:val="ListParagraph"/>
        <w:numPr>
          <w:ilvl w:val="0"/>
          <w:numId w:val="55"/>
        </w:numPr>
        <w:spacing w:after="0" w:line="276" w:lineRule="auto"/>
        <w:ind w:left="567" w:hanging="283"/>
        <w:contextualSpacing w:val="0"/>
        <w:jc w:val="both"/>
        <w:rPr>
          <w:rFonts w:ascii="Book Antiqua" w:hAnsi="Book Antiqua"/>
          <w:b/>
          <w:bCs/>
          <w:sz w:val="20"/>
          <w:szCs w:val="20"/>
          <w:lang w:val="en"/>
        </w:rPr>
      </w:pPr>
      <w:bookmarkStart w:id="172" w:name="_ez4wqunxck6a" w:colFirst="0" w:colLast="0"/>
      <w:bookmarkEnd w:id="172"/>
      <w:r w:rsidRPr="006810DB">
        <w:rPr>
          <w:rFonts w:ascii="Book Antiqua" w:hAnsi="Book Antiqua"/>
          <w:b/>
          <w:bCs/>
          <w:sz w:val="20"/>
          <w:szCs w:val="20"/>
          <w:lang w:val="en"/>
        </w:rPr>
        <w:t>Evolusi Penggunaan dari Rempah ke Obat Herbal</w:t>
      </w:r>
    </w:p>
    <w:p w14:paraId="5ADD911B"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Awalnya, seperti banyak herbal lainnya, penggunaan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kemungkinan besar dimulai di dapur sebagai bumbu penyedap dan pengawet makanan. Rasa pedas dan aromanya yang unik membuatnya menjadi tambahan yang </w:t>
      </w:r>
      <w:r w:rsidRPr="006810DB">
        <w:rPr>
          <w:rFonts w:ascii="Book Antiqua" w:hAnsi="Book Antiqua"/>
          <w:sz w:val="20"/>
          <w:szCs w:val="20"/>
          <w:lang w:val="en"/>
        </w:rPr>
        <w:lastRenderedPageBreak/>
        <w:t>populer untuk roti, acar, dan kari di banyak budaya. Namun, seiring waktu, pengamatan terhadap manfaat kesehatannya, mungkin awalnya untuk membantu pencernaan, menyebabkannya beralih ke lemari obat (Ahmad et al., 2013).</w:t>
      </w:r>
    </w:p>
    <w:p w14:paraId="0114A828" w14:textId="4A7E4FB1"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Pada abad ke-20 dan ke-21, terjadi evolusi lebih lanjut. Dengan kemajuan dalam kimia analitik dan farmakologi, para ilmuwan mulai mengisolasi dan mengidentifikasi senyawa-senyawa aktif di dalam biji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Publikasi pertama yang mengisolasi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pada tahun 1963 menjadi titik balik, mengubahnya dari ramuan tradisional menjadi subjek penelitian ilmiah yang intensif (El-Dakhakhny, 1963). Sejak saat itu, ribuan artikel penelitian telah dipublikasikan, memvalidasi banyak penggunaan tradisionalnya dan mengungkap mekanisme molekuler baru, yang pada akhirnya mengukuhkannya sebagai salah satu fitofarmaka yang paling banyak diteliti di dunia.</w:t>
      </w:r>
    </w:p>
    <w:p w14:paraId="6AC4105E" w14:textId="77777777" w:rsidR="00504B56" w:rsidRPr="006810DB" w:rsidRDefault="00504B56" w:rsidP="006810DB">
      <w:pPr>
        <w:spacing w:after="0" w:line="276" w:lineRule="auto"/>
        <w:jc w:val="both"/>
        <w:rPr>
          <w:rFonts w:ascii="Book Antiqua" w:hAnsi="Book Antiqua"/>
          <w:sz w:val="20"/>
          <w:szCs w:val="20"/>
          <w:lang w:val="en"/>
        </w:rPr>
      </w:pPr>
    </w:p>
    <w:p w14:paraId="1083B6DD" w14:textId="06585255" w:rsidR="00B258B7" w:rsidRPr="006810DB" w:rsidRDefault="00B258B7" w:rsidP="006810DB">
      <w:pPr>
        <w:pStyle w:val="Heading2"/>
        <w:numPr>
          <w:ilvl w:val="0"/>
          <w:numId w:val="22"/>
        </w:numPr>
        <w:ind w:left="284" w:hanging="284"/>
        <w:rPr>
          <w:bCs/>
          <w:szCs w:val="20"/>
          <w:lang w:val="en"/>
        </w:rPr>
      </w:pPr>
      <w:bookmarkStart w:id="173" w:name="_uh2qx9pm9we0" w:colFirst="0" w:colLast="0"/>
      <w:bookmarkStart w:id="174" w:name="_Toc223088911"/>
      <w:bookmarkEnd w:id="173"/>
      <w:r w:rsidRPr="006810DB">
        <w:rPr>
          <w:bCs/>
          <w:szCs w:val="20"/>
          <w:lang w:val="en"/>
        </w:rPr>
        <w:t>Diversitas Senyawa Bioaktif Utama</w:t>
      </w:r>
      <w:bookmarkEnd w:id="174"/>
    </w:p>
    <w:p w14:paraId="280AF5D5"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Potensi farmakologis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yang luas bukanlah hasil dari satu "senyawa ajaib" tunggal, melainkan merupakan hasil dari interaksi sinergis antara berbagai macam senyawa fitokimia yang dikandungnya. Biji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adalah gudang metabolit primer dan sekunder yang kompleks. Analisis fitokimia telah mengidentifikasi lebih dari seratus konstituen yang berbeda, mulai dari kuinon terpenoid yang sangat aktif, alkaloid, saponin, dan flavonoid, hingga komponen nutrisi esensial seperti asam lemak, vitamin, dan mineral. Keberagaman inilah yang kemungkinan besar mendasari kemampuannya untuk menargetkan berbagai jalur biologis secara bersamaan, menjelaskan spektrum luas penggunaan tradisionalnya.</w:t>
      </w:r>
    </w:p>
    <w:p w14:paraId="4785BE8A"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Komposisi fitokimia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dapat diibaratkan seperti sebuah tim pasukan khusus yang sangat terlatih.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adalah komandan lapangan, sangat kuat, serbaguna, dan sering menjadi pusat perhatian dalam setiap operasi (efek antioksidan dan anti-inflamasi). Namun, keberhasilannya juga sangat bergantung pada anggota </w:t>
      </w:r>
      <w:r w:rsidRPr="006810DB">
        <w:rPr>
          <w:rFonts w:ascii="Book Antiqua" w:hAnsi="Book Antiqua"/>
          <w:sz w:val="20"/>
          <w:szCs w:val="20"/>
          <w:lang w:val="en"/>
        </w:rPr>
        <w:lastRenderedPageBreak/>
        <w:t xml:space="preserve">tim lainnya. Flavonoid adalah spesialis komunikasi dan pengintaian (stabilisator membran, </w:t>
      </w:r>
      <w:r w:rsidRPr="006810DB">
        <w:rPr>
          <w:rFonts w:ascii="Book Antiqua" w:hAnsi="Book Antiqua"/>
          <w:i/>
          <w:iCs/>
          <w:sz w:val="20"/>
          <w:szCs w:val="20"/>
          <w:lang w:val="en"/>
        </w:rPr>
        <w:t>scavenger</w:t>
      </w:r>
      <w:r w:rsidRPr="006810DB">
        <w:rPr>
          <w:rFonts w:ascii="Book Antiqua" w:hAnsi="Book Antiqua"/>
          <w:sz w:val="20"/>
          <w:szCs w:val="20"/>
          <w:lang w:val="en"/>
        </w:rPr>
        <w:t xml:space="preserve"> radikal bebas). Alkaloid adalah pasukan serbu (efek analgesik, antimikroba). Sementara itu, asam lemak esensial adalah tim logistik yang memastikan semua unit memiliki energi dan perlengkapan yang cukup untuk berfungsi secara optimal (kesehatan membran sel). Kemenangan dalam pertempuran (efek terapeutik) dicapai bukan oleh satu prajurit saja, tetapi oleh upaya terkoordinasi dari seluruh tim.</w:t>
      </w:r>
    </w:p>
    <w:p w14:paraId="70EB8145" w14:textId="37DB7DF5" w:rsidR="00B258B7" w:rsidRPr="006810DB" w:rsidRDefault="00B258B7" w:rsidP="006810DB">
      <w:pPr>
        <w:pStyle w:val="ListParagraph"/>
        <w:numPr>
          <w:ilvl w:val="0"/>
          <w:numId w:val="56"/>
        </w:numPr>
        <w:spacing w:after="0" w:line="276" w:lineRule="auto"/>
        <w:ind w:left="567" w:hanging="283"/>
        <w:contextualSpacing w:val="0"/>
        <w:jc w:val="both"/>
        <w:rPr>
          <w:rFonts w:ascii="Book Antiqua" w:hAnsi="Book Antiqua"/>
          <w:b/>
          <w:bCs/>
          <w:sz w:val="20"/>
          <w:szCs w:val="20"/>
          <w:lang w:val="en"/>
        </w:rPr>
      </w:pPr>
      <w:bookmarkStart w:id="175" w:name="_42mche6ujj2m" w:colFirst="0" w:colLast="0"/>
      <w:bookmarkEnd w:id="175"/>
      <w:r w:rsidRPr="006810DB">
        <w:rPr>
          <w:rFonts w:ascii="Book Antiqua" w:hAnsi="Book Antiqua"/>
          <w:b/>
          <w:bCs/>
          <w:i/>
          <w:iCs/>
          <w:sz w:val="20"/>
          <w:szCs w:val="20"/>
          <w:lang w:val="en"/>
        </w:rPr>
        <w:t>Thymoquinone</w:t>
      </w:r>
      <w:r w:rsidRPr="006810DB">
        <w:rPr>
          <w:rFonts w:ascii="Book Antiqua" w:hAnsi="Book Antiqua"/>
          <w:b/>
          <w:bCs/>
          <w:sz w:val="20"/>
          <w:szCs w:val="20"/>
          <w:lang w:val="en"/>
        </w:rPr>
        <w:t xml:space="preserve"> sebagai Komponen Kunci</w:t>
      </w:r>
    </w:p>
    <w:p w14:paraId="15CB210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Di antara semua senyawa yang diisolasi dari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(TQ) tidak diragukan lagi adalah yang paling banyak dipelajari dan dianggap sebagai kontributor utama aktivitas biologisnya. TQ adalah senyawa monoterpenoid kuinon yang menyusun sebagian besar minyak atsiri biji (0.4-2.5% b/b) (Hannan et al., 2021). Strukturnya yang unik, dengan cincin kuinon, memungkinkannya untuk berpartisipasi dalam reaksi redoks, yang menjadi dasar bagi sifat antioksidannya yang kuat.</w:t>
      </w:r>
    </w:p>
    <w:p w14:paraId="2CBE4E2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Penelitian farmakologis yang ekstensif telah menunjukkan bahwa TQ memiliki spektrum aktivitas yang sangat luas, termasuk anti-inflamasi, antioksidan, antikanker, imunomodulator, dan antimikroba. Dalam konteks buku ini, kemampuannya untuk secara efisien "menyapu" radikal bebas (seperti anion superoksida) dan menghambat jalur pensinyalan pro-inflamasi utama seperti NF-κB menjadikannya molekul yang sangat menarik untuk pencegahan mukositis (Madani et al., 2023). Sebagian besar penelitian modern tentang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berfokus pada mekanisme aksi TQ.</w:t>
      </w:r>
    </w:p>
    <w:p w14:paraId="1BC7F9E5" w14:textId="7444620F" w:rsidR="00B258B7" w:rsidRPr="006810DB" w:rsidRDefault="00B258B7" w:rsidP="006810DB">
      <w:pPr>
        <w:pStyle w:val="ListParagraph"/>
        <w:numPr>
          <w:ilvl w:val="0"/>
          <w:numId w:val="56"/>
        </w:numPr>
        <w:spacing w:after="0" w:line="276" w:lineRule="auto"/>
        <w:ind w:left="567" w:hanging="283"/>
        <w:contextualSpacing w:val="0"/>
        <w:jc w:val="both"/>
        <w:rPr>
          <w:rFonts w:ascii="Book Antiqua" w:hAnsi="Book Antiqua"/>
          <w:b/>
          <w:bCs/>
          <w:sz w:val="20"/>
          <w:szCs w:val="20"/>
          <w:lang w:val="en"/>
        </w:rPr>
      </w:pPr>
      <w:bookmarkStart w:id="176" w:name="_ii6ota28z9e2" w:colFirst="0" w:colLast="0"/>
      <w:bookmarkEnd w:id="176"/>
      <w:r w:rsidRPr="006810DB">
        <w:rPr>
          <w:rFonts w:ascii="Book Antiqua" w:hAnsi="Book Antiqua"/>
          <w:b/>
          <w:bCs/>
          <w:sz w:val="20"/>
          <w:szCs w:val="20"/>
          <w:lang w:val="en"/>
        </w:rPr>
        <w:t>Alkaloid, Saponin, dan Flavonoid</w:t>
      </w:r>
    </w:p>
    <w:p w14:paraId="61CA789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Meskipun TQ menjadi bintang utama, kontribusi dari kelas senyawa lain tidak boleh diabaikan.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mengandung beberapa jenis alkaloid, seperti nigellicidin dan nigellimin, yang diketahui memiliki berbagai aktivitas </w:t>
      </w:r>
      <w:r w:rsidRPr="006810DB">
        <w:rPr>
          <w:rFonts w:ascii="Book Antiqua" w:hAnsi="Book Antiqua"/>
          <w:sz w:val="20"/>
          <w:szCs w:val="20"/>
          <w:lang w:val="en"/>
        </w:rPr>
        <w:lastRenderedPageBreak/>
        <w:t>farmakologis. Alkaloid sering kali berinteraksi dengan sistem saraf dan dapat berkontribusi pada efek analgesik (pereda nyeri) yang dilaporkan dari ekstrak biji ini (Amin &amp; Hosseinzadeh, 2016).</w:t>
      </w:r>
    </w:p>
    <w:p w14:paraId="2F82289B"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Saponin, seperti alpha-hederin, juga telah diidentifikasi dan diketahui memiliki sifat anti-inflamasi dan antikanker. Flavonoid, seperti quercetin dan kaempferol, adalah kelas polifenol yang dikenal luas karena aktivitas antioksidannya yang kuat. Mereka dapat menstabilkan radikal bebas dan juga memodulasi aktivitas berbagai enzim, berkontribusi pada efek sitoprotektif secara keseluruhan (Yimer et al., 2019). Kehadiran senyawa-senyawa ini menunjukkan bahwa efek ekstrak total mungkin lebih besar daripada efek TQ saja.</w:t>
      </w:r>
    </w:p>
    <w:p w14:paraId="2F5C88AB" w14:textId="54B49D91" w:rsidR="00B258B7" w:rsidRPr="006810DB" w:rsidRDefault="00B258B7" w:rsidP="006810DB">
      <w:pPr>
        <w:pStyle w:val="ListParagraph"/>
        <w:numPr>
          <w:ilvl w:val="0"/>
          <w:numId w:val="56"/>
        </w:numPr>
        <w:spacing w:after="0" w:line="276" w:lineRule="auto"/>
        <w:ind w:left="567" w:hanging="283"/>
        <w:contextualSpacing w:val="0"/>
        <w:jc w:val="both"/>
        <w:rPr>
          <w:rFonts w:ascii="Book Antiqua" w:hAnsi="Book Antiqua"/>
          <w:b/>
          <w:bCs/>
          <w:sz w:val="20"/>
          <w:szCs w:val="20"/>
          <w:lang w:val="en"/>
        </w:rPr>
      </w:pPr>
      <w:bookmarkStart w:id="177" w:name="_mi59ku1a9ln5" w:colFirst="0" w:colLast="0"/>
      <w:bookmarkEnd w:id="177"/>
      <w:r w:rsidRPr="006810DB">
        <w:rPr>
          <w:rFonts w:ascii="Book Antiqua" w:hAnsi="Book Antiqua"/>
          <w:b/>
          <w:bCs/>
          <w:sz w:val="20"/>
          <w:szCs w:val="20"/>
          <w:lang w:val="en"/>
        </w:rPr>
        <w:t>Kandungan Asam Lemak Esensial dan Mineral</w:t>
      </w:r>
    </w:p>
    <w:p w14:paraId="0BF3D11B"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Selain metabolit sekundernya, biji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juga kaya akan nutrisi makro dan mikro yang penting. Minyak tetapnya (</w:t>
      </w:r>
      <w:r w:rsidRPr="006810DB">
        <w:rPr>
          <w:rFonts w:ascii="Book Antiqua" w:hAnsi="Book Antiqua"/>
          <w:i/>
          <w:iCs/>
          <w:sz w:val="20"/>
          <w:szCs w:val="20"/>
          <w:lang w:val="en"/>
        </w:rPr>
        <w:t>fixed oil</w:t>
      </w:r>
      <w:r w:rsidRPr="006810DB">
        <w:rPr>
          <w:rFonts w:ascii="Book Antiqua" w:hAnsi="Book Antiqua"/>
          <w:sz w:val="20"/>
          <w:szCs w:val="20"/>
          <w:lang w:val="en"/>
        </w:rPr>
        <w:t>), yang dapat mencapai lebih dari 30% dari berat biji, sebagian besar terdiri dari asam lemak tak jenuh, dengan asam linoleat (Omega-6) dan asam oleat (Omega-9) sebagai komponen utamanya. Asam lemak ini sangat penting untuk menjaga integritas dan fluiditas membran sel, dan juga merupakan prekursor untuk molekul pensinyalan lipid yang terlibat dalam resolusi peradangan (Hannan et al., 2021).</w:t>
      </w:r>
    </w:p>
    <w:p w14:paraId="23A9A92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Biji ini juga merupakan sumber yang baik untuk berbagai mineral esensial, termasuk kalsium, zat besi, kalium, dan seng. Mineral-mineral ini berfungsi sebagai kofaktor untuk banyak enzim, termasuk beberapa enzim antioksidan seperti </w:t>
      </w:r>
      <w:r w:rsidRPr="006810DB">
        <w:rPr>
          <w:rFonts w:ascii="Book Antiqua" w:hAnsi="Book Antiqua"/>
          <w:i/>
          <w:iCs/>
          <w:sz w:val="20"/>
          <w:szCs w:val="20"/>
          <w:lang w:val="en"/>
        </w:rPr>
        <w:t>superoxide dismutase</w:t>
      </w:r>
      <w:r w:rsidRPr="006810DB">
        <w:rPr>
          <w:rFonts w:ascii="Book Antiqua" w:hAnsi="Book Antiqua"/>
          <w:sz w:val="20"/>
          <w:szCs w:val="20"/>
          <w:lang w:val="en"/>
        </w:rPr>
        <w:t xml:space="preserve"> (yang memerlukan tembaga dan seng atau mangan). Oleh karena itu, profil nutrisi yang kaya ini dapat memberikan dukungan metabolik yang mendasari efek farmakologis dari senyawa bioaktif utamanya (Cheikh-Rouhou et al., 2007).</w:t>
      </w:r>
    </w:p>
    <w:p w14:paraId="53465F73" w14:textId="77777777" w:rsidR="00504B56" w:rsidRPr="006810DB" w:rsidRDefault="00504B56" w:rsidP="006810DB">
      <w:pPr>
        <w:spacing w:after="0" w:line="276" w:lineRule="auto"/>
        <w:jc w:val="both"/>
        <w:rPr>
          <w:rFonts w:ascii="Book Antiqua" w:hAnsi="Book Antiqua"/>
          <w:b/>
          <w:bCs/>
          <w:sz w:val="20"/>
          <w:szCs w:val="20"/>
          <w:lang w:val="en"/>
        </w:rPr>
      </w:pPr>
      <w:bookmarkStart w:id="178" w:name="_lcfq2zk46zmf" w:colFirst="0" w:colLast="0"/>
      <w:bookmarkEnd w:id="178"/>
    </w:p>
    <w:p w14:paraId="22304A59" w14:textId="77777777" w:rsidR="00D51341" w:rsidRPr="006810DB" w:rsidRDefault="00D51341" w:rsidP="006810DB">
      <w:pPr>
        <w:spacing w:line="276" w:lineRule="auto"/>
        <w:rPr>
          <w:rFonts w:ascii="Book Antiqua" w:eastAsiaTheme="majorEastAsia" w:hAnsi="Book Antiqua" w:cstheme="majorBidi"/>
          <w:b/>
          <w:color w:val="000000" w:themeColor="text1"/>
          <w:sz w:val="20"/>
          <w:szCs w:val="26"/>
          <w:lang w:val="zh-CN"/>
        </w:rPr>
      </w:pPr>
      <w:r w:rsidRPr="006810DB">
        <w:rPr>
          <w:rFonts w:ascii="Book Antiqua" w:hAnsi="Book Antiqua"/>
        </w:rPr>
        <w:br w:type="page"/>
      </w:r>
    </w:p>
    <w:p w14:paraId="3ECA83A0" w14:textId="595EBAC7" w:rsidR="00B258B7" w:rsidRPr="006810DB" w:rsidRDefault="00B258B7" w:rsidP="006810DB">
      <w:pPr>
        <w:pStyle w:val="Heading2"/>
        <w:jc w:val="center"/>
        <w:rPr>
          <w:b w:val="0"/>
          <w:bCs/>
          <w:szCs w:val="20"/>
          <w:lang w:val="en"/>
        </w:rPr>
      </w:pPr>
      <w:bookmarkStart w:id="179" w:name="_Toc223088912"/>
      <w:r w:rsidRPr="006810DB">
        <w:rPr>
          <w:highlight w:val="yellow"/>
        </w:rPr>
        <w:lastRenderedPageBreak/>
        <w:t>KESIMPULAN</w:t>
      </w:r>
      <w:bookmarkEnd w:id="179"/>
    </w:p>
    <w:p w14:paraId="22B0A14A" w14:textId="77777777" w:rsidR="00504B56" w:rsidRPr="006810DB" w:rsidRDefault="00504B56" w:rsidP="006810DB">
      <w:pPr>
        <w:spacing w:after="0" w:line="276" w:lineRule="auto"/>
        <w:jc w:val="both"/>
        <w:rPr>
          <w:rFonts w:ascii="Book Antiqua" w:hAnsi="Book Antiqua"/>
          <w:b/>
          <w:bCs/>
          <w:sz w:val="20"/>
          <w:szCs w:val="20"/>
          <w:lang w:val="en"/>
        </w:rPr>
      </w:pPr>
      <w:bookmarkStart w:id="180" w:name="_okcoh5iu7tjx" w:colFirst="0" w:colLast="0"/>
      <w:bookmarkEnd w:id="180"/>
    </w:p>
    <w:p w14:paraId="07C7DBC0" w14:textId="77777777" w:rsidR="00D51341" w:rsidRPr="006810DB" w:rsidRDefault="00D51341" w:rsidP="006810DB">
      <w:pPr>
        <w:spacing w:line="276" w:lineRule="auto"/>
        <w:rPr>
          <w:rFonts w:ascii="Book Antiqua" w:eastAsiaTheme="majorEastAsia" w:hAnsi="Book Antiqua" w:cstheme="majorBidi"/>
          <w:b/>
          <w:bCs/>
          <w:color w:val="000000" w:themeColor="text1"/>
          <w:sz w:val="20"/>
          <w:szCs w:val="20"/>
          <w:lang w:val="en"/>
        </w:rPr>
      </w:pPr>
      <w:r w:rsidRPr="006810DB">
        <w:rPr>
          <w:rFonts w:ascii="Book Antiqua" w:hAnsi="Book Antiqua"/>
          <w:bCs/>
          <w:szCs w:val="20"/>
          <w:lang w:val="en"/>
        </w:rPr>
        <w:br w:type="page"/>
      </w:r>
    </w:p>
    <w:p w14:paraId="7A2857C7" w14:textId="31A0FAF2" w:rsidR="00B258B7" w:rsidRPr="006810DB" w:rsidRDefault="00B258B7" w:rsidP="006810DB">
      <w:pPr>
        <w:pStyle w:val="Heading2"/>
        <w:jc w:val="center"/>
        <w:rPr>
          <w:b w:val="0"/>
          <w:bCs/>
          <w:szCs w:val="20"/>
          <w:lang w:val="en"/>
        </w:rPr>
      </w:pPr>
      <w:bookmarkStart w:id="181" w:name="_Toc223088913"/>
      <w:r w:rsidRPr="006810DB">
        <w:rPr>
          <w:bCs/>
          <w:szCs w:val="20"/>
          <w:highlight w:val="yellow"/>
          <w:lang w:val="en"/>
        </w:rPr>
        <w:lastRenderedPageBreak/>
        <w:t>GLOSARIUM</w:t>
      </w:r>
      <w:bookmarkEnd w:id="181"/>
      <w:r w:rsidRPr="006810DB">
        <w:rPr>
          <w:bCs/>
          <w:szCs w:val="20"/>
          <w:lang w:val="en"/>
        </w:rPr>
        <w:t xml:space="preserve"> </w:t>
      </w:r>
    </w:p>
    <w:p w14:paraId="728DBE47" w14:textId="08A3BDE7" w:rsidR="00D51341" w:rsidRPr="006810DB" w:rsidRDefault="00D51341" w:rsidP="006810DB">
      <w:pPr>
        <w:spacing w:after="0" w:line="276" w:lineRule="auto"/>
        <w:jc w:val="both"/>
        <w:rPr>
          <w:rFonts w:ascii="Book Antiqua" w:hAnsi="Book Antiqua"/>
          <w:b/>
          <w:bCs/>
          <w:sz w:val="20"/>
          <w:szCs w:val="20"/>
          <w:lang w:val="en"/>
        </w:rPr>
      </w:pPr>
    </w:p>
    <w:p w14:paraId="0CB8F527" w14:textId="77777777" w:rsidR="00D51341" w:rsidRPr="006810DB" w:rsidRDefault="00D51341" w:rsidP="006810DB">
      <w:pPr>
        <w:spacing w:after="0" w:line="276" w:lineRule="auto"/>
        <w:jc w:val="both"/>
        <w:rPr>
          <w:rFonts w:ascii="Book Antiqua" w:hAnsi="Book Antiqua"/>
          <w:b/>
          <w:bCs/>
          <w:sz w:val="20"/>
          <w:szCs w:val="20"/>
          <w:lang w:val="en"/>
        </w:rPr>
      </w:pPr>
    </w:p>
    <w:p w14:paraId="5F68AC0A" w14:textId="77777777" w:rsidR="009F271B" w:rsidRPr="006810DB" w:rsidRDefault="009F271B" w:rsidP="006810DB">
      <w:pPr>
        <w:spacing w:line="276" w:lineRule="auto"/>
        <w:rPr>
          <w:rFonts w:ascii="Book Antiqua" w:hAnsi="Book Antiqua"/>
          <w:b/>
          <w:bCs/>
          <w:sz w:val="20"/>
          <w:szCs w:val="20"/>
          <w:lang w:val="en"/>
        </w:rPr>
      </w:pPr>
      <w:bookmarkStart w:id="182" w:name="_f1s4so1y8rdh" w:colFirst="0" w:colLast="0"/>
      <w:bookmarkEnd w:id="182"/>
      <w:r w:rsidRPr="006810DB">
        <w:rPr>
          <w:rFonts w:ascii="Book Antiqua" w:hAnsi="Book Antiqua"/>
          <w:b/>
          <w:bCs/>
          <w:sz w:val="20"/>
          <w:szCs w:val="20"/>
          <w:lang w:val="en"/>
        </w:rPr>
        <w:br w:type="page"/>
      </w:r>
    </w:p>
    <w:p w14:paraId="78BC7882" w14:textId="68073EC0" w:rsidR="00B258B7" w:rsidRPr="006810DB" w:rsidRDefault="00B258B7" w:rsidP="006810DB">
      <w:pPr>
        <w:pStyle w:val="Heading2"/>
        <w:jc w:val="center"/>
      </w:pPr>
      <w:bookmarkStart w:id="183" w:name="_Toc223088914"/>
      <w:r w:rsidRPr="006810DB">
        <w:lastRenderedPageBreak/>
        <w:t>DAFTAR PUSTAKA</w:t>
      </w:r>
      <w:bookmarkEnd w:id="183"/>
      <w:r w:rsidRPr="006810DB">
        <w:t xml:space="preserve"> </w:t>
      </w:r>
    </w:p>
    <w:p w14:paraId="181CA3C2" w14:textId="77777777" w:rsidR="009F271B" w:rsidRPr="006810DB" w:rsidRDefault="009F271B" w:rsidP="006810DB">
      <w:pPr>
        <w:spacing w:after="0" w:line="276" w:lineRule="auto"/>
        <w:jc w:val="both"/>
        <w:rPr>
          <w:rFonts w:ascii="Book Antiqua" w:hAnsi="Book Antiqua"/>
          <w:b/>
          <w:bCs/>
          <w:sz w:val="20"/>
          <w:szCs w:val="20"/>
          <w:lang w:val="en"/>
        </w:rPr>
      </w:pPr>
    </w:p>
    <w:p w14:paraId="68C96575" w14:textId="77777777" w:rsidR="00F351CE" w:rsidRPr="006810DB" w:rsidRDefault="00F351C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Ahmad, A., Husain, A., Mujeeb, M., Khan, S. A., Najmi, A. K., Siddique, N. A., ... &amp; Anwar, F. (2013). A review on therapeutic potential of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A miracle herb. </w:t>
      </w:r>
      <w:r w:rsidRPr="006810DB">
        <w:rPr>
          <w:rFonts w:ascii="Book Antiqua" w:hAnsi="Book Antiqua"/>
          <w:i/>
          <w:iCs/>
          <w:color w:val="000000" w:themeColor="text1"/>
          <w:sz w:val="20"/>
          <w:szCs w:val="20"/>
          <w:lang w:val="en"/>
        </w:rPr>
        <w:t>Asian Pacific Journal of Tropical Biomedicine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w:t>
      </w:r>
      <w:r w:rsidRPr="006810DB">
        <w:rPr>
          <w:rFonts w:ascii="Book Antiqua" w:hAnsi="Book Antiqua"/>
          <w:color w:val="000000" w:themeColor="text1"/>
          <w:sz w:val="20"/>
          <w:szCs w:val="20"/>
          <w:lang w:val="en"/>
        </w:rPr>
        <w:t>(5), 337-352.</w:t>
      </w:r>
      <w:hyperlink r:id="rId141">
        <w:r w:rsidRPr="006810DB">
          <w:rPr>
            <w:rStyle w:val="Hyperlink"/>
            <w:rFonts w:ascii="Book Antiqua" w:hAnsi="Book Antiqua"/>
            <w:color w:val="000000" w:themeColor="text1"/>
            <w:sz w:val="20"/>
            <w:szCs w:val="20"/>
            <w:u w:val="none"/>
            <w:lang w:val="en"/>
          </w:rPr>
          <w:t xml:space="preserve"> </w:t>
        </w:r>
      </w:hyperlink>
      <w:hyperlink r:id="rId142">
        <w:r w:rsidRPr="006810DB">
          <w:rPr>
            <w:rStyle w:val="Hyperlink"/>
            <w:rFonts w:ascii="Book Antiqua" w:hAnsi="Book Antiqua"/>
            <w:color w:val="000000" w:themeColor="text1"/>
            <w:sz w:val="20"/>
            <w:szCs w:val="20"/>
            <w:u w:val="none"/>
            <w:lang w:val="en"/>
          </w:rPr>
          <w:t>https://doi.org/10.1016/S2221-1691(13)60075-1</w:t>
        </w:r>
      </w:hyperlink>
    </w:p>
    <w:p w14:paraId="11462EEB" w14:textId="77777777" w:rsidR="00F351CE" w:rsidRPr="006810DB" w:rsidRDefault="00F351C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Al-Bukhari, M. I. (n.d.). </w:t>
      </w:r>
      <w:r w:rsidRPr="006810DB">
        <w:rPr>
          <w:rFonts w:ascii="Book Antiqua" w:hAnsi="Book Antiqua"/>
          <w:i/>
          <w:iCs/>
          <w:color w:val="000000" w:themeColor="text1"/>
          <w:sz w:val="20"/>
          <w:szCs w:val="20"/>
          <w:lang w:val="en"/>
        </w:rPr>
        <w:t>Sahih al-Bukhari</w:t>
      </w:r>
      <w:r w:rsidRPr="006810DB">
        <w:rPr>
          <w:rFonts w:ascii="Book Antiqua" w:hAnsi="Book Antiqua"/>
          <w:color w:val="000000" w:themeColor="text1"/>
          <w:sz w:val="20"/>
          <w:szCs w:val="20"/>
          <w:lang w:val="en"/>
        </w:rPr>
        <w:t>. (Vol. 7, Book 71, Hadith 592).</w:t>
      </w:r>
    </w:p>
    <w:p w14:paraId="4C82B90C" w14:textId="77777777" w:rsidR="00F351CE" w:rsidRPr="006810DB" w:rsidRDefault="00F351C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Al-Jassir, M. S. (2011). Chemical composition and characterization of the fixed and volatile oils of black cumin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seeds. </w:t>
      </w:r>
      <w:r w:rsidRPr="006810DB">
        <w:rPr>
          <w:rFonts w:ascii="Book Antiqua" w:hAnsi="Book Antiqua"/>
          <w:i/>
          <w:iCs/>
          <w:color w:val="000000" w:themeColor="text1"/>
          <w:sz w:val="20"/>
          <w:szCs w:val="20"/>
          <w:lang w:val="en"/>
        </w:rPr>
        <w:t>Journal of the American Oil Chemists' Society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88</w:t>
      </w:r>
      <w:r w:rsidRPr="006810DB">
        <w:rPr>
          <w:rFonts w:ascii="Book Antiqua" w:hAnsi="Book Antiqua"/>
          <w:color w:val="000000" w:themeColor="text1"/>
          <w:sz w:val="20"/>
          <w:szCs w:val="20"/>
          <w:lang w:val="en"/>
        </w:rPr>
        <w:t>(8), 1177–1184.</w:t>
      </w:r>
    </w:p>
    <w:p w14:paraId="4E01ECBB" w14:textId="77777777" w:rsidR="00F351CE" w:rsidRPr="006810DB" w:rsidRDefault="00F351C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Amin, B., &amp; Hosseinzadeh, H. (2016). Black Cumin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and its active constituent, thymoquinone: an overview on the analgesic and anti-inflammatory effects. </w:t>
      </w:r>
      <w:r w:rsidRPr="006810DB">
        <w:rPr>
          <w:rFonts w:ascii="Book Antiqua" w:hAnsi="Book Antiqua"/>
          <w:i/>
          <w:iCs/>
          <w:color w:val="000000" w:themeColor="text1"/>
          <w:sz w:val="20"/>
          <w:szCs w:val="20"/>
          <w:lang w:val="en"/>
        </w:rPr>
        <w:t>Planta Medica</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82</w:t>
      </w:r>
      <w:r w:rsidRPr="006810DB">
        <w:rPr>
          <w:rFonts w:ascii="Book Antiqua" w:hAnsi="Book Antiqua"/>
          <w:color w:val="000000" w:themeColor="text1"/>
          <w:sz w:val="20"/>
          <w:szCs w:val="20"/>
          <w:lang w:val="en"/>
        </w:rPr>
        <w:t>(1-2), 8–16.</w:t>
      </w:r>
      <w:hyperlink r:id="rId143">
        <w:r w:rsidRPr="006810DB">
          <w:rPr>
            <w:rStyle w:val="Hyperlink"/>
            <w:rFonts w:ascii="Book Antiqua" w:hAnsi="Book Antiqua"/>
            <w:color w:val="000000" w:themeColor="text1"/>
            <w:sz w:val="20"/>
            <w:szCs w:val="20"/>
            <w:u w:val="none"/>
            <w:lang w:val="en"/>
          </w:rPr>
          <w:t xml:space="preserve"> </w:t>
        </w:r>
      </w:hyperlink>
      <w:hyperlink r:id="rId144">
        <w:r w:rsidRPr="006810DB">
          <w:rPr>
            <w:rStyle w:val="Hyperlink"/>
            <w:rFonts w:ascii="Book Antiqua" w:hAnsi="Book Antiqua"/>
            <w:color w:val="000000" w:themeColor="text1"/>
            <w:sz w:val="20"/>
            <w:szCs w:val="20"/>
            <w:u w:val="none"/>
            <w:lang w:val="en"/>
          </w:rPr>
          <w:t>https://doi.org/10.1055/s-0035-1557838</w:t>
        </w:r>
      </w:hyperlink>
    </w:p>
    <w:p w14:paraId="3AE3A6F0" w14:textId="77777777" w:rsidR="00F351CE" w:rsidRPr="006810DB" w:rsidRDefault="00F351C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Cheikh-Rouhou, S., Besbes, S., Hentati, B., Blecker, C., Deroanne, C., &amp; Attia, H. (2007).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Chemical composition and physicochemical characteristics of lipid fraction. </w:t>
      </w:r>
      <w:r w:rsidRPr="006810DB">
        <w:rPr>
          <w:rFonts w:ascii="Book Antiqua" w:hAnsi="Book Antiqua"/>
          <w:i/>
          <w:iCs/>
          <w:color w:val="000000" w:themeColor="text1"/>
          <w:sz w:val="20"/>
          <w:szCs w:val="20"/>
          <w:lang w:val="en"/>
        </w:rPr>
        <w:t>Food Chemistry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101</w:t>
      </w:r>
      <w:r w:rsidRPr="006810DB">
        <w:rPr>
          <w:rFonts w:ascii="Book Antiqua" w:hAnsi="Book Antiqua"/>
          <w:color w:val="000000" w:themeColor="text1"/>
          <w:sz w:val="20"/>
          <w:szCs w:val="20"/>
          <w:lang w:val="en"/>
        </w:rPr>
        <w:t>(2), 673-681.</w:t>
      </w:r>
      <w:hyperlink r:id="rId145">
        <w:r w:rsidRPr="006810DB">
          <w:rPr>
            <w:rStyle w:val="Hyperlink"/>
            <w:rFonts w:ascii="Book Antiqua" w:hAnsi="Book Antiqua"/>
            <w:color w:val="000000" w:themeColor="text1"/>
            <w:sz w:val="20"/>
            <w:szCs w:val="20"/>
            <w:u w:val="none"/>
            <w:lang w:val="en"/>
          </w:rPr>
          <w:t xml:space="preserve"> </w:t>
        </w:r>
      </w:hyperlink>
      <w:hyperlink r:id="rId146">
        <w:r w:rsidRPr="006810DB">
          <w:rPr>
            <w:rStyle w:val="Hyperlink"/>
            <w:rFonts w:ascii="Book Antiqua" w:hAnsi="Book Antiqua"/>
            <w:color w:val="000000" w:themeColor="text1"/>
            <w:sz w:val="20"/>
            <w:szCs w:val="20"/>
            <w:u w:val="none"/>
            <w:lang w:val="en"/>
          </w:rPr>
          <w:t>https://doi.org/10.1016/j.foodchem.2006.02.022</w:t>
        </w:r>
      </w:hyperlink>
    </w:p>
    <w:p w14:paraId="4A881955" w14:textId="77777777" w:rsidR="00F351CE" w:rsidRPr="006810DB" w:rsidRDefault="00F351C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El-Dakhakhny, M. (1963). Studies on the chemical constitution of Egyptian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seeds. The essential oil. </w:t>
      </w:r>
      <w:r w:rsidRPr="006810DB">
        <w:rPr>
          <w:rFonts w:ascii="Book Antiqua" w:hAnsi="Book Antiqua"/>
          <w:i/>
          <w:iCs/>
          <w:color w:val="000000" w:themeColor="text1"/>
          <w:sz w:val="20"/>
          <w:szCs w:val="20"/>
          <w:lang w:val="en"/>
        </w:rPr>
        <w:t>Planta Medica</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11</w:t>
      </w:r>
      <w:r w:rsidRPr="006810DB">
        <w:rPr>
          <w:rFonts w:ascii="Book Antiqua" w:hAnsi="Book Antiqua"/>
          <w:color w:val="000000" w:themeColor="text1"/>
          <w:sz w:val="20"/>
          <w:szCs w:val="20"/>
          <w:lang w:val="en"/>
        </w:rPr>
        <w:t>(4), 465-470.</w:t>
      </w:r>
    </w:p>
    <w:p w14:paraId="6240AB0B" w14:textId="77777777" w:rsidR="00F351CE" w:rsidRPr="006810DB" w:rsidRDefault="00F351C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Goyal, S. N., Prajapati, C. P., Gore, P. R., &amp; Patil, C. R. (2017). Therapeutic potential and pharmaceutical development of thymoquinone: a multitargeted molecule of natural origin. </w:t>
      </w:r>
      <w:r w:rsidRPr="006810DB">
        <w:rPr>
          <w:rFonts w:ascii="Book Antiqua" w:hAnsi="Book Antiqua"/>
          <w:i/>
          <w:iCs/>
          <w:color w:val="000000" w:themeColor="text1"/>
          <w:sz w:val="20"/>
          <w:szCs w:val="20"/>
          <w:lang w:val="en"/>
        </w:rPr>
        <w:t>Frontiers in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w:t>
      </w:r>
      <w:r w:rsidRPr="006810DB">
        <w:rPr>
          <w:rFonts w:ascii="Book Antiqua" w:hAnsi="Book Antiqua"/>
          <w:color w:val="000000" w:themeColor="text1"/>
          <w:sz w:val="20"/>
          <w:szCs w:val="20"/>
          <w:lang w:val="en"/>
        </w:rPr>
        <w:t>, 656.</w:t>
      </w:r>
      <w:hyperlink r:id="rId147">
        <w:r w:rsidRPr="006810DB">
          <w:rPr>
            <w:rStyle w:val="Hyperlink"/>
            <w:rFonts w:ascii="Book Antiqua" w:hAnsi="Book Antiqua"/>
            <w:color w:val="000000" w:themeColor="text1"/>
            <w:sz w:val="20"/>
            <w:szCs w:val="20"/>
            <w:u w:val="none"/>
            <w:lang w:val="en"/>
          </w:rPr>
          <w:t xml:space="preserve"> </w:t>
        </w:r>
      </w:hyperlink>
      <w:hyperlink r:id="rId148">
        <w:r w:rsidRPr="006810DB">
          <w:rPr>
            <w:rStyle w:val="Hyperlink"/>
            <w:rFonts w:ascii="Book Antiqua" w:hAnsi="Book Antiqua"/>
            <w:color w:val="000000" w:themeColor="text1"/>
            <w:sz w:val="20"/>
            <w:szCs w:val="20"/>
            <w:u w:val="none"/>
            <w:lang w:val="en"/>
          </w:rPr>
          <w:t>https://doi.org/10.3389/fphar.2017.00656</w:t>
        </w:r>
      </w:hyperlink>
    </w:p>
    <w:p w14:paraId="65EEA4AD" w14:textId="77777777" w:rsidR="00F351CE" w:rsidRPr="006810DB" w:rsidRDefault="00F351C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Hannan, M. A., Sohag, A. A. M., Uddin, M. J., Dash, R., Sikder, M. H., Rahman, M. S., ... &amp; Kim, B. (2021). Black Cumin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A Comprehensive Review on Phytochemistry, </w:t>
      </w:r>
      <w:r w:rsidRPr="006810DB">
        <w:rPr>
          <w:rFonts w:ascii="Book Antiqua" w:hAnsi="Book Antiqua"/>
          <w:color w:val="000000" w:themeColor="text1"/>
          <w:sz w:val="20"/>
          <w:szCs w:val="20"/>
          <w:lang w:val="en"/>
        </w:rPr>
        <w:lastRenderedPageBreak/>
        <w:t xml:space="preserve">Health Benefits, Molecular Pharmacology, and Safety. </w:t>
      </w:r>
      <w:r w:rsidRPr="006810DB">
        <w:rPr>
          <w:rFonts w:ascii="Book Antiqua" w:hAnsi="Book Antiqua"/>
          <w:i/>
          <w:iCs/>
          <w:color w:val="000000" w:themeColor="text1"/>
          <w:sz w:val="20"/>
          <w:szCs w:val="20"/>
          <w:lang w:val="en"/>
        </w:rPr>
        <w:t>Nutrients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13</w:t>
      </w:r>
      <w:r w:rsidRPr="006810DB">
        <w:rPr>
          <w:rFonts w:ascii="Book Antiqua" w:hAnsi="Book Antiqua"/>
          <w:color w:val="000000" w:themeColor="text1"/>
          <w:sz w:val="20"/>
          <w:szCs w:val="20"/>
          <w:lang w:val="en"/>
        </w:rPr>
        <w:t>(6), 1784.</w:t>
      </w:r>
      <w:hyperlink r:id="rId149">
        <w:r w:rsidRPr="006810DB">
          <w:rPr>
            <w:rStyle w:val="Hyperlink"/>
            <w:rFonts w:ascii="Book Antiqua" w:hAnsi="Book Antiqua"/>
            <w:color w:val="000000" w:themeColor="text1"/>
            <w:sz w:val="20"/>
            <w:szCs w:val="20"/>
            <w:u w:val="none"/>
            <w:lang w:val="en"/>
          </w:rPr>
          <w:t xml:space="preserve"> </w:t>
        </w:r>
      </w:hyperlink>
      <w:hyperlink r:id="rId150">
        <w:r w:rsidRPr="006810DB">
          <w:rPr>
            <w:rStyle w:val="Hyperlink"/>
            <w:rFonts w:ascii="Book Antiqua" w:hAnsi="Book Antiqua"/>
            <w:color w:val="000000" w:themeColor="text1"/>
            <w:sz w:val="20"/>
            <w:szCs w:val="20"/>
            <w:u w:val="none"/>
            <w:lang w:val="en"/>
          </w:rPr>
          <w:t>https://doi.org/10.3390/nu13061784</w:t>
        </w:r>
      </w:hyperlink>
    </w:p>
    <w:p w14:paraId="0F307F54" w14:textId="77777777" w:rsidR="00F351CE" w:rsidRPr="006810DB" w:rsidRDefault="00F351C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Madani, F., Kazemi, S., Shirafkan, F., Lotfi, M., Hosseini, S., &amp; Moghadamnia, A. (2023). Thymoquinone protects against 5</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Fluorouracil</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induced mucositis by NF</w:t>
      </w:r>
      <w:r w:rsidRPr="006810DB">
        <w:rPr>
          <w:rFonts w:ascii="Times New Roman" w:hAnsi="Times New Roman" w:cs="Times New Roman"/>
          <w:color w:val="000000" w:themeColor="text1"/>
          <w:sz w:val="20"/>
          <w:szCs w:val="20"/>
          <w:lang w:val="en"/>
        </w:rPr>
        <w:t>‐</w:t>
      </w:r>
      <w:r w:rsidRPr="006810DB">
        <w:rPr>
          <w:rFonts w:ascii="Book Antiqua" w:hAnsi="Book Antiqua" w:cs="Book Antiqua"/>
          <w:color w:val="000000" w:themeColor="text1"/>
          <w:sz w:val="20"/>
          <w:szCs w:val="20"/>
          <w:lang w:val="en"/>
        </w:rPr>
        <w:t>κβ</w:t>
      </w:r>
      <w:r w:rsidRPr="006810DB">
        <w:rPr>
          <w:rFonts w:ascii="Book Antiqua" w:hAnsi="Book Antiqua"/>
          <w:color w:val="000000" w:themeColor="text1"/>
          <w:sz w:val="20"/>
          <w:szCs w:val="20"/>
          <w:lang w:val="en"/>
        </w:rPr>
        <w:t xml:space="preserve"> and HIF</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 xml:space="preserve">1 mechanisms in mice. </w:t>
      </w:r>
      <w:r w:rsidRPr="006810DB">
        <w:rPr>
          <w:rFonts w:ascii="Book Antiqua" w:hAnsi="Book Antiqua"/>
          <w:i/>
          <w:iCs/>
          <w:color w:val="000000" w:themeColor="text1"/>
          <w:sz w:val="20"/>
          <w:szCs w:val="20"/>
          <w:lang w:val="en"/>
        </w:rPr>
        <w:t>Journal of Biochemical and Molecular Toxicology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37</w:t>
      </w:r>
      <w:r w:rsidRPr="006810DB">
        <w:rPr>
          <w:rFonts w:ascii="Book Antiqua" w:hAnsi="Book Antiqua"/>
          <w:color w:val="000000" w:themeColor="text1"/>
          <w:sz w:val="20"/>
          <w:szCs w:val="20"/>
          <w:lang w:val="en"/>
        </w:rPr>
        <w:t>(6), e23405.</w:t>
      </w:r>
      <w:hyperlink r:id="rId151">
        <w:r w:rsidRPr="006810DB">
          <w:rPr>
            <w:rStyle w:val="Hyperlink"/>
            <w:rFonts w:ascii="Book Antiqua" w:hAnsi="Book Antiqua"/>
            <w:color w:val="000000" w:themeColor="text1"/>
            <w:sz w:val="20"/>
            <w:szCs w:val="20"/>
            <w:u w:val="none"/>
            <w:lang w:val="en"/>
          </w:rPr>
          <w:t xml:space="preserve"> </w:t>
        </w:r>
      </w:hyperlink>
      <w:hyperlink r:id="rId152">
        <w:r w:rsidRPr="006810DB">
          <w:rPr>
            <w:rStyle w:val="Hyperlink"/>
            <w:rFonts w:ascii="Book Antiqua" w:hAnsi="Book Antiqua"/>
            <w:color w:val="000000" w:themeColor="text1"/>
            <w:sz w:val="20"/>
            <w:szCs w:val="20"/>
            <w:u w:val="none"/>
            <w:lang w:val="en"/>
          </w:rPr>
          <w:t>https://doi.org/10.1002/jbt.23405</w:t>
        </w:r>
      </w:hyperlink>
    </w:p>
    <w:p w14:paraId="5291845E" w14:textId="77777777" w:rsidR="00F351CE" w:rsidRPr="006810DB" w:rsidRDefault="00F351C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Muslim, I. H. (n.d.). </w:t>
      </w:r>
      <w:r w:rsidRPr="006810DB">
        <w:rPr>
          <w:rFonts w:ascii="Book Antiqua" w:hAnsi="Book Antiqua"/>
          <w:i/>
          <w:iCs/>
          <w:color w:val="000000" w:themeColor="text1"/>
          <w:sz w:val="20"/>
          <w:szCs w:val="20"/>
          <w:lang w:val="en"/>
        </w:rPr>
        <w:t>Sahih Muslim</w:t>
      </w:r>
      <w:r w:rsidRPr="006810DB">
        <w:rPr>
          <w:rFonts w:ascii="Book Antiqua" w:hAnsi="Book Antiqua"/>
          <w:color w:val="000000" w:themeColor="text1"/>
          <w:sz w:val="20"/>
          <w:szCs w:val="20"/>
          <w:lang w:val="en"/>
        </w:rPr>
        <w:t>. (Book 26, Hadith 5489).</w:t>
      </w:r>
    </w:p>
    <w:p w14:paraId="338FF599" w14:textId="77777777" w:rsidR="00F351CE" w:rsidRPr="006810DB" w:rsidRDefault="00F351C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Shafodino, F., Lusilao, J. G., &amp; Mwapagha, L. M. (2022). Phytochemical characterization and antimicrobial activity of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seeds. </w:t>
      </w:r>
      <w:r w:rsidRPr="006810DB">
        <w:rPr>
          <w:rFonts w:ascii="Book Antiqua" w:hAnsi="Book Antiqua"/>
          <w:i/>
          <w:iCs/>
          <w:color w:val="000000" w:themeColor="text1"/>
          <w:sz w:val="20"/>
          <w:szCs w:val="20"/>
          <w:lang w:val="en"/>
        </w:rPr>
        <w:t>PLoS ONE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17</w:t>
      </w:r>
      <w:r w:rsidRPr="006810DB">
        <w:rPr>
          <w:rFonts w:ascii="Book Antiqua" w:hAnsi="Book Antiqua"/>
          <w:color w:val="000000" w:themeColor="text1"/>
          <w:sz w:val="20"/>
          <w:szCs w:val="20"/>
          <w:lang w:val="en"/>
        </w:rPr>
        <w:t>(10), e0272457.</w:t>
      </w:r>
      <w:hyperlink r:id="rId153">
        <w:r w:rsidRPr="006810DB">
          <w:rPr>
            <w:rStyle w:val="Hyperlink"/>
            <w:rFonts w:ascii="Book Antiqua" w:hAnsi="Book Antiqua"/>
            <w:color w:val="000000" w:themeColor="text1"/>
            <w:sz w:val="20"/>
            <w:szCs w:val="20"/>
            <w:u w:val="none"/>
            <w:lang w:val="en"/>
          </w:rPr>
          <w:t xml:space="preserve"> </w:t>
        </w:r>
      </w:hyperlink>
      <w:hyperlink r:id="rId154">
        <w:r w:rsidRPr="006810DB">
          <w:rPr>
            <w:rStyle w:val="Hyperlink"/>
            <w:rFonts w:ascii="Book Antiqua" w:hAnsi="Book Antiqua"/>
            <w:color w:val="000000" w:themeColor="text1"/>
            <w:sz w:val="20"/>
            <w:szCs w:val="20"/>
            <w:u w:val="none"/>
            <w:lang w:val="en"/>
          </w:rPr>
          <w:t>https://doi.org/10.1371/journal.pone.0272457</w:t>
        </w:r>
      </w:hyperlink>
    </w:p>
    <w:p w14:paraId="34CDB431" w14:textId="77777777" w:rsidR="00F351CE" w:rsidRPr="006810DB" w:rsidRDefault="00F351C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Sobhannizadeh, A., Giglou, M. F., Behnamian, M., Estaji, A., Majdi, M., &amp; Szumny, A. (2025). The effect of plant growth regulators, FeO3-CTs nanoparticles and LEDs light on the growth and biochemical compounds of black seed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callus in vitro. </w:t>
      </w:r>
      <w:r w:rsidRPr="006810DB">
        <w:rPr>
          <w:rFonts w:ascii="Book Antiqua" w:hAnsi="Book Antiqua"/>
          <w:i/>
          <w:iCs/>
          <w:color w:val="000000" w:themeColor="text1"/>
          <w:sz w:val="20"/>
          <w:szCs w:val="20"/>
          <w:lang w:val="en"/>
        </w:rPr>
        <w:t>BMC Plant Biology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25</w:t>
      </w:r>
      <w:r w:rsidRPr="006810DB">
        <w:rPr>
          <w:rFonts w:ascii="Book Antiqua" w:hAnsi="Book Antiqua"/>
          <w:color w:val="000000" w:themeColor="text1"/>
          <w:sz w:val="20"/>
          <w:szCs w:val="20"/>
          <w:lang w:val="en"/>
        </w:rPr>
        <w:t>(1), 263.</w:t>
      </w:r>
      <w:hyperlink r:id="rId155">
        <w:r w:rsidRPr="006810DB">
          <w:rPr>
            <w:rStyle w:val="Hyperlink"/>
            <w:rFonts w:ascii="Book Antiqua" w:hAnsi="Book Antiqua"/>
            <w:color w:val="000000" w:themeColor="text1"/>
            <w:sz w:val="20"/>
            <w:szCs w:val="20"/>
            <w:u w:val="none"/>
            <w:lang w:val="en"/>
          </w:rPr>
          <w:t xml:space="preserve"> </w:t>
        </w:r>
      </w:hyperlink>
      <w:hyperlink r:id="rId156">
        <w:r w:rsidRPr="006810DB">
          <w:rPr>
            <w:rStyle w:val="Hyperlink"/>
            <w:rFonts w:ascii="Book Antiqua" w:hAnsi="Book Antiqua"/>
            <w:color w:val="000000" w:themeColor="text1"/>
            <w:sz w:val="20"/>
            <w:szCs w:val="20"/>
            <w:u w:val="none"/>
            <w:lang w:val="en"/>
          </w:rPr>
          <w:t>https://doi.org/10.1186/s12870-025-06423-y</w:t>
        </w:r>
      </w:hyperlink>
    </w:p>
    <w:p w14:paraId="52868BD3" w14:textId="77777777" w:rsidR="00F351CE" w:rsidRPr="006810DB" w:rsidRDefault="00F351C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Yimer, E. M., Tuem, K. B., Karim, A., Ur-Rehman, N., &amp; Anwar, F. (2019).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(black cumin): a promising natural remedy for wide range of illnesses. </w:t>
      </w:r>
      <w:r w:rsidRPr="006810DB">
        <w:rPr>
          <w:rFonts w:ascii="Book Antiqua" w:hAnsi="Book Antiqua"/>
          <w:i/>
          <w:iCs/>
          <w:color w:val="000000" w:themeColor="text1"/>
          <w:sz w:val="20"/>
          <w:szCs w:val="20"/>
          <w:lang w:val="en"/>
        </w:rPr>
        <w:t>Evidence-Based Complementary and Alternative Medicine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2019</w:t>
      </w:r>
      <w:r w:rsidRPr="006810DB">
        <w:rPr>
          <w:rFonts w:ascii="Book Antiqua" w:hAnsi="Book Antiqua"/>
          <w:color w:val="000000" w:themeColor="text1"/>
          <w:sz w:val="20"/>
          <w:szCs w:val="20"/>
          <w:lang w:val="en"/>
        </w:rPr>
        <w:t>, 1528635.</w:t>
      </w:r>
      <w:hyperlink r:id="rId157">
        <w:r w:rsidRPr="006810DB">
          <w:rPr>
            <w:rStyle w:val="Hyperlink"/>
            <w:rFonts w:ascii="Book Antiqua" w:hAnsi="Book Antiqua"/>
            <w:color w:val="000000" w:themeColor="text1"/>
            <w:sz w:val="20"/>
            <w:szCs w:val="20"/>
            <w:u w:val="none"/>
            <w:lang w:val="en"/>
          </w:rPr>
          <w:t xml:space="preserve"> </w:t>
        </w:r>
      </w:hyperlink>
      <w:hyperlink r:id="rId158">
        <w:r w:rsidRPr="006810DB">
          <w:rPr>
            <w:rStyle w:val="Hyperlink"/>
            <w:rFonts w:ascii="Book Antiqua" w:hAnsi="Book Antiqua"/>
            <w:color w:val="000000" w:themeColor="text1"/>
            <w:sz w:val="20"/>
            <w:szCs w:val="20"/>
            <w:u w:val="none"/>
            <w:lang w:val="en"/>
          </w:rPr>
          <w:t>https://doi.org/10.1155/2019/1528635</w:t>
        </w:r>
      </w:hyperlink>
    </w:p>
    <w:p w14:paraId="694DEEF6" w14:textId="77777777" w:rsidR="00F351CE" w:rsidRPr="006810DB" w:rsidRDefault="00F351CE" w:rsidP="006810DB">
      <w:pPr>
        <w:spacing w:after="0" w:line="276" w:lineRule="auto"/>
        <w:jc w:val="both"/>
        <w:rPr>
          <w:rFonts w:ascii="Book Antiqua" w:hAnsi="Book Antiqua"/>
          <w:b/>
          <w:bCs/>
          <w:sz w:val="20"/>
          <w:szCs w:val="20"/>
          <w:lang w:val="en"/>
        </w:rPr>
      </w:pPr>
      <w:bookmarkStart w:id="184" w:name="_4v4xrhro2y5a" w:colFirst="0" w:colLast="0"/>
      <w:bookmarkEnd w:id="184"/>
    </w:p>
    <w:p w14:paraId="289B4040" w14:textId="522C9FB0" w:rsidR="00F351CE" w:rsidRPr="006810DB" w:rsidRDefault="00F351CE"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07229108" w14:textId="4A4BB33F" w:rsidR="00F351CE" w:rsidRPr="006810DB" w:rsidRDefault="00F351CE" w:rsidP="006810DB">
      <w:pPr>
        <w:pStyle w:val="Heading1"/>
        <w:spacing w:before="0" w:line="276" w:lineRule="auto"/>
        <w:ind w:left="142" w:hanging="142"/>
        <w:rPr>
          <w:b/>
          <w:bCs/>
          <w:szCs w:val="20"/>
          <w:lang w:val="en"/>
        </w:rPr>
      </w:pPr>
      <w:bookmarkStart w:id="185" w:name="_Toc223088915"/>
      <w:r w:rsidRPr="006810DB">
        <w:rPr>
          <w:b/>
          <w:noProof/>
          <w:sz w:val="48"/>
          <w:szCs w:val="20"/>
          <w:lang w:val="en-US"/>
        </w:rPr>
        <w:lastRenderedPageBreak/>
        <mc:AlternateContent>
          <mc:Choice Requires="wps">
            <w:drawing>
              <wp:anchor distT="0" distB="0" distL="114300" distR="114300" simplePos="0" relativeHeight="251687936" behindDoc="0" locked="0" layoutInCell="1" allowOverlap="1" wp14:anchorId="54753527" wp14:editId="2F84EEF6">
                <wp:simplePos x="0" y="0"/>
                <wp:positionH relativeFrom="column">
                  <wp:posOffset>913130</wp:posOffset>
                </wp:positionH>
                <wp:positionV relativeFrom="paragraph">
                  <wp:posOffset>133350</wp:posOffset>
                </wp:positionV>
                <wp:extent cx="2820035" cy="1109980"/>
                <wp:effectExtent l="0" t="0" r="0" b="0"/>
                <wp:wrapNone/>
                <wp:docPr id="18" name="Rectangle 18"/>
                <wp:cNvGraphicFramePr/>
                <a:graphic xmlns:a="http://schemas.openxmlformats.org/drawingml/2006/main">
                  <a:graphicData uri="http://schemas.microsoft.com/office/word/2010/wordprocessingShape">
                    <wps:wsp>
                      <wps:cNvSpPr/>
                      <wps:spPr>
                        <a:xfrm>
                          <a:off x="0" y="0"/>
                          <a:ext cx="2820035"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006B" w14:textId="7180F7D5" w:rsidR="00F351CE" w:rsidRPr="00C32C86" w:rsidRDefault="00F351CE" w:rsidP="00F351CE">
                            <w:pPr>
                              <w:spacing w:after="0" w:line="276" w:lineRule="auto"/>
                              <w:jc w:val="center"/>
                              <w:rPr>
                                <w:rFonts w:ascii="Book Antiqua" w:hAnsi="Book Antiqua"/>
                                <w:b/>
                                <w:bCs/>
                                <w:sz w:val="36"/>
                                <w:szCs w:val="40"/>
                                <w:lang w:val="en"/>
                              </w:rPr>
                            </w:pPr>
                            <w:r w:rsidRPr="00C32C86">
                              <w:rPr>
                                <w:rFonts w:ascii="Book Antiqua" w:hAnsi="Book Antiqua"/>
                                <w:b/>
                                <w:bCs/>
                                <w:sz w:val="36"/>
                                <w:szCs w:val="40"/>
                                <w:lang w:val="en"/>
                              </w:rPr>
                              <w:t xml:space="preserve">STUDI FISIKOKIMIA EKSTRAK </w:t>
                            </w:r>
                            <w:r w:rsidR="00C32C86">
                              <w:rPr>
                                <w:rFonts w:ascii="Book Antiqua" w:hAnsi="Book Antiqua"/>
                                <w:b/>
                                <w:bCs/>
                                <w:sz w:val="36"/>
                                <w:szCs w:val="40"/>
                                <w:lang w:val="en"/>
                              </w:rPr>
                              <w:br/>
                            </w:r>
                            <w:r w:rsidR="006D3DC3" w:rsidRPr="00C32C86">
                              <w:rPr>
                                <w:rFonts w:ascii="Book Antiqua" w:hAnsi="Book Antiqua"/>
                                <w:b/>
                                <w:bCs/>
                                <w:i/>
                                <w:iCs/>
                                <w:sz w:val="36"/>
                                <w:szCs w:val="40"/>
                                <w:lang w:val="en"/>
                              </w:rPr>
                              <w:t>Nigella sativa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54753527" id="Rectangle 18" o:spid="_x0000_s1033" style="position:absolute;left:0;text-align:left;margin-left:71.9pt;margin-top:10.5pt;width:222.05pt;height:87.4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VQkZAIAABAFAAAOAAAAZHJzL2Uyb0RvYy54bWysVEtv2zAMvg/YfxB0Xx1nfQZxiiBFhwHF&#10;GrQbdlZkKTEmiRqlxMl+/SjZcdstp2EXm+/HR1LT2701bKcwNOAqXp6NOFNOQt24dcW/fb3/cM1Z&#10;iMLVwoBTFT+owG9n799NWz9RY9iAqRUyCuLCpPUV38ToJ0UR5EZZEc7AK0dKDWhFJBbXRY2ipejW&#10;FOPR6LJoAWuPIFUIJL3rlHyW42utZHzUOqjITMWptpi/mL+r9C1mUzFZo/CbRvZliH+oworGUdIh&#10;1J2Igm2x+SuUbSRCAB3PJNgCtG6kyj1QN+Xoj26eN8Kr3AuBE/wAU/h/YeWX3RJZU9PsaFJOWJrR&#10;E6Em3NooRjICqPVhQnbPfok9F4hM3e412vSnPtg+g3oYQFX7yCQJx9c0p48XnEnSleXo5uY6w168&#10;uHsM8ZMCyxJRcaT8GUyxewiRUpLp0SRlc3DfGJMnZ9wbARkmSZEq7mrMVDwYleyMe1Kamk1V5QR5&#10;zdTCINsJWhAhpXLxMvWcI5F1ctOUbXAsTzmaWPZOvW1yU3n9BsfRKce3GQePnBVcHJxt4wBPBah/&#10;DJk7+2P3Xc+p/bhf7fOEr47DXEF9oKkjdOcQvLxvCPkHEeJSIO0/XQrddHykjzbQVhx6irMN4K9T&#10;8mRPa0lazlq6p4qHn1uBijPz2dHC3pTn5+kAM3N+cTUmBl9rVq81bmsXQBMp6fXwMpPJPpojqRHs&#10;dzr9ecpKKuEk5a64jHhkFrG7c3o8pJrPsxkdnRfxwT17mYInnB3MtxF0kxct4dWh0+NIZ5eXoX8i&#10;0l2/5rPVy0M2+w0AAP//AwBQSwMEFAAGAAgAAAAhAMKDu9reAAAACgEAAA8AAABkcnMvZG93bnJl&#10;di54bWxMj81OwzAQhO9IvIO1SNyo00IhDXEqQEII9YAo7d2xt0lEvI5i56dvz3KC42hGM9/k29m1&#10;YsQ+NJ4ULBcJCCTjbUOVgsPX600KIkRNVreeUMEZA2yLy4tcZ9ZP9InjPlaCSyhkWkEdY5dJGUyN&#10;ToeF75DYO/ne6ciyr6Tt9cTlrpWrJLmXTjfEC7Xu8KVG870fnIKjPz1PzpT0Pp4/muFt1xuT7pS6&#10;vpqfHkFEnONfGH7xGR0KZir9QDaIlvXdLaNHBaslf+LAOn3YgCjZ2axTkEUu/18ofgAAAP//AwBQ&#10;SwECLQAUAAYACAAAACEAtoM4kv4AAADhAQAAEwAAAAAAAAAAAAAAAAAAAAAAW0NvbnRlbnRfVHlw&#10;ZXNdLnhtbFBLAQItABQABgAIAAAAIQA4/SH/1gAAAJQBAAALAAAAAAAAAAAAAAAAAC8BAABfcmVs&#10;cy8ucmVsc1BLAQItABQABgAIAAAAIQAtgVQkZAIAABAFAAAOAAAAAAAAAAAAAAAAAC4CAABkcnMv&#10;ZTJvRG9jLnhtbFBLAQItABQABgAIAAAAIQDCg7va3gAAAAoBAAAPAAAAAAAAAAAAAAAAAL4EAABk&#10;cnMvZG93bnJldi54bWxQSwUGAAAAAAQABADzAAAAyQUAAAAA&#10;" filled="f" stroked="f" strokeweight="1pt">
                <v:textbox>
                  <w:txbxContent>
                    <w:p w14:paraId="2E25006B" w14:textId="7180F7D5" w:rsidR="00F351CE" w:rsidRPr="00C32C86" w:rsidRDefault="00F351CE" w:rsidP="00F351CE">
                      <w:pPr>
                        <w:spacing w:after="0" w:line="276" w:lineRule="auto"/>
                        <w:jc w:val="center"/>
                        <w:rPr>
                          <w:rFonts w:ascii="Book Antiqua" w:hAnsi="Book Antiqua"/>
                          <w:b/>
                          <w:bCs/>
                          <w:sz w:val="36"/>
                          <w:szCs w:val="40"/>
                          <w:lang w:val="en"/>
                        </w:rPr>
                      </w:pPr>
                      <w:r w:rsidRPr="00C32C86">
                        <w:rPr>
                          <w:rFonts w:ascii="Book Antiqua" w:hAnsi="Book Antiqua"/>
                          <w:b/>
                          <w:bCs/>
                          <w:sz w:val="36"/>
                          <w:szCs w:val="40"/>
                          <w:lang w:val="en"/>
                        </w:rPr>
                        <w:t xml:space="preserve">STUDI FISIKOKIMIA EKSTRAK </w:t>
                      </w:r>
                      <w:r w:rsidR="00C32C86">
                        <w:rPr>
                          <w:rFonts w:ascii="Book Antiqua" w:hAnsi="Book Antiqua"/>
                          <w:b/>
                          <w:bCs/>
                          <w:sz w:val="36"/>
                          <w:szCs w:val="40"/>
                          <w:lang w:val="en"/>
                        </w:rPr>
                        <w:br/>
                      </w:r>
                      <w:r w:rsidR="006D3DC3" w:rsidRPr="00C32C86">
                        <w:rPr>
                          <w:rFonts w:ascii="Book Antiqua" w:hAnsi="Book Antiqua"/>
                          <w:b/>
                          <w:bCs/>
                          <w:i/>
                          <w:iCs/>
                          <w:sz w:val="36"/>
                          <w:szCs w:val="40"/>
                          <w:lang w:val="en"/>
                        </w:rPr>
                        <w:t>Nigella sativa</w:t>
                      </w:r>
                    </w:p>
                  </w:txbxContent>
                </v:textbox>
              </v:rect>
            </w:pict>
          </mc:Fallback>
        </mc:AlternateContent>
      </w:r>
      <w:r w:rsidRPr="006810DB">
        <w:rPr>
          <w:b/>
          <w:noProof/>
          <w:sz w:val="48"/>
          <w:szCs w:val="20"/>
          <w:lang w:val="en-US"/>
        </w:rPr>
        <mc:AlternateContent>
          <mc:Choice Requires="wps">
            <w:drawing>
              <wp:anchor distT="0" distB="0" distL="114300" distR="114300" simplePos="0" relativeHeight="251686912" behindDoc="0" locked="0" layoutInCell="1" allowOverlap="1" wp14:anchorId="19D02C62" wp14:editId="62437D59">
                <wp:simplePos x="0" y="0"/>
                <wp:positionH relativeFrom="column">
                  <wp:posOffset>884555</wp:posOffset>
                </wp:positionH>
                <wp:positionV relativeFrom="paragraph">
                  <wp:posOffset>76835</wp:posOffset>
                </wp:positionV>
                <wp:extent cx="0" cy="1224000"/>
                <wp:effectExtent l="19050" t="0" r="38100" b="52705"/>
                <wp:wrapNone/>
                <wp:docPr id="19" name="Straight Connector 19"/>
                <wp:cNvGraphicFramePr/>
                <a:graphic xmlns:a="http://schemas.openxmlformats.org/drawingml/2006/main">
                  <a:graphicData uri="http://schemas.microsoft.com/office/word/2010/wordprocessingShape">
                    <wps:wsp>
                      <wps:cNvCnPr/>
                      <wps:spPr>
                        <a:xfrm>
                          <a:off x="0" y="0"/>
                          <a:ext cx="0" cy="1224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DA78454" id="Straight Connector 19" o:spid="_x0000_s1026" style="position:absolute;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AXm2QEAAA8EAAAOAAAAZHJzL2Uyb0RvYy54bWysU02P2yAQvVfqf0DcG9vRbj+sOHvIanup&#10;2qjb/gAWQ4wEDBpo7Pz7DjhxVm1VqdVesGeY95j3GDZ3k7PsqDAa8B1vVjVnykvojT90/Pu3hzfv&#10;OYtJ+F5Y8KrjJxX53fb1q80YWrWGAWyvkBGJj+0YOj6kFNqqinJQTsQVBOVpUwM6kSjEQ9WjGInd&#10;2Wpd12+rEbAPCFLFSNn7eZNvC7/WSqYvWkeVmO049ZbKimV9ymu13Yj2gCIMRp7bEP/RhRPG06EL&#10;1b1Igv1A8xuVMxIhgk4rCa4CrY1URQOpaepf1DwOIqiihcyJYbEpvhyt/HzcIzM93d0HzrxwdEeP&#10;CYU5DIntwHtyEJDRJjk1htgSYOf3eI5i2GOWPWl0+UuC2FTcPS3uqikxOSclZZv1+qaui/PVFRgw&#10;po8KHMs/HbfGZ+GiFcdPMdFhVHopyWnr2djx23fNbV3KIljTPxhr82YZHrWzyI6Crj1NTW6eGJ5V&#10;UWQ9JbOkWUT5SyerZv6vSpMt1HYzH5AH8soppFQ+XXitp+oM09TBAjx39jfguT5DVRnWfwEviHIy&#10;+LSAnfGAf2r7aoWe6y8OzLqzBU/Qn8r1Fmto6opz5xeSx/p5XODXd7z9CQAA//8DAFBLAwQUAAYA&#10;CAAAACEAG/lbTtwAAAAKAQAADwAAAGRycy9kb3ducmV2LnhtbEyPQUvEMBCF74L/IYzgzU22a8XW&#10;pssiLOJFcBW8ps3YBptJabLd+u+d9aK3eTOP976ptosfxIxTdIE0rFcKBFIbrKNOw/vb/uYeREyG&#10;rBkCoYZvjLCtLy8qU9pwolecD6kTHEKxNBr6lMZSytj26E1chRGJb59h8iaxnDppJ3PicD/ITKk7&#10;6Y0jbujNiI89tl+Ho+eS/KN9wuie7X6XN/lcuEa9OK2vr5bdA4iES/ozwxmf0aFmpiYcyUYxsN4U&#10;G7bykK1BnA2/i0ZDpm4LkHUl/79Q/wAAAP//AwBQSwECLQAUAAYACAAAACEAtoM4kv4AAADhAQAA&#10;EwAAAAAAAAAAAAAAAAAAAAAAW0NvbnRlbnRfVHlwZXNdLnhtbFBLAQItABQABgAIAAAAIQA4/SH/&#10;1gAAAJQBAAALAAAAAAAAAAAAAAAAAC8BAABfcmVscy8ucmVsc1BLAQItABQABgAIAAAAIQCcvAXm&#10;2QEAAA8EAAAOAAAAAAAAAAAAAAAAAC4CAABkcnMvZTJvRG9jLnhtbFBLAQItABQABgAIAAAAIQAb&#10;+VtO3AAAAAoBAAAPAAAAAAAAAAAAAAAAADMEAABkcnMvZG93bnJldi54bWxQSwUGAAAAAAQABADz&#10;AAAAPAU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44"/>
          <w:szCs w:val="20"/>
          <w:lang w:val="en-US"/>
        </w:rPr>
        <w:t>8</w:t>
      </w:r>
      <w:r w:rsidRPr="006810DB">
        <w:rPr>
          <w:b/>
          <w:szCs w:val="20"/>
          <w:lang w:val="en-US"/>
        </w:rPr>
        <w:t xml:space="preserve"> </w:t>
      </w:r>
      <w:r w:rsidRPr="006810DB">
        <w:rPr>
          <w:b/>
          <w:szCs w:val="20"/>
          <w:lang w:val="en-US"/>
        </w:rPr>
        <w:tab/>
      </w:r>
      <w:r w:rsidR="006D3DC3" w:rsidRPr="006810DB">
        <w:rPr>
          <w:b/>
          <w:color w:val="FFFFFF" w:themeColor="background1"/>
          <w:sz w:val="14"/>
          <w:szCs w:val="14"/>
          <w:lang w:val="en-US"/>
        </w:rPr>
        <w:t xml:space="preserve">STUDI FISIKOKIMIA EKSTRAK </w:t>
      </w:r>
      <w:r w:rsidR="006D3DC3" w:rsidRPr="006810DB">
        <w:rPr>
          <w:b/>
          <w:i/>
          <w:iCs/>
          <w:color w:val="FFFFFF" w:themeColor="background1"/>
          <w:sz w:val="14"/>
          <w:szCs w:val="14"/>
          <w:lang w:val="en-US"/>
        </w:rPr>
        <w:t>Nigella sativa</w:t>
      </w:r>
      <w:bookmarkEnd w:id="185"/>
    </w:p>
    <w:p w14:paraId="7D7B38ED" w14:textId="77777777" w:rsidR="002B0035" w:rsidRPr="006810DB" w:rsidRDefault="002B0035" w:rsidP="006810DB">
      <w:pPr>
        <w:spacing w:after="0" w:line="276" w:lineRule="auto"/>
        <w:jc w:val="both"/>
        <w:rPr>
          <w:rFonts w:ascii="Book Antiqua" w:hAnsi="Book Antiqua"/>
          <w:sz w:val="20"/>
          <w:szCs w:val="20"/>
          <w:lang w:val="en"/>
        </w:rPr>
      </w:pPr>
    </w:p>
    <w:p w14:paraId="7513F6EE" w14:textId="77777777" w:rsidR="002B0035" w:rsidRPr="006810DB" w:rsidRDefault="002B0035" w:rsidP="006810DB">
      <w:pPr>
        <w:spacing w:after="0" w:line="276" w:lineRule="auto"/>
        <w:jc w:val="both"/>
        <w:rPr>
          <w:rFonts w:ascii="Book Antiqua" w:hAnsi="Book Antiqua"/>
          <w:sz w:val="20"/>
          <w:szCs w:val="20"/>
          <w:lang w:val="en"/>
        </w:rPr>
      </w:pPr>
    </w:p>
    <w:p w14:paraId="2C2F4526" w14:textId="287D7F14" w:rsidR="00B258B7" w:rsidRPr="006810DB" w:rsidRDefault="00C32C86" w:rsidP="00B9360C">
      <w:pPr>
        <w:pStyle w:val="Heading2"/>
        <w:numPr>
          <w:ilvl w:val="0"/>
          <w:numId w:val="23"/>
        </w:numPr>
        <w:ind w:left="284" w:hanging="284"/>
      </w:pPr>
      <w:bookmarkStart w:id="186" w:name="_kz9p4svkoadi" w:colFirst="0" w:colLast="0"/>
      <w:bookmarkStart w:id="187" w:name="_Toc223088916"/>
      <w:bookmarkEnd w:id="186"/>
      <w:r w:rsidRPr="006810DB">
        <w:t>Pendahuluan</w:t>
      </w:r>
      <w:bookmarkEnd w:id="187"/>
    </w:p>
    <w:p w14:paraId="2C7C7B87"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Perjalanan sebuah tanaman obat dari ladang hingga menjadi kandidat terapeutik yang kredibel di laboratorium adalah sebuah proses transformasi yang menuntut presisi dan standardisasi. Bab sebelumnya telah memetakan identitas botani, kekayaan sejarah, dan keragaman fitokimia dari </w:t>
      </w:r>
      <w:r w:rsidRPr="006810DB">
        <w:rPr>
          <w:rFonts w:ascii="Book Antiqua" w:hAnsi="Book Antiqua"/>
          <w:i/>
          <w:iCs/>
          <w:sz w:val="20"/>
          <w:szCs w:val="20"/>
          <w:lang w:val="en"/>
        </w:rPr>
        <w:t>Nigella sativa</w:t>
      </w:r>
      <w:r w:rsidRPr="006810DB">
        <w:rPr>
          <w:rFonts w:ascii="Book Antiqua" w:hAnsi="Book Antiqua"/>
          <w:sz w:val="20"/>
          <w:szCs w:val="20"/>
          <w:lang w:val="en"/>
        </w:rPr>
        <w:t>. Namun, pengetahuan ini baru menjadi bermakna secara ilmiah ketika kita mampu menerjemahkan bahan mentah, ribuan biji hitam, menjadi sebuah sediaan yang terukur, konsisten, dan dapat direproduksi. Inilah ranah studi fisikokimia, sebuah disiplin yang berfungsi sebagai jembatan kritis antara farmakognosi tradisional dan farmakologi modern. Tanpa fondasi ini, setiap hasil penelitian biologis akan berdiri di atas dasar yang goyah, karena kita tidak pernah bisa yakin dengan apa yang sebenarnya kita uji.</w:t>
      </w:r>
    </w:p>
    <w:p w14:paraId="3E9BB0C7"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Bab ini akan mengalihkan fokus dari "apa" yang terkandung dalam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ke "bagaimana" kita secara sistematis mengekstraksi, mengkarakterisasi, dan memvalidasi identitas dari kandungan tersebut. Proses ini adalah jantung dari pengembangan produk herbal yang berkualitas. Sebuah ekstrak bukan sekadar "jus" dari tanaman; ia adalah produk rekayasa farmasetik yang dirancang untuk mengoptimalkan konsentrasi senyawa yang diinginkan sambil meminimalkan komponen yang tidak relevan atau berpotensi berbahaya. Metode yang </w:t>
      </w:r>
      <w:r w:rsidRPr="006810DB">
        <w:rPr>
          <w:rFonts w:ascii="Book Antiqua" w:hAnsi="Book Antiqua"/>
          <w:sz w:val="20"/>
          <w:szCs w:val="20"/>
          <w:lang w:val="en"/>
        </w:rPr>
        <w:lastRenderedPageBreak/>
        <w:t>dipilih untuk menghasilkan ekstrak ini akan secara fundamental menentukan profil kimia dan, akibatnya, aktivitas biologisnya.</w:t>
      </w:r>
    </w:p>
    <w:p w14:paraId="75D987C0"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Pembahasan akan dimulai dengan menelusuri metode-metode ekstraksi dan pemurnian. Perbandingan antara teknik modern seperti </w:t>
      </w:r>
      <w:r w:rsidRPr="006810DB">
        <w:rPr>
          <w:rFonts w:ascii="Book Antiqua" w:hAnsi="Book Antiqua"/>
          <w:i/>
          <w:iCs/>
          <w:sz w:val="20"/>
          <w:szCs w:val="20"/>
          <w:lang w:val="en"/>
        </w:rPr>
        <w:t>cold pressing</w:t>
      </w:r>
      <w:r w:rsidRPr="006810DB">
        <w:rPr>
          <w:rFonts w:ascii="Book Antiqua" w:hAnsi="Book Antiqua"/>
          <w:sz w:val="20"/>
          <w:szCs w:val="20"/>
          <w:lang w:val="en"/>
        </w:rPr>
        <w:t xml:space="preserve"> dan ekstraksi pelarut konvensional akan dianalisis untuk memahami bagaimana setiap pendekatan memengaruhi komposisi akhir ekstrak, terutama pada senyawa volatil dan termolabil seperti </w:t>
      </w:r>
      <w:r w:rsidRPr="006810DB">
        <w:rPr>
          <w:rFonts w:ascii="Book Antiqua" w:hAnsi="Book Antiqua"/>
          <w:i/>
          <w:iCs/>
          <w:sz w:val="20"/>
          <w:szCs w:val="20"/>
          <w:lang w:val="en"/>
        </w:rPr>
        <w:t>thymoquinone</w:t>
      </w:r>
      <w:r w:rsidRPr="006810DB">
        <w:rPr>
          <w:rFonts w:ascii="Book Antiqua" w:hAnsi="Book Antiqua"/>
          <w:sz w:val="20"/>
          <w:szCs w:val="20"/>
          <w:lang w:val="en"/>
        </w:rPr>
        <w:t>. Optimasi parameter-parameter proses, seperti suhu dan waktu, akan dijelaskan sebagai langkah esensial untuk mencapai efisiensi dan konsistensi dari satu batch ke batch berikutnya.</w:t>
      </w:r>
    </w:p>
    <w:p w14:paraId="3539B933"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Setelah ekstrak diperoleh, proses karakterisasi dimulai. Bab ini akan menguraikan serangkaian uji fisik dan kimia yang berfungsi sebagai "sidik jari" atau "sertifikat identitas" untuk ekstrak tersebut. Prosedur-prosedur ini, mulai dari penentuan parameter dasar seperti kadar air dan abu hingga analisis kromatografi yang lebih canggih, dirancang untuk menjawab pertanyaan-pertanyaan fundamental: Apakah ekstrak ini murni? Apakah ia stabil? Apakah ia mengandung senyawa-senyawa yang kita harapkan?</w:t>
      </w:r>
    </w:p>
    <w:p w14:paraId="0282BB76"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Uji organoleptik dan skrining fitokimia awal juga akan dibahas sebagai garda terdepan dalam kontrol kualitas. Meskipun tampak sederhana, evaluasi terhadap warna, bau, dan rasa, yang didukung oleh tes kimia kualitatif, memberikan validasi pertama yang cepat dan penting terhadap identitas dan kualitas bahan baku. Parameter fisik seperti indeks refraksi dan bobot jenis melengkapi profil ini, menyediakan data kuantitatif untuk memastikan konsistensi.</w:t>
      </w:r>
    </w:p>
    <w:p w14:paraId="6C5E60DA"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Tujuan akhir dari bab ini adalah untuk menegaskan sebuah prinsip sentral dalam ilmu herbal modern: variabilitas adalah musuh, dan standardisasi adalah solusinya. Dengan memahami dan menerapkan protokol fisikokimia yang ketat, peneliti dapat memastikan bahwa hasil yang mereka peroleh di laboratorium hari ini dapat direplikasi oleh peneliti lain di belahan dunia lain esok hari.</w:t>
      </w:r>
    </w:p>
    <w:p w14:paraId="7BB673DF"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lastRenderedPageBreak/>
        <w:t>Proses yang diuraikan di sini adalah prasyarat mutlak sebelum kita dapat mengklaim apa pun tentang efektivasi antioksidan atau anti-inflamasi dari ekstrak yang akan dibahas di bab-bab selanjutnya.</w:t>
      </w:r>
    </w:p>
    <w:p w14:paraId="21881957" w14:textId="77777777"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Ini adalah tahap di mana seni pengobatan tradisional bertemu dengan ketelitian ilmu farmasi.</w:t>
      </w:r>
    </w:p>
    <w:p w14:paraId="7D40E4A9" w14:textId="7039E9D1" w:rsidR="00B258B7" w:rsidRPr="006810DB" w:rsidRDefault="00B258B7" w:rsidP="00BB4C89">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Standardisasi fisikokimia mengubah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dari sekadar "biji yang diberkati" menjadi agen farmakologis yang terdefinisi dengan baik dan siap untuk diuji secara ilmiah.</w:t>
      </w:r>
    </w:p>
    <w:p w14:paraId="78CBFCBF" w14:textId="77777777" w:rsidR="00F351CE" w:rsidRPr="006810DB" w:rsidRDefault="00F351CE" w:rsidP="006810DB">
      <w:pPr>
        <w:spacing w:after="0" w:line="276" w:lineRule="auto"/>
        <w:jc w:val="both"/>
        <w:rPr>
          <w:rFonts w:ascii="Book Antiqua" w:hAnsi="Book Antiqua"/>
          <w:sz w:val="20"/>
          <w:szCs w:val="20"/>
          <w:lang w:val="en"/>
        </w:rPr>
      </w:pPr>
    </w:p>
    <w:p w14:paraId="3D91213A" w14:textId="16A5343A" w:rsidR="00B258B7" w:rsidRPr="006810DB" w:rsidRDefault="00B258B7" w:rsidP="006810DB">
      <w:pPr>
        <w:pStyle w:val="Heading2"/>
        <w:numPr>
          <w:ilvl w:val="0"/>
          <w:numId w:val="23"/>
        </w:numPr>
        <w:ind w:left="284" w:hanging="284"/>
      </w:pPr>
      <w:bookmarkStart w:id="188" w:name="_jyp2x3swv2ud" w:colFirst="0" w:colLast="0"/>
      <w:bookmarkStart w:id="189" w:name="_Toc223088917"/>
      <w:bookmarkEnd w:id="188"/>
      <w:r w:rsidRPr="006810DB">
        <w:t>Metode Ekstraksi dan Pemurnian</w:t>
      </w:r>
      <w:bookmarkEnd w:id="189"/>
    </w:p>
    <w:p w14:paraId="03B49567"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Ekstraksi adalah langkah pertama yang krusial dalam memisahkan senyawa-senyawa bioaktif dari matriks tanaman yang kompleks. Pilihan metode ekstraksi sangat menentukan komposisi kualitatif dan kuantitatif dari produk akhir, karena setiap teknik memiliki efisiensi dan selektivitas yang berbeda terhadap berbagai kelas senyawa. Untuk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di mana target utamanya sering kali adalah senyawa lipofilik dan volatil seperti </w:t>
      </w:r>
      <w:r w:rsidRPr="006810DB">
        <w:rPr>
          <w:rFonts w:ascii="Book Antiqua" w:hAnsi="Book Antiqua"/>
          <w:i/>
          <w:iCs/>
          <w:sz w:val="20"/>
          <w:szCs w:val="20"/>
          <w:lang w:val="en"/>
        </w:rPr>
        <w:t>thymoquinone</w:t>
      </w:r>
      <w:r w:rsidRPr="006810DB">
        <w:rPr>
          <w:rFonts w:ascii="Book Antiqua" w:hAnsi="Book Antiqua"/>
          <w:sz w:val="20"/>
          <w:szCs w:val="20"/>
          <w:lang w:val="en"/>
        </w:rPr>
        <w:t>, pemilihan metode menjadi sangat penting untuk memaksimalkan hasil sambil menjaga integritas senyawa. Proses ini bukan hanya tentang pemisahan, tetapi juga tentang pengayaan dan pemurnian untuk menghasilkan ekstrak yang poten dan konsisten.</w:t>
      </w:r>
    </w:p>
    <w:p w14:paraId="41D4300A"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Proses ekstraksi dan pemurnian dapat diibaratkan seperti memproduksi minyak zaitun </w:t>
      </w:r>
      <w:r w:rsidRPr="006810DB">
        <w:rPr>
          <w:rFonts w:ascii="Book Antiqua" w:hAnsi="Book Antiqua"/>
          <w:i/>
          <w:iCs/>
          <w:sz w:val="20"/>
          <w:szCs w:val="20"/>
          <w:lang w:val="en"/>
        </w:rPr>
        <w:t>extra virgin</w:t>
      </w:r>
      <w:r w:rsidRPr="006810DB">
        <w:rPr>
          <w:rFonts w:ascii="Book Antiqua" w:hAnsi="Book Antiqua"/>
          <w:sz w:val="20"/>
          <w:szCs w:val="20"/>
          <w:lang w:val="en"/>
        </w:rPr>
        <w:t xml:space="preserve"> dari buah zaitun. Teknik </w:t>
      </w:r>
      <w:r w:rsidRPr="006810DB">
        <w:rPr>
          <w:rFonts w:ascii="Book Antiqua" w:hAnsi="Book Antiqua"/>
          <w:i/>
          <w:iCs/>
          <w:sz w:val="20"/>
          <w:szCs w:val="20"/>
          <w:lang w:val="en"/>
        </w:rPr>
        <w:t>cold pressing</w:t>
      </w:r>
      <w:r w:rsidRPr="006810DB">
        <w:rPr>
          <w:rFonts w:ascii="Book Antiqua" w:hAnsi="Book Antiqua"/>
          <w:sz w:val="20"/>
          <w:szCs w:val="20"/>
          <w:lang w:val="en"/>
        </w:rPr>
        <w:t xml:space="preserve"> (penekanan dingin) mirip dengan proses perasan pertama pada suhu rendah; ia menghasilkan minyak berkualitas tertinggi dengan rasa dan aroma (senyawa volatil) yang paling terjaga, meskipun mungkin tidak mengekstrak setiap tetes minyak dari buahnya. Ekstraksi pelarut, di sisi lain, mirip dengan menggunakan panas dan bahan kimia untuk mengekstrak sisa minyak dari ampas zaitun; hasilnya mungkin lebih banyak, tetapi kualitasnya lebih rendah dan berisiko meninggalkan residu. Setelah minyak diperoleh, proses fraksinasi bisa diibaratkan seperti memisahkan minyak ini lebih lanjut untuk mendapatkan komponen tertentu, </w:t>
      </w:r>
      <w:r w:rsidRPr="006810DB">
        <w:rPr>
          <w:rFonts w:ascii="Book Antiqua" w:hAnsi="Book Antiqua"/>
          <w:sz w:val="20"/>
          <w:szCs w:val="20"/>
          <w:lang w:val="en"/>
        </w:rPr>
        <w:lastRenderedPageBreak/>
        <w:t>misalnya polifenol antioksidannya, untuk suplemen kesehatan yang lebih terkonsentrasi.</w:t>
      </w:r>
    </w:p>
    <w:p w14:paraId="0443BC23" w14:textId="19F50BAA" w:rsidR="00B258B7" w:rsidRPr="006810DB" w:rsidRDefault="00B258B7" w:rsidP="006810DB">
      <w:pPr>
        <w:pStyle w:val="ListParagraph"/>
        <w:numPr>
          <w:ilvl w:val="0"/>
          <w:numId w:val="57"/>
        </w:numPr>
        <w:spacing w:after="0" w:line="276" w:lineRule="auto"/>
        <w:ind w:left="567" w:hanging="283"/>
        <w:contextualSpacing w:val="0"/>
        <w:jc w:val="both"/>
        <w:rPr>
          <w:rFonts w:ascii="Book Antiqua" w:hAnsi="Book Antiqua"/>
          <w:b/>
          <w:bCs/>
          <w:sz w:val="20"/>
          <w:szCs w:val="20"/>
          <w:lang w:val="en"/>
        </w:rPr>
      </w:pPr>
      <w:bookmarkStart w:id="190" w:name="_kz3wydbbyt8" w:colFirst="0" w:colLast="0"/>
      <w:bookmarkEnd w:id="190"/>
      <w:r w:rsidRPr="006810DB">
        <w:rPr>
          <w:rFonts w:ascii="Book Antiqua" w:hAnsi="Book Antiqua"/>
          <w:b/>
          <w:bCs/>
          <w:sz w:val="20"/>
          <w:szCs w:val="20"/>
          <w:lang w:val="en"/>
        </w:rPr>
        <w:t xml:space="preserve">Teknik </w:t>
      </w:r>
      <w:r w:rsidRPr="006810DB">
        <w:rPr>
          <w:rFonts w:ascii="Book Antiqua" w:hAnsi="Book Antiqua"/>
          <w:b/>
          <w:bCs/>
          <w:i/>
          <w:iCs/>
          <w:sz w:val="20"/>
          <w:szCs w:val="20"/>
          <w:lang w:val="en"/>
        </w:rPr>
        <w:t>Cold Pressing</w:t>
      </w:r>
      <w:r w:rsidRPr="006810DB">
        <w:rPr>
          <w:rFonts w:ascii="Book Antiqua" w:hAnsi="Book Antiqua"/>
          <w:b/>
          <w:bCs/>
          <w:sz w:val="20"/>
          <w:szCs w:val="20"/>
          <w:lang w:val="en"/>
        </w:rPr>
        <w:t xml:space="preserve"> vs Ekstraksi Pelarut</w:t>
      </w:r>
    </w:p>
    <w:p w14:paraId="35954FA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i/>
          <w:iCs/>
          <w:sz w:val="20"/>
          <w:szCs w:val="20"/>
          <w:lang w:val="en"/>
        </w:rPr>
        <w:t>Cold pressing</w:t>
      </w:r>
      <w:r w:rsidRPr="006810DB">
        <w:rPr>
          <w:rFonts w:ascii="Book Antiqua" w:hAnsi="Book Antiqua"/>
          <w:sz w:val="20"/>
          <w:szCs w:val="20"/>
          <w:lang w:val="en"/>
        </w:rPr>
        <w:t xml:space="preserve">, atau pengepresan dingin, adalah metode ekstraksi mekanis di mana biji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dihancurkan dan ditekan untuk mengeluarkan minyaknya tanpa menggunakan panas eksternal. Suhu selama proses ini dijaga tetap rendah (biasanya di bawah 50°C) untuk mencegah degradasi senyawa-senyawa yang sensitif terhadap panas dan volatil, seperti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dan komponen minyak atsiri lainnya (Kiralan et al., 2014). Keuntungan utama dari metode ini adalah menghasilkan minyak berkualitas tinggi yang mempertahankan profil aroma dan fitokimia alami biji, serta tidak adanya risiko residu pelarut. Namun, kekurangannya adalah efisiensi atau rendemen yang umumnya lebih rendah dibandingkan metode lain.</w:t>
      </w:r>
    </w:p>
    <w:p w14:paraId="3C1D715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Ekstraksi pelarut, sebaliknya, menggunakan pelarut organik seperti heksana, etanol, atau metanol untuk melarutkan dan menarik keluar senyawa bioaktif dari bahan tanaman. Metode ini, terutama jika dilakukan dengan bantuan panas (misalnya, ekstraksi Soxhlet), seringkali menghasilkan rendemen ekstrak yang lebih tinggi. Namun, ia memiliki beberapa kelemahan signifikan. Penggunaan panas dapat mendegradasi senyawa termolabil. Selain itu, ada risiko bahwa sisa-sisa pelarut toksik (seperti heksana) dapat tertinggal di dalam ekstrak akhir, yang menimbulkan masalah keamanan. Penggunaan pelarut "hijau" seperti etanol dapat memitigasi sebagian masalah ini, tetapi risiko degradasi termal tetap ada (Hannan et al., 2021).</w:t>
      </w:r>
    </w:p>
    <w:p w14:paraId="5091EEDF" w14:textId="6B0130FC" w:rsidR="00B258B7" w:rsidRPr="006810DB" w:rsidRDefault="00B258B7" w:rsidP="006810DB">
      <w:pPr>
        <w:pStyle w:val="ListParagraph"/>
        <w:numPr>
          <w:ilvl w:val="0"/>
          <w:numId w:val="57"/>
        </w:numPr>
        <w:spacing w:after="0" w:line="276" w:lineRule="auto"/>
        <w:ind w:left="567" w:hanging="283"/>
        <w:contextualSpacing w:val="0"/>
        <w:jc w:val="both"/>
        <w:rPr>
          <w:rFonts w:ascii="Book Antiqua" w:hAnsi="Book Antiqua"/>
          <w:b/>
          <w:bCs/>
          <w:sz w:val="20"/>
          <w:szCs w:val="20"/>
          <w:lang w:val="en"/>
        </w:rPr>
      </w:pPr>
      <w:bookmarkStart w:id="191" w:name="_wzn8bfehfd3" w:colFirst="0" w:colLast="0"/>
      <w:bookmarkEnd w:id="191"/>
      <w:r w:rsidRPr="006810DB">
        <w:rPr>
          <w:rFonts w:ascii="Book Antiqua" w:hAnsi="Book Antiqua"/>
          <w:b/>
          <w:bCs/>
          <w:sz w:val="20"/>
          <w:szCs w:val="20"/>
          <w:lang w:val="en"/>
        </w:rPr>
        <w:t>Optimasi Parameter Suhu dan Waktu</w:t>
      </w:r>
    </w:p>
    <w:p w14:paraId="0985B9C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Terlepas dari metode yang dipilih, optimasi parameter proses adalah kunci untuk mencapai hasil yang konsisten dan efisien. Dalam ekstraksi pelarut, variabel-variabel seperti suhu, waktu ekstraksi, rasio pelarut terhadap bahan padat, dan ukuran partikel bahan baku semuanya berinteraksi untuk memengaruhi hasil akhir. Suhu yang lebih tinggi </w:t>
      </w:r>
      <w:r w:rsidRPr="006810DB">
        <w:rPr>
          <w:rFonts w:ascii="Book Antiqua" w:hAnsi="Book Antiqua"/>
          <w:sz w:val="20"/>
          <w:szCs w:val="20"/>
          <w:lang w:val="en"/>
        </w:rPr>
        <w:lastRenderedPageBreak/>
        <w:t>umumnya meningkatkan kelarutan dan laju difusi, sehingga mempercepat ekstraksi, tetapi juga meningkatkan risiko degradasi senyawa target (Cheikh-Rouhou et al., 2007).</w:t>
      </w:r>
    </w:p>
    <w:p w14:paraId="6A35D0A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Waktu ekstraksi yang lebih lama dapat meningkatkan rendemen, tetapi ada titik di mana kesetimbangan tercapai dan perpanjangan waktu tidak lagi memberikan manfaat signifikan, bahkan mungkin meningkatkan ekstraksi senyawa yang tidak diinginkan. Oleh karena itu, studi optimasi sering dilakukan dengan menggunakan desain eksperimental, seperti </w:t>
      </w:r>
      <w:r w:rsidRPr="006810DB">
        <w:rPr>
          <w:rFonts w:ascii="Book Antiqua" w:hAnsi="Book Antiqua"/>
          <w:i/>
          <w:iCs/>
          <w:sz w:val="20"/>
          <w:szCs w:val="20"/>
          <w:lang w:val="en"/>
        </w:rPr>
        <w:t>Response Surface Methodology</w:t>
      </w:r>
      <w:r w:rsidRPr="006810DB">
        <w:rPr>
          <w:rFonts w:ascii="Book Antiqua" w:hAnsi="Book Antiqua"/>
          <w:sz w:val="20"/>
          <w:szCs w:val="20"/>
          <w:lang w:val="en"/>
        </w:rPr>
        <w:t xml:space="preserve"> (RSM), untuk menemukan kombinasi parameter yang ideal yang dapat memaksimalkan konsentrasi senyawa target (misalnya, </w:t>
      </w:r>
      <w:r w:rsidRPr="006810DB">
        <w:rPr>
          <w:rFonts w:ascii="Book Antiqua" w:hAnsi="Book Antiqua"/>
          <w:i/>
          <w:iCs/>
          <w:sz w:val="20"/>
          <w:szCs w:val="20"/>
          <w:lang w:val="en"/>
        </w:rPr>
        <w:t>thymoquinone</w:t>
      </w:r>
      <w:r w:rsidRPr="006810DB">
        <w:rPr>
          <w:rFonts w:ascii="Book Antiqua" w:hAnsi="Book Antiqua"/>
          <w:sz w:val="20"/>
          <w:szCs w:val="20"/>
          <w:lang w:val="en"/>
        </w:rPr>
        <w:t>) sambil meminimalkan penggunaan energi dan waktu (Singh et al., 2014).</w:t>
      </w:r>
    </w:p>
    <w:p w14:paraId="2D936992" w14:textId="74DE8B53" w:rsidR="00B258B7" w:rsidRPr="006810DB" w:rsidRDefault="00B258B7" w:rsidP="006810DB">
      <w:pPr>
        <w:pStyle w:val="ListParagraph"/>
        <w:numPr>
          <w:ilvl w:val="0"/>
          <w:numId w:val="57"/>
        </w:numPr>
        <w:spacing w:after="0" w:line="276" w:lineRule="auto"/>
        <w:ind w:left="567" w:hanging="283"/>
        <w:contextualSpacing w:val="0"/>
        <w:jc w:val="both"/>
        <w:rPr>
          <w:rFonts w:ascii="Book Antiqua" w:hAnsi="Book Antiqua"/>
          <w:b/>
          <w:bCs/>
          <w:sz w:val="20"/>
          <w:szCs w:val="20"/>
          <w:lang w:val="en"/>
        </w:rPr>
      </w:pPr>
      <w:bookmarkStart w:id="192" w:name="_owi5tnmoefpg" w:colFirst="0" w:colLast="0"/>
      <w:bookmarkEnd w:id="192"/>
      <w:r w:rsidRPr="006810DB">
        <w:rPr>
          <w:rFonts w:ascii="Book Antiqua" w:hAnsi="Book Antiqua"/>
          <w:b/>
          <w:bCs/>
          <w:sz w:val="20"/>
          <w:szCs w:val="20"/>
          <w:lang w:val="en"/>
        </w:rPr>
        <w:t>Prosedur Fraksinasi Senyawa Aktif</w:t>
      </w:r>
    </w:p>
    <w:p w14:paraId="0B45CF0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Ekstrak mentah (</w:t>
      </w:r>
      <w:r w:rsidRPr="006810DB">
        <w:rPr>
          <w:rFonts w:ascii="Book Antiqua" w:hAnsi="Book Antiqua"/>
          <w:i/>
          <w:iCs/>
          <w:sz w:val="20"/>
          <w:szCs w:val="20"/>
          <w:lang w:val="en"/>
        </w:rPr>
        <w:t>crude extract</w:t>
      </w:r>
      <w:r w:rsidRPr="006810DB">
        <w:rPr>
          <w:rFonts w:ascii="Book Antiqua" w:hAnsi="Book Antiqua"/>
          <w:sz w:val="20"/>
          <w:szCs w:val="20"/>
          <w:lang w:val="en"/>
        </w:rPr>
        <w:t>) yang diperoleh dari proses ekstraksi awal sering kali merupakan campuran yang sangat kompleks. Untuk penelitian mekanisme yang lebih terfokus atau untuk meningkatkan potensi, ekstrak mentah ini dapat diproses lebih lanjut melalui fraksinasi. Fraksinasi adalah proses pemisahan ekstrak menjadi fraksi-fraksi yang lebih sederhana berdasarkan sifat fisikokimia tertentu, seperti polaritas atau ukuran molekul (Forouzanfar et al., 2014).</w:t>
      </w:r>
    </w:p>
    <w:p w14:paraId="1023C983" w14:textId="56C1DBA5" w:rsidR="00B258B7"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Sebagai contoh, ekstrak heksana dari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dapat difraksinasi menggunakan kromatografi kolom. Dengan melewatkan ekstrak melalui kolom yang diisi dengan fasa diam (misalnya, silika gel) dan mengelusinya dengan serangkaian pelarut dengan polaritas yang meningkat, komponen-komponen ekstrak akan terpisah. Fraksi yang kaya akan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dapat dikumpulkan secara terpisah dari fraksi yang kaya akan asam lemak atau senyawa yang lebih polar. Prosedur ini memungkinkan peneliti untuk menguji aktivitas biologis dari fraksi yang diperkaya, membantu mengidentifikasi konstituen mana </w:t>
      </w:r>
      <w:r w:rsidRPr="006810DB">
        <w:rPr>
          <w:rFonts w:ascii="Book Antiqua" w:hAnsi="Book Antiqua"/>
          <w:sz w:val="20"/>
          <w:szCs w:val="20"/>
          <w:lang w:val="en"/>
        </w:rPr>
        <w:lastRenderedPageBreak/>
        <w:t>yang paling bertanggung jawab atas efek farmakologis yang diamati.</w:t>
      </w:r>
    </w:p>
    <w:p w14:paraId="66142E2B" w14:textId="77777777" w:rsidR="00A95863" w:rsidRPr="006810DB" w:rsidRDefault="00A95863" w:rsidP="006810DB">
      <w:pPr>
        <w:spacing w:after="0" w:line="276" w:lineRule="auto"/>
        <w:ind w:left="567" w:firstLine="567"/>
        <w:jc w:val="both"/>
        <w:rPr>
          <w:rFonts w:ascii="Book Antiqua" w:hAnsi="Book Antiqua"/>
          <w:sz w:val="20"/>
          <w:szCs w:val="20"/>
          <w:lang w:val="en"/>
        </w:rPr>
      </w:pPr>
    </w:p>
    <w:p w14:paraId="47F66022" w14:textId="6496CDC5" w:rsidR="00B258B7" w:rsidRPr="006810DB" w:rsidRDefault="00B258B7" w:rsidP="006810DB">
      <w:pPr>
        <w:pStyle w:val="Heading2"/>
        <w:numPr>
          <w:ilvl w:val="0"/>
          <w:numId w:val="23"/>
        </w:numPr>
        <w:ind w:left="284" w:hanging="284"/>
        <w:rPr>
          <w:bCs/>
          <w:szCs w:val="20"/>
          <w:lang w:val="en"/>
        </w:rPr>
      </w:pPr>
      <w:bookmarkStart w:id="193" w:name="_am0h2rfgx128" w:colFirst="0" w:colLast="0"/>
      <w:bookmarkStart w:id="194" w:name="_Toc223088918"/>
      <w:bookmarkEnd w:id="193"/>
      <w:r w:rsidRPr="006810DB">
        <w:rPr>
          <w:bCs/>
          <w:szCs w:val="20"/>
          <w:lang w:val="en"/>
        </w:rPr>
        <w:t>Karakterisasi Sifat Fisik dan Kimia</w:t>
      </w:r>
      <w:bookmarkEnd w:id="194"/>
    </w:p>
    <w:p w14:paraId="51D2E55F"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Setelah ekstrak dihasilkan, langkah selanjutnya adalah melakukan serangkaian analisis untuk mengkarakterisasi sifat-sifatnya dan menetapkan profil kualitas yang standar. Karakterisasi ini berfungsi sebagai "sertifikat analisis" untuk ekstrak, yang memberikan data objektif tentang komposisi, kemurnian, dan stabilitasnya. Proses ini sangat penting untuk memastikan konsistensi antar </w:t>
      </w:r>
      <w:r w:rsidRPr="006810DB">
        <w:rPr>
          <w:rFonts w:ascii="Book Antiqua" w:hAnsi="Book Antiqua"/>
          <w:i/>
          <w:iCs/>
          <w:sz w:val="20"/>
          <w:szCs w:val="20"/>
          <w:lang w:val="en"/>
        </w:rPr>
        <w:t>batch</w:t>
      </w:r>
      <w:r w:rsidRPr="006810DB">
        <w:rPr>
          <w:rFonts w:ascii="Book Antiqua" w:hAnsi="Book Antiqua"/>
          <w:sz w:val="20"/>
          <w:szCs w:val="20"/>
          <w:lang w:val="en"/>
        </w:rPr>
        <w:t xml:space="preserve"> produksi dan untuk memvalidasi bahwa ekstrak yang digunakan dalam penelitian sesuai dengan spesifikasi yang telah ditetapkan. Karakterisasi fisikokimia mengubah produk herbal dari ramuan yang tidak terdefinisi menjadi bahan farmasi yang terukur.</w:t>
      </w:r>
    </w:p>
    <w:p w14:paraId="22B6525E"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Karakterisasi fisikokimia ekstrak dapat diibaratkan seperti proses inspeksi dan sertifikasi sebatang emas batangan. Penentuan kadar air dan abu adalah seperti memeriksa apakah ada kotoran atau bahan non-emas yang menempel pada permukaannya. Analisis profil kelarutan adalah seperti mengetahui paduan logam apa yang dapat dicampur dengan emas tersebut untuk membuat perhiasan. Analisis KLT adalah seperti melakukan uji gores sederhana pada batu uji untuk memastikan itu benar-benar emas dan bukan pirit (emas palsu) dengan membandingkan warnanya dengan standar. Tanpa serangkaian tes ini, Anda tidak bisa memastikan nilai dan kemurnian emas batangan tersebut.</w:t>
      </w:r>
    </w:p>
    <w:p w14:paraId="4782A65B" w14:textId="696E9AB7" w:rsidR="00B258B7" w:rsidRPr="006810DB" w:rsidRDefault="00B258B7" w:rsidP="006810DB">
      <w:pPr>
        <w:pStyle w:val="ListParagraph"/>
        <w:numPr>
          <w:ilvl w:val="0"/>
          <w:numId w:val="58"/>
        </w:numPr>
        <w:spacing w:after="0" w:line="276" w:lineRule="auto"/>
        <w:ind w:left="567" w:hanging="283"/>
        <w:contextualSpacing w:val="0"/>
        <w:jc w:val="both"/>
        <w:rPr>
          <w:rFonts w:ascii="Book Antiqua" w:hAnsi="Book Antiqua"/>
          <w:b/>
          <w:bCs/>
          <w:sz w:val="20"/>
          <w:szCs w:val="20"/>
          <w:lang w:val="en"/>
        </w:rPr>
      </w:pPr>
      <w:bookmarkStart w:id="195" w:name="_pnk02h6ja492" w:colFirst="0" w:colLast="0"/>
      <w:bookmarkEnd w:id="195"/>
      <w:r w:rsidRPr="006810DB">
        <w:rPr>
          <w:rFonts w:ascii="Book Antiqua" w:hAnsi="Book Antiqua"/>
          <w:b/>
          <w:bCs/>
          <w:sz w:val="20"/>
          <w:szCs w:val="20"/>
          <w:lang w:val="en"/>
        </w:rPr>
        <w:t>Penentuan Kadar Air dan Abu</w:t>
      </w:r>
    </w:p>
    <w:p w14:paraId="7A34D27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Penentuan kadar air adalah salah satu parameter kualitas paling dasar dan penting untuk bahan herbal dan ekstraknya. Kadar air yang tinggi (biasanya &gt;10%) dapat mendorong pertumbuhan mikroba (bakteri, jamur) dan memfasilitasi reaksi enzimatik yang dapat mendegradasi senyawa aktif selama penyimpanan, sehingga memperpendek umur simpan produk (Badan POM RI, 2011). Metode umum untuk penentuannya termasuk metode </w:t>
      </w:r>
      <w:r w:rsidRPr="006810DB">
        <w:rPr>
          <w:rFonts w:ascii="Book Antiqua" w:hAnsi="Book Antiqua"/>
          <w:sz w:val="20"/>
          <w:szCs w:val="20"/>
          <w:lang w:val="en"/>
        </w:rPr>
        <w:lastRenderedPageBreak/>
        <w:t xml:space="preserve">gravimetri (kehilangan saat pengeringan atau </w:t>
      </w:r>
      <w:r w:rsidRPr="006810DB">
        <w:rPr>
          <w:rFonts w:ascii="Book Antiqua" w:hAnsi="Book Antiqua"/>
          <w:i/>
          <w:iCs/>
          <w:sz w:val="20"/>
          <w:szCs w:val="20"/>
          <w:lang w:val="en"/>
        </w:rPr>
        <w:t>loss on drying</w:t>
      </w:r>
      <w:r w:rsidRPr="006810DB">
        <w:rPr>
          <w:rFonts w:ascii="Book Antiqua" w:hAnsi="Book Antiqua"/>
          <w:sz w:val="20"/>
          <w:szCs w:val="20"/>
          <w:lang w:val="en"/>
        </w:rPr>
        <w:t>) atau titrasi Karl Fischer, yang lebih spesifik untuk air.</w:t>
      </w:r>
    </w:p>
    <w:p w14:paraId="577AFE2A"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Penentuan kadar abu mengukur jumlah total residu anorganik yang tersisa setelah bahan dibakar pada suhu yang sangat tinggi (insinerasi). Kadar abu total memberikan indikasi tentang jumlah total mineral yang terkandung. Sementara itu, kadar abu tidak larut asam, yang mengukur bagian dari abu yang tidak larut dalam asam klorida encer, sering digunakan sebagai indikator kontaminasi oleh pasir atau tanah (WHO, 2011). Penetapan batas untuk parameter-parameter ini penting untuk memastikan kemurnian bahan baku.</w:t>
      </w:r>
    </w:p>
    <w:p w14:paraId="2475707E" w14:textId="4600E1BF" w:rsidR="00B258B7" w:rsidRPr="006810DB" w:rsidRDefault="00B258B7" w:rsidP="006810DB">
      <w:pPr>
        <w:pStyle w:val="ListParagraph"/>
        <w:numPr>
          <w:ilvl w:val="0"/>
          <w:numId w:val="58"/>
        </w:numPr>
        <w:spacing w:after="0" w:line="276" w:lineRule="auto"/>
        <w:ind w:left="567" w:hanging="283"/>
        <w:contextualSpacing w:val="0"/>
        <w:jc w:val="both"/>
        <w:rPr>
          <w:rFonts w:ascii="Book Antiqua" w:hAnsi="Book Antiqua"/>
          <w:b/>
          <w:bCs/>
          <w:sz w:val="20"/>
          <w:szCs w:val="20"/>
          <w:lang w:val="en"/>
        </w:rPr>
      </w:pPr>
      <w:bookmarkStart w:id="196" w:name="_axezf9t3b9mz" w:colFirst="0" w:colLast="0"/>
      <w:bookmarkEnd w:id="196"/>
      <w:r w:rsidRPr="006810DB">
        <w:rPr>
          <w:rFonts w:ascii="Book Antiqua" w:hAnsi="Book Antiqua"/>
          <w:b/>
          <w:bCs/>
          <w:sz w:val="20"/>
          <w:szCs w:val="20"/>
          <w:lang w:val="en"/>
        </w:rPr>
        <w:t>Profil Kelarutan dan Stabilitas Ekstrak</w:t>
      </w:r>
    </w:p>
    <w:p w14:paraId="4869667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Profil kelarutan suatu ekstrak menentukan bagaimana ia dapat diformulasikan menjadi produk akhir. Pengujian kelarutan dilakukan dengan melarutkan sejumlah ekstrak dalam berbagai pelarut dengan polaritas yang berbeda, seperti air, etanol, metanol, kloroform, dan heksana (Sutrisna et al., 2018). Informasi ini sangat penting bagi formulator farmasi. Misalnya, ekstrak yang larut dalam minyak lebih cocok untuk formulasi kapsul lunak (</w:t>
      </w:r>
      <w:r w:rsidRPr="006810DB">
        <w:rPr>
          <w:rFonts w:ascii="Book Antiqua" w:hAnsi="Book Antiqua"/>
          <w:i/>
          <w:iCs/>
          <w:sz w:val="20"/>
          <w:szCs w:val="20"/>
          <w:lang w:val="en"/>
        </w:rPr>
        <w:t>softgel</w:t>
      </w:r>
      <w:r w:rsidRPr="006810DB">
        <w:rPr>
          <w:rFonts w:ascii="Book Antiqua" w:hAnsi="Book Antiqua"/>
          <w:sz w:val="20"/>
          <w:szCs w:val="20"/>
          <w:lang w:val="en"/>
        </w:rPr>
        <w:t>), sementara ekstrak yang larut dalam etanol atau air dapat dikembangkan menjadi sediaan cair seperti sirup atau tingtur.</w:t>
      </w:r>
    </w:p>
    <w:p w14:paraId="5D3E1E6E" w14:textId="2F3C10AC" w:rsidR="008A3BB8" w:rsidRPr="006810DB" w:rsidRDefault="00B258B7" w:rsidP="00A95863">
      <w:pPr>
        <w:spacing w:after="0" w:line="276" w:lineRule="auto"/>
        <w:ind w:left="567" w:firstLine="567"/>
        <w:jc w:val="both"/>
        <w:rPr>
          <w:rFonts w:ascii="Book Antiqua" w:hAnsi="Book Antiqua"/>
          <w:b/>
          <w:bCs/>
          <w:sz w:val="20"/>
          <w:szCs w:val="20"/>
          <w:lang w:val="en"/>
        </w:rPr>
      </w:pPr>
      <w:r w:rsidRPr="006810DB">
        <w:rPr>
          <w:rFonts w:ascii="Book Antiqua" w:hAnsi="Book Antiqua"/>
          <w:sz w:val="20"/>
          <w:szCs w:val="20"/>
          <w:lang w:val="en"/>
        </w:rPr>
        <w:t xml:space="preserve">Studi stabilitas dirancang untuk mengevaluasi bagaimana kualitas ekstrak berubah seiring waktu di bawah pengaruh berbagai kondisi lingkungan, seperti suhu, kelembaban, dan cahaya. Dalam studi ini, sampel ekstrak disimpan dalam kondisi yang terkontrol (misalnya, pada suhu 25°C/60% RH untuk pengujian </w:t>
      </w:r>
      <w:r w:rsidRPr="006810DB">
        <w:rPr>
          <w:rFonts w:ascii="Book Antiqua" w:hAnsi="Book Antiqua"/>
          <w:i/>
          <w:iCs/>
          <w:sz w:val="20"/>
          <w:szCs w:val="20"/>
          <w:lang w:val="en"/>
        </w:rPr>
        <w:t>real-time</w:t>
      </w:r>
      <w:r w:rsidRPr="006810DB">
        <w:rPr>
          <w:rFonts w:ascii="Book Antiqua" w:hAnsi="Book Antiqua"/>
          <w:sz w:val="20"/>
          <w:szCs w:val="20"/>
          <w:lang w:val="en"/>
        </w:rPr>
        <w:t xml:space="preserve"> atau pada 40°C/75% RH untuk pengujian dipercepat) dan dianalisis pada interval waktu tertentu untuk melihat perubahan pada penampilan fisik, profil kimia (misalnya, kadar </w:t>
      </w:r>
      <w:r w:rsidRPr="006810DB">
        <w:rPr>
          <w:rFonts w:ascii="Book Antiqua" w:hAnsi="Book Antiqua"/>
          <w:i/>
          <w:iCs/>
          <w:sz w:val="20"/>
          <w:szCs w:val="20"/>
          <w:lang w:val="en"/>
        </w:rPr>
        <w:t>thymoquinone</w:t>
      </w:r>
      <w:r w:rsidRPr="006810DB">
        <w:rPr>
          <w:rFonts w:ascii="Book Antiqua" w:hAnsi="Book Antiqua"/>
          <w:sz w:val="20"/>
          <w:szCs w:val="20"/>
          <w:lang w:val="en"/>
        </w:rPr>
        <w:t>), dan aktivitas biologisnya. Hasil studi ini digunakan untuk menentukan kondisi penyimpanan yang direkomendasikan dan menetapkan tanggal kedaluwarsa produk (ICH, 2003).</w:t>
      </w:r>
      <w:bookmarkStart w:id="197" w:name="_d8glu674k0hn" w:colFirst="0" w:colLast="0"/>
      <w:bookmarkEnd w:id="197"/>
      <w:r w:rsidR="008A3BB8" w:rsidRPr="006810DB">
        <w:rPr>
          <w:rFonts w:ascii="Book Antiqua" w:hAnsi="Book Antiqua"/>
          <w:b/>
          <w:bCs/>
          <w:sz w:val="20"/>
          <w:szCs w:val="20"/>
          <w:lang w:val="en"/>
        </w:rPr>
        <w:br w:type="page"/>
      </w:r>
    </w:p>
    <w:p w14:paraId="273569B0" w14:textId="47C149EF" w:rsidR="00B258B7" w:rsidRPr="006810DB" w:rsidRDefault="00B258B7" w:rsidP="006810DB">
      <w:pPr>
        <w:pStyle w:val="ListParagraph"/>
        <w:numPr>
          <w:ilvl w:val="0"/>
          <w:numId w:val="58"/>
        </w:numPr>
        <w:spacing w:after="0" w:line="276" w:lineRule="auto"/>
        <w:ind w:left="567" w:hanging="283"/>
        <w:contextualSpacing w:val="0"/>
        <w:jc w:val="both"/>
        <w:rPr>
          <w:rFonts w:ascii="Book Antiqua" w:hAnsi="Book Antiqua"/>
          <w:b/>
          <w:bCs/>
          <w:sz w:val="20"/>
          <w:szCs w:val="20"/>
          <w:lang w:val="en"/>
        </w:rPr>
      </w:pPr>
      <w:r w:rsidRPr="006810DB">
        <w:rPr>
          <w:rFonts w:ascii="Book Antiqua" w:hAnsi="Book Antiqua"/>
          <w:b/>
          <w:bCs/>
          <w:sz w:val="20"/>
          <w:szCs w:val="20"/>
          <w:lang w:val="en"/>
        </w:rPr>
        <w:lastRenderedPageBreak/>
        <w:t>Analisis Kromatografi Lapis Tipis (KLT)</w:t>
      </w:r>
    </w:p>
    <w:p w14:paraId="47245FA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Kromatografi Lapis Tipis (KLT) atau </w:t>
      </w:r>
      <w:r w:rsidRPr="006810DB">
        <w:rPr>
          <w:rFonts w:ascii="Book Antiqua" w:hAnsi="Book Antiqua"/>
          <w:i/>
          <w:iCs/>
          <w:sz w:val="20"/>
          <w:szCs w:val="20"/>
          <w:lang w:val="en"/>
        </w:rPr>
        <w:t>Thin-Layer Chromatography</w:t>
      </w:r>
      <w:r w:rsidRPr="006810DB">
        <w:rPr>
          <w:rFonts w:ascii="Book Antiqua" w:hAnsi="Book Antiqua"/>
          <w:sz w:val="20"/>
          <w:szCs w:val="20"/>
          <w:lang w:val="en"/>
        </w:rPr>
        <w:t xml:space="preserve"> (TLC) adalah teknik kromatografi yang sederhana, cepat, dan serbaguna yang banyak digunakan untuk analisis kualitatif ekstrak herbal. Teknik ini digunakan untuk memisahkan komponen-komponen dalam campuran berdasarkan afinitasnya yang berbeda terhadap fasa diam (lempengan yang dilapisi dengan adsorben seperti silika gel) dan fasa gerak (pelarut yang bergerak naik di lempengan) (Reich &amp; Schibli, 2007).</w:t>
      </w:r>
    </w:p>
    <w:p w14:paraId="59774869" w14:textId="3F62D368"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Dalam konteks </w:t>
      </w:r>
      <w:r w:rsidRPr="006810DB">
        <w:rPr>
          <w:rFonts w:ascii="Book Antiqua" w:hAnsi="Book Antiqua"/>
          <w:i/>
          <w:iCs/>
          <w:sz w:val="20"/>
          <w:szCs w:val="20"/>
          <w:lang w:val="en"/>
        </w:rPr>
        <w:t>Nigella sativa</w:t>
      </w:r>
      <w:r w:rsidRPr="006810DB">
        <w:rPr>
          <w:rFonts w:ascii="Book Antiqua" w:hAnsi="Book Antiqua"/>
          <w:sz w:val="20"/>
          <w:szCs w:val="20"/>
          <w:lang w:val="en"/>
        </w:rPr>
        <w:t>, KLT dapat digunakan untuk membuat "sidik jari" kromatografi (</w:t>
      </w:r>
      <w:r w:rsidRPr="006810DB">
        <w:rPr>
          <w:rFonts w:ascii="Book Antiqua" w:hAnsi="Book Antiqua"/>
          <w:i/>
          <w:iCs/>
          <w:sz w:val="20"/>
          <w:szCs w:val="20"/>
          <w:lang w:val="en"/>
        </w:rPr>
        <w:t>chromatographic fingerprint</w:t>
      </w:r>
      <w:r w:rsidRPr="006810DB">
        <w:rPr>
          <w:rFonts w:ascii="Book Antiqua" w:hAnsi="Book Antiqua"/>
          <w:sz w:val="20"/>
          <w:szCs w:val="20"/>
          <w:lang w:val="en"/>
        </w:rPr>
        <w:t xml:space="preserve">). Ekstrak dilarutkan dan ditotolkan pada lempeng KLT di samping larutan standar </w:t>
      </w:r>
      <w:r w:rsidRPr="006810DB">
        <w:rPr>
          <w:rFonts w:ascii="Book Antiqua" w:hAnsi="Book Antiqua"/>
          <w:i/>
          <w:iCs/>
          <w:sz w:val="20"/>
          <w:szCs w:val="20"/>
          <w:lang w:val="en"/>
        </w:rPr>
        <w:t>thymoquinone</w:t>
      </w:r>
      <w:r w:rsidRPr="006810DB">
        <w:rPr>
          <w:rFonts w:ascii="Book Antiqua" w:hAnsi="Book Antiqua"/>
          <w:sz w:val="20"/>
          <w:szCs w:val="20"/>
          <w:lang w:val="en"/>
        </w:rPr>
        <w:t>. Setelah dikembangkan dengan fasa gerak yang sesuai, bercak-bercak yang terpisah akan muncul. Kehadiran bercak pada ekstrak yang memiliki nilai Rf (</w:t>
      </w:r>
      <w:r w:rsidRPr="006810DB">
        <w:rPr>
          <w:rFonts w:ascii="Book Antiqua" w:hAnsi="Book Antiqua"/>
          <w:i/>
          <w:iCs/>
          <w:sz w:val="20"/>
          <w:szCs w:val="20"/>
          <w:lang w:val="en"/>
        </w:rPr>
        <w:t>retention factor</w:t>
      </w:r>
      <w:r w:rsidRPr="006810DB">
        <w:rPr>
          <w:rFonts w:ascii="Book Antiqua" w:hAnsi="Book Antiqua"/>
          <w:sz w:val="20"/>
          <w:szCs w:val="20"/>
          <w:lang w:val="en"/>
        </w:rPr>
        <w:t xml:space="preserve">) dan warna yang sama dengan standar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(setelah disemprot dengan pereaksi penampak noda) memberikan konfirmasi identitas yang kuat (Avula et al., 2010). Pola keseluruhan dari semua bercak berfungsi sebagai sidik jari yang dapat digunakan untuk membandingkan konsistensi antar </w:t>
      </w:r>
      <w:r w:rsidRPr="006810DB">
        <w:rPr>
          <w:rFonts w:ascii="Book Antiqua" w:hAnsi="Book Antiqua"/>
          <w:i/>
          <w:iCs/>
          <w:sz w:val="20"/>
          <w:szCs w:val="20"/>
          <w:lang w:val="en"/>
        </w:rPr>
        <w:t>batch</w:t>
      </w:r>
      <w:r w:rsidRPr="006810DB">
        <w:rPr>
          <w:rFonts w:ascii="Book Antiqua" w:hAnsi="Book Antiqua"/>
          <w:sz w:val="20"/>
          <w:szCs w:val="20"/>
          <w:lang w:val="en"/>
        </w:rPr>
        <w:t>.</w:t>
      </w:r>
    </w:p>
    <w:p w14:paraId="4D551186" w14:textId="77777777" w:rsidR="00504B56" w:rsidRPr="006810DB" w:rsidRDefault="00504B56" w:rsidP="006810DB">
      <w:pPr>
        <w:spacing w:after="0" w:line="276" w:lineRule="auto"/>
        <w:jc w:val="both"/>
        <w:rPr>
          <w:rFonts w:ascii="Book Antiqua" w:hAnsi="Book Antiqua"/>
          <w:sz w:val="20"/>
          <w:szCs w:val="20"/>
          <w:lang w:val="en"/>
        </w:rPr>
      </w:pPr>
    </w:p>
    <w:p w14:paraId="5021D8CF" w14:textId="60577568" w:rsidR="00B258B7" w:rsidRPr="006810DB" w:rsidRDefault="00B258B7" w:rsidP="006810DB">
      <w:pPr>
        <w:pStyle w:val="Heading2"/>
        <w:numPr>
          <w:ilvl w:val="0"/>
          <w:numId w:val="23"/>
        </w:numPr>
        <w:ind w:left="284" w:hanging="284"/>
        <w:rPr>
          <w:bCs/>
          <w:szCs w:val="20"/>
          <w:lang w:val="en"/>
        </w:rPr>
      </w:pPr>
      <w:bookmarkStart w:id="198" w:name="_ksiu6jvjyy6h" w:colFirst="0" w:colLast="0"/>
      <w:bookmarkStart w:id="199" w:name="_Toc223088919"/>
      <w:bookmarkEnd w:id="198"/>
      <w:r w:rsidRPr="006810DB">
        <w:rPr>
          <w:bCs/>
          <w:szCs w:val="20"/>
          <w:lang w:val="en"/>
        </w:rPr>
        <w:t>Uji Organoleptik dan Identifikasi Awal</w:t>
      </w:r>
      <w:bookmarkEnd w:id="199"/>
    </w:p>
    <w:p w14:paraId="3D874FEC"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Sebelum analisis instrumental yang canggih dilakukan, evaluasi pertama dari bahan herbal atau ekstraknya sering kali bergantung pada indra manusia. Uji organoleptik, evaluasi berdasarkan warna, bau, dan rasa, adalah metode kontrol kualitas tertua dan paling mendasar. Meskipun bersifat subjektif, metode ini, jika dilakukan oleh personel yang terlatih, dapat menjadi alat penyaringan yang sangat efektif untuk mendeteksi masalah kualitas yang jelas, seperti kontaminasi, degradasi, atau pemalsuan. Evaluasi awal ini dilengkapi dengan skrining fitokimia kualitatif dan pengukuran parameter fisik sederhana, yang secara bersama-sama memberikan gambaran identitas awal yang cepat dan hemat biaya.</w:t>
      </w:r>
    </w:p>
    <w:p w14:paraId="0B11D898"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lastRenderedPageBreak/>
        <w:t>Analogi/Contoh Kasus:</w:t>
      </w:r>
      <w:r w:rsidRPr="006810DB">
        <w:rPr>
          <w:rFonts w:ascii="Book Antiqua" w:hAnsi="Book Antiqua"/>
          <w:sz w:val="20"/>
          <w:szCs w:val="20"/>
          <w:lang w:val="en"/>
        </w:rPr>
        <w:t xml:space="preserve"> Proses identifikasi awal ini mirip dengan cara seorang ahli berlian mengevaluasi sebuah batu mentah. Uji organoleptik adalah seperti inspeksi visual pertama dengan </w:t>
      </w:r>
      <w:r w:rsidRPr="006810DB">
        <w:rPr>
          <w:rFonts w:ascii="Book Antiqua" w:hAnsi="Book Antiqua"/>
          <w:i/>
          <w:iCs/>
          <w:sz w:val="20"/>
          <w:szCs w:val="20"/>
          <w:lang w:val="en"/>
        </w:rPr>
        <w:t>loupe</w:t>
      </w:r>
      <w:r w:rsidRPr="006810DB">
        <w:rPr>
          <w:rFonts w:ascii="Book Antiqua" w:hAnsi="Book Antiqua"/>
          <w:sz w:val="20"/>
          <w:szCs w:val="20"/>
          <w:lang w:val="en"/>
        </w:rPr>
        <w:t xml:space="preserve"> (kaca pembesar); ahli tersebut memeriksa warna, kejernihan, dan cacat yang terlihat. Skrining fitokimia kualitatif adalah seperti menggunakan </w:t>
      </w:r>
      <w:r w:rsidRPr="006810DB">
        <w:rPr>
          <w:rFonts w:ascii="Book Antiqua" w:hAnsi="Book Antiqua"/>
          <w:i/>
          <w:iCs/>
          <w:sz w:val="20"/>
          <w:szCs w:val="20"/>
          <w:lang w:val="en"/>
        </w:rPr>
        <w:t>diamond tester</w:t>
      </w:r>
      <w:r w:rsidRPr="006810DB">
        <w:rPr>
          <w:rFonts w:ascii="Book Antiqua" w:hAnsi="Book Antiqua"/>
          <w:sz w:val="20"/>
          <w:szCs w:val="20"/>
          <w:lang w:val="en"/>
        </w:rPr>
        <w:t xml:space="preserve"> elektronik sederhana yang akan berbunyi "bip" jika batu tersebut memiliki konduktivitas termal seperti berlian, membedakannya dari zirkonia kubik. Penentuan indeks refraksi adalah seperti menggunakan refraktometer untuk mengukur bagaimana batu tersebut membelokkan cahaya, sebuah sifat fisik yang khas untuk berlian. Tes-tes awal ini tidak memberikan penilaian penuh, tetapi dengan cepat menyaring batu palsu atau berkualitas rendah sebelum dilanjutkan ke analisis yang lebih mahal.</w:t>
      </w:r>
    </w:p>
    <w:p w14:paraId="46AEFA1D" w14:textId="0CE14C7F" w:rsidR="00B258B7" w:rsidRPr="006810DB" w:rsidRDefault="00B258B7" w:rsidP="006810DB">
      <w:pPr>
        <w:pStyle w:val="ListParagraph"/>
        <w:numPr>
          <w:ilvl w:val="0"/>
          <w:numId w:val="59"/>
        </w:numPr>
        <w:spacing w:after="0" w:line="276" w:lineRule="auto"/>
        <w:ind w:left="567" w:hanging="283"/>
        <w:contextualSpacing w:val="0"/>
        <w:jc w:val="both"/>
        <w:rPr>
          <w:rFonts w:ascii="Book Antiqua" w:hAnsi="Book Antiqua"/>
          <w:b/>
          <w:bCs/>
          <w:sz w:val="20"/>
          <w:szCs w:val="20"/>
          <w:lang w:val="en"/>
        </w:rPr>
      </w:pPr>
      <w:bookmarkStart w:id="200" w:name="_9lcu7caaahqb" w:colFirst="0" w:colLast="0"/>
      <w:bookmarkEnd w:id="200"/>
      <w:r w:rsidRPr="006810DB">
        <w:rPr>
          <w:rFonts w:ascii="Book Antiqua" w:hAnsi="Book Antiqua"/>
          <w:b/>
          <w:bCs/>
          <w:sz w:val="20"/>
          <w:szCs w:val="20"/>
          <w:lang w:val="en"/>
        </w:rPr>
        <w:t>Standarisasi Warna, Bau, dan Rasa</w:t>
      </w:r>
    </w:p>
    <w:p w14:paraId="41BDFB88"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Parameter organoleptik adalah garis pertahanan pertama dalam identifikasi. Biji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yang berkualitas memiliki karakteristik yang jelas: warna hitam pekat dan kusam (tidak mengkilap), bau aromatik yang kuat dan khas, serta rasa yang sedikit pahit dan pedas (Hannan et al., 2021). Minyak atau ekstrak yang dihasilkan juga harus memiliki profil sensorik yang konsisten.</w:t>
      </w:r>
    </w:p>
    <w:p w14:paraId="306777CF"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Setiap penyimpangan yang signifikan dari standar ini dapat menjadi tanda adanya masalah. Misalnya, bau apek atau tengik mungkin menunjukkan pertumbuhan jamur atau oksidasi minyak. Warna yang lebih pucat dari biasanya bisa berarti bahan baku berkualitas rendah atau proses ekstraksi yang tidak efisien. Rasa yang lemah mungkin mengindikasikan bahwa biji sudah tua dan telah kehilangan sebagian komponen volatilnya. Spesifikasi untuk parameter-parameter ini harus ditetapkan dalam monografi produk sebagai bagian dari kontrol kualitas rutin (Badan POM RI, 2011).</w:t>
      </w:r>
    </w:p>
    <w:p w14:paraId="436B587F" w14:textId="77777777" w:rsidR="008A3BB8" w:rsidRPr="006810DB" w:rsidRDefault="008A3BB8" w:rsidP="006810DB">
      <w:pPr>
        <w:spacing w:line="276" w:lineRule="auto"/>
        <w:rPr>
          <w:rFonts w:ascii="Book Antiqua" w:hAnsi="Book Antiqua"/>
          <w:b/>
          <w:bCs/>
          <w:sz w:val="20"/>
          <w:szCs w:val="20"/>
          <w:lang w:val="en"/>
        </w:rPr>
      </w:pPr>
      <w:bookmarkStart w:id="201" w:name="_7bkbsy5m9bqi" w:colFirst="0" w:colLast="0"/>
      <w:bookmarkEnd w:id="201"/>
      <w:r w:rsidRPr="006810DB">
        <w:rPr>
          <w:rFonts w:ascii="Book Antiqua" w:hAnsi="Book Antiqua"/>
          <w:b/>
          <w:bCs/>
          <w:sz w:val="20"/>
          <w:szCs w:val="20"/>
          <w:lang w:val="en"/>
        </w:rPr>
        <w:br w:type="page"/>
      </w:r>
    </w:p>
    <w:p w14:paraId="0C6C0D27" w14:textId="33223C2D" w:rsidR="00B258B7" w:rsidRPr="006810DB" w:rsidRDefault="00B258B7" w:rsidP="006810DB">
      <w:pPr>
        <w:pStyle w:val="ListParagraph"/>
        <w:numPr>
          <w:ilvl w:val="0"/>
          <w:numId w:val="59"/>
        </w:numPr>
        <w:spacing w:after="0" w:line="276" w:lineRule="auto"/>
        <w:ind w:left="567" w:hanging="283"/>
        <w:contextualSpacing w:val="0"/>
        <w:jc w:val="both"/>
        <w:rPr>
          <w:rFonts w:ascii="Book Antiqua" w:hAnsi="Book Antiqua"/>
          <w:b/>
          <w:bCs/>
          <w:sz w:val="20"/>
          <w:szCs w:val="20"/>
          <w:lang w:val="en"/>
        </w:rPr>
      </w:pPr>
      <w:r w:rsidRPr="006810DB">
        <w:rPr>
          <w:rFonts w:ascii="Book Antiqua" w:hAnsi="Book Antiqua"/>
          <w:b/>
          <w:bCs/>
          <w:sz w:val="20"/>
          <w:szCs w:val="20"/>
          <w:lang w:val="en"/>
        </w:rPr>
        <w:lastRenderedPageBreak/>
        <w:t>Skrining Fitokimia Kualitatif</w:t>
      </w:r>
    </w:p>
    <w:p w14:paraId="2841598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Skrining fitokimia melibatkan serangkaian tes kimia sederhana berbasis tabung reaksi yang dirancang untuk mendeteksi keberadaan atau ketiadaan kelas-kelas utama metabolit sekunder. Tes-tes ini biasanya berdasarkan pada reaksi pengendapan atau perubahan warna ketika reagen tertentu ditambahkan ke dalam larutan ekstrak (Shafodino et al., 2022).</w:t>
      </w:r>
    </w:p>
    <w:p w14:paraId="6E153B8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Sebagai contoh, penambahan reagen Dragendorff atau Mayer ke dalam ekstrak akan menghasilkan endapan jika terdapat alkaloid. Reaksi dengan larutan feri klorida dapat menunjukkan adanya tanin (warna biru-hitam atau hijau-coklat). Uji buih (mengocok ekstrak dengan air) digunakan untuk mendeteksi saponin, dan penambahan serbuk magnesium dan asam klorida (uji Shinoda) dapat mengindikasikan adanya flavonoid (warna merah atau magenta) (Tiwari et al., 2011). Hasil positif dari serangkaian tes ini memberikan konfirmasi kualitatif bahwa ekstrak tersebut mengandung profil fitokimia yang diharapkan dari </w:t>
      </w:r>
      <w:r w:rsidRPr="006810DB">
        <w:rPr>
          <w:rFonts w:ascii="Book Antiqua" w:hAnsi="Book Antiqua"/>
          <w:i/>
          <w:iCs/>
          <w:sz w:val="20"/>
          <w:szCs w:val="20"/>
          <w:lang w:val="en"/>
        </w:rPr>
        <w:t>Nigella sativa</w:t>
      </w:r>
      <w:r w:rsidRPr="006810DB">
        <w:rPr>
          <w:rFonts w:ascii="Book Antiqua" w:hAnsi="Book Antiqua"/>
          <w:sz w:val="20"/>
          <w:szCs w:val="20"/>
          <w:lang w:val="en"/>
        </w:rPr>
        <w:t>.</w:t>
      </w:r>
    </w:p>
    <w:p w14:paraId="3F99AAEC" w14:textId="0788D1B6" w:rsidR="00B258B7" w:rsidRPr="006810DB" w:rsidRDefault="00B258B7" w:rsidP="006810DB">
      <w:pPr>
        <w:pStyle w:val="ListParagraph"/>
        <w:numPr>
          <w:ilvl w:val="0"/>
          <w:numId w:val="59"/>
        </w:numPr>
        <w:spacing w:after="0" w:line="276" w:lineRule="auto"/>
        <w:ind w:left="567" w:hanging="283"/>
        <w:contextualSpacing w:val="0"/>
        <w:jc w:val="both"/>
        <w:rPr>
          <w:rFonts w:ascii="Book Antiqua" w:hAnsi="Book Antiqua"/>
          <w:b/>
          <w:bCs/>
          <w:sz w:val="20"/>
          <w:szCs w:val="20"/>
          <w:lang w:val="en"/>
        </w:rPr>
      </w:pPr>
      <w:bookmarkStart w:id="202" w:name="_56h11cvt67sz" w:colFirst="0" w:colLast="0"/>
      <w:bookmarkEnd w:id="202"/>
      <w:r w:rsidRPr="006810DB">
        <w:rPr>
          <w:rFonts w:ascii="Book Antiqua" w:hAnsi="Book Antiqua"/>
          <w:b/>
          <w:bCs/>
          <w:sz w:val="20"/>
          <w:szCs w:val="20"/>
          <w:lang w:val="en"/>
        </w:rPr>
        <w:t>Penentuan Indeks Refraksi dan Bobot Jenis</w:t>
      </w:r>
    </w:p>
    <w:p w14:paraId="053EE36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Untuk ekstrak cair atau minyak, pengukuran konstanta fisik seperti indeks refraksi dan bobot jenis (atau densitas relatif) adalah metode yang cepat, non-destruktif, dan sangat akurat untuk verifikasi identitas dan kemurnian. Indeks refraksi adalah ukuran seberapa banyak jalur cahaya dibelokkan ketika melewati suatu zat. Nilai ini merupakan karakteristik unik dari suatu zat murni pada suhu dan panjang gelombang tertentu (Parry, 1921). Untuk minyak </w:t>
      </w:r>
      <w:r w:rsidRPr="006810DB">
        <w:rPr>
          <w:rFonts w:ascii="Book Antiqua" w:hAnsi="Book Antiqua"/>
          <w:i/>
          <w:iCs/>
          <w:sz w:val="20"/>
          <w:szCs w:val="20"/>
          <w:lang w:val="en"/>
        </w:rPr>
        <w:t>Nigella sativa</w:t>
      </w:r>
      <w:r w:rsidRPr="006810DB">
        <w:rPr>
          <w:rFonts w:ascii="Book Antiqua" w:hAnsi="Book Antiqua"/>
          <w:sz w:val="20"/>
          <w:szCs w:val="20"/>
          <w:lang w:val="en"/>
        </w:rPr>
        <w:t>, nilai indeks refraksi yang berada dalam rentang yang sempit (misalnya, 1.501-1.506 pada 20°C) menjadi bagian dari spesifikasinya.</w:t>
      </w:r>
    </w:p>
    <w:p w14:paraId="58A6745A"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Bobot jenis adalah rasio densitas suatu zat terhadap densitas air pada suhu yang sama. Ini adalah ukuran "kepadatan" minyak atau ekstrak. Sama seperti indeks refraksi, ini adalah konstanta fisik yang dapat diukur dengan </w:t>
      </w:r>
      <w:r w:rsidRPr="006810DB">
        <w:rPr>
          <w:rFonts w:ascii="Book Antiqua" w:hAnsi="Book Antiqua"/>
          <w:sz w:val="20"/>
          <w:szCs w:val="20"/>
          <w:lang w:val="en"/>
        </w:rPr>
        <w:lastRenderedPageBreak/>
        <w:t>presisi tinggi menggunakan piknometer atau densitometer digital (Cheikh-Rouhou et al., 2007). Setiap penyimpangan yang signifikan dari rentang nilai yang telah ditetapkan untuk indeks refraksi atau bobot jenis dapat menunjukkan adanya pemalsuan dengan minyak yang lebih murah, kontaminasi dengan air, atau kesalahan dalam pemrosesan.</w:t>
      </w:r>
    </w:p>
    <w:p w14:paraId="4124C03D" w14:textId="77777777" w:rsidR="00504B56" w:rsidRPr="006810DB" w:rsidRDefault="00504B56" w:rsidP="006810DB">
      <w:pPr>
        <w:spacing w:after="0" w:line="276" w:lineRule="auto"/>
        <w:jc w:val="both"/>
        <w:rPr>
          <w:rFonts w:ascii="Book Antiqua" w:hAnsi="Book Antiqua"/>
          <w:b/>
          <w:bCs/>
          <w:sz w:val="20"/>
          <w:szCs w:val="20"/>
          <w:lang w:val="en"/>
        </w:rPr>
      </w:pPr>
      <w:bookmarkStart w:id="203" w:name="_8ugabzs4o3oj" w:colFirst="0" w:colLast="0"/>
      <w:bookmarkEnd w:id="203"/>
    </w:p>
    <w:p w14:paraId="6A0E73DA" w14:textId="77777777" w:rsidR="00D51341" w:rsidRPr="006810DB" w:rsidRDefault="00D51341" w:rsidP="006810DB">
      <w:pPr>
        <w:spacing w:line="276" w:lineRule="auto"/>
        <w:rPr>
          <w:rFonts w:ascii="Book Antiqua" w:eastAsiaTheme="majorEastAsia" w:hAnsi="Book Antiqua" w:cstheme="majorBidi"/>
          <w:b/>
          <w:color w:val="000000" w:themeColor="text1"/>
          <w:sz w:val="20"/>
          <w:szCs w:val="26"/>
          <w:lang w:val="zh-CN"/>
        </w:rPr>
      </w:pPr>
      <w:r w:rsidRPr="006810DB">
        <w:rPr>
          <w:rFonts w:ascii="Book Antiqua" w:hAnsi="Book Antiqua"/>
        </w:rPr>
        <w:br w:type="page"/>
      </w:r>
    </w:p>
    <w:p w14:paraId="04CA98A9" w14:textId="6CE36108" w:rsidR="00B258B7" w:rsidRPr="006810DB" w:rsidRDefault="00B258B7" w:rsidP="006810DB">
      <w:pPr>
        <w:pStyle w:val="Heading2"/>
        <w:jc w:val="center"/>
        <w:rPr>
          <w:b w:val="0"/>
          <w:bCs/>
          <w:szCs w:val="20"/>
          <w:lang w:val="en"/>
        </w:rPr>
      </w:pPr>
      <w:bookmarkStart w:id="204" w:name="_Toc223088920"/>
      <w:r w:rsidRPr="006810DB">
        <w:rPr>
          <w:highlight w:val="yellow"/>
        </w:rPr>
        <w:lastRenderedPageBreak/>
        <w:t>KESIMPULAN</w:t>
      </w:r>
      <w:bookmarkEnd w:id="204"/>
    </w:p>
    <w:p w14:paraId="3D9814D4" w14:textId="047A5B10" w:rsidR="00504B56" w:rsidRPr="006810DB" w:rsidRDefault="00504B56" w:rsidP="006810DB">
      <w:pPr>
        <w:spacing w:after="0" w:line="276" w:lineRule="auto"/>
        <w:jc w:val="both"/>
        <w:rPr>
          <w:rFonts w:ascii="Book Antiqua" w:hAnsi="Book Antiqua"/>
          <w:b/>
          <w:bCs/>
          <w:sz w:val="20"/>
          <w:szCs w:val="20"/>
          <w:lang w:val="en"/>
        </w:rPr>
      </w:pPr>
      <w:bookmarkStart w:id="205" w:name="_u3x3iy6rm85y" w:colFirst="0" w:colLast="0"/>
      <w:bookmarkEnd w:id="205"/>
    </w:p>
    <w:p w14:paraId="65043147" w14:textId="77777777" w:rsidR="00D51341" w:rsidRPr="006810DB" w:rsidRDefault="00D51341" w:rsidP="006810DB">
      <w:pPr>
        <w:spacing w:after="0" w:line="276" w:lineRule="auto"/>
        <w:jc w:val="both"/>
        <w:rPr>
          <w:rFonts w:ascii="Book Antiqua" w:hAnsi="Book Antiqua"/>
          <w:b/>
          <w:bCs/>
          <w:sz w:val="20"/>
          <w:szCs w:val="20"/>
          <w:lang w:val="en"/>
        </w:rPr>
      </w:pPr>
    </w:p>
    <w:p w14:paraId="79EC976E" w14:textId="77777777" w:rsidR="00D51341" w:rsidRPr="006810DB" w:rsidRDefault="00D51341" w:rsidP="006810DB">
      <w:pPr>
        <w:spacing w:line="276" w:lineRule="auto"/>
        <w:rPr>
          <w:rFonts w:ascii="Book Antiqua" w:eastAsiaTheme="majorEastAsia" w:hAnsi="Book Antiqua" w:cstheme="majorBidi"/>
          <w:b/>
          <w:color w:val="000000" w:themeColor="text1"/>
          <w:sz w:val="20"/>
          <w:szCs w:val="26"/>
          <w:lang w:val="zh-CN"/>
        </w:rPr>
      </w:pPr>
      <w:r w:rsidRPr="006810DB">
        <w:rPr>
          <w:rFonts w:ascii="Book Antiqua" w:hAnsi="Book Antiqua"/>
        </w:rPr>
        <w:br w:type="page"/>
      </w:r>
    </w:p>
    <w:p w14:paraId="0E13400D" w14:textId="77777777" w:rsidR="00824155" w:rsidRPr="006810DB" w:rsidRDefault="00824155" w:rsidP="00824155">
      <w:pPr>
        <w:pStyle w:val="Heading2"/>
        <w:jc w:val="center"/>
        <w:rPr>
          <w:b w:val="0"/>
          <w:bCs/>
          <w:szCs w:val="20"/>
          <w:lang w:val="en"/>
        </w:rPr>
      </w:pPr>
      <w:bookmarkStart w:id="206" w:name="_Toc223088921"/>
      <w:r w:rsidRPr="006810DB">
        <w:rPr>
          <w:highlight w:val="yellow"/>
        </w:rPr>
        <w:lastRenderedPageBreak/>
        <w:t>GLOSARIUM</w:t>
      </w:r>
      <w:bookmarkEnd w:id="206"/>
    </w:p>
    <w:p w14:paraId="138CE142" w14:textId="77777777" w:rsidR="00824155" w:rsidRPr="006810DB" w:rsidRDefault="00824155" w:rsidP="00824155">
      <w:pPr>
        <w:spacing w:after="0" w:line="276" w:lineRule="auto"/>
        <w:jc w:val="both"/>
        <w:rPr>
          <w:rFonts w:ascii="Book Antiqua" w:hAnsi="Book Antiqua"/>
          <w:b/>
          <w:bCs/>
          <w:sz w:val="20"/>
          <w:szCs w:val="20"/>
          <w:lang w:val="en"/>
        </w:rPr>
      </w:pPr>
    </w:p>
    <w:p w14:paraId="1EAA4CBD" w14:textId="77777777" w:rsidR="00824155" w:rsidRPr="006810DB" w:rsidRDefault="00824155" w:rsidP="00824155">
      <w:pPr>
        <w:spacing w:after="0" w:line="276" w:lineRule="auto"/>
        <w:jc w:val="both"/>
        <w:rPr>
          <w:rFonts w:ascii="Book Antiqua" w:hAnsi="Book Antiqua"/>
          <w:b/>
          <w:bCs/>
          <w:sz w:val="20"/>
          <w:szCs w:val="20"/>
          <w:lang w:val="en"/>
        </w:rPr>
      </w:pPr>
    </w:p>
    <w:p w14:paraId="064EA523" w14:textId="77777777" w:rsidR="00824155" w:rsidRPr="006810DB" w:rsidRDefault="00824155" w:rsidP="00824155">
      <w:pPr>
        <w:spacing w:line="276" w:lineRule="auto"/>
        <w:rPr>
          <w:rFonts w:ascii="Book Antiqua" w:hAnsi="Book Antiqua"/>
          <w:b/>
          <w:bCs/>
          <w:sz w:val="20"/>
          <w:szCs w:val="20"/>
          <w:lang w:val="en"/>
        </w:rPr>
      </w:pPr>
      <w:bookmarkStart w:id="207" w:name="_o7ftmm4rg3d6" w:colFirst="0" w:colLast="0"/>
      <w:bookmarkEnd w:id="207"/>
      <w:r w:rsidRPr="006810DB">
        <w:rPr>
          <w:rFonts w:ascii="Book Antiqua" w:hAnsi="Book Antiqua"/>
          <w:b/>
          <w:bCs/>
          <w:sz w:val="20"/>
          <w:szCs w:val="20"/>
          <w:lang w:val="en"/>
        </w:rPr>
        <w:br w:type="page"/>
      </w:r>
    </w:p>
    <w:p w14:paraId="156F6EFC" w14:textId="77777777" w:rsidR="006D3DC3" w:rsidRPr="006810DB" w:rsidRDefault="006D3DC3" w:rsidP="006810DB">
      <w:pPr>
        <w:pStyle w:val="Heading2"/>
        <w:jc w:val="center"/>
      </w:pPr>
      <w:bookmarkStart w:id="208" w:name="_Toc223088922"/>
      <w:r w:rsidRPr="006810DB">
        <w:lastRenderedPageBreak/>
        <w:t>DAFTAR PUSTAKA</w:t>
      </w:r>
      <w:bookmarkEnd w:id="208"/>
    </w:p>
    <w:p w14:paraId="6F016DEB" w14:textId="77777777" w:rsidR="006D3DC3" w:rsidRPr="006810DB" w:rsidRDefault="006D3DC3" w:rsidP="006810DB">
      <w:pPr>
        <w:spacing w:after="0" w:line="276" w:lineRule="auto"/>
        <w:jc w:val="both"/>
        <w:rPr>
          <w:rFonts w:ascii="Book Antiqua" w:hAnsi="Book Antiqua"/>
          <w:b/>
          <w:bCs/>
          <w:sz w:val="20"/>
          <w:szCs w:val="20"/>
          <w:lang w:val="en"/>
        </w:rPr>
      </w:pPr>
    </w:p>
    <w:p w14:paraId="24E2CF4D"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Avula, B., Wang, Y. H., Smillie, T. J., &amp; Khan, I. A. (2010). Quantitative determination of thymoquinone in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seeds and its products and their authentication using HPTLC. </w:t>
      </w:r>
      <w:r w:rsidRPr="006810DB">
        <w:rPr>
          <w:rFonts w:ascii="Book Antiqua" w:hAnsi="Book Antiqua"/>
          <w:i/>
          <w:iCs/>
          <w:color w:val="000000" w:themeColor="text1"/>
          <w:sz w:val="20"/>
          <w:szCs w:val="20"/>
          <w:lang w:val="en"/>
        </w:rPr>
        <w:t>Journal of AOAC International</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93</w:t>
      </w:r>
      <w:r w:rsidRPr="006810DB">
        <w:rPr>
          <w:rFonts w:ascii="Book Antiqua" w:hAnsi="Book Antiqua"/>
          <w:color w:val="000000" w:themeColor="text1"/>
          <w:sz w:val="20"/>
          <w:szCs w:val="20"/>
          <w:lang w:val="en"/>
        </w:rPr>
        <w:t>(4), 1104-1109.</w:t>
      </w:r>
    </w:p>
    <w:p w14:paraId="2C378B6D"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Badan POM RI. (2011). </w:t>
      </w:r>
      <w:r w:rsidRPr="006810DB">
        <w:rPr>
          <w:rFonts w:ascii="Book Antiqua" w:hAnsi="Book Antiqua"/>
          <w:i/>
          <w:iCs/>
          <w:color w:val="000000" w:themeColor="text1"/>
          <w:sz w:val="20"/>
          <w:szCs w:val="20"/>
          <w:lang w:val="en"/>
        </w:rPr>
        <w:t>Peraturan Kepala Badan Pengawas Obat dan Makanan Republik Indonesia Nomor HK.03.1.23.06.11.5541 Tahun 2011 tentang Pedoman Cara Pembuatan Obat Tradisional yang Baik</w:t>
      </w:r>
      <w:r w:rsidRPr="006810DB">
        <w:rPr>
          <w:rFonts w:ascii="Book Antiqua" w:hAnsi="Book Antiqua"/>
          <w:color w:val="000000" w:themeColor="text1"/>
          <w:sz w:val="20"/>
          <w:szCs w:val="20"/>
          <w:lang w:val="en"/>
        </w:rPr>
        <w:t>.</w:t>
      </w:r>
    </w:p>
    <w:p w14:paraId="69EC8EE4"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Cheikh-Rouhou, S., Besbes, S., Hentati, B., Blecker, C., Deroanne, C., &amp; Attia, H. (2007).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Chemical composition and physicochemical characteristics of lipid fraction. </w:t>
      </w:r>
      <w:r w:rsidRPr="006810DB">
        <w:rPr>
          <w:rFonts w:ascii="Book Antiqua" w:hAnsi="Book Antiqua"/>
          <w:i/>
          <w:iCs/>
          <w:color w:val="000000" w:themeColor="text1"/>
          <w:sz w:val="20"/>
          <w:szCs w:val="20"/>
          <w:lang w:val="en"/>
        </w:rPr>
        <w:t>Food Chemistry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101</w:t>
      </w:r>
      <w:r w:rsidRPr="006810DB">
        <w:rPr>
          <w:rFonts w:ascii="Book Antiqua" w:hAnsi="Book Antiqua"/>
          <w:color w:val="000000" w:themeColor="text1"/>
          <w:sz w:val="20"/>
          <w:szCs w:val="20"/>
          <w:lang w:val="en"/>
        </w:rPr>
        <w:t>(2), 673-681.</w:t>
      </w:r>
      <w:hyperlink r:id="rId159">
        <w:r w:rsidRPr="006810DB">
          <w:rPr>
            <w:rStyle w:val="Hyperlink"/>
            <w:rFonts w:ascii="Book Antiqua" w:hAnsi="Book Antiqua"/>
            <w:color w:val="000000" w:themeColor="text1"/>
            <w:sz w:val="20"/>
            <w:szCs w:val="20"/>
            <w:u w:val="none"/>
            <w:lang w:val="en"/>
          </w:rPr>
          <w:t xml:space="preserve"> </w:t>
        </w:r>
      </w:hyperlink>
      <w:hyperlink r:id="rId160">
        <w:r w:rsidRPr="006810DB">
          <w:rPr>
            <w:rStyle w:val="Hyperlink"/>
            <w:rFonts w:ascii="Book Antiqua" w:hAnsi="Book Antiqua"/>
            <w:color w:val="000000" w:themeColor="text1"/>
            <w:sz w:val="20"/>
            <w:szCs w:val="20"/>
            <w:u w:val="none"/>
            <w:lang w:val="en"/>
          </w:rPr>
          <w:t>https://doi.org/10.1016/j.foodchem.2006.02.022</w:t>
        </w:r>
      </w:hyperlink>
    </w:p>
    <w:p w14:paraId="3332A6CE"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Forouzanfar, F., Bazzaz, B. S. F., &amp; Hosseinzadeh, H. (2014). Black cumin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and its constituent (thymoquinone): a review on antimicrobial effects. </w:t>
      </w:r>
      <w:r w:rsidRPr="006810DB">
        <w:rPr>
          <w:rFonts w:ascii="Book Antiqua" w:hAnsi="Book Antiqua"/>
          <w:i/>
          <w:iCs/>
          <w:color w:val="000000" w:themeColor="text1"/>
          <w:sz w:val="20"/>
          <w:szCs w:val="20"/>
          <w:lang w:val="en"/>
        </w:rPr>
        <w:t>Iranian Journal of Basic Medical Sciences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17</w:t>
      </w:r>
      <w:r w:rsidRPr="006810DB">
        <w:rPr>
          <w:rFonts w:ascii="Book Antiqua" w:hAnsi="Book Antiqua"/>
          <w:color w:val="000000" w:themeColor="text1"/>
          <w:sz w:val="20"/>
          <w:szCs w:val="20"/>
          <w:lang w:val="en"/>
        </w:rPr>
        <w:t>(12), 929–938.</w:t>
      </w:r>
    </w:p>
    <w:p w14:paraId="39360ED8"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Hannan, M. A., Sohag, A. A. M., Uddin, M. J., Dash, R., Sikder, M. H., Rahman, M. S., ... &amp; Kim, B. (2021). Black Cumin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A Comprehensive Review on Phytochemistry, Health Benefits, Molecular Pharmacology, and Safety. </w:t>
      </w:r>
      <w:r w:rsidRPr="006810DB">
        <w:rPr>
          <w:rFonts w:ascii="Book Antiqua" w:hAnsi="Book Antiqua"/>
          <w:i/>
          <w:iCs/>
          <w:color w:val="000000" w:themeColor="text1"/>
          <w:sz w:val="20"/>
          <w:szCs w:val="20"/>
          <w:lang w:val="en"/>
        </w:rPr>
        <w:t>Nutrients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13</w:t>
      </w:r>
      <w:r w:rsidRPr="006810DB">
        <w:rPr>
          <w:rFonts w:ascii="Book Antiqua" w:hAnsi="Book Antiqua"/>
          <w:color w:val="000000" w:themeColor="text1"/>
          <w:sz w:val="20"/>
          <w:szCs w:val="20"/>
          <w:lang w:val="en"/>
        </w:rPr>
        <w:t>(6), 1784.</w:t>
      </w:r>
      <w:hyperlink r:id="rId161">
        <w:r w:rsidRPr="006810DB">
          <w:rPr>
            <w:rStyle w:val="Hyperlink"/>
            <w:rFonts w:ascii="Book Antiqua" w:hAnsi="Book Antiqua"/>
            <w:color w:val="000000" w:themeColor="text1"/>
            <w:sz w:val="20"/>
            <w:szCs w:val="20"/>
            <w:u w:val="none"/>
            <w:lang w:val="en"/>
          </w:rPr>
          <w:t xml:space="preserve"> </w:t>
        </w:r>
      </w:hyperlink>
      <w:hyperlink r:id="rId162">
        <w:r w:rsidRPr="006810DB">
          <w:rPr>
            <w:rStyle w:val="Hyperlink"/>
            <w:rFonts w:ascii="Book Antiqua" w:hAnsi="Book Antiqua"/>
            <w:color w:val="000000" w:themeColor="text1"/>
            <w:sz w:val="20"/>
            <w:szCs w:val="20"/>
            <w:u w:val="none"/>
            <w:lang w:val="en"/>
          </w:rPr>
          <w:t>https://doi.org/10.3390/nu13061784</w:t>
        </w:r>
      </w:hyperlink>
    </w:p>
    <w:p w14:paraId="69E43E6C"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ICH. (2003). </w:t>
      </w:r>
      <w:r w:rsidRPr="006810DB">
        <w:rPr>
          <w:rFonts w:ascii="Book Antiqua" w:hAnsi="Book Antiqua"/>
          <w:i/>
          <w:iCs/>
          <w:color w:val="000000" w:themeColor="text1"/>
          <w:sz w:val="20"/>
          <w:szCs w:val="20"/>
          <w:lang w:val="en"/>
        </w:rPr>
        <w:t>Q1A(R2) Stability Testing of New Drug Substances and Products</w:t>
      </w:r>
      <w:r w:rsidRPr="006810DB">
        <w:rPr>
          <w:rFonts w:ascii="Book Antiqua" w:hAnsi="Book Antiqua"/>
          <w:color w:val="000000" w:themeColor="text1"/>
          <w:sz w:val="20"/>
          <w:szCs w:val="20"/>
          <w:lang w:val="en"/>
        </w:rPr>
        <w:t>. International Council for Harmonisation of Technical Requirements for Pharmaceuticals for Human Use.</w:t>
      </w:r>
    </w:p>
    <w:p w14:paraId="743B99C9"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Kiralan, M., Ulaş, M., &amp; Özkan, G. (2014). The effect of cold pressing and soxhlet extraction methods on the fatty acid composition and volatile compounds of black cumin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seed oil. </w:t>
      </w:r>
      <w:r w:rsidRPr="006810DB">
        <w:rPr>
          <w:rFonts w:ascii="Book Antiqua" w:hAnsi="Book Antiqua"/>
          <w:i/>
          <w:iCs/>
          <w:color w:val="000000" w:themeColor="text1"/>
          <w:sz w:val="20"/>
          <w:szCs w:val="20"/>
          <w:lang w:val="en"/>
        </w:rPr>
        <w:t>Journal of the American Oil Chemists' Society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91</w:t>
      </w:r>
      <w:r w:rsidRPr="006810DB">
        <w:rPr>
          <w:rFonts w:ascii="Book Antiqua" w:hAnsi="Book Antiqua"/>
          <w:color w:val="000000" w:themeColor="text1"/>
          <w:sz w:val="20"/>
          <w:szCs w:val="20"/>
          <w:lang w:val="en"/>
        </w:rPr>
        <w:t>(9), 1607-1613.</w:t>
      </w:r>
      <w:hyperlink r:id="rId163">
        <w:r w:rsidRPr="006810DB">
          <w:rPr>
            <w:rStyle w:val="Hyperlink"/>
            <w:rFonts w:ascii="Book Antiqua" w:hAnsi="Book Antiqua"/>
            <w:color w:val="000000" w:themeColor="text1"/>
            <w:sz w:val="20"/>
            <w:szCs w:val="20"/>
            <w:u w:val="none"/>
            <w:lang w:val="en"/>
          </w:rPr>
          <w:t xml:space="preserve"> </w:t>
        </w:r>
      </w:hyperlink>
      <w:hyperlink r:id="rId164">
        <w:r w:rsidRPr="006810DB">
          <w:rPr>
            <w:rStyle w:val="Hyperlink"/>
            <w:rFonts w:ascii="Book Antiqua" w:hAnsi="Book Antiqua"/>
            <w:color w:val="000000" w:themeColor="text1"/>
            <w:sz w:val="20"/>
            <w:szCs w:val="20"/>
            <w:u w:val="none"/>
            <w:lang w:val="en"/>
          </w:rPr>
          <w:t>https://doi.org/10.1007/s11746-014-2503-4</w:t>
        </w:r>
      </w:hyperlink>
    </w:p>
    <w:p w14:paraId="2D87AB15"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Parry, E. J. (1921). </w:t>
      </w:r>
      <w:r w:rsidRPr="006810DB">
        <w:rPr>
          <w:rFonts w:ascii="Book Antiqua" w:hAnsi="Book Antiqua"/>
          <w:i/>
          <w:iCs/>
          <w:color w:val="000000" w:themeColor="text1"/>
          <w:sz w:val="20"/>
          <w:szCs w:val="20"/>
          <w:lang w:val="en"/>
        </w:rPr>
        <w:t>The Chemistry of Essential Oils and Artificial Perfumes</w:t>
      </w:r>
      <w:r w:rsidRPr="006810DB">
        <w:rPr>
          <w:rFonts w:ascii="Book Antiqua" w:hAnsi="Book Antiqua"/>
          <w:color w:val="000000" w:themeColor="text1"/>
          <w:sz w:val="20"/>
          <w:szCs w:val="20"/>
          <w:lang w:val="en"/>
        </w:rPr>
        <w:t>. Scott, Greenwood &amp; Son.</w:t>
      </w:r>
    </w:p>
    <w:p w14:paraId="48BB103B"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Reich, E., &amp; Schibli, A. (2007). </w:t>
      </w:r>
      <w:r w:rsidRPr="006810DB">
        <w:rPr>
          <w:rFonts w:ascii="Book Antiqua" w:hAnsi="Book Antiqua"/>
          <w:i/>
          <w:iCs/>
          <w:color w:val="000000" w:themeColor="text1"/>
          <w:sz w:val="20"/>
          <w:szCs w:val="20"/>
          <w:lang w:val="en"/>
        </w:rPr>
        <w:t>High-Performance Thin-Layer Chromatography for the Analysis of Medicinal Plants</w:t>
      </w:r>
      <w:r w:rsidRPr="006810DB">
        <w:rPr>
          <w:rFonts w:ascii="Book Antiqua" w:hAnsi="Book Antiqua"/>
          <w:color w:val="000000" w:themeColor="text1"/>
          <w:sz w:val="20"/>
          <w:szCs w:val="20"/>
          <w:lang w:val="en"/>
        </w:rPr>
        <w:t>. Thieme Medical Publishers.</w:t>
      </w:r>
    </w:p>
    <w:p w14:paraId="4B6A8BD6"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Shafodino, F., Lusilao, J. G., &amp; Mwapagha, L. M. (2022). Phytochemical characterization and antimicrobial activity of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seeds. </w:t>
      </w:r>
      <w:r w:rsidRPr="006810DB">
        <w:rPr>
          <w:rFonts w:ascii="Book Antiqua" w:hAnsi="Book Antiqua"/>
          <w:i/>
          <w:iCs/>
          <w:color w:val="000000" w:themeColor="text1"/>
          <w:sz w:val="20"/>
          <w:szCs w:val="20"/>
          <w:lang w:val="en"/>
        </w:rPr>
        <w:t>PLoS ONE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17</w:t>
      </w:r>
      <w:r w:rsidRPr="006810DB">
        <w:rPr>
          <w:rFonts w:ascii="Book Antiqua" w:hAnsi="Book Antiqua"/>
          <w:color w:val="000000" w:themeColor="text1"/>
          <w:sz w:val="20"/>
          <w:szCs w:val="20"/>
          <w:lang w:val="en"/>
        </w:rPr>
        <w:t>(10), e0272457.</w:t>
      </w:r>
      <w:hyperlink r:id="rId165">
        <w:r w:rsidRPr="006810DB">
          <w:rPr>
            <w:rStyle w:val="Hyperlink"/>
            <w:rFonts w:ascii="Book Antiqua" w:hAnsi="Book Antiqua"/>
            <w:color w:val="000000" w:themeColor="text1"/>
            <w:sz w:val="20"/>
            <w:szCs w:val="20"/>
            <w:u w:val="none"/>
            <w:lang w:val="en"/>
          </w:rPr>
          <w:t xml:space="preserve"> </w:t>
        </w:r>
      </w:hyperlink>
      <w:hyperlink r:id="rId166">
        <w:r w:rsidRPr="006810DB">
          <w:rPr>
            <w:rStyle w:val="Hyperlink"/>
            <w:rFonts w:ascii="Book Antiqua" w:hAnsi="Book Antiqua"/>
            <w:color w:val="000000" w:themeColor="text1"/>
            <w:sz w:val="20"/>
            <w:szCs w:val="20"/>
            <w:u w:val="none"/>
            <w:lang w:val="en"/>
          </w:rPr>
          <w:t>https://doi.org/10.1371/journal.pone.0272457</w:t>
        </w:r>
      </w:hyperlink>
    </w:p>
    <w:p w14:paraId="518379DE"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Singh, G., Singh, P., Singh, S., &amp; Maurya, S. (2014). Optimization of extraction conditions for thymoquinone from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using response surface methodology. </w:t>
      </w:r>
      <w:r w:rsidRPr="006810DB">
        <w:rPr>
          <w:rFonts w:ascii="Book Antiqua" w:hAnsi="Book Antiqua"/>
          <w:i/>
          <w:iCs/>
          <w:color w:val="000000" w:themeColor="text1"/>
          <w:sz w:val="20"/>
          <w:szCs w:val="20"/>
          <w:lang w:val="en"/>
        </w:rPr>
        <w:t>Food Analytical Methods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7</w:t>
      </w:r>
      <w:r w:rsidRPr="006810DB">
        <w:rPr>
          <w:rFonts w:ascii="Book Antiqua" w:hAnsi="Book Antiqua"/>
          <w:color w:val="000000" w:themeColor="text1"/>
          <w:sz w:val="20"/>
          <w:szCs w:val="20"/>
          <w:lang w:val="en"/>
        </w:rPr>
        <w:t>(8), 1732-1742.</w:t>
      </w:r>
      <w:hyperlink r:id="rId167">
        <w:r w:rsidRPr="006810DB">
          <w:rPr>
            <w:rStyle w:val="Hyperlink"/>
            <w:rFonts w:ascii="Book Antiqua" w:hAnsi="Book Antiqua"/>
            <w:color w:val="000000" w:themeColor="text1"/>
            <w:sz w:val="20"/>
            <w:szCs w:val="20"/>
            <w:u w:val="none"/>
            <w:lang w:val="en"/>
          </w:rPr>
          <w:t xml:space="preserve"> </w:t>
        </w:r>
      </w:hyperlink>
      <w:hyperlink r:id="rId168">
        <w:r w:rsidRPr="006810DB">
          <w:rPr>
            <w:rStyle w:val="Hyperlink"/>
            <w:rFonts w:ascii="Book Antiqua" w:hAnsi="Book Antiqua"/>
            <w:color w:val="000000" w:themeColor="text1"/>
            <w:sz w:val="20"/>
            <w:szCs w:val="20"/>
            <w:u w:val="none"/>
            <w:lang w:val="en"/>
          </w:rPr>
          <w:t>https://doi.org/10.1007/s12161-014-9818-7</w:t>
        </w:r>
      </w:hyperlink>
    </w:p>
    <w:p w14:paraId="3BE70D6B"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Sutrisna, E., Hidayat, M., &amp; Rachmawati, H. (2018). The effect of solvent variations on the characteristics of black cumin seed extract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using microwave-assisted extraction. </w:t>
      </w:r>
      <w:r w:rsidRPr="006810DB">
        <w:rPr>
          <w:rFonts w:ascii="Book Antiqua" w:hAnsi="Book Antiqua"/>
          <w:i/>
          <w:iCs/>
          <w:color w:val="000000" w:themeColor="text1"/>
          <w:sz w:val="20"/>
          <w:szCs w:val="20"/>
          <w:lang w:val="en"/>
        </w:rPr>
        <w:t>Journal of Physics: Conference Series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1025</w:t>
      </w:r>
      <w:r w:rsidRPr="006810DB">
        <w:rPr>
          <w:rFonts w:ascii="Book Antiqua" w:hAnsi="Book Antiqua"/>
          <w:color w:val="000000" w:themeColor="text1"/>
          <w:sz w:val="20"/>
          <w:szCs w:val="20"/>
          <w:lang w:val="en"/>
        </w:rPr>
        <w:t>, 012061.</w:t>
      </w:r>
      <w:hyperlink r:id="rId169">
        <w:r w:rsidRPr="006810DB">
          <w:rPr>
            <w:rStyle w:val="Hyperlink"/>
            <w:rFonts w:ascii="Book Antiqua" w:hAnsi="Book Antiqua"/>
            <w:color w:val="000000" w:themeColor="text1"/>
            <w:sz w:val="20"/>
            <w:szCs w:val="20"/>
            <w:u w:val="none"/>
            <w:lang w:val="en"/>
          </w:rPr>
          <w:t xml:space="preserve"> </w:t>
        </w:r>
      </w:hyperlink>
      <w:hyperlink r:id="rId170">
        <w:r w:rsidRPr="006810DB">
          <w:rPr>
            <w:rStyle w:val="Hyperlink"/>
            <w:rFonts w:ascii="Book Antiqua" w:hAnsi="Book Antiqua"/>
            <w:color w:val="000000" w:themeColor="text1"/>
            <w:sz w:val="20"/>
            <w:szCs w:val="20"/>
            <w:u w:val="none"/>
            <w:lang w:val="en"/>
          </w:rPr>
          <w:t>https://doi.org/10.1088/1742-6596/1025/1/012061</w:t>
        </w:r>
      </w:hyperlink>
    </w:p>
    <w:p w14:paraId="29FA9E8F"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Tiwari, P., Kumar, B., Kaur, M., Kaur, G., &amp; Kaur, H. (2011). Phytochemical screening and extraction: A review. </w:t>
      </w:r>
      <w:r w:rsidRPr="006810DB">
        <w:rPr>
          <w:rFonts w:ascii="Book Antiqua" w:hAnsi="Book Antiqua"/>
          <w:i/>
          <w:iCs/>
          <w:color w:val="000000" w:themeColor="text1"/>
          <w:sz w:val="20"/>
          <w:szCs w:val="20"/>
          <w:lang w:val="en"/>
        </w:rPr>
        <w:t>Internationale Pharmaceutica Sciencia</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w:t>
      </w:r>
      <w:r w:rsidRPr="006810DB">
        <w:rPr>
          <w:rFonts w:ascii="Book Antiqua" w:hAnsi="Book Antiqua"/>
          <w:color w:val="000000" w:themeColor="text1"/>
          <w:sz w:val="20"/>
          <w:szCs w:val="20"/>
          <w:lang w:val="en"/>
        </w:rPr>
        <w:t>(1), 98-106.</w:t>
      </w:r>
    </w:p>
    <w:p w14:paraId="0EA1A1E1" w14:textId="77777777" w:rsidR="006D3DC3" w:rsidRPr="006810DB" w:rsidRDefault="006D3DC3" w:rsidP="006810DB">
      <w:pPr>
        <w:spacing w:after="120" w:line="276" w:lineRule="auto"/>
        <w:ind w:left="567" w:hanging="567"/>
        <w:jc w:val="both"/>
        <w:rPr>
          <w:rFonts w:ascii="Book Antiqua" w:hAnsi="Book Antiqua"/>
          <w:sz w:val="20"/>
          <w:szCs w:val="20"/>
          <w:lang w:val="en"/>
        </w:rPr>
      </w:pPr>
      <w:r w:rsidRPr="006810DB">
        <w:rPr>
          <w:rFonts w:ascii="Book Antiqua" w:hAnsi="Book Antiqua"/>
          <w:color w:val="000000" w:themeColor="text1"/>
          <w:sz w:val="20"/>
          <w:szCs w:val="20"/>
          <w:lang w:val="en"/>
        </w:rPr>
        <w:t xml:space="preserve">WHO. (2011). </w:t>
      </w:r>
      <w:r w:rsidRPr="006810DB">
        <w:rPr>
          <w:rFonts w:ascii="Book Antiqua" w:hAnsi="Book Antiqua"/>
          <w:i/>
          <w:iCs/>
          <w:color w:val="000000" w:themeColor="text1"/>
          <w:sz w:val="20"/>
          <w:szCs w:val="20"/>
          <w:lang w:val="en"/>
        </w:rPr>
        <w:t>Quality control methods for herbal materials</w:t>
      </w:r>
      <w:r w:rsidRPr="006810DB">
        <w:rPr>
          <w:rFonts w:ascii="Book Antiqua" w:hAnsi="Book Antiqua"/>
          <w:color w:val="000000" w:themeColor="text1"/>
          <w:sz w:val="20"/>
          <w:szCs w:val="20"/>
          <w:lang w:val="en"/>
        </w:rPr>
        <w:t>. World Health Organization.</w:t>
      </w:r>
    </w:p>
    <w:p w14:paraId="69CBE49E" w14:textId="77777777" w:rsidR="006D3DC3" w:rsidRPr="006810DB" w:rsidRDefault="006D3DC3" w:rsidP="006810DB">
      <w:pPr>
        <w:spacing w:after="0" w:line="276" w:lineRule="auto"/>
        <w:jc w:val="both"/>
        <w:rPr>
          <w:rFonts w:ascii="Book Antiqua" w:hAnsi="Book Antiqua"/>
          <w:b/>
          <w:bCs/>
          <w:sz w:val="20"/>
          <w:szCs w:val="20"/>
          <w:lang w:val="en"/>
        </w:rPr>
      </w:pPr>
      <w:bookmarkStart w:id="209" w:name="_kepk541uet1e" w:colFirst="0" w:colLast="0"/>
      <w:bookmarkEnd w:id="209"/>
    </w:p>
    <w:p w14:paraId="4E0E5DDC" w14:textId="77777777" w:rsidR="006D3DC3" w:rsidRPr="006810DB" w:rsidRDefault="006D3DC3"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72BB8893" w14:textId="50E82848" w:rsidR="00F351CE" w:rsidRPr="006810DB" w:rsidRDefault="00F351CE" w:rsidP="006810DB">
      <w:pPr>
        <w:pStyle w:val="Heading1"/>
        <w:spacing w:before="0" w:line="276" w:lineRule="auto"/>
        <w:ind w:left="142" w:hanging="142"/>
        <w:rPr>
          <w:b/>
          <w:bCs/>
          <w:szCs w:val="20"/>
          <w:lang w:val="en"/>
        </w:rPr>
      </w:pPr>
      <w:bookmarkStart w:id="210" w:name="_Toc223088923"/>
      <w:r w:rsidRPr="006810DB">
        <w:rPr>
          <w:b/>
          <w:noProof/>
          <w:sz w:val="48"/>
          <w:szCs w:val="20"/>
          <w:lang w:val="en-US"/>
        </w:rPr>
        <w:lastRenderedPageBreak/>
        <mc:AlternateContent>
          <mc:Choice Requires="wps">
            <w:drawing>
              <wp:anchor distT="0" distB="0" distL="114300" distR="114300" simplePos="0" relativeHeight="251691008" behindDoc="0" locked="0" layoutInCell="1" allowOverlap="1" wp14:anchorId="1F735D1A" wp14:editId="27C75EED">
                <wp:simplePos x="0" y="0"/>
                <wp:positionH relativeFrom="column">
                  <wp:posOffset>913130</wp:posOffset>
                </wp:positionH>
                <wp:positionV relativeFrom="paragraph">
                  <wp:posOffset>133350</wp:posOffset>
                </wp:positionV>
                <wp:extent cx="2820035" cy="1109980"/>
                <wp:effectExtent l="0" t="0" r="0" b="0"/>
                <wp:wrapNone/>
                <wp:docPr id="20" name="Rectangle 20"/>
                <wp:cNvGraphicFramePr/>
                <a:graphic xmlns:a="http://schemas.openxmlformats.org/drawingml/2006/main">
                  <a:graphicData uri="http://schemas.microsoft.com/office/word/2010/wordprocessingShape">
                    <wps:wsp>
                      <wps:cNvSpPr/>
                      <wps:spPr>
                        <a:xfrm>
                          <a:off x="0" y="0"/>
                          <a:ext cx="2820035" cy="11099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1B81196" w14:textId="146951E6" w:rsidR="00F351CE" w:rsidRPr="00C32C86" w:rsidRDefault="00F351CE" w:rsidP="00F351CE">
                            <w:pPr>
                              <w:spacing w:after="0" w:line="276" w:lineRule="auto"/>
                              <w:jc w:val="center"/>
                              <w:rPr>
                                <w:rFonts w:ascii="Book Antiqua" w:hAnsi="Book Antiqua"/>
                                <w:b/>
                                <w:bCs/>
                                <w:sz w:val="30"/>
                                <w:szCs w:val="30"/>
                                <w:lang w:val="en"/>
                              </w:rPr>
                            </w:pPr>
                            <w:r w:rsidRPr="00C32C86">
                              <w:rPr>
                                <w:rFonts w:ascii="Book Antiqua" w:hAnsi="Book Antiqua"/>
                                <w:b/>
                                <w:bCs/>
                                <w:sz w:val="30"/>
                                <w:szCs w:val="30"/>
                                <w:lang w:val="en"/>
                              </w:rPr>
                              <w:t>STANDARISASI EKSTRAK HERBAL SEBAGAI AGEN TERAPEUTIK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1F735D1A" id="Rectangle 20" o:spid="_x0000_s1034" style="position:absolute;left:0;text-align:left;margin-left:71.9pt;margin-top:10.5pt;width:222.05pt;height:87.4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ADvZgIAABAFAAAOAAAAZHJzL2Uyb0RvYy54bWysVE1v2zAMvQ/YfxB0Xx1nbZcGcYogRYcB&#10;xVq0HXZWZCkxJokapcTJfv0o2XHbLadhF1siH78eSc2u99awncLQgKt4eTbiTDkJdePWFf/2fPth&#10;wlmIwtXCgFMVP6jAr+fv381aP1Vj2ICpFTJy4sK09RXfxOinRRHkRlkRzsArR0oNaEWkK66LGkVL&#10;3q0pxqPRZdEC1h5BqhBIetMp+Tz711rJeK91UJGZilNuMX8xf1fpW8xnYrpG4TeN7NMQ/5CFFY2j&#10;oIOrGxEF22LzlyvbSIQAOp5JsAVo3UiVa6BqytEf1TxthFe5FiIn+IGm8P/cyq+7B2RNXfEx0eOE&#10;pR49EmvCrY1iJCOCWh+mhHvyD9jfAh1TtXuNNv2pDrbPpB4GUtU+MknC8YT69PGCM0m6shxdXU2y&#10;1+LF3GOInxVYlg4VR4qfyRS7uxApJEGPkBTNwW1jTO6ccW8EBEySImXc5ZhP8WBUwhn3qDQVm7LK&#10;AfKYqaVBthM0IEJK5eJlqjl7InQy0xRtMCxPGZpY9kY9NpmpPH6D4eiU4duIg0WOCi4OxrZxgKcc&#10;1D+GyB3+WH1Xcyo/7lf73OHJsZkrqA/UdYRuHYKXtw0xfydCfBBI80+jQDsd7+mjDbQVh/7E2Qbw&#10;1yl5wtNYkpazlvap4uHnVqDizHxxNLBX5fl5WsB8Ob/4lMYNX2tWrzVua5dAHSnp9fAyHxM+muNR&#10;I9jvtPqLFJVUwkmKXXEZ8XhZxm7P6fGQarHIMFo6L+Kde/IyOU88O1hsI+gmD1riq2On55HWLg9D&#10;/0SkvX59z6iXh2z+GwAA//8DAFBLAwQUAAYACAAAACEAwoO72t4AAAAKAQAADwAAAGRycy9kb3du&#10;cmV2LnhtbEyPzU7DMBCE70i8g7VI3KjTQiENcSpAQgj1gCjt3bG3SUS8jmLnp2/PcoLjaEYz3+Tb&#10;2bVixD40nhQsFwkIJONtQ5WCw9frTQoiRE1Wt55QwRkDbIvLi1xn1k/0ieM+VoJLKGRaQR1jl0kZ&#10;TI1Oh4XvkNg7+d7pyLKvpO31xOWulaskuZdON8QLte7wpUbzvR+cgqM/PU/OlPQ+nj+a4W3XG5Pu&#10;lLq+mp8eQUSc418YfvEZHQpmKv1ANoiW9d0to0cFqyV/4sA6fdiAKNnZrFOQRS7/Xyh+AAAA//8D&#10;AFBLAQItABQABgAIAAAAIQC2gziS/gAAAOEBAAATAAAAAAAAAAAAAAAAAAAAAABbQ29udGVudF9U&#10;eXBlc10ueG1sUEsBAi0AFAAGAAgAAAAhADj9If/WAAAAlAEAAAsAAAAAAAAAAAAAAAAALwEAAF9y&#10;ZWxzLy5yZWxzUEsBAi0AFAAGAAgAAAAhAGEMAO9mAgAAEAUAAA4AAAAAAAAAAAAAAAAALgIAAGRy&#10;cy9lMm9Eb2MueG1sUEsBAi0AFAAGAAgAAAAhAMKDu9reAAAACgEAAA8AAAAAAAAAAAAAAAAAwAQA&#10;AGRycy9kb3ducmV2LnhtbFBLBQYAAAAABAAEAPMAAADLBQAAAAA=&#10;" filled="f" stroked="f" strokeweight="1pt">
                <v:textbox>
                  <w:txbxContent>
                    <w:p w14:paraId="51B81196" w14:textId="146951E6" w:rsidR="00F351CE" w:rsidRPr="00C32C86" w:rsidRDefault="00F351CE" w:rsidP="00F351CE">
                      <w:pPr>
                        <w:spacing w:after="0" w:line="276" w:lineRule="auto"/>
                        <w:jc w:val="center"/>
                        <w:rPr>
                          <w:rFonts w:ascii="Book Antiqua" w:hAnsi="Book Antiqua"/>
                          <w:b/>
                          <w:bCs/>
                          <w:sz w:val="30"/>
                          <w:szCs w:val="30"/>
                          <w:lang w:val="en"/>
                        </w:rPr>
                      </w:pPr>
                      <w:r w:rsidRPr="00C32C86">
                        <w:rPr>
                          <w:rFonts w:ascii="Book Antiqua" w:hAnsi="Book Antiqua"/>
                          <w:b/>
                          <w:bCs/>
                          <w:sz w:val="30"/>
                          <w:szCs w:val="30"/>
                          <w:lang w:val="en"/>
                        </w:rPr>
                        <w:t>STANDARISASI EKSTRAK HERBAL SEBAGAI AGEN TERAPEUTIK</w:t>
                      </w:r>
                    </w:p>
                  </w:txbxContent>
                </v:textbox>
              </v:rect>
            </w:pict>
          </mc:Fallback>
        </mc:AlternateContent>
      </w:r>
      <w:r w:rsidRPr="006810DB">
        <w:rPr>
          <w:b/>
          <w:noProof/>
          <w:sz w:val="48"/>
          <w:szCs w:val="20"/>
          <w:lang w:val="en-US"/>
        </w:rPr>
        <mc:AlternateContent>
          <mc:Choice Requires="wps">
            <w:drawing>
              <wp:anchor distT="0" distB="0" distL="114300" distR="114300" simplePos="0" relativeHeight="251689984" behindDoc="0" locked="0" layoutInCell="1" allowOverlap="1" wp14:anchorId="26917195" wp14:editId="34BF1F8C">
                <wp:simplePos x="0" y="0"/>
                <wp:positionH relativeFrom="column">
                  <wp:posOffset>884555</wp:posOffset>
                </wp:positionH>
                <wp:positionV relativeFrom="paragraph">
                  <wp:posOffset>76835</wp:posOffset>
                </wp:positionV>
                <wp:extent cx="0" cy="1224000"/>
                <wp:effectExtent l="19050" t="0" r="38100" b="52705"/>
                <wp:wrapNone/>
                <wp:docPr id="21" name="Straight Connector 21"/>
                <wp:cNvGraphicFramePr/>
                <a:graphic xmlns:a="http://schemas.openxmlformats.org/drawingml/2006/main">
                  <a:graphicData uri="http://schemas.microsoft.com/office/word/2010/wordprocessingShape">
                    <wps:wsp>
                      <wps:cNvCnPr/>
                      <wps:spPr>
                        <a:xfrm>
                          <a:off x="0" y="0"/>
                          <a:ext cx="0" cy="1224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E26892C" id="Straight Connector 21" o:spid="_x0000_s1026" style="position:absolute;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Osf2AEAAA8EAAAOAAAAZHJzL2Uyb0RvYy54bWysU8GO0zAQvSPxD5bvNEnFAoqa7qGr5YKg&#10;YtkP8DrjxpLtsWzTpH/P2GnTFSAkVntx4pl5z/Oex5vbyRp2hBA1uo43q5ozcBJ77Q4df/xx/+4T&#10;ZzEJ1wuDDjp+gshvt2/fbEbfwhoHND0ERiQutqPv+JCSb6sqygGsiCv04CipMFiRaBsOVR/ESOzW&#10;VOu6/lCNGHofUEKMFL2bk3xb+JUCmb4pFSEx03HqLZU1lPUpr9V2I9pDEH7Q8tyGeEEXVmhHhy5U&#10;dyIJ9jPoP6islgEjqrSSaCtUSksoGkhNU/+m5mEQHooWMif6xab4erTy63EfmO47vm44c8LSHT2k&#10;IPRhSGyHzpGDGBglyanRx5YAO7cP5130+5BlTyrY/CVBbCrunhZ3YUpMzkFJ0Wa9fl/XxfnqCvQh&#10;ps+AluWfjhvtsnDRiuOXmOgwKr2U5LBxbOz4zcfmpi5lEY3u77UxOVmGB3YmsKOga09TaZ4YnlXR&#10;zjiizZJmEeUvnQzM/N9BkS3UdjMfkAfyyimkBJcuvMZRdYYp6mABnjv7F/Bcn6FQhvV/wAuinIwu&#10;LWCrHYa/tX21Qs31Fwdm3dmCJ+xP5XqLNTR1xfvzC8lj/Xxf4Nd3vP0FAAD//wMAUEsDBBQABgAI&#10;AAAAIQAb+VtO3AAAAAoBAAAPAAAAZHJzL2Rvd25yZXYueG1sTI9BS8QwEIXvgv8hjODNTbZrxdam&#10;yyIs4kVwFbymzdgGm0lpst367531ord5M4/3vqm2ix/EjFN0gTSsVwoEUhuso07D+9v+5h5ETIas&#10;GQKhhm+MsK0vLypT2nCiV5wPqRMcQrE0GvqUxlLK2PboTVyFEYlvn2HyJrGcOmknc+JwP8hMqTvp&#10;jSNu6M2Ijz22X4ej55L8o33C6J7tfpc3+Vy4Rr04ra+vlt0DiIRL+jPDGZ/RoWamJhzJRjGw3hQb&#10;tvKQrUGcDb+LRkOmbguQdSX/v1D/AAAA//8DAFBLAQItABQABgAIAAAAIQC2gziS/gAAAOEBAAAT&#10;AAAAAAAAAAAAAAAAAAAAAABbQ29udGVudF9UeXBlc10ueG1sUEsBAi0AFAAGAAgAAAAhADj9If/W&#10;AAAAlAEAAAsAAAAAAAAAAAAAAAAALwEAAF9yZWxzLy5yZWxzUEsBAi0AFAAGAAgAAAAhAOIQ6x/Y&#10;AQAADwQAAA4AAAAAAAAAAAAAAAAALgIAAGRycy9lMm9Eb2MueG1sUEsBAi0AFAAGAAgAAAAhABv5&#10;W07cAAAACgEAAA8AAAAAAAAAAAAAAAAAMgQAAGRycy9kb3ducmV2LnhtbFBLBQYAAAAABAAEAPMA&#10;AAA7BQ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44"/>
          <w:szCs w:val="20"/>
          <w:lang w:val="en-US"/>
        </w:rPr>
        <w:t>9</w:t>
      </w:r>
      <w:r w:rsidRPr="006810DB">
        <w:rPr>
          <w:b/>
          <w:szCs w:val="20"/>
          <w:lang w:val="en-US"/>
        </w:rPr>
        <w:t xml:space="preserve"> </w:t>
      </w:r>
      <w:r w:rsidRPr="006810DB">
        <w:rPr>
          <w:b/>
          <w:szCs w:val="20"/>
          <w:lang w:val="en-US"/>
        </w:rPr>
        <w:tab/>
      </w:r>
      <w:r w:rsidRPr="006810DB">
        <w:rPr>
          <w:b/>
          <w:color w:val="FFFFFF" w:themeColor="background1"/>
          <w:sz w:val="10"/>
          <w:szCs w:val="10"/>
          <w:lang w:val="en-US"/>
        </w:rPr>
        <w:t>STANDARISASI EKSTRAK HERBAL SEBAGAI AGEN TERAPEUTIK</w:t>
      </w:r>
      <w:bookmarkEnd w:id="210"/>
    </w:p>
    <w:p w14:paraId="535E8575" w14:textId="77777777" w:rsidR="00F351CE" w:rsidRPr="006810DB" w:rsidRDefault="00F351CE" w:rsidP="006810DB">
      <w:pPr>
        <w:spacing w:after="0" w:line="276" w:lineRule="auto"/>
        <w:jc w:val="both"/>
        <w:rPr>
          <w:rFonts w:ascii="Book Antiqua" w:hAnsi="Book Antiqua"/>
          <w:sz w:val="20"/>
          <w:szCs w:val="20"/>
          <w:lang w:val="en"/>
        </w:rPr>
      </w:pPr>
    </w:p>
    <w:p w14:paraId="6FA40DD0" w14:textId="77777777" w:rsidR="00F351CE" w:rsidRPr="006810DB" w:rsidRDefault="00F351CE" w:rsidP="006810DB">
      <w:pPr>
        <w:spacing w:after="0" w:line="276" w:lineRule="auto"/>
        <w:jc w:val="both"/>
        <w:rPr>
          <w:rFonts w:ascii="Book Antiqua" w:hAnsi="Book Antiqua"/>
          <w:sz w:val="20"/>
          <w:szCs w:val="20"/>
          <w:lang w:val="en"/>
        </w:rPr>
      </w:pPr>
    </w:p>
    <w:p w14:paraId="3CB5ED09" w14:textId="3FB1D961" w:rsidR="00B258B7" w:rsidRPr="006810DB" w:rsidRDefault="00C32C86" w:rsidP="00B9360C">
      <w:pPr>
        <w:pStyle w:val="Heading2"/>
        <w:numPr>
          <w:ilvl w:val="0"/>
          <w:numId w:val="24"/>
        </w:numPr>
        <w:ind w:left="284" w:hanging="284"/>
      </w:pPr>
      <w:bookmarkStart w:id="211" w:name="_Toc223088924"/>
      <w:r w:rsidRPr="006810DB">
        <w:t>Pendahuluan</w:t>
      </w:r>
      <w:bookmarkEnd w:id="211"/>
    </w:p>
    <w:p w14:paraId="2A534883"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Dalam perjalanan panjang mentransformasikan pengetahuan etnofarmakologi menjadi terapi klinis yang dapat dipertanggungjawabkan, standardisasi ekstrak herbal merupakan jembatan yang tidak dapat ditawar. Ketika kita berbicara tentang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sebagai agen terapeutik untuk kondisi serius seperti mukositis oral akibat kemoterapi, kita tidak lagi berbicara tentang bumbu dapur yang ditambahkan "secukupnya" ke dalam masakan. Kita berbicara tentang entitas farmakologis yang harus memberikan dosis presisi dari senyawa aktif, dengan profil keamanan yang terjamin, dan efikasi yang konsisten dari satu kapsul ke kapsul lainnya. Tanpa standardisasi yang ketat, hasil penelitian biomedis menjadi tidak relevan karena variabilitas bahan uji membuat reproduktifitas data menjadi mustahil. Oleh karena itu, standardisasi bukan sekadar langkah administratif, melainkan fondasi ilmiah dari fitofarmaka modern.</w:t>
      </w:r>
    </w:p>
    <w:p w14:paraId="5811A60D"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Tantangan utama dalam penggunaan bahan alam adalah kompleksitas intrinsik matriks biologisnya. Berbeda dengan obat sintetik yang terdiri dari satu molekul murni dengan kemurnian 99,9%,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adalah orkestra kimia yang terdiri dari ratusan senyawa. Komposisi ini tidak statis; ia berfluktuasi secara dinamis sebagai respons terhadap variasi genetik tanaman, kondisi tanah, iklim, waktu panen, dan metode pasca-panen. Fluktuasi ini dapat menyebabkan perbedaan </w:t>
      </w:r>
      <w:r w:rsidRPr="006810DB">
        <w:rPr>
          <w:rFonts w:ascii="Book Antiqua" w:hAnsi="Book Antiqua"/>
          <w:sz w:val="20"/>
          <w:szCs w:val="20"/>
          <w:lang w:val="en"/>
        </w:rPr>
        <w:lastRenderedPageBreak/>
        <w:t xml:space="preserve">drastis dalam kandungan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dan konstituen aktif lainnya, yang pada gilirannya memengaruhi potensi terapeutik ekstrak tersebut. Standardisasi bertujuan untuk menjinakkan variabilitas ini dengan menetapkan parameter kualitas yang ketat yang harus dipenuhi oleh setiap </w:t>
      </w:r>
      <w:r w:rsidRPr="006810DB">
        <w:rPr>
          <w:rFonts w:ascii="Book Antiqua" w:hAnsi="Book Antiqua"/>
          <w:i/>
          <w:iCs/>
          <w:sz w:val="20"/>
          <w:szCs w:val="20"/>
          <w:lang w:val="en"/>
        </w:rPr>
        <w:t>batch</w:t>
      </w:r>
      <w:r w:rsidRPr="006810DB">
        <w:rPr>
          <w:rFonts w:ascii="Book Antiqua" w:hAnsi="Book Antiqua"/>
          <w:sz w:val="20"/>
          <w:szCs w:val="20"/>
          <w:lang w:val="en"/>
        </w:rPr>
        <w:t xml:space="preserve"> produksi.</w:t>
      </w:r>
    </w:p>
    <w:p w14:paraId="381C201B"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Bab ini akan mengupas secara mendalam proses standardisasi ekstrak </w:t>
      </w:r>
      <w:r w:rsidRPr="006810DB">
        <w:rPr>
          <w:rFonts w:ascii="Book Antiqua" w:hAnsi="Book Antiqua"/>
          <w:i/>
          <w:iCs/>
          <w:sz w:val="20"/>
          <w:szCs w:val="20"/>
          <w:lang w:val="en"/>
        </w:rPr>
        <w:t>Nigella sativa</w:t>
      </w:r>
      <w:r w:rsidRPr="006810DB">
        <w:rPr>
          <w:rFonts w:ascii="Book Antiqua" w:hAnsi="Book Antiqua"/>
          <w:sz w:val="20"/>
          <w:szCs w:val="20"/>
          <w:lang w:val="en"/>
        </w:rPr>
        <w:t>, mulai dari urgensi pengendalian variabilitas biologis hingga implikasi regulasi yang ditetapkan oleh badan pengawas obat. Kita akan mengeksplorasi mengapa pergeseran paradigma dari "jamu" tradisional menuju "obat herbal terstandar" atau "fitofarmaka" memerlukan dokumentasi yang komprehensif mengenai asal-usul bahan baku dan proses ekstraksi. Fokus utama akan diberikan pada jaminan kualitas, di mana keamanan konsumen menjadi prioritas tertinggi, memastikan bahwa produk bebas dari pemalsuan dan variasi yang membahayakan.</w:t>
      </w:r>
    </w:p>
    <w:p w14:paraId="2A088E6A"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Selanjutnya, pembahasan akan menukik pada aspek keamanan yang sering terabaikan namun fatal: kontaminasi. Bahan alam sangat rentan terhadap akumulasi logam berat seperti timbal dan kadmium dari tanah yang tercemar, serta infestasi mikroba dan jamur selama penyimpanan yang tidak tepat. Bab ini akan menganalisis metode deteksi kontaminan ini dan mendiskusikan implikasi klinisnya, terutama risiko sinergisme toksisitas ginjal antara kontaminan logam berat dan agen kemoterapi cisplatin yang sedang dikonsumsi pasien. Ini adalah aspek kritis dalam konteks terapi suportif kanker, di mana organ pasien sudah berada di bawah tekanan ekstrem.</w:t>
      </w:r>
    </w:p>
    <w:p w14:paraId="254C53D9" w14:textId="2FFFEDAC"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Bagian akhir dari bab ini akan mendedikasikan perhatian khusus pada penetapan kadar senyawa penanda (</w:t>
      </w:r>
      <w:r w:rsidRPr="006810DB">
        <w:rPr>
          <w:rFonts w:ascii="Book Antiqua" w:hAnsi="Book Antiqua"/>
          <w:i/>
          <w:iCs/>
          <w:sz w:val="20"/>
          <w:szCs w:val="20"/>
          <w:lang w:val="en"/>
        </w:rPr>
        <w:t>marker</w:t>
      </w:r>
      <w:r w:rsidRPr="006810DB">
        <w:rPr>
          <w:rFonts w:ascii="Book Antiqua" w:hAnsi="Book Antiqua"/>
          <w:sz w:val="20"/>
          <w:szCs w:val="20"/>
          <w:lang w:val="en"/>
        </w:rPr>
        <w:t xml:space="preserve">), khususnya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Kita akan membahas validasi metode analisis instrumen canggih seperti </w:t>
      </w:r>
      <w:r w:rsidRPr="006810DB">
        <w:rPr>
          <w:rFonts w:ascii="Book Antiqua" w:hAnsi="Book Antiqua"/>
          <w:i/>
          <w:iCs/>
          <w:sz w:val="20"/>
          <w:szCs w:val="20"/>
          <w:lang w:val="en"/>
        </w:rPr>
        <w:t>High Performance Liquid Chromatography</w:t>
      </w:r>
      <w:r w:rsidRPr="006810DB">
        <w:rPr>
          <w:rFonts w:ascii="Book Antiqua" w:hAnsi="Book Antiqua"/>
          <w:sz w:val="20"/>
          <w:szCs w:val="20"/>
          <w:lang w:val="en"/>
        </w:rPr>
        <w:t xml:space="preserve"> (HPLC) yang menjadi standar emas dalam kuantifikasi senyawa aktif. Selain itu, stabilitas kimiawi ekstrak selama penyimpanan dan protokol kontrol kualitas industri akan diuraikan. Tujuannya adalah untuk memberikan pemahaman menyeluruh bahwa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yang digunakan </w:t>
      </w:r>
      <w:r w:rsidRPr="006810DB">
        <w:rPr>
          <w:rFonts w:ascii="Book Antiqua" w:hAnsi="Book Antiqua"/>
          <w:sz w:val="20"/>
          <w:szCs w:val="20"/>
          <w:lang w:val="en"/>
        </w:rPr>
        <w:lastRenderedPageBreak/>
        <w:t>dalam konteks medis haruslah produk rekayasa farmasi yang terukur, stabil, dan aman, bukan sekadar serbuk biji yang digiling tanpa standar.</w:t>
      </w:r>
    </w:p>
    <w:p w14:paraId="084DACD0" w14:textId="77777777" w:rsidR="00F351CE" w:rsidRPr="006810DB" w:rsidRDefault="00F351CE" w:rsidP="006810DB">
      <w:pPr>
        <w:spacing w:after="0" w:line="276" w:lineRule="auto"/>
        <w:jc w:val="both"/>
        <w:rPr>
          <w:rFonts w:ascii="Book Antiqua" w:hAnsi="Book Antiqua"/>
          <w:sz w:val="20"/>
          <w:szCs w:val="20"/>
          <w:lang w:val="en"/>
        </w:rPr>
      </w:pPr>
    </w:p>
    <w:p w14:paraId="7C396F6A" w14:textId="0CC6A7B3" w:rsidR="00B258B7" w:rsidRPr="006810DB" w:rsidRDefault="00B258B7" w:rsidP="006810DB">
      <w:pPr>
        <w:pStyle w:val="Heading2"/>
        <w:numPr>
          <w:ilvl w:val="0"/>
          <w:numId w:val="24"/>
        </w:numPr>
        <w:ind w:left="284" w:hanging="284"/>
      </w:pPr>
      <w:bookmarkStart w:id="212" w:name="_mwten4eecalw" w:colFirst="0" w:colLast="0"/>
      <w:bookmarkStart w:id="213" w:name="_Toc223088925"/>
      <w:bookmarkEnd w:id="212"/>
      <w:r w:rsidRPr="006810DB">
        <w:t>Pentingnya Standardisasi Bahan Alam</w:t>
      </w:r>
      <w:bookmarkEnd w:id="213"/>
    </w:p>
    <w:p w14:paraId="42742F91"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Standardisasi adalah proses penentuan serangkaian karakteristik konstan atau parameter definitif yang menjadi tolok ukur kualitas, efikasi, dan keamanan suatu produk herbal. Dalam konteks pengembangan obat baru dari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standardisasi berfungsi untuk meminimalkan variabilitas inheren yang dimiliki oleh bahan hayati. Tanpa proses ini, dokter tidak akan pernah bisa yakin apakah dosis yang diberikan hari ini memiliki kekuatan yang sama dengan dosis yang diberikan bulan lalu, atau apakah respons pasien disebabkan oleh obat atau variasi </w:t>
      </w:r>
      <w:r w:rsidRPr="006810DB">
        <w:rPr>
          <w:rFonts w:ascii="Book Antiqua" w:hAnsi="Book Antiqua"/>
          <w:i/>
          <w:iCs/>
          <w:sz w:val="20"/>
          <w:szCs w:val="20"/>
          <w:lang w:val="en"/>
        </w:rPr>
        <w:t>batch</w:t>
      </w:r>
      <w:r w:rsidRPr="006810DB">
        <w:rPr>
          <w:rFonts w:ascii="Book Antiqua" w:hAnsi="Book Antiqua"/>
          <w:sz w:val="20"/>
          <w:szCs w:val="20"/>
          <w:lang w:val="en"/>
        </w:rPr>
        <w:t>. Standardisasi mengubah ketidakpastian alamiah menjadi kepastian farmasetik.</w:t>
      </w:r>
    </w:p>
    <w:p w14:paraId="7E51A377"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Bayangkan perbedaan antara "resep sup ayam nenek" dan "burger dari restoran cepat saji multinasional". Sup ayam nenek mungkin terasa sangat enak di satu hari tetapi hambar di hari lain, tergantung pada ukuran ayam, sejumput garam yang tidak ditakar, dan musim panen sayuran (variabilitas alamiah). Sebaliknya, burger restoran cepat saji rasanya identik di seluruh dunia, dari Tokyo hingga New York, karena setiap bahan ditimbang hingga gram, suhu panggangan diatur presisi, dan sumber daging dikontrol ketat (standardisasi). Dalam pengobatan kanker, pasien membutuhkan "burger" (konsistensi farmasetik), bukan "sup nenek" (variabilitas), karena variasi kecil dalam kandungan aktif bisa berarti perbedaan antara kesembuhan mukositis atau kegagalan terapi.</w:t>
      </w:r>
    </w:p>
    <w:p w14:paraId="1CF90B9C" w14:textId="51CBAFF0" w:rsidR="00B258B7" w:rsidRPr="006810DB" w:rsidRDefault="00B258B7" w:rsidP="006810DB">
      <w:pPr>
        <w:pStyle w:val="ListParagraph"/>
        <w:numPr>
          <w:ilvl w:val="0"/>
          <w:numId w:val="60"/>
        </w:numPr>
        <w:spacing w:after="0" w:line="276" w:lineRule="auto"/>
        <w:ind w:left="567" w:hanging="283"/>
        <w:contextualSpacing w:val="0"/>
        <w:jc w:val="both"/>
        <w:rPr>
          <w:rFonts w:ascii="Book Antiqua" w:hAnsi="Book Antiqua"/>
          <w:b/>
          <w:bCs/>
          <w:sz w:val="20"/>
          <w:szCs w:val="20"/>
          <w:lang w:val="en"/>
        </w:rPr>
      </w:pPr>
      <w:bookmarkStart w:id="214" w:name="_t8saxt86zbaf" w:colFirst="0" w:colLast="0"/>
      <w:bookmarkEnd w:id="214"/>
      <w:r w:rsidRPr="006810DB">
        <w:rPr>
          <w:rFonts w:ascii="Book Antiqua" w:hAnsi="Book Antiqua"/>
          <w:b/>
          <w:bCs/>
          <w:sz w:val="20"/>
          <w:szCs w:val="20"/>
          <w:lang w:val="en"/>
        </w:rPr>
        <w:t>Variabilitas Kandungan Aktif Akibat Faktor Lingkungan</w:t>
      </w:r>
    </w:p>
    <w:p w14:paraId="193F316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Tanaman adalah pabrik kimia yang sangat responsif terhadap lingkungannya. Kandungan metabolit sekunder dalam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seperti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bukanlah produk statis, melainkan respons adaptif tanaman terhadap stres lingkungan. Studi agronomis menunjukkan bahwa </w:t>
      </w:r>
      <w:r w:rsidRPr="006810DB">
        <w:rPr>
          <w:rFonts w:ascii="Book Antiqua" w:hAnsi="Book Antiqua"/>
          <w:i/>
          <w:iCs/>
          <w:sz w:val="20"/>
          <w:szCs w:val="20"/>
          <w:lang w:val="en"/>
        </w:rPr>
        <w:t xml:space="preserve">Nigella </w:t>
      </w:r>
      <w:r w:rsidRPr="006810DB">
        <w:rPr>
          <w:rFonts w:ascii="Book Antiqua" w:hAnsi="Book Antiqua"/>
          <w:i/>
          <w:iCs/>
          <w:sz w:val="20"/>
          <w:szCs w:val="20"/>
          <w:lang w:val="en"/>
        </w:rPr>
        <w:lastRenderedPageBreak/>
        <w:t>sativa</w:t>
      </w:r>
      <w:r w:rsidRPr="006810DB">
        <w:rPr>
          <w:rFonts w:ascii="Book Antiqua" w:hAnsi="Book Antiqua"/>
          <w:sz w:val="20"/>
          <w:szCs w:val="20"/>
          <w:lang w:val="en"/>
        </w:rPr>
        <w:t xml:space="preserve"> yang ditanam di daerah dengan paparan sinar matahari tinggi dan stres air moderat cenderung memproduksi minyak atsiri dengan kadar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yang lebih tinggi sebagai mekanisme pertahanan antioksidan dibandingkan tanaman yang tumbuh di lingkungan yang teduh dan kaya air (Sobhannizadeh et al., 2025). Perbedaan geografis ini, misalnya antara biji yang berasal dari Ethiopia, India, dan Mesir, dapat menghasilkan variasi kandungan aktif hingga dua atau tiga kali lipat.</w:t>
      </w:r>
    </w:p>
    <w:p w14:paraId="2857B63B"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Selain faktor iklim, komposisi tanah dan penggunaan pupuk juga memainkan peran krusial. Ketersediaan mikronutrien seperti sulfur dan nitrogen dalam tanah secara langsung memengaruhi biosintesis senyawa sulfur dan nitrogen dalam biji. Waktu panen juga kritis; memanen terlalu dini mungkin menghasilkan biji dengan kadar minyak yang belum optimal, sementara memanen terlalu lambat dapat menyebabkan oksidasi komponen volatil. Oleh karena itu, standardisasi dimulai jauh sebelum ekstraksi, yaitu dengan menetapkan </w:t>
      </w:r>
      <w:r w:rsidRPr="006810DB">
        <w:rPr>
          <w:rFonts w:ascii="Book Antiqua" w:hAnsi="Book Antiqua"/>
          <w:i/>
          <w:iCs/>
          <w:sz w:val="20"/>
          <w:szCs w:val="20"/>
          <w:lang w:val="en"/>
        </w:rPr>
        <w:t>Good Agricultural and Collection Practices</w:t>
      </w:r>
      <w:r w:rsidRPr="006810DB">
        <w:rPr>
          <w:rFonts w:ascii="Book Antiqua" w:hAnsi="Book Antiqua"/>
          <w:sz w:val="20"/>
          <w:szCs w:val="20"/>
          <w:lang w:val="en"/>
        </w:rPr>
        <w:t xml:space="preserve"> (GACP) untuk memastikan bahwa bahan baku yang masuk ke pabrik memiliki profil fitokimia yang seragam (Yimer et al., 2019).</w:t>
      </w:r>
    </w:p>
    <w:p w14:paraId="47F6BF8A" w14:textId="26BFE27E" w:rsidR="00B258B7" w:rsidRPr="006810DB" w:rsidRDefault="00B258B7" w:rsidP="006810DB">
      <w:pPr>
        <w:pStyle w:val="ListParagraph"/>
        <w:numPr>
          <w:ilvl w:val="0"/>
          <w:numId w:val="60"/>
        </w:numPr>
        <w:spacing w:after="0" w:line="276" w:lineRule="auto"/>
        <w:ind w:left="567" w:hanging="283"/>
        <w:contextualSpacing w:val="0"/>
        <w:jc w:val="both"/>
        <w:rPr>
          <w:rFonts w:ascii="Book Antiqua" w:hAnsi="Book Antiqua"/>
          <w:b/>
          <w:bCs/>
          <w:sz w:val="20"/>
          <w:szCs w:val="20"/>
          <w:lang w:val="en"/>
        </w:rPr>
      </w:pPr>
      <w:bookmarkStart w:id="215" w:name="_qpgi8wnz0dy" w:colFirst="0" w:colLast="0"/>
      <w:bookmarkEnd w:id="215"/>
      <w:r w:rsidRPr="006810DB">
        <w:rPr>
          <w:rFonts w:ascii="Book Antiqua" w:hAnsi="Book Antiqua"/>
          <w:b/>
          <w:bCs/>
          <w:sz w:val="20"/>
          <w:szCs w:val="20"/>
          <w:lang w:val="en"/>
        </w:rPr>
        <w:t>Regulasi Badan Pengawas Obat terkait Herbal</w:t>
      </w:r>
    </w:p>
    <w:p w14:paraId="601EDD42"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Badan pengawas obat di seluruh dunia, termasuk Badan POM di Indonesia dan FDA di Amerika Serikat, telah menetapkan pedoman ketat untuk pengembangan obat herbal. Di Indonesia, transformasi obat bahan alam dibagi menjadi tiga strata: Jamu, Obat Herbal Terstandar (OHT), dan Fitofarmaka. Untuk naik kelas menjadi Fitofarmaka, yang setara dengan obat modern dan dapat diresepkan dalam jaminan kesehatan nasional,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harus memenuhi persyaratan standardisasi yang ketat (Badan POM, 2019). Regulasi ini menuntut bukti reprodusibilitas proses produksi, di mana produsen harus membuktikan bahwa proses ekstraksi mereka menghasilkan </w:t>
      </w:r>
      <w:r w:rsidRPr="006810DB">
        <w:rPr>
          <w:rFonts w:ascii="Book Antiqua" w:hAnsi="Book Antiqua"/>
          <w:i/>
          <w:iCs/>
          <w:sz w:val="20"/>
          <w:szCs w:val="20"/>
          <w:lang w:val="en"/>
        </w:rPr>
        <w:t>output</w:t>
      </w:r>
      <w:r w:rsidRPr="006810DB">
        <w:rPr>
          <w:rFonts w:ascii="Book Antiqua" w:hAnsi="Book Antiqua"/>
          <w:sz w:val="20"/>
          <w:szCs w:val="20"/>
          <w:lang w:val="en"/>
        </w:rPr>
        <w:t xml:space="preserve"> yang konsisten dalam parameter spesifikasi yang sempit.</w:t>
      </w:r>
    </w:p>
    <w:p w14:paraId="1B1B1BC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lastRenderedPageBreak/>
        <w:t xml:space="preserve">Kepatuhan terhadap regulasi ini bukan hanya formalitas birokrasi, tetapi prasyarat untuk keamanan publik. Regulator mewajibkan adanya </w:t>
      </w:r>
      <w:r w:rsidRPr="006810DB">
        <w:rPr>
          <w:rFonts w:ascii="Book Antiqua" w:hAnsi="Book Antiqua"/>
          <w:i/>
          <w:iCs/>
          <w:sz w:val="20"/>
          <w:szCs w:val="20"/>
          <w:lang w:val="en"/>
        </w:rPr>
        <w:t>Drug Master File</w:t>
      </w:r>
      <w:r w:rsidRPr="006810DB">
        <w:rPr>
          <w:rFonts w:ascii="Book Antiqua" w:hAnsi="Book Antiqua"/>
          <w:sz w:val="20"/>
          <w:szCs w:val="20"/>
          <w:lang w:val="en"/>
        </w:rPr>
        <w:t xml:space="preserve"> (DMF) untuk ekstrak herbal, yang merinci setiap langkah pembuatan, mulai dari identifikasi taksonomi tanaman hingga analisis residu pelarut. Ketidakkonsistenan dalam memenuhi standar ini dapat menyebabkan penarikan produk dari pasar. Dalam konteks global, harmonisasi standar ini, seperti yang diupayakan oleh pedoman </w:t>
      </w:r>
      <w:r w:rsidRPr="006810DB">
        <w:rPr>
          <w:rFonts w:ascii="Book Antiqua" w:hAnsi="Book Antiqua"/>
          <w:i/>
          <w:iCs/>
          <w:sz w:val="20"/>
          <w:szCs w:val="20"/>
          <w:lang w:val="en"/>
        </w:rPr>
        <w:t>World Health Organization</w:t>
      </w:r>
      <w:r w:rsidRPr="006810DB">
        <w:rPr>
          <w:rFonts w:ascii="Book Antiqua" w:hAnsi="Book Antiqua"/>
          <w:sz w:val="20"/>
          <w:szCs w:val="20"/>
          <w:lang w:val="en"/>
        </w:rPr>
        <w:t xml:space="preserve"> (WHO), menjadi penting agar produk herbal dari satu negara dapat diterima secara medis di negara lain (Heinrich et al., 2022).</w:t>
      </w:r>
    </w:p>
    <w:p w14:paraId="7A062D62" w14:textId="1F35CC29" w:rsidR="00B258B7" w:rsidRPr="006810DB" w:rsidRDefault="00B258B7" w:rsidP="006810DB">
      <w:pPr>
        <w:pStyle w:val="ListParagraph"/>
        <w:numPr>
          <w:ilvl w:val="0"/>
          <w:numId w:val="60"/>
        </w:numPr>
        <w:spacing w:after="0" w:line="276" w:lineRule="auto"/>
        <w:ind w:left="567" w:hanging="283"/>
        <w:contextualSpacing w:val="0"/>
        <w:jc w:val="both"/>
        <w:rPr>
          <w:rFonts w:ascii="Book Antiqua" w:hAnsi="Book Antiqua"/>
          <w:b/>
          <w:bCs/>
          <w:sz w:val="20"/>
          <w:szCs w:val="20"/>
          <w:lang w:val="en"/>
        </w:rPr>
      </w:pPr>
      <w:bookmarkStart w:id="216" w:name="_vg9f0xjevrke" w:colFirst="0" w:colLast="0"/>
      <w:bookmarkEnd w:id="216"/>
      <w:r w:rsidRPr="006810DB">
        <w:rPr>
          <w:rFonts w:ascii="Book Antiqua" w:hAnsi="Book Antiqua"/>
          <w:b/>
          <w:bCs/>
          <w:sz w:val="20"/>
          <w:szCs w:val="20"/>
          <w:lang w:val="en"/>
        </w:rPr>
        <w:t>Jaminan Kualitas dan Keamanan bagi Konsumen</w:t>
      </w:r>
    </w:p>
    <w:p w14:paraId="5A08055B"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Tujuan akhir dari standardisasi adalah perlindungan konsumen. Pasien kanker yang mengonsumsi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untuk mencegah mukositis berada dalam kondisi rentan; mereka membutuhkan jaminan bahwa produk yang mereka konsumsi aman dan efektif. Standardisasi menjamin bahwa produk bebas dari pemalsuan (</w:t>
      </w:r>
      <w:r w:rsidRPr="006810DB">
        <w:rPr>
          <w:rFonts w:ascii="Book Antiqua" w:hAnsi="Book Antiqua"/>
          <w:i/>
          <w:iCs/>
          <w:sz w:val="20"/>
          <w:szCs w:val="20"/>
          <w:lang w:val="en"/>
        </w:rPr>
        <w:t>adulteration</w:t>
      </w:r>
      <w:r w:rsidRPr="006810DB">
        <w:rPr>
          <w:rFonts w:ascii="Book Antiqua" w:hAnsi="Book Antiqua"/>
          <w:sz w:val="20"/>
          <w:szCs w:val="20"/>
          <w:lang w:val="en"/>
        </w:rPr>
        <w:t>), sebuah praktik di mana bahan herbal murah atau bahkan bahan kimia sintetik ditambahkan untuk meningkatkan volume atau efek semu. Identifikasi sidik jari kromatografi (</w:t>
      </w:r>
      <w:r w:rsidRPr="006810DB">
        <w:rPr>
          <w:rFonts w:ascii="Book Antiqua" w:hAnsi="Book Antiqua"/>
          <w:i/>
          <w:iCs/>
          <w:sz w:val="20"/>
          <w:szCs w:val="20"/>
          <w:lang w:val="en"/>
        </w:rPr>
        <w:t>chromatographic fingerprinting</w:t>
      </w:r>
      <w:r w:rsidRPr="006810DB">
        <w:rPr>
          <w:rFonts w:ascii="Book Antiqua" w:hAnsi="Book Antiqua"/>
          <w:sz w:val="20"/>
          <w:szCs w:val="20"/>
          <w:lang w:val="en"/>
        </w:rPr>
        <w:t>) menjadi alat utama untuk memverifikasi otentisitas spesies dan mendeteksi adanya campuran bahan asing (Sahoo et al., 2010).</w:t>
      </w:r>
    </w:p>
    <w:p w14:paraId="00C25E89" w14:textId="6DE5F4AB"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Selain mencegah pemalsuan, jaminan kualitas juga mencakup konsistensi dosis. Jika satu kapsul mengandung 5 mg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dan kapsul berikutnya hanya 1 mg, pasien tidak akan mendapatkan manfaat terapeutik yang diharapkan. Sebaliknya, jika kapsul berikutnya mengandung 20 mg, risiko toksisitas mungkin muncul. Melalui protokol </w:t>
      </w:r>
      <w:r w:rsidRPr="006810DB">
        <w:rPr>
          <w:rFonts w:ascii="Book Antiqua" w:hAnsi="Book Antiqua"/>
          <w:i/>
          <w:iCs/>
          <w:sz w:val="20"/>
          <w:szCs w:val="20"/>
          <w:lang w:val="en"/>
        </w:rPr>
        <w:t>Quality Assurance</w:t>
      </w:r>
      <w:r w:rsidRPr="006810DB">
        <w:rPr>
          <w:rFonts w:ascii="Book Antiqua" w:hAnsi="Book Antiqua"/>
          <w:sz w:val="20"/>
          <w:szCs w:val="20"/>
          <w:lang w:val="en"/>
        </w:rPr>
        <w:t xml:space="preserve"> (QA) yang ketat, yang mencakup pengujian bahan baku, pengawasan proses (</w:t>
      </w:r>
      <w:r w:rsidRPr="006810DB">
        <w:rPr>
          <w:rFonts w:ascii="Book Antiqua" w:hAnsi="Book Antiqua"/>
          <w:i/>
          <w:iCs/>
          <w:sz w:val="20"/>
          <w:szCs w:val="20"/>
          <w:lang w:val="en"/>
        </w:rPr>
        <w:t>in-process control</w:t>
      </w:r>
      <w:r w:rsidRPr="006810DB">
        <w:rPr>
          <w:rFonts w:ascii="Book Antiqua" w:hAnsi="Book Antiqua"/>
          <w:sz w:val="20"/>
          <w:szCs w:val="20"/>
          <w:lang w:val="en"/>
        </w:rPr>
        <w:t xml:space="preserve">), dan pengujian produk jadi, produsen dapat memberikan sertifikat analisis yang menjamin bahwa setiap unit produk </w:t>
      </w:r>
      <w:r w:rsidRPr="006810DB">
        <w:rPr>
          <w:rFonts w:ascii="Book Antiqua" w:hAnsi="Book Antiqua"/>
          <w:sz w:val="20"/>
          <w:szCs w:val="20"/>
          <w:lang w:val="en"/>
        </w:rPr>
        <w:lastRenderedPageBreak/>
        <w:t>yang sampai ke tangan pasien memenuhi standar keamanan dan potensi yang telah ditetapkan (Belfiore et al., 2024).</w:t>
      </w:r>
    </w:p>
    <w:p w14:paraId="29E831AB" w14:textId="77777777" w:rsidR="00504B56" w:rsidRPr="006810DB" w:rsidRDefault="00504B56" w:rsidP="006810DB">
      <w:pPr>
        <w:spacing w:after="0" w:line="276" w:lineRule="auto"/>
        <w:jc w:val="both"/>
        <w:rPr>
          <w:rFonts w:ascii="Book Antiqua" w:hAnsi="Book Antiqua"/>
          <w:sz w:val="20"/>
          <w:szCs w:val="20"/>
          <w:lang w:val="en"/>
        </w:rPr>
      </w:pPr>
    </w:p>
    <w:p w14:paraId="3BB16584" w14:textId="4F73E965" w:rsidR="00B258B7" w:rsidRPr="006810DB" w:rsidRDefault="00B258B7" w:rsidP="006810DB">
      <w:pPr>
        <w:pStyle w:val="Heading2"/>
        <w:numPr>
          <w:ilvl w:val="0"/>
          <w:numId w:val="24"/>
        </w:numPr>
        <w:ind w:left="284" w:hanging="284"/>
        <w:rPr>
          <w:bCs/>
          <w:szCs w:val="20"/>
          <w:lang w:val="en"/>
        </w:rPr>
      </w:pPr>
      <w:bookmarkStart w:id="217" w:name="_n860a7w1kks8" w:colFirst="0" w:colLast="0"/>
      <w:bookmarkStart w:id="218" w:name="_Toc223088926"/>
      <w:bookmarkEnd w:id="217"/>
      <w:r w:rsidRPr="006810DB">
        <w:rPr>
          <w:bCs/>
          <w:szCs w:val="20"/>
          <w:lang w:val="en"/>
        </w:rPr>
        <w:t>Analisis Kontaminan dan Logam Berat</w:t>
      </w:r>
      <w:bookmarkEnd w:id="218"/>
    </w:p>
    <w:p w14:paraId="1F905831"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Keamanan ekstrak herbal tidak hanya ditentukan oleh keberadaan senyawa aktif yang diinginkan, tetapi juga oleh ketidakhadiran zat-zat berbahaya. Bahan alam, karena tumbuh di lingkungan terbuka, bertindak sebagai bioakumulator yang efektif. Mereka menyerap apa pun yang ada di tanah dan air sekitarnya, termasuk polutan beracun. Oleh karena itu, analisis kontaminan, khususnya logam berat dan mikroba, merupakan aspek non-negosiabel dari standardisasi. Dalam konteks terapi kombinasi dengan cisplatin, keberadaan kontaminan nefrotoksik dalam ekstrak herbal dapat berakibat fatal, mengubah agen pelindung menjadi racun tambahan.</w:t>
      </w:r>
    </w:p>
    <w:p w14:paraId="7F940991"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Bayangkan sebuah sumber mata air pegunungan yang murni dan menyehatkan (</w:t>
      </w:r>
      <w:r w:rsidRPr="006810DB">
        <w:rPr>
          <w:rFonts w:ascii="Book Antiqua" w:hAnsi="Book Antiqua"/>
          <w:i/>
          <w:iCs/>
          <w:sz w:val="20"/>
          <w:szCs w:val="20"/>
          <w:lang w:val="en"/>
        </w:rPr>
        <w:t>Nigella sativa</w:t>
      </w:r>
      <w:r w:rsidRPr="006810DB">
        <w:rPr>
          <w:rFonts w:ascii="Book Antiqua" w:hAnsi="Book Antiqua"/>
          <w:sz w:val="20"/>
          <w:szCs w:val="20"/>
          <w:lang w:val="en"/>
        </w:rPr>
        <w:t>). Namun, untuk sampai ke rumah penduduk, air ini dialirkan melalui pipa-pipa tua yang terbuat dari timbal yang berkarat (kontaminasi lingkungan/proses). Meskipun sumber airnya menyembuhkan, air yang keluar dari keran mengandung racun yang tidak terlihat, tidak berbau, namun mematikan. Mengonsumsi air ini bukan menyembuhkan, melainkan perlahan merusak organ tubuh. Analisis kontaminan adalah proses memeriksa "air keran" tersebut di laboratorium untuk memastikan tidak ada "karat pipa" yang terbawa, menjamin bahwa kemurnian sumber alam benar-benar sampai ke pasien tanpa penumpang gelap yang beracun.</w:t>
      </w:r>
    </w:p>
    <w:p w14:paraId="6D400199" w14:textId="4F9C69FD" w:rsidR="00B258B7" w:rsidRPr="006810DB" w:rsidRDefault="00B258B7" w:rsidP="006810DB">
      <w:pPr>
        <w:pStyle w:val="ListParagraph"/>
        <w:numPr>
          <w:ilvl w:val="0"/>
          <w:numId w:val="61"/>
        </w:numPr>
        <w:spacing w:after="0" w:line="276" w:lineRule="auto"/>
        <w:ind w:left="567" w:hanging="283"/>
        <w:contextualSpacing w:val="0"/>
        <w:jc w:val="both"/>
        <w:rPr>
          <w:rFonts w:ascii="Book Antiqua" w:hAnsi="Book Antiqua"/>
          <w:b/>
          <w:bCs/>
          <w:sz w:val="20"/>
          <w:szCs w:val="20"/>
          <w:lang w:val="en"/>
        </w:rPr>
      </w:pPr>
      <w:bookmarkStart w:id="219" w:name="_hg1mzye7rkgl" w:colFirst="0" w:colLast="0"/>
      <w:bookmarkEnd w:id="219"/>
      <w:r w:rsidRPr="006810DB">
        <w:rPr>
          <w:rFonts w:ascii="Book Antiqua" w:hAnsi="Book Antiqua"/>
          <w:b/>
          <w:bCs/>
          <w:sz w:val="20"/>
          <w:szCs w:val="20"/>
          <w:lang w:val="en"/>
        </w:rPr>
        <w:t>Deteksi Kandungan Timbal (Pb) dan Kadmium (Cd)</w:t>
      </w:r>
    </w:p>
    <w:p w14:paraId="4B8A499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Logam berat seperti timbal (Pb), kadmium (Cd), arsenik (As), dan merkuri (Hg) adalah kontaminan lingkungan yang persisten dan toksik.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yang ditanam di dekat kawasan industri, jalan raya yang padat, atau lahan pertanian yang menggunakan pupuk fosfat berkualitas rendah (sering mengandung kadmium) berisiko tinggi mengakumulasi logam-logam ini di dalam bijinya. </w:t>
      </w:r>
      <w:r w:rsidRPr="006810DB">
        <w:rPr>
          <w:rFonts w:ascii="Book Antiqua" w:hAnsi="Book Antiqua"/>
          <w:sz w:val="20"/>
          <w:szCs w:val="20"/>
          <w:lang w:val="en"/>
        </w:rPr>
        <w:lastRenderedPageBreak/>
        <w:t xml:space="preserve">Metode deteksi yang sangat sensitif, seperti Spektrofotometri Serapan Atom (AAS) atau </w:t>
      </w:r>
      <w:r w:rsidRPr="006810DB">
        <w:rPr>
          <w:rFonts w:ascii="Book Antiqua" w:hAnsi="Book Antiqua"/>
          <w:i/>
          <w:iCs/>
          <w:sz w:val="20"/>
          <w:szCs w:val="20"/>
          <w:lang w:val="en"/>
        </w:rPr>
        <w:t>Inductively Coupled Plasma Mass Spectrometry</w:t>
      </w:r>
      <w:r w:rsidRPr="006810DB">
        <w:rPr>
          <w:rFonts w:ascii="Book Antiqua" w:hAnsi="Book Antiqua"/>
          <w:sz w:val="20"/>
          <w:szCs w:val="20"/>
          <w:lang w:val="en"/>
        </w:rPr>
        <w:t xml:space="preserve"> (ICP-MS), wajib digunakan untuk mendeteksi keberadaan logam berat ini hingga level </w:t>
      </w:r>
      <w:r w:rsidRPr="006810DB">
        <w:rPr>
          <w:rFonts w:ascii="Book Antiqua" w:hAnsi="Book Antiqua"/>
          <w:i/>
          <w:iCs/>
          <w:sz w:val="20"/>
          <w:szCs w:val="20"/>
          <w:lang w:val="en"/>
        </w:rPr>
        <w:t>parts per billion</w:t>
      </w:r>
      <w:r w:rsidRPr="006810DB">
        <w:rPr>
          <w:rFonts w:ascii="Book Antiqua" w:hAnsi="Book Antiqua"/>
          <w:sz w:val="20"/>
          <w:szCs w:val="20"/>
          <w:lang w:val="en"/>
        </w:rPr>
        <w:t xml:space="preserve"> (ppb) (Street et al., 2008).</w:t>
      </w:r>
    </w:p>
    <w:p w14:paraId="1335D4D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Batas aman untuk logam berat dalam obat tradisional diatur secara ketat. Misalnya, BPOM RI menetapkan batas maksimal Pb sebesar 10 mg/kg dan Cd sebesar 0.3 mg/kg. Kelebihan paparan timbal dapat menyebabkan gangguan neurologis dan hematologis, sementara kadmium adalah nefrotoksin kuat dengan waktu paruh biologis yang sangat panjang di dalam tubuh manusia (Tchounwou et al., 2012). Pengujian rutin terhadap setiap </w:t>
      </w:r>
      <w:r w:rsidRPr="006810DB">
        <w:rPr>
          <w:rFonts w:ascii="Book Antiqua" w:hAnsi="Book Antiqua"/>
          <w:i/>
          <w:iCs/>
          <w:sz w:val="20"/>
          <w:szCs w:val="20"/>
          <w:lang w:val="en"/>
        </w:rPr>
        <w:t>batch</w:t>
      </w:r>
      <w:r w:rsidRPr="006810DB">
        <w:rPr>
          <w:rFonts w:ascii="Book Antiqua" w:hAnsi="Book Antiqua"/>
          <w:sz w:val="20"/>
          <w:szCs w:val="20"/>
          <w:lang w:val="en"/>
        </w:rPr>
        <w:t xml:space="preserve"> bahan baku sebelum proses ekstraksi adalah langkah preventif mutlak untuk memastikan produk akhir memenuhi standar keamanan internasional.</w:t>
      </w:r>
    </w:p>
    <w:p w14:paraId="1332EB50" w14:textId="4BAF117A" w:rsidR="00B258B7" w:rsidRPr="006810DB" w:rsidRDefault="00B258B7" w:rsidP="006810DB">
      <w:pPr>
        <w:pStyle w:val="ListParagraph"/>
        <w:numPr>
          <w:ilvl w:val="0"/>
          <w:numId w:val="61"/>
        </w:numPr>
        <w:spacing w:after="0" w:line="276" w:lineRule="auto"/>
        <w:ind w:left="567" w:hanging="283"/>
        <w:contextualSpacing w:val="0"/>
        <w:jc w:val="both"/>
        <w:rPr>
          <w:rFonts w:ascii="Book Antiqua" w:hAnsi="Book Antiqua"/>
          <w:b/>
          <w:bCs/>
          <w:sz w:val="20"/>
          <w:szCs w:val="20"/>
          <w:lang w:val="en"/>
        </w:rPr>
      </w:pPr>
      <w:bookmarkStart w:id="220" w:name="_gzk0v3f66w2h" w:colFirst="0" w:colLast="0"/>
      <w:bookmarkEnd w:id="220"/>
      <w:r w:rsidRPr="006810DB">
        <w:rPr>
          <w:rFonts w:ascii="Book Antiqua" w:hAnsi="Book Antiqua"/>
          <w:b/>
          <w:bCs/>
          <w:sz w:val="20"/>
          <w:szCs w:val="20"/>
          <w:lang w:val="en"/>
        </w:rPr>
        <w:t>Identifikasi Cemaran Mikroba dan Jamur</w:t>
      </w:r>
    </w:p>
    <w:p w14:paraId="237A202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Kadar air yang tinggi dan penyimpanan yang tidak higienis pada biji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pasca-panen menciptakan lingkungan ideal bagi pertumbuhan bakteri dan jamur. Kontaminan mikroba umum meliputi </w:t>
      </w:r>
      <w:r w:rsidRPr="006810DB">
        <w:rPr>
          <w:rFonts w:ascii="Book Antiqua" w:hAnsi="Book Antiqua"/>
          <w:i/>
          <w:iCs/>
          <w:sz w:val="20"/>
          <w:szCs w:val="20"/>
          <w:lang w:val="en"/>
        </w:rPr>
        <w:t>Escherichia coli</w:t>
      </w:r>
      <w:r w:rsidRPr="006810DB">
        <w:rPr>
          <w:rFonts w:ascii="Book Antiqua" w:hAnsi="Book Antiqua"/>
          <w:sz w:val="20"/>
          <w:szCs w:val="20"/>
          <w:lang w:val="en"/>
        </w:rPr>
        <w:t xml:space="preserve">, </w:t>
      </w:r>
      <w:r w:rsidRPr="006810DB">
        <w:rPr>
          <w:rFonts w:ascii="Book Antiqua" w:hAnsi="Book Antiqua"/>
          <w:i/>
          <w:iCs/>
          <w:sz w:val="20"/>
          <w:szCs w:val="20"/>
          <w:lang w:val="en"/>
        </w:rPr>
        <w:t>Salmonella sp.</w:t>
      </w:r>
      <w:r w:rsidRPr="006810DB">
        <w:rPr>
          <w:rFonts w:ascii="Book Antiqua" w:hAnsi="Book Antiqua"/>
          <w:sz w:val="20"/>
          <w:szCs w:val="20"/>
          <w:lang w:val="en"/>
        </w:rPr>
        <w:t xml:space="preserve">, dan </w:t>
      </w:r>
      <w:r w:rsidRPr="006810DB">
        <w:rPr>
          <w:rFonts w:ascii="Book Antiqua" w:hAnsi="Book Antiqua"/>
          <w:i/>
          <w:iCs/>
          <w:sz w:val="20"/>
          <w:szCs w:val="20"/>
          <w:lang w:val="en"/>
        </w:rPr>
        <w:t>Staphylococcus aureus</w:t>
      </w:r>
      <w:r w:rsidRPr="006810DB">
        <w:rPr>
          <w:rFonts w:ascii="Book Antiqua" w:hAnsi="Book Antiqua"/>
          <w:sz w:val="20"/>
          <w:szCs w:val="20"/>
          <w:lang w:val="en"/>
        </w:rPr>
        <w:t xml:space="preserve">, yang dapat menyebabkan infeksi saluran pencernaan serius pada pasien </w:t>
      </w:r>
      <w:r w:rsidRPr="006810DB">
        <w:rPr>
          <w:rFonts w:ascii="Book Antiqua" w:hAnsi="Book Antiqua"/>
          <w:i/>
          <w:iCs/>
          <w:sz w:val="20"/>
          <w:szCs w:val="20"/>
          <w:lang w:val="en"/>
        </w:rPr>
        <w:t>immunocompromised</w:t>
      </w:r>
      <w:r w:rsidRPr="006810DB">
        <w:rPr>
          <w:rFonts w:ascii="Book Antiqua" w:hAnsi="Book Antiqua"/>
          <w:sz w:val="20"/>
          <w:szCs w:val="20"/>
          <w:lang w:val="en"/>
        </w:rPr>
        <w:t xml:space="preserve"> seperti penderita kanker. Lebih berbahaya lagi adalah kontaminasi jamur </w:t>
      </w:r>
      <w:r w:rsidRPr="006810DB">
        <w:rPr>
          <w:rFonts w:ascii="Book Antiqua" w:hAnsi="Book Antiqua"/>
          <w:i/>
          <w:iCs/>
          <w:sz w:val="20"/>
          <w:szCs w:val="20"/>
          <w:lang w:val="en"/>
        </w:rPr>
        <w:t>Aspergillus flavus</w:t>
      </w:r>
      <w:r w:rsidRPr="006810DB">
        <w:rPr>
          <w:rFonts w:ascii="Book Antiqua" w:hAnsi="Book Antiqua"/>
          <w:sz w:val="20"/>
          <w:szCs w:val="20"/>
          <w:lang w:val="en"/>
        </w:rPr>
        <w:t>, yang menghasilkan aflatoksin, sebuah mikotoksin yang bersifat karsinogenik dan hepatotoksik (Shafodino et al., 2022).</w:t>
      </w:r>
    </w:p>
    <w:p w14:paraId="1F311619"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Prosedur standardisasi mewajibkan pengujian Angka Lempeng Total (ALT) untuk bakteri dan Angka Kapang Khamir (AKK) untuk jamur. Proses sterilisasi bahan baku, misalnya dengan penggunaan sinar gamma atau perlakuan uap kering, sering diperlukan untuk menurunkan beban mikroba ke tingkat yang aman tanpa merusak senyawa aktif. Deteksi spesifik untuk aflatoksin menggunakan teknik kromatografi atau ELISA (</w:t>
      </w:r>
      <w:r w:rsidRPr="006810DB">
        <w:rPr>
          <w:rFonts w:ascii="Book Antiqua" w:hAnsi="Book Antiqua"/>
          <w:i/>
          <w:iCs/>
          <w:sz w:val="20"/>
          <w:szCs w:val="20"/>
          <w:lang w:val="en"/>
        </w:rPr>
        <w:t xml:space="preserve">Enzyme-Linked Immunosorbent </w:t>
      </w:r>
      <w:r w:rsidRPr="006810DB">
        <w:rPr>
          <w:rFonts w:ascii="Book Antiqua" w:hAnsi="Book Antiqua"/>
          <w:i/>
          <w:iCs/>
          <w:sz w:val="20"/>
          <w:szCs w:val="20"/>
          <w:lang w:val="en"/>
        </w:rPr>
        <w:lastRenderedPageBreak/>
        <w:t>Assay</w:t>
      </w:r>
      <w:r w:rsidRPr="006810DB">
        <w:rPr>
          <w:rFonts w:ascii="Book Antiqua" w:hAnsi="Book Antiqua"/>
          <w:sz w:val="20"/>
          <w:szCs w:val="20"/>
          <w:lang w:val="en"/>
        </w:rPr>
        <w:t>) juga menjadi parameter kritis, mengingat bahaya laten yang ditimbulkannya terhadap kesehatan hati pasien (Kosalec et al., 2009).</w:t>
      </w:r>
    </w:p>
    <w:p w14:paraId="392975F4" w14:textId="7E7ABF20" w:rsidR="00B258B7" w:rsidRPr="006810DB" w:rsidRDefault="00B258B7" w:rsidP="006810DB">
      <w:pPr>
        <w:pStyle w:val="ListParagraph"/>
        <w:numPr>
          <w:ilvl w:val="0"/>
          <w:numId w:val="61"/>
        </w:numPr>
        <w:spacing w:after="0" w:line="276" w:lineRule="auto"/>
        <w:ind w:left="567" w:hanging="283"/>
        <w:contextualSpacing w:val="0"/>
        <w:jc w:val="both"/>
        <w:rPr>
          <w:rFonts w:ascii="Book Antiqua" w:hAnsi="Book Antiqua"/>
          <w:b/>
          <w:bCs/>
          <w:sz w:val="20"/>
          <w:szCs w:val="20"/>
          <w:lang w:val="en"/>
        </w:rPr>
      </w:pPr>
      <w:bookmarkStart w:id="221" w:name="_9uo810c85zfg" w:colFirst="0" w:colLast="0"/>
      <w:bookmarkEnd w:id="221"/>
      <w:r w:rsidRPr="006810DB">
        <w:rPr>
          <w:rFonts w:ascii="Book Antiqua" w:hAnsi="Book Antiqua"/>
          <w:b/>
          <w:bCs/>
          <w:sz w:val="20"/>
          <w:szCs w:val="20"/>
          <w:lang w:val="en"/>
        </w:rPr>
        <w:t>Pengaruh Logam Berat terhadap Toksisitas Ginjal</w:t>
      </w:r>
    </w:p>
    <w:p w14:paraId="069EE65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Dalam konteks spesifik buku ini, di mana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ditujukan untuk pasien yang menerima cisplatin, isu kontaminasi logam berat memiliki urgensi ganda. Cisplatin sendiri dikenal memiliki efek samping nefrotoksik (merusak ginjal). Jika ekstrak herbal yang dimaksudkan sebagai nefroprotektor ternyata terkontaminasi oleh kadmium atau merkuri, efeknya akan sinergis dan destruktif. Kadmium terakumulasi di korteks ginjal dan menyebabkan kerusakan tubulus, mekanisme yang serupa dengan cisplatin (Zhai et al., 2019).</w:t>
      </w:r>
    </w:p>
    <w:p w14:paraId="18F64848" w14:textId="46032D1B"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Alih-alih melindungi ginjal, ekstrak yang terkontaminasi akan mempercepat gagal ginjal akut pada pasien kemoterapi. Ini adalah contoh tragis dari iatrogenesis (kerusakan akibat pengobatan) yang dapat dihindari sepenuhnya melalui standardisasi yang ketat. Oleh karena itu, spesifikasi batas logam berat untuk produk herbal yang ditujukan sebagai terapi pendamping kemoterapi seharusnya lebih ketat daripada produk herbal untuk konsumsi umum, mengingat kerentanan organ target pada populasi pasien ini (Chavda et al., 2023).</w:t>
      </w:r>
    </w:p>
    <w:p w14:paraId="02E62FAA" w14:textId="77777777" w:rsidR="00504B56" w:rsidRPr="006810DB" w:rsidRDefault="00504B56" w:rsidP="006810DB">
      <w:pPr>
        <w:spacing w:after="0" w:line="276" w:lineRule="auto"/>
        <w:jc w:val="both"/>
        <w:rPr>
          <w:rFonts w:ascii="Book Antiqua" w:hAnsi="Book Antiqua"/>
          <w:sz w:val="20"/>
          <w:szCs w:val="20"/>
          <w:lang w:val="en"/>
        </w:rPr>
      </w:pPr>
    </w:p>
    <w:p w14:paraId="3B3FB4FE" w14:textId="74E93207" w:rsidR="00B258B7" w:rsidRPr="006810DB" w:rsidRDefault="00B258B7" w:rsidP="006810DB">
      <w:pPr>
        <w:pStyle w:val="Heading2"/>
        <w:numPr>
          <w:ilvl w:val="0"/>
          <w:numId w:val="24"/>
        </w:numPr>
        <w:ind w:left="284" w:hanging="284"/>
        <w:rPr>
          <w:bCs/>
          <w:szCs w:val="20"/>
          <w:lang w:val="en"/>
        </w:rPr>
      </w:pPr>
      <w:bookmarkStart w:id="222" w:name="_xrarnzm4wwx" w:colFirst="0" w:colLast="0"/>
      <w:bookmarkStart w:id="223" w:name="_Toc223088927"/>
      <w:bookmarkEnd w:id="222"/>
      <w:r w:rsidRPr="006810DB">
        <w:rPr>
          <w:bCs/>
          <w:szCs w:val="20"/>
          <w:lang w:val="en"/>
        </w:rPr>
        <w:t>Penetapan Kadar Senyawa Penanda (Marker)</w:t>
      </w:r>
      <w:bookmarkEnd w:id="223"/>
    </w:p>
    <w:p w14:paraId="160F4F04"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Untuk menjamin konsistensi potensi terapeutik, standardisasi memerlukan penetapan kadar senyawa penanda atau </w:t>
      </w:r>
      <w:r w:rsidRPr="006810DB">
        <w:rPr>
          <w:rFonts w:ascii="Book Antiqua" w:hAnsi="Book Antiqua"/>
          <w:i/>
          <w:iCs/>
          <w:sz w:val="20"/>
          <w:szCs w:val="20"/>
          <w:lang w:val="en"/>
        </w:rPr>
        <w:t>marker compound</w:t>
      </w:r>
      <w:r w:rsidRPr="006810DB">
        <w:rPr>
          <w:rFonts w:ascii="Book Antiqua" w:hAnsi="Book Antiqua"/>
          <w:sz w:val="20"/>
          <w:szCs w:val="20"/>
          <w:lang w:val="en"/>
        </w:rPr>
        <w:t xml:space="preserve">. Senyawa penanda adalah konstituen kimia yang khas dari tanaman tersebut yang digunakan untuk tujuan identifikasi dan kendali mutu. Untuk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adalah penanda yang paling logis karena merupakan komponen bioaktif utama yang bertanggung jawab atas sebagian besar aktivitas farmakologisnya. Menetapkan kadar minimal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dalam ekstrak adalah cara untuk </w:t>
      </w:r>
      <w:r w:rsidRPr="006810DB">
        <w:rPr>
          <w:rFonts w:ascii="Book Antiqua" w:hAnsi="Book Antiqua"/>
          <w:sz w:val="20"/>
          <w:szCs w:val="20"/>
          <w:lang w:val="en"/>
        </w:rPr>
        <w:lastRenderedPageBreak/>
        <w:t>menjamin bahwa pasien menerima dosis zat aktif yang terapeutik, bukan sekadar plasebo beraroma jintan.</w:t>
      </w:r>
    </w:p>
    <w:p w14:paraId="6456FEA7"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Senyawa penanda (</w:t>
      </w:r>
      <w:r w:rsidRPr="006810DB">
        <w:rPr>
          <w:rFonts w:ascii="Book Antiqua" w:hAnsi="Book Antiqua"/>
          <w:i/>
          <w:iCs/>
          <w:sz w:val="20"/>
          <w:szCs w:val="20"/>
          <w:lang w:val="en"/>
        </w:rPr>
        <w:t>marker</w:t>
      </w:r>
      <w:r w:rsidRPr="006810DB">
        <w:rPr>
          <w:rFonts w:ascii="Book Antiqua" w:hAnsi="Book Antiqua"/>
          <w:sz w:val="20"/>
          <w:szCs w:val="20"/>
          <w:lang w:val="en"/>
        </w:rPr>
        <w:t xml:space="preserve">) dalam ekstrak herbal ibarat benang pengaman dan </w:t>
      </w:r>
      <w:r w:rsidRPr="006810DB">
        <w:rPr>
          <w:rFonts w:ascii="Book Antiqua" w:hAnsi="Book Antiqua"/>
          <w:i/>
          <w:iCs/>
          <w:sz w:val="20"/>
          <w:szCs w:val="20"/>
          <w:lang w:val="en"/>
        </w:rPr>
        <w:t>watermark</w:t>
      </w:r>
      <w:r w:rsidRPr="006810DB">
        <w:rPr>
          <w:rFonts w:ascii="Book Antiqua" w:hAnsi="Book Antiqua"/>
          <w:sz w:val="20"/>
          <w:szCs w:val="20"/>
          <w:lang w:val="en"/>
        </w:rPr>
        <w:t xml:space="preserve"> pada uang kertas. Ketika Anda memegang selembar uang, nilai intrinsiknya (kertas dan tinta) rendah, tetapi keberadaan fitur keamanan tersebut menjamin bahwa itu adalah alat tukar yang sah dan bernilai.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adalah "benang pengaman" dari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Tanpa pengujian kadar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yang terverifikasi, ekstrak tersebut hanyalah bubuk hitam tanpa nilai medis yang terjamin, mirip dengan uang palsu yang terlihat meyakinkan namun tidak laku di bank. Analisis kuantitatif memastikan "mata uang" kesehatan tersebut asli dan bernilai penuh.</w:t>
      </w:r>
    </w:p>
    <w:p w14:paraId="78744154" w14:textId="56644E3C" w:rsidR="00B258B7" w:rsidRPr="006810DB" w:rsidRDefault="00B258B7" w:rsidP="006810DB">
      <w:pPr>
        <w:pStyle w:val="ListParagraph"/>
        <w:numPr>
          <w:ilvl w:val="0"/>
          <w:numId w:val="62"/>
        </w:numPr>
        <w:spacing w:after="0" w:line="276" w:lineRule="auto"/>
        <w:ind w:left="567" w:hanging="283"/>
        <w:contextualSpacing w:val="0"/>
        <w:jc w:val="both"/>
        <w:rPr>
          <w:rFonts w:ascii="Book Antiqua" w:hAnsi="Book Antiqua"/>
          <w:b/>
          <w:bCs/>
          <w:sz w:val="20"/>
          <w:szCs w:val="20"/>
          <w:lang w:val="en"/>
        </w:rPr>
      </w:pPr>
      <w:bookmarkStart w:id="224" w:name="_gdk8dvw9vtax" w:colFirst="0" w:colLast="0"/>
      <w:bookmarkEnd w:id="224"/>
      <w:r w:rsidRPr="006810DB">
        <w:rPr>
          <w:rFonts w:ascii="Book Antiqua" w:hAnsi="Book Antiqua"/>
          <w:b/>
          <w:bCs/>
          <w:sz w:val="20"/>
          <w:szCs w:val="20"/>
          <w:lang w:val="en"/>
        </w:rPr>
        <w:t xml:space="preserve">Validasi Metode HPLC untuk </w:t>
      </w:r>
      <w:r w:rsidRPr="006810DB">
        <w:rPr>
          <w:rFonts w:ascii="Book Antiqua" w:hAnsi="Book Antiqua"/>
          <w:b/>
          <w:bCs/>
          <w:i/>
          <w:iCs/>
          <w:sz w:val="20"/>
          <w:szCs w:val="20"/>
          <w:lang w:val="en"/>
        </w:rPr>
        <w:t>Thymoquinone</w:t>
      </w:r>
    </w:p>
    <w:p w14:paraId="1EFB2C9A"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Metode analisis yang digunakan untuk mengukur kadar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haruslah metode yang valid, spesifik, dan presisi. </w:t>
      </w:r>
      <w:r w:rsidRPr="006810DB">
        <w:rPr>
          <w:rFonts w:ascii="Book Antiqua" w:hAnsi="Book Antiqua"/>
          <w:i/>
          <w:iCs/>
          <w:sz w:val="20"/>
          <w:szCs w:val="20"/>
          <w:lang w:val="en"/>
        </w:rPr>
        <w:t>High Performance Liquid Chromatography</w:t>
      </w:r>
      <w:r w:rsidRPr="006810DB">
        <w:rPr>
          <w:rFonts w:ascii="Book Antiqua" w:hAnsi="Book Antiqua"/>
          <w:sz w:val="20"/>
          <w:szCs w:val="20"/>
          <w:lang w:val="en"/>
        </w:rPr>
        <w:t xml:space="preserve"> (HPLC) dengan detektor UV-Vis atau </w:t>
      </w:r>
      <w:r w:rsidRPr="006810DB">
        <w:rPr>
          <w:rFonts w:ascii="Book Antiqua" w:hAnsi="Book Antiqua"/>
          <w:i/>
          <w:iCs/>
          <w:sz w:val="20"/>
          <w:szCs w:val="20"/>
          <w:lang w:val="en"/>
        </w:rPr>
        <w:t>Photodiode Array</w:t>
      </w:r>
      <w:r w:rsidRPr="006810DB">
        <w:rPr>
          <w:rFonts w:ascii="Book Antiqua" w:hAnsi="Book Antiqua"/>
          <w:sz w:val="20"/>
          <w:szCs w:val="20"/>
          <w:lang w:val="en"/>
        </w:rPr>
        <w:t xml:space="preserve"> (PDA) adalah standar emas industri saat ini. Validasi metode HPLC mencakup pengujian parameter seperti spesifisitas (kemampuan membedakan TQ dari senyawa lain), linearitas (respons detektor proporsional dengan konsentrasi), akurasi (kedekatan hasil dengan nilai sebenarnya), dan presisi (keterulangan hasil) (Goyal et al., 2017).</w:t>
      </w:r>
    </w:p>
    <w:p w14:paraId="24EAD7C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Metode spektrofotometri UV sederhana sering kali tidak cukup spesifik karena banyak senyawa lain dalam ekstrak yang juga menyerap cahaya pada panjang gelombang yang sama, yang dapat menyebabkan hasil positif palsu atau estimasi yang berlebihan (</w:t>
      </w:r>
      <w:r w:rsidRPr="006810DB">
        <w:rPr>
          <w:rFonts w:ascii="Book Antiqua" w:hAnsi="Book Antiqua"/>
          <w:i/>
          <w:iCs/>
          <w:sz w:val="20"/>
          <w:szCs w:val="20"/>
          <w:lang w:val="en"/>
        </w:rPr>
        <w:t>overestimation</w:t>
      </w:r>
      <w:r w:rsidRPr="006810DB">
        <w:rPr>
          <w:rFonts w:ascii="Book Antiqua" w:hAnsi="Book Antiqua"/>
          <w:sz w:val="20"/>
          <w:szCs w:val="20"/>
          <w:lang w:val="en"/>
        </w:rPr>
        <w:t xml:space="preserve">). HPLC memisahkan molekul-molekul tersebut sebelum dideteksi, sehingga memberikan pengukuran yang akurat tentang berapa miligram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yang sebenarnya ada dalam setiap gram ekstrak. Protokol validasi ini harus didokumentasikan sesuai pedoman ICH (</w:t>
      </w:r>
      <w:r w:rsidRPr="006810DB">
        <w:rPr>
          <w:rFonts w:ascii="Book Antiqua" w:hAnsi="Book Antiqua"/>
          <w:i/>
          <w:iCs/>
          <w:sz w:val="20"/>
          <w:szCs w:val="20"/>
          <w:lang w:val="en"/>
        </w:rPr>
        <w:t>International Council for Harmonisation</w:t>
      </w:r>
      <w:r w:rsidRPr="006810DB">
        <w:rPr>
          <w:rFonts w:ascii="Book Antiqua" w:hAnsi="Book Antiqua"/>
          <w:sz w:val="20"/>
          <w:szCs w:val="20"/>
          <w:lang w:val="en"/>
        </w:rPr>
        <w:t>) (Al-Saleh et al., 2006).</w:t>
      </w:r>
    </w:p>
    <w:p w14:paraId="6065B4BA" w14:textId="47DBDCD5" w:rsidR="00B258B7" w:rsidRPr="006810DB" w:rsidRDefault="00B258B7" w:rsidP="006810DB">
      <w:pPr>
        <w:pStyle w:val="ListParagraph"/>
        <w:numPr>
          <w:ilvl w:val="0"/>
          <w:numId w:val="62"/>
        </w:numPr>
        <w:spacing w:after="0" w:line="276" w:lineRule="auto"/>
        <w:ind w:left="567" w:hanging="283"/>
        <w:contextualSpacing w:val="0"/>
        <w:jc w:val="both"/>
        <w:rPr>
          <w:rFonts w:ascii="Book Antiqua" w:hAnsi="Book Antiqua"/>
          <w:b/>
          <w:bCs/>
          <w:sz w:val="20"/>
          <w:szCs w:val="20"/>
          <w:lang w:val="en"/>
        </w:rPr>
      </w:pPr>
      <w:bookmarkStart w:id="225" w:name="_d548qc1wnl0v" w:colFirst="0" w:colLast="0"/>
      <w:bookmarkEnd w:id="225"/>
      <w:r w:rsidRPr="006810DB">
        <w:rPr>
          <w:rFonts w:ascii="Book Antiqua" w:hAnsi="Book Antiqua"/>
          <w:b/>
          <w:bCs/>
          <w:sz w:val="20"/>
          <w:szCs w:val="20"/>
          <w:lang w:val="en"/>
        </w:rPr>
        <w:lastRenderedPageBreak/>
        <w:t>Reaktivitas Kimiawi dalam Proses Penyimpanan</w:t>
      </w:r>
    </w:p>
    <w:p w14:paraId="38D33AEF"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i/>
          <w:iCs/>
          <w:sz w:val="20"/>
          <w:szCs w:val="20"/>
          <w:lang w:val="en"/>
        </w:rPr>
        <w:t>Thymoquinone</w:t>
      </w:r>
      <w:r w:rsidRPr="006810DB">
        <w:rPr>
          <w:rFonts w:ascii="Book Antiqua" w:hAnsi="Book Antiqua"/>
          <w:sz w:val="20"/>
          <w:szCs w:val="20"/>
          <w:lang w:val="en"/>
        </w:rPr>
        <w:t xml:space="preserve"> adalah molekul yang sensitif terhadap cahaya dan panas. Ia dapat mengalami dimerisasi menjadi </w:t>
      </w:r>
      <w:r w:rsidRPr="006810DB">
        <w:rPr>
          <w:rFonts w:ascii="Book Antiqua" w:hAnsi="Book Antiqua"/>
          <w:i/>
          <w:iCs/>
          <w:sz w:val="20"/>
          <w:szCs w:val="20"/>
          <w:lang w:val="en"/>
        </w:rPr>
        <w:t>dithymoquinone</w:t>
      </w:r>
      <w:r w:rsidRPr="006810DB">
        <w:rPr>
          <w:rFonts w:ascii="Book Antiqua" w:hAnsi="Book Antiqua"/>
          <w:sz w:val="20"/>
          <w:szCs w:val="20"/>
          <w:lang w:val="en"/>
        </w:rPr>
        <w:t xml:space="preserve"> atau terdegradasi menjadi produk lain jika terpapar kondisi lingkungan yang ekstrem. Studi stabilitas menjadi bagian integral dari standardisasi untuk menentukan umur simpan (</w:t>
      </w:r>
      <w:r w:rsidRPr="006810DB">
        <w:rPr>
          <w:rFonts w:ascii="Book Antiqua" w:hAnsi="Book Antiqua"/>
          <w:i/>
          <w:iCs/>
          <w:sz w:val="20"/>
          <w:szCs w:val="20"/>
          <w:lang w:val="en"/>
        </w:rPr>
        <w:t>shelf-life</w:t>
      </w:r>
      <w:r w:rsidRPr="006810DB">
        <w:rPr>
          <w:rFonts w:ascii="Book Antiqua" w:hAnsi="Book Antiqua"/>
          <w:sz w:val="20"/>
          <w:szCs w:val="20"/>
          <w:lang w:val="en"/>
        </w:rPr>
        <w:t xml:space="preserve">) produk. Ini melibatkan penyimpanan sampel ekstrak pada berbagai kondisi suhu dan kelembaban, kemudian memantau penurunan kadar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dari waktu ke waktu (Lamine et al., 2019).</w:t>
      </w:r>
    </w:p>
    <w:p w14:paraId="1A88A3D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Hasil studi stabilitas ini menentukan persyaratan kemasan dan penyimpanan. Misalnya,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mungkin perlu disimpan dalam wadah kaca berwarna gelap (amber glass) untuk melindunginya dari fotodegradasi, dan disimpan di tempat sejuk. Standardisasi menjamin bahwa jika label produk menyatakan kandungan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2%, maka kandungan tersebut akan tetap bertahan minimal pada level tersebut hingga tanggal kedaluwarsa produk, asalkan disimpan sesuai petunjuk (Kazemi et al., 2022).</w:t>
      </w:r>
    </w:p>
    <w:p w14:paraId="0703223E" w14:textId="33AB91B2" w:rsidR="00B258B7" w:rsidRPr="006810DB" w:rsidRDefault="00B258B7" w:rsidP="006810DB">
      <w:pPr>
        <w:pStyle w:val="ListParagraph"/>
        <w:numPr>
          <w:ilvl w:val="0"/>
          <w:numId w:val="62"/>
        </w:numPr>
        <w:spacing w:after="0" w:line="276" w:lineRule="auto"/>
        <w:ind w:left="567" w:hanging="283"/>
        <w:contextualSpacing w:val="0"/>
        <w:jc w:val="both"/>
        <w:rPr>
          <w:rFonts w:ascii="Book Antiqua" w:hAnsi="Book Antiqua"/>
          <w:b/>
          <w:bCs/>
          <w:sz w:val="20"/>
          <w:szCs w:val="20"/>
          <w:lang w:val="en"/>
        </w:rPr>
      </w:pPr>
      <w:bookmarkStart w:id="226" w:name="_itejnx4jk7xn" w:colFirst="0" w:colLast="0"/>
      <w:bookmarkEnd w:id="226"/>
      <w:r w:rsidRPr="006810DB">
        <w:rPr>
          <w:rFonts w:ascii="Book Antiqua" w:hAnsi="Book Antiqua"/>
          <w:b/>
          <w:bCs/>
          <w:sz w:val="20"/>
          <w:szCs w:val="20"/>
          <w:lang w:val="en"/>
        </w:rPr>
        <w:t xml:space="preserve">Protokol </w:t>
      </w:r>
      <w:r w:rsidRPr="006810DB">
        <w:rPr>
          <w:rFonts w:ascii="Book Antiqua" w:hAnsi="Book Antiqua"/>
          <w:b/>
          <w:bCs/>
          <w:i/>
          <w:iCs/>
          <w:sz w:val="20"/>
          <w:szCs w:val="20"/>
          <w:lang w:val="en"/>
        </w:rPr>
        <w:t>Quality Control</w:t>
      </w:r>
      <w:r w:rsidRPr="006810DB">
        <w:rPr>
          <w:rFonts w:ascii="Book Antiqua" w:hAnsi="Book Antiqua"/>
          <w:b/>
          <w:bCs/>
          <w:sz w:val="20"/>
          <w:szCs w:val="20"/>
          <w:lang w:val="en"/>
        </w:rPr>
        <w:t xml:space="preserve"> untuk Produksi Massal</w:t>
      </w:r>
    </w:p>
    <w:p w14:paraId="1E45468B"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Dalam skala industri, konsistensi antar </w:t>
      </w:r>
      <w:r w:rsidRPr="006810DB">
        <w:rPr>
          <w:rFonts w:ascii="Book Antiqua" w:hAnsi="Book Antiqua"/>
          <w:i/>
          <w:iCs/>
          <w:sz w:val="20"/>
          <w:szCs w:val="20"/>
          <w:lang w:val="en"/>
        </w:rPr>
        <w:t>batch</w:t>
      </w:r>
      <w:r w:rsidRPr="006810DB">
        <w:rPr>
          <w:rFonts w:ascii="Book Antiqua" w:hAnsi="Book Antiqua"/>
          <w:sz w:val="20"/>
          <w:szCs w:val="20"/>
          <w:lang w:val="en"/>
        </w:rPr>
        <w:t xml:space="preserve"> (</w:t>
      </w:r>
      <w:r w:rsidRPr="006810DB">
        <w:rPr>
          <w:rFonts w:ascii="Book Antiqua" w:hAnsi="Book Antiqua"/>
          <w:i/>
          <w:iCs/>
          <w:sz w:val="20"/>
          <w:szCs w:val="20"/>
          <w:lang w:val="en"/>
        </w:rPr>
        <w:t>batch-to-batch consistency</w:t>
      </w:r>
      <w:r w:rsidRPr="006810DB">
        <w:rPr>
          <w:rFonts w:ascii="Book Antiqua" w:hAnsi="Book Antiqua"/>
          <w:sz w:val="20"/>
          <w:szCs w:val="20"/>
          <w:lang w:val="en"/>
        </w:rPr>
        <w:t xml:space="preserve">) adalah tantangan utama. Protokol </w:t>
      </w:r>
      <w:r w:rsidRPr="006810DB">
        <w:rPr>
          <w:rFonts w:ascii="Book Antiqua" w:hAnsi="Book Antiqua"/>
          <w:i/>
          <w:iCs/>
          <w:sz w:val="20"/>
          <w:szCs w:val="20"/>
          <w:lang w:val="en"/>
        </w:rPr>
        <w:t>Quality Control</w:t>
      </w:r>
      <w:r w:rsidRPr="006810DB">
        <w:rPr>
          <w:rFonts w:ascii="Book Antiqua" w:hAnsi="Book Antiqua"/>
          <w:sz w:val="20"/>
          <w:szCs w:val="20"/>
          <w:lang w:val="en"/>
        </w:rPr>
        <w:t xml:space="preserve"> (QC) menetapkan kriteria penerimaan (</w:t>
      </w:r>
      <w:r w:rsidRPr="006810DB">
        <w:rPr>
          <w:rFonts w:ascii="Book Antiqua" w:hAnsi="Book Antiqua"/>
          <w:i/>
          <w:iCs/>
          <w:sz w:val="20"/>
          <w:szCs w:val="20"/>
          <w:lang w:val="en"/>
        </w:rPr>
        <w:t>acceptance criteria</w:t>
      </w:r>
      <w:r w:rsidRPr="006810DB">
        <w:rPr>
          <w:rFonts w:ascii="Book Antiqua" w:hAnsi="Book Antiqua"/>
          <w:sz w:val="20"/>
          <w:szCs w:val="20"/>
          <w:lang w:val="en"/>
        </w:rPr>
        <w:t xml:space="preserve">) untuk setiap parameter uji. Misalnya, spesifikasi mungkin menyatakan: "Kadar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tidak kurang dari 0.5% (b/b)". Setiap </w:t>
      </w:r>
      <w:r w:rsidRPr="006810DB">
        <w:rPr>
          <w:rFonts w:ascii="Book Antiqua" w:hAnsi="Book Antiqua"/>
          <w:i/>
          <w:iCs/>
          <w:sz w:val="20"/>
          <w:szCs w:val="20"/>
          <w:lang w:val="en"/>
        </w:rPr>
        <w:t>batch</w:t>
      </w:r>
      <w:r w:rsidRPr="006810DB">
        <w:rPr>
          <w:rFonts w:ascii="Book Antiqua" w:hAnsi="Book Antiqua"/>
          <w:sz w:val="20"/>
          <w:szCs w:val="20"/>
          <w:lang w:val="en"/>
        </w:rPr>
        <w:t xml:space="preserve"> produksi harus diuji, dan jika hasilnya di bawah 0.5%, </w:t>
      </w:r>
      <w:r w:rsidRPr="006810DB">
        <w:rPr>
          <w:rFonts w:ascii="Book Antiqua" w:hAnsi="Book Antiqua"/>
          <w:i/>
          <w:iCs/>
          <w:sz w:val="20"/>
          <w:szCs w:val="20"/>
          <w:lang w:val="en"/>
        </w:rPr>
        <w:t>batch</w:t>
      </w:r>
      <w:r w:rsidRPr="006810DB">
        <w:rPr>
          <w:rFonts w:ascii="Book Antiqua" w:hAnsi="Book Antiqua"/>
          <w:sz w:val="20"/>
          <w:szCs w:val="20"/>
          <w:lang w:val="en"/>
        </w:rPr>
        <w:t xml:space="preserve"> tersebut harus ditolak atau diproses ulang (Hannan et al., 2021).</w:t>
      </w:r>
    </w:p>
    <w:p w14:paraId="62B007C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Dokumen </w:t>
      </w:r>
      <w:r w:rsidRPr="006810DB">
        <w:rPr>
          <w:rFonts w:ascii="Book Antiqua" w:hAnsi="Book Antiqua"/>
          <w:i/>
          <w:iCs/>
          <w:sz w:val="20"/>
          <w:szCs w:val="20"/>
          <w:lang w:val="en"/>
        </w:rPr>
        <w:t>Certificate of Analysis</w:t>
      </w:r>
      <w:r w:rsidRPr="006810DB">
        <w:rPr>
          <w:rFonts w:ascii="Book Antiqua" w:hAnsi="Book Antiqua"/>
          <w:sz w:val="20"/>
          <w:szCs w:val="20"/>
          <w:lang w:val="en"/>
        </w:rPr>
        <w:t xml:space="preserve"> (CoA) yang menyertai setiap pengiriman bahan baku ekstrak adalah ringkasan dari hasil uji QC ini. CoA mencakup data tentang identitas, kadar air, kadar abu, kontaminan mikroba, logam berat, dan kadar </w:t>
      </w:r>
      <w:r w:rsidRPr="006810DB">
        <w:rPr>
          <w:rFonts w:ascii="Book Antiqua" w:hAnsi="Book Antiqua"/>
          <w:i/>
          <w:iCs/>
          <w:sz w:val="20"/>
          <w:szCs w:val="20"/>
          <w:lang w:val="en"/>
        </w:rPr>
        <w:t>marker</w:t>
      </w:r>
      <w:r w:rsidRPr="006810DB">
        <w:rPr>
          <w:rFonts w:ascii="Book Antiqua" w:hAnsi="Book Antiqua"/>
          <w:sz w:val="20"/>
          <w:szCs w:val="20"/>
          <w:lang w:val="en"/>
        </w:rPr>
        <w:t xml:space="preserve"> kimia. Bagi peneliti atau klinisi, CoA adalah jaminan bahwa mereka menggunakan bahan yang terstandar. Penerapan protokol QC yang ketat adalah satu-satunya cara untuk mengangkat status obat herbal agar setara dengan obat </w:t>
      </w:r>
      <w:r w:rsidRPr="006810DB">
        <w:rPr>
          <w:rFonts w:ascii="Book Antiqua" w:hAnsi="Book Antiqua"/>
          <w:sz w:val="20"/>
          <w:szCs w:val="20"/>
          <w:lang w:val="en"/>
        </w:rPr>
        <w:lastRenderedPageBreak/>
        <w:t>konvensional dalam hal kepercayaan dan keandalan klinis (Heinrich et al., 2022).</w:t>
      </w:r>
    </w:p>
    <w:p w14:paraId="7EEF2507" w14:textId="77777777" w:rsidR="00504B56" w:rsidRPr="006810DB" w:rsidRDefault="00504B56" w:rsidP="006810DB">
      <w:pPr>
        <w:spacing w:after="0" w:line="276" w:lineRule="auto"/>
        <w:jc w:val="both"/>
        <w:rPr>
          <w:rFonts w:ascii="Book Antiqua" w:hAnsi="Book Antiqua"/>
          <w:b/>
          <w:bCs/>
          <w:sz w:val="20"/>
          <w:szCs w:val="20"/>
          <w:lang w:val="en"/>
        </w:rPr>
      </w:pPr>
      <w:bookmarkStart w:id="227" w:name="_mdvivsj0kzil" w:colFirst="0" w:colLast="0"/>
      <w:bookmarkEnd w:id="227"/>
    </w:p>
    <w:p w14:paraId="7476A9DF" w14:textId="77777777" w:rsidR="00D51341" w:rsidRPr="006810DB" w:rsidRDefault="00D51341" w:rsidP="006810DB">
      <w:pPr>
        <w:spacing w:line="276" w:lineRule="auto"/>
        <w:rPr>
          <w:rFonts w:ascii="Book Antiqua" w:eastAsiaTheme="majorEastAsia" w:hAnsi="Book Antiqua" w:cstheme="majorBidi"/>
          <w:b/>
          <w:bCs/>
          <w:color w:val="000000" w:themeColor="text1"/>
          <w:sz w:val="20"/>
          <w:szCs w:val="20"/>
          <w:highlight w:val="yellow"/>
          <w:lang w:val="en"/>
        </w:rPr>
      </w:pPr>
      <w:r w:rsidRPr="006810DB">
        <w:rPr>
          <w:rFonts w:ascii="Book Antiqua" w:hAnsi="Book Antiqua"/>
          <w:bCs/>
          <w:szCs w:val="20"/>
          <w:highlight w:val="yellow"/>
          <w:lang w:val="en"/>
        </w:rPr>
        <w:br w:type="page"/>
      </w:r>
    </w:p>
    <w:p w14:paraId="1628445A" w14:textId="2AF78359" w:rsidR="00B258B7" w:rsidRPr="006810DB" w:rsidRDefault="00B258B7" w:rsidP="006810DB">
      <w:pPr>
        <w:pStyle w:val="Heading2"/>
        <w:jc w:val="center"/>
        <w:rPr>
          <w:b w:val="0"/>
          <w:bCs/>
          <w:szCs w:val="20"/>
          <w:lang w:val="en"/>
        </w:rPr>
      </w:pPr>
      <w:bookmarkStart w:id="228" w:name="_Toc223088928"/>
      <w:r w:rsidRPr="006810DB">
        <w:rPr>
          <w:bCs/>
          <w:szCs w:val="20"/>
          <w:lang w:val="en"/>
        </w:rPr>
        <w:lastRenderedPageBreak/>
        <w:t>KESIMPULAN</w:t>
      </w:r>
      <w:bookmarkEnd w:id="228"/>
    </w:p>
    <w:p w14:paraId="06C94D7C" w14:textId="77777777" w:rsidR="00504B56" w:rsidRPr="006810DB" w:rsidRDefault="00504B56" w:rsidP="006810DB">
      <w:pPr>
        <w:spacing w:after="0" w:line="276" w:lineRule="auto"/>
        <w:jc w:val="both"/>
        <w:rPr>
          <w:rFonts w:ascii="Book Antiqua" w:hAnsi="Book Antiqua"/>
          <w:sz w:val="20"/>
          <w:szCs w:val="20"/>
          <w:lang w:val="en"/>
        </w:rPr>
      </w:pPr>
    </w:p>
    <w:p w14:paraId="21D2F45C" w14:textId="4A0D9992" w:rsidR="00B258B7" w:rsidRPr="006810DB" w:rsidRDefault="00B258B7" w:rsidP="006810DB">
      <w:pPr>
        <w:spacing w:after="0" w:line="276" w:lineRule="auto"/>
        <w:ind w:firstLine="567"/>
        <w:jc w:val="both"/>
        <w:rPr>
          <w:rFonts w:ascii="Book Antiqua" w:hAnsi="Book Antiqua"/>
          <w:sz w:val="20"/>
          <w:szCs w:val="20"/>
          <w:lang w:val="en"/>
        </w:rPr>
      </w:pPr>
      <w:r w:rsidRPr="006810DB">
        <w:rPr>
          <w:rFonts w:ascii="Book Antiqua" w:hAnsi="Book Antiqua"/>
          <w:sz w:val="20"/>
          <w:szCs w:val="20"/>
          <w:lang w:val="en"/>
        </w:rPr>
        <w:t xml:space="preserve">Standardisasi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bukanlah sebuah opsi, melainkan keharusan mutlak dalam pengembangan agen terapeutik modern. Melalui pengendalian ketat terhadap variabilitas bahan baku, eliminasi kontaminan berbahaya, dan kuantifikasi presisi senyawa aktif </w:t>
      </w:r>
      <w:r w:rsidRPr="006810DB">
        <w:rPr>
          <w:rFonts w:ascii="Book Antiqua" w:hAnsi="Book Antiqua"/>
          <w:i/>
          <w:iCs/>
          <w:sz w:val="20"/>
          <w:szCs w:val="20"/>
          <w:lang w:val="en"/>
        </w:rPr>
        <w:t>thymoquinone</w:t>
      </w:r>
      <w:r w:rsidRPr="006810DB">
        <w:rPr>
          <w:rFonts w:ascii="Book Antiqua" w:hAnsi="Book Antiqua"/>
          <w:sz w:val="20"/>
          <w:szCs w:val="20"/>
          <w:lang w:val="en"/>
        </w:rPr>
        <w:t>, kita mentransformasikan sebuah komoditas pertanian menjadi sediaan farmasi yang aman dan efektif. Proses ini menjamin bahwa manfaat nefroprotektif dan penyembuhan mukosa yang diamati dalam penelitian laboratorium dapat diterjemahkan secara konsisten menjadi kesembuhan bagi pasien kanker, tanpa risiko tambahan dari toksisitas logam berat atau ketidakstabilan dosis.</w:t>
      </w:r>
    </w:p>
    <w:p w14:paraId="27A51614" w14:textId="77777777" w:rsidR="00F351CE" w:rsidRPr="006810DB" w:rsidRDefault="00F351CE" w:rsidP="006810DB">
      <w:pPr>
        <w:spacing w:line="276" w:lineRule="auto"/>
        <w:rPr>
          <w:rFonts w:ascii="Book Antiqua" w:hAnsi="Book Antiqua"/>
          <w:b/>
          <w:bCs/>
          <w:sz w:val="20"/>
          <w:szCs w:val="20"/>
          <w:lang w:val="en"/>
        </w:rPr>
      </w:pPr>
      <w:bookmarkStart w:id="229" w:name="_dsoui4v1epq9" w:colFirst="0" w:colLast="0"/>
      <w:bookmarkEnd w:id="229"/>
      <w:r w:rsidRPr="006810DB">
        <w:rPr>
          <w:rFonts w:ascii="Book Antiqua" w:hAnsi="Book Antiqua"/>
          <w:b/>
          <w:bCs/>
          <w:sz w:val="20"/>
          <w:szCs w:val="20"/>
          <w:lang w:val="en"/>
        </w:rPr>
        <w:br w:type="page"/>
      </w:r>
    </w:p>
    <w:p w14:paraId="63A9B10F" w14:textId="77777777" w:rsidR="00824155" w:rsidRPr="006810DB" w:rsidRDefault="00824155" w:rsidP="00824155">
      <w:pPr>
        <w:pStyle w:val="Heading2"/>
        <w:jc w:val="center"/>
      </w:pPr>
      <w:bookmarkStart w:id="230" w:name="_Toc223088929"/>
      <w:r w:rsidRPr="006810DB">
        <w:lastRenderedPageBreak/>
        <w:t>GLOSARIUM</w:t>
      </w:r>
      <w:bookmarkEnd w:id="230"/>
    </w:p>
    <w:p w14:paraId="7FFA6CCE" w14:textId="77777777" w:rsidR="00824155" w:rsidRPr="006810DB" w:rsidRDefault="00824155" w:rsidP="00824155">
      <w:pPr>
        <w:spacing w:after="0" w:line="276" w:lineRule="auto"/>
        <w:jc w:val="both"/>
        <w:rPr>
          <w:rFonts w:ascii="Book Antiqua" w:hAnsi="Book Antiqua"/>
          <w:b/>
          <w:bCs/>
          <w:sz w:val="20"/>
          <w:szCs w:val="20"/>
          <w:lang w:val="en"/>
        </w:rPr>
      </w:pPr>
    </w:p>
    <w:p w14:paraId="452D0B4E"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i/>
          <w:iCs/>
          <w:sz w:val="20"/>
          <w:szCs w:val="20"/>
          <w:lang w:val="en"/>
        </w:rPr>
        <w:t>Batch-to-Batch Consistency</w:t>
      </w:r>
      <w:r w:rsidRPr="006810DB">
        <w:rPr>
          <w:rFonts w:ascii="Book Antiqua" w:hAnsi="Book Antiqua"/>
          <w:sz w:val="20"/>
          <w:szCs w:val="20"/>
          <w:lang w:val="en"/>
        </w:rPr>
        <w:t>: Tingkat keseragaman kualitas dan karakteristik produk antara satu siklus produksi dengan siklus produksi lainnya.</w:t>
      </w:r>
    </w:p>
    <w:p w14:paraId="6C177B89"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Bioakumulator</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Organisme (dalam hal ini tanaman) yang menyerap dan menahan zat kimia (seperti logam berat) dari lingkungannya pada konsentrasi yang lebih tinggi daripada yang ditemukan di lingkungan sekitarnya.</w:t>
      </w:r>
    </w:p>
    <w:p w14:paraId="5BEB2C8E"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Fitofarmaka</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Kategori obat bahan alam di Indonesia yang telah dibuktikan keamanan dan khasiatnya secara ilmiah melalui uji praklinis dan uji klinis, serta bahan baku dan produk jadinya telah distandarisasi.</w:t>
      </w:r>
    </w:p>
    <w:p w14:paraId="6819321A"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HPLC (</w:t>
      </w:r>
      <w:r w:rsidRPr="006810DB">
        <w:rPr>
          <w:rFonts w:ascii="Book Antiqua" w:hAnsi="Book Antiqua"/>
          <w:b/>
          <w:bCs/>
          <w:i/>
          <w:iCs/>
          <w:sz w:val="20"/>
          <w:szCs w:val="20"/>
          <w:lang w:val="en"/>
        </w:rPr>
        <w:t>High Performance Liquid Chromatography</w:t>
      </w:r>
      <w:r w:rsidRPr="006810DB">
        <w:rPr>
          <w:rFonts w:ascii="Book Antiqua" w:hAnsi="Book Antiqua"/>
          <w:b/>
          <w:bCs/>
          <w:sz w:val="20"/>
          <w:szCs w:val="20"/>
          <w:lang w:val="en"/>
        </w:rPr>
        <w:t>):</w:t>
      </w:r>
      <w:r w:rsidRPr="006810DB">
        <w:rPr>
          <w:rFonts w:ascii="Book Antiqua" w:hAnsi="Book Antiqua"/>
          <w:sz w:val="20"/>
          <w:szCs w:val="20"/>
          <w:lang w:val="en"/>
        </w:rPr>
        <w:t xml:space="preserve"> Teknik analisis instrumental yang digunakan untuk memisahkan, mengidentifikasi, dan mengukur kuantitas setiap komponen dalam campuran kimia dengan presisi tinggi.</w:t>
      </w:r>
    </w:p>
    <w:p w14:paraId="29A40C94"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Senyawa Penanda (</w:t>
      </w:r>
      <w:r w:rsidRPr="006810DB">
        <w:rPr>
          <w:rFonts w:ascii="Book Antiqua" w:hAnsi="Book Antiqua"/>
          <w:b/>
          <w:bCs/>
          <w:i/>
          <w:iCs/>
          <w:sz w:val="20"/>
          <w:szCs w:val="20"/>
          <w:lang w:val="en"/>
        </w:rPr>
        <w:t>Marker Compound</w:t>
      </w:r>
      <w:r w:rsidRPr="006810DB">
        <w:rPr>
          <w:rFonts w:ascii="Book Antiqua" w:hAnsi="Book Antiqua"/>
          <w:b/>
          <w:bCs/>
          <w:sz w:val="20"/>
          <w:szCs w:val="20"/>
          <w:lang w:val="en"/>
        </w:rPr>
        <w:t>)</w:t>
      </w:r>
      <w:r w:rsidRPr="006810DB">
        <w:rPr>
          <w:rFonts w:ascii="Book Antiqua" w:hAnsi="Book Antiqua"/>
          <w:sz w:val="20"/>
          <w:szCs w:val="20"/>
          <w:lang w:val="en"/>
        </w:rPr>
        <w:t>: Senyawa kimia tertentu dalam bahan herbal yang digunakan untuk tujuan identifikasi atau kendali mutu, yang mungkin atau mungkin tidak memiliki aktivitas terapeutik sendiri.</w:t>
      </w:r>
    </w:p>
    <w:p w14:paraId="15834A48"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Standardisasi</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Proses penentuan dan penerapan norma, aturan, dan spesifikasi teknis untuk menjamin kualitas, keamanan, dan efikasi produk secara konsisten.</w:t>
      </w:r>
    </w:p>
    <w:p w14:paraId="68C56EB1" w14:textId="77777777" w:rsidR="00824155" w:rsidRPr="006810DB" w:rsidRDefault="00824155" w:rsidP="00824155">
      <w:pPr>
        <w:spacing w:line="276" w:lineRule="auto"/>
        <w:rPr>
          <w:rFonts w:ascii="Book Antiqua" w:hAnsi="Book Antiqua"/>
          <w:b/>
          <w:bCs/>
          <w:sz w:val="20"/>
          <w:szCs w:val="20"/>
          <w:lang w:val="en"/>
        </w:rPr>
      </w:pPr>
      <w:bookmarkStart w:id="231" w:name="_pybmzski6vy6" w:colFirst="0" w:colLast="0"/>
      <w:bookmarkEnd w:id="231"/>
      <w:r w:rsidRPr="006810DB">
        <w:rPr>
          <w:rFonts w:ascii="Book Antiqua" w:hAnsi="Book Antiqua"/>
          <w:b/>
          <w:bCs/>
          <w:sz w:val="20"/>
          <w:szCs w:val="20"/>
          <w:lang w:val="en"/>
        </w:rPr>
        <w:br w:type="page"/>
      </w:r>
    </w:p>
    <w:p w14:paraId="4122BB3C" w14:textId="77777777" w:rsidR="006D3DC3" w:rsidRPr="006810DB" w:rsidRDefault="006D3DC3" w:rsidP="006810DB">
      <w:pPr>
        <w:pStyle w:val="Heading2"/>
        <w:jc w:val="center"/>
      </w:pPr>
      <w:bookmarkStart w:id="232" w:name="_Toc223088930"/>
      <w:r w:rsidRPr="006810DB">
        <w:lastRenderedPageBreak/>
        <w:t>DAFTAR PUSTAKA</w:t>
      </w:r>
      <w:bookmarkEnd w:id="232"/>
    </w:p>
    <w:p w14:paraId="6C75C728" w14:textId="77777777" w:rsidR="006D3DC3" w:rsidRPr="006810DB" w:rsidRDefault="006D3DC3" w:rsidP="006810DB">
      <w:pPr>
        <w:spacing w:after="0" w:line="276" w:lineRule="auto"/>
        <w:jc w:val="both"/>
        <w:rPr>
          <w:rFonts w:ascii="Book Antiqua" w:hAnsi="Book Antiqua"/>
          <w:b/>
          <w:bCs/>
          <w:sz w:val="20"/>
          <w:szCs w:val="20"/>
          <w:lang w:val="en"/>
        </w:rPr>
      </w:pPr>
    </w:p>
    <w:p w14:paraId="7D664BFA"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Al-Saleh, I. A., Billedo, G., &amp; El-Doush, I. I. (2006). Levels of selenium, DL-alpha-tocopherol, DL-gamma-tocopherol, all-trans-retinol, thymoquinone and thymol in different brands of Nigella sativa seeds. </w:t>
      </w:r>
      <w:r w:rsidRPr="006810DB">
        <w:rPr>
          <w:rFonts w:ascii="Book Antiqua" w:hAnsi="Book Antiqua"/>
          <w:i/>
          <w:iCs/>
          <w:color w:val="000000" w:themeColor="text1"/>
          <w:sz w:val="20"/>
          <w:szCs w:val="20"/>
          <w:lang w:val="en"/>
        </w:rPr>
        <w:t>Journal of Food Composition and Analysis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19</w:t>
      </w:r>
      <w:r w:rsidRPr="006810DB">
        <w:rPr>
          <w:rFonts w:ascii="Book Antiqua" w:hAnsi="Book Antiqua"/>
          <w:color w:val="000000" w:themeColor="text1"/>
          <w:sz w:val="20"/>
          <w:szCs w:val="20"/>
          <w:lang w:val="en"/>
        </w:rPr>
        <w:t>(2-3), 167-175.</w:t>
      </w:r>
      <w:hyperlink r:id="rId171">
        <w:r w:rsidRPr="006810DB">
          <w:rPr>
            <w:rStyle w:val="Hyperlink"/>
            <w:rFonts w:ascii="Book Antiqua" w:hAnsi="Book Antiqua"/>
            <w:color w:val="000000" w:themeColor="text1"/>
            <w:sz w:val="20"/>
            <w:szCs w:val="20"/>
            <w:u w:val="none"/>
            <w:lang w:val="en"/>
          </w:rPr>
          <w:t xml:space="preserve"> </w:t>
        </w:r>
      </w:hyperlink>
      <w:hyperlink r:id="rId172">
        <w:r w:rsidRPr="006810DB">
          <w:rPr>
            <w:rStyle w:val="Hyperlink"/>
            <w:rFonts w:ascii="Book Antiqua" w:hAnsi="Book Antiqua"/>
            <w:color w:val="000000" w:themeColor="text1"/>
            <w:sz w:val="20"/>
            <w:szCs w:val="20"/>
            <w:u w:val="none"/>
            <w:lang w:val="en"/>
          </w:rPr>
          <w:t>https://doi.org/10.1016/j.jfca.2004.06.001</w:t>
        </w:r>
      </w:hyperlink>
    </w:p>
    <w:p w14:paraId="587DBF2A"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Badan POM. (2019). </w:t>
      </w:r>
      <w:r w:rsidRPr="006810DB">
        <w:rPr>
          <w:rFonts w:ascii="Book Antiqua" w:hAnsi="Book Antiqua"/>
          <w:i/>
          <w:iCs/>
          <w:color w:val="000000" w:themeColor="text1"/>
          <w:sz w:val="20"/>
          <w:szCs w:val="20"/>
          <w:lang w:val="en"/>
        </w:rPr>
        <w:t>Peraturan Badan Pengawas Obat dan Makanan Nomor 32 Tahun 2019 tentang Persyaratan Keamanan dan Mutu Obat Tradisional</w:t>
      </w:r>
      <w:r w:rsidRPr="006810DB">
        <w:rPr>
          <w:rFonts w:ascii="Book Antiqua" w:hAnsi="Book Antiqua"/>
          <w:color w:val="000000" w:themeColor="text1"/>
          <w:sz w:val="20"/>
          <w:szCs w:val="20"/>
          <w:lang w:val="en"/>
        </w:rPr>
        <w:t>. Badan Pengawas Obat dan Makanan Republik Indonesia.</w:t>
      </w:r>
    </w:p>
    <w:p w14:paraId="6B1B8625"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Belfiore, E., Di Prima, G., Angellotti, G., Panzarella, V., &amp; De Caro, V. (2024). Plant-Derived Polyphenols to Prevent and Treat Oral Mucositis Induced by Chemo- and Radiotherapy in Head and Neck Cancers Management. </w:t>
      </w:r>
      <w:r w:rsidRPr="006810DB">
        <w:rPr>
          <w:rFonts w:ascii="Book Antiqua" w:hAnsi="Book Antiqua"/>
          <w:i/>
          <w:iCs/>
          <w:color w:val="000000" w:themeColor="text1"/>
          <w:sz w:val="20"/>
          <w:szCs w:val="20"/>
          <w:lang w:val="en"/>
        </w:rPr>
        <w:t>Cancers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16</w:t>
      </w:r>
      <w:r w:rsidRPr="006810DB">
        <w:rPr>
          <w:rFonts w:ascii="Book Antiqua" w:hAnsi="Book Antiqua"/>
          <w:color w:val="000000" w:themeColor="text1"/>
          <w:sz w:val="20"/>
          <w:szCs w:val="20"/>
          <w:lang w:val="en"/>
        </w:rPr>
        <w:t>(2), 260.</w:t>
      </w:r>
      <w:hyperlink r:id="rId173">
        <w:r w:rsidRPr="006810DB">
          <w:rPr>
            <w:rStyle w:val="Hyperlink"/>
            <w:rFonts w:ascii="Book Antiqua" w:hAnsi="Book Antiqua"/>
            <w:color w:val="000000" w:themeColor="text1"/>
            <w:sz w:val="20"/>
            <w:szCs w:val="20"/>
            <w:u w:val="none"/>
            <w:lang w:val="en"/>
          </w:rPr>
          <w:t xml:space="preserve"> </w:t>
        </w:r>
      </w:hyperlink>
      <w:hyperlink r:id="rId174">
        <w:r w:rsidRPr="006810DB">
          <w:rPr>
            <w:rStyle w:val="Hyperlink"/>
            <w:rFonts w:ascii="Book Antiqua" w:hAnsi="Book Antiqua"/>
            <w:color w:val="000000" w:themeColor="text1"/>
            <w:sz w:val="20"/>
            <w:szCs w:val="20"/>
            <w:u w:val="none"/>
            <w:lang w:val="en"/>
          </w:rPr>
          <w:t>https://doi.org/10.3390/cancers16020260</w:t>
        </w:r>
      </w:hyperlink>
    </w:p>
    <w:p w14:paraId="19F63C1E"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Chavda, V. P., Vihol, D., Shah, P., Vaghasiya, D., &amp; Patel, S. S. (2023). Cisplatin-induced nephrotoxicity: a comprehensive review of pathogenesis and potential therapeutic agents. </w:t>
      </w:r>
      <w:r w:rsidRPr="006810DB">
        <w:rPr>
          <w:rFonts w:ascii="Book Antiqua" w:hAnsi="Book Antiqua"/>
          <w:i/>
          <w:iCs/>
          <w:color w:val="000000" w:themeColor="text1"/>
          <w:sz w:val="20"/>
          <w:szCs w:val="20"/>
          <w:lang w:val="en"/>
        </w:rPr>
        <w:t>Naunyn-Schmiedeberg's Archives of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396</w:t>
      </w:r>
      <w:r w:rsidRPr="006810DB">
        <w:rPr>
          <w:rFonts w:ascii="Book Antiqua" w:hAnsi="Book Antiqua"/>
          <w:color w:val="000000" w:themeColor="text1"/>
          <w:sz w:val="20"/>
          <w:szCs w:val="20"/>
          <w:lang w:val="en"/>
        </w:rPr>
        <w:t>, 655–671.</w:t>
      </w:r>
      <w:hyperlink r:id="rId175">
        <w:r w:rsidRPr="006810DB">
          <w:rPr>
            <w:rStyle w:val="Hyperlink"/>
            <w:rFonts w:ascii="Book Antiqua" w:hAnsi="Book Antiqua"/>
            <w:color w:val="000000" w:themeColor="text1"/>
            <w:sz w:val="20"/>
            <w:szCs w:val="20"/>
            <w:u w:val="none"/>
            <w:lang w:val="en"/>
          </w:rPr>
          <w:t xml:space="preserve"> </w:t>
        </w:r>
      </w:hyperlink>
      <w:hyperlink r:id="rId176">
        <w:r w:rsidRPr="006810DB">
          <w:rPr>
            <w:rStyle w:val="Hyperlink"/>
            <w:rFonts w:ascii="Book Antiqua" w:hAnsi="Book Antiqua"/>
            <w:color w:val="000000" w:themeColor="text1"/>
            <w:sz w:val="20"/>
            <w:szCs w:val="20"/>
            <w:u w:val="none"/>
            <w:lang w:val="en"/>
          </w:rPr>
          <w:t>https://doi.org/10.1007/s00210-022-02343-y</w:t>
        </w:r>
      </w:hyperlink>
    </w:p>
    <w:p w14:paraId="166D1C59"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Goyal, S. N., Prajapati, C. P., Gore, P. R., &amp; Patil, C. R. (2017). Therapeutic potential and pharmaceutical development of thymoquinone: a multitargeted molecule of natural origin. </w:t>
      </w:r>
      <w:r w:rsidRPr="006810DB">
        <w:rPr>
          <w:rFonts w:ascii="Book Antiqua" w:hAnsi="Book Antiqua"/>
          <w:i/>
          <w:iCs/>
          <w:color w:val="000000" w:themeColor="text1"/>
          <w:sz w:val="20"/>
          <w:szCs w:val="20"/>
          <w:lang w:val="en"/>
        </w:rPr>
        <w:t>Frontiers in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w:t>
      </w:r>
      <w:r w:rsidRPr="006810DB">
        <w:rPr>
          <w:rFonts w:ascii="Book Antiqua" w:hAnsi="Book Antiqua"/>
          <w:color w:val="000000" w:themeColor="text1"/>
          <w:sz w:val="20"/>
          <w:szCs w:val="20"/>
          <w:lang w:val="en"/>
        </w:rPr>
        <w:t>, 656.</w:t>
      </w:r>
      <w:hyperlink r:id="rId177">
        <w:r w:rsidRPr="006810DB">
          <w:rPr>
            <w:rStyle w:val="Hyperlink"/>
            <w:rFonts w:ascii="Book Antiqua" w:hAnsi="Book Antiqua"/>
            <w:color w:val="000000" w:themeColor="text1"/>
            <w:sz w:val="20"/>
            <w:szCs w:val="20"/>
            <w:u w:val="none"/>
            <w:lang w:val="en"/>
          </w:rPr>
          <w:t xml:space="preserve"> </w:t>
        </w:r>
      </w:hyperlink>
      <w:hyperlink r:id="rId178">
        <w:r w:rsidRPr="006810DB">
          <w:rPr>
            <w:rStyle w:val="Hyperlink"/>
            <w:rFonts w:ascii="Book Antiqua" w:hAnsi="Book Antiqua"/>
            <w:color w:val="000000" w:themeColor="text1"/>
            <w:sz w:val="20"/>
            <w:szCs w:val="20"/>
            <w:u w:val="none"/>
            <w:lang w:val="en"/>
          </w:rPr>
          <w:t>https://doi.org/10.3389/fphar.2017.00656</w:t>
        </w:r>
      </w:hyperlink>
    </w:p>
    <w:p w14:paraId="72E546D0"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Hannan, M. A., Sohag, A. A. M., Uddin, M. J., Dash, R., Sikder, M. H., Rahman, M. S., ... &amp; Kim, B. (2021). Black Cumin (Nigella sativa L.): A Comprehensive Review on Phytochemistry, Health Benefits, Molecular Pharmacology, and Safety. </w:t>
      </w:r>
      <w:r w:rsidRPr="006810DB">
        <w:rPr>
          <w:rFonts w:ascii="Book Antiqua" w:hAnsi="Book Antiqua"/>
          <w:i/>
          <w:iCs/>
          <w:color w:val="000000" w:themeColor="text1"/>
          <w:sz w:val="20"/>
          <w:szCs w:val="20"/>
          <w:lang w:val="en"/>
        </w:rPr>
        <w:t>Nutrients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13</w:t>
      </w:r>
      <w:r w:rsidRPr="006810DB">
        <w:rPr>
          <w:rFonts w:ascii="Book Antiqua" w:hAnsi="Book Antiqua"/>
          <w:color w:val="000000" w:themeColor="text1"/>
          <w:sz w:val="20"/>
          <w:szCs w:val="20"/>
          <w:lang w:val="en"/>
        </w:rPr>
        <w:t>(6), 1784.</w:t>
      </w:r>
      <w:hyperlink r:id="rId179">
        <w:r w:rsidRPr="006810DB">
          <w:rPr>
            <w:rStyle w:val="Hyperlink"/>
            <w:rFonts w:ascii="Book Antiqua" w:hAnsi="Book Antiqua"/>
            <w:color w:val="000000" w:themeColor="text1"/>
            <w:sz w:val="20"/>
            <w:szCs w:val="20"/>
            <w:u w:val="none"/>
            <w:lang w:val="en"/>
          </w:rPr>
          <w:t xml:space="preserve"> </w:t>
        </w:r>
      </w:hyperlink>
      <w:hyperlink r:id="rId180">
        <w:r w:rsidRPr="006810DB">
          <w:rPr>
            <w:rStyle w:val="Hyperlink"/>
            <w:rFonts w:ascii="Book Antiqua" w:hAnsi="Book Antiqua"/>
            <w:color w:val="000000" w:themeColor="text1"/>
            <w:sz w:val="20"/>
            <w:szCs w:val="20"/>
            <w:u w:val="none"/>
            <w:lang w:val="en"/>
          </w:rPr>
          <w:t>https://doi.org/10.3390/nu13061784</w:t>
        </w:r>
      </w:hyperlink>
    </w:p>
    <w:p w14:paraId="60DA9A83" w14:textId="77777777" w:rsidR="006D3DC3" w:rsidRPr="006810DB" w:rsidRDefault="006D3DC3" w:rsidP="006810DB">
      <w:pPr>
        <w:spacing w:line="276" w:lineRule="auto"/>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br w:type="page"/>
      </w:r>
    </w:p>
    <w:p w14:paraId="3D6684A8"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Heinrich, M., Jalil, B., Abdel-Tawab, M., Echeverria, J., Kulić, Z., McGaw, L. J., ... &amp; Appendino, G. (2022). Best Practice in Research of Plants and Other Natural Products. </w:t>
      </w:r>
      <w:r w:rsidRPr="006810DB">
        <w:rPr>
          <w:rFonts w:ascii="Book Antiqua" w:hAnsi="Book Antiqua"/>
          <w:i/>
          <w:iCs/>
          <w:color w:val="000000" w:themeColor="text1"/>
          <w:sz w:val="20"/>
          <w:szCs w:val="20"/>
          <w:lang w:val="en"/>
        </w:rPr>
        <w:t>Frontiers in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13</w:t>
      </w:r>
      <w:r w:rsidRPr="006810DB">
        <w:rPr>
          <w:rFonts w:ascii="Book Antiqua" w:hAnsi="Book Antiqua"/>
          <w:color w:val="000000" w:themeColor="text1"/>
          <w:sz w:val="20"/>
          <w:szCs w:val="20"/>
          <w:lang w:val="en"/>
        </w:rPr>
        <w:t>, 953205.</w:t>
      </w:r>
      <w:hyperlink r:id="rId181">
        <w:r w:rsidRPr="006810DB">
          <w:rPr>
            <w:rStyle w:val="Hyperlink"/>
            <w:rFonts w:ascii="Book Antiqua" w:hAnsi="Book Antiqua"/>
            <w:color w:val="000000" w:themeColor="text1"/>
            <w:sz w:val="20"/>
            <w:szCs w:val="20"/>
            <w:u w:val="none"/>
            <w:lang w:val="en"/>
          </w:rPr>
          <w:t xml:space="preserve"> </w:t>
        </w:r>
      </w:hyperlink>
      <w:hyperlink r:id="rId182">
        <w:r w:rsidRPr="006810DB">
          <w:rPr>
            <w:rStyle w:val="Hyperlink"/>
            <w:rFonts w:ascii="Book Antiqua" w:hAnsi="Book Antiqua"/>
            <w:color w:val="000000" w:themeColor="text1"/>
            <w:sz w:val="20"/>
            <w:szCs w:val="20"/>
            <w:u w:val="none"/>
            <w:lang w:val="en"/>
          </w:rPr>
          <w:t>https://doi.org/10.3389/fphar.2022.953205</w:t>
        </w:r>
      </w:hyperlink>
    </w:p>
    <w:p w14:paraId="20FBFE8B"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Kazemi, S., Moghadamnia, A., Saebnouri, H., Roudsari, S., &amp; Afraz, E. (2022). Effect of intraperitoneal injection of Nigella sativa oil on 5-fluorouracil-induced oral mucositis in rats. </w:t>
      </w:r>
      <w:r w:rsidRPr="006810DB">
        <w:rPr>
          <w:rFonts w:ascii="Book Antiqua" w:hAnsi="Book Antiqua"/>
          <w:i/>
          <w:iCs/>
          <w:color w:val="000000" w:themeColor="text1"/>
          <w:sz w:val="20"/>
          <w:szCs w:val="20"/>
          <w:lang w:val="en"/>
        </w:rPr>
        <w:t>Journal of Biological Studies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w:t>
      </w:r>
      <w:r w:rsidRPr="006810DB">
        <w:rPr>
          <w:rFonts w:ascii="Book Antiqua" w:hAnsi="Book Antiqua"/>
          <w:color w:val="000000" w:themeColor="text1"/>
          <w:sz w:val="20"/>
          <w:szCs w:val="20"/>
          <w:lang w:val="en"/>
        </w:rPr>
        <w:t>(1), 6365.</w:t>
      </w:r>
      <w:hyperlink r:id="rId183">
        <w:r w:rsidRPr="006810DB">
          <w:rPr>
            <w:rStyle w:val="Hyperlink"/>
            <w:rFonts w:ascii="Book Antiqua" w:hAnsi="Book Antiqua"/>
            <w:color w:val="000000" w:themeColor="text1"/>
            <w:sz w:val="20"/>
            <w:szCs w:val="20"/>
            <w:u w:val="none"/>
            <w:lang w:val="en"/>
          </w:rPr>
          <w:t xml:space="preserve"> </w:t>
        </w:r>
      </w:hyperlink>
      <w:hyperlink r:id="rId184">
        <w:r w:rsidRPr="006810DB">
          <w:rPr>
            <w:rStyle w:val="Hyperlink"/>
            <w:rFonts w:ascii="Book Antiqua" w:hAnsi="Book Antiqua"/>
            <w:color w:val="000000" w:themeColor="text1"/>
            <w:sz w:val="20"/>
            <w:szCs w:val="20"/>
            <w:u w:val="none"/>
            <w:lang w:val="en"/>
          </w:rPr>
          <w:t>https://doi.org/10.62400/jbs.v5i1.6365</w:t>
        </w:r>
      </w:hyperlink>
    </w:p>
    <w:p w14:paraId="7E60E858"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Kooti, W., Hasanzadeh-Noohi, Z., Sharafi-Ahvazi, N., Asadi-Samani, M., &amp; Ashtary-Larky, D. (2016). Phytochemistry, pharmacology, and therapeutic uses of black seed (Nigella sativa). </w:t>
      </w:r>
      <w:r w:rsidRPr="006810DB">
        <w:rPr>
          <w:rFonts w:ascii="Book Antiqua" w:hAnsi="Book Antiqua"/>
          <w:i/>
          <w:iCs/>
          <w:color w:val="000000" w:themeColor="text1"/>
          <w:sz w:val="20"/>
          <w:szCs w:val="20"/>
          <w:lang w:val="en"/>
        </w:rPr>
        <w:t>Chinese Journal of Natural Medicines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14</w:t>
      </w:r>
      <w:r w:rsidRPr="006810DB">
        <w:rPr>
          <w:rFonts w:ascii="Book Antiqua" w:hAnsi="Book Antiqua"/>
          <w:color w:val="000000" w:themeColor="text1"/>
          <w:sz w:val="20"/>
          <w:szCs w:val="20"/>
          <w:lang w:val="en"/>
        </w:rPr>
        <w:t>(10), 732-745.</w:t>
      </w:r>
      <w:hyperlink r:id="rId185">
        <w:r w:rsidRPr="006810DB">
          <w:rPr>
            <w:rStyle w:val="Hyperlink"/>
            <w:rFonts w:ascii="Book Antiqua" w:hAnsi="Book Antiqua"/>
            <w:color w:val="000000" w:themeColor="text1"/>
            <w:sz w:val="20"/>
            <w:szCs w:val="20"/>
            <w:u w:val="none"/>
            <w:lang w:val="en"/>
          </w:rPr>
          <w:t xml:space="preserve"> </w:t>
        </w:r>
      </w:hyperlink>
      <w:hyperlink r:id="rId186">
        <w:r w:rsidRPr="006810DB">
          <w:rPr>
            <w:rStyle w:val="Hyperlink"/>
            <w:rFonts w:ascii="Book Antiqua" w:hAnsi="Book Antiqua"/>
            <w:color w:val="000000" w:themeColor="text1"/>
            <w:sz w:val="20"/>
            <w:szCs w:val="20"/>
            <w:u w:val="none"/>
            <w:lang w:val="en"/>
          </w:rPr>
          <w:t>https://doi.org/10.1016/S1875-5364(16)30088-7</w:t>
        </w:r>
      </w:hyperlink>
    </w:p>
    <w:p w14:paraId="66BE6D9B"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Kosalec, I., Pepeljnjak, S., &amp; Hansel, R. (2009). Contaminants in medicinal herbs and herbal products. </w:t>
      </w:r>
      <w:r w:rsidRPr="006810DB">
        <w:rPr>
          <w:rFonts w:ascii="Book Antiqua" w:hAnsi="Book Antiqua"/>
          <w:i/>
          <w:iCs/>
          <w:color w:val="000000" w:themeColor="text1"/>
          <w:sz w:val="20"/>
          <w:szCs w:val="20"/>
          <w:lang w:val="en"/>
        </w:rPr>
        <w:t>Arhiv za Higijenu Rada i Toksikologiju</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60</w:t>
      </w:r>
      <w:r w:rsidRPr="006810DB">
        <w:rPr>
          <w:rFonts w:ascii="Book Antiqua" w:hAnsi="Book Antiqua"/>
          <w:color w:val="000000" w:themeColor="text1"/>
          <w:sz w:val="20"/>
          <w:szCs w:val="20"/>
          <w:lang w:val="en"/>
        </w:rPr>
        <w:t>(4), 485-501.</w:t>
      </w:r>
      <w:hyperlink r:id="rId187">
        <w:r w:rsidRPr="006810DB">
          <w:rPr>
            <w:rStyle w:val="Hyperlink"/>
            <w:rFonts w:ascii="Book Antiqua" w:hAnsi="Book Antiqua"/>
            <w:color w:val="000000" w:themeColor="text1"/>
            <w:sz w:val="20"/>
            <w:szCs w:val="20"/>
            <w:u w:val="none"/>
            <w:lang w:val="en"/>
          </w:rPr>
          <w:t xml:space="preserve"> </w:t>
        </w:r>
      </w:hyperlink>
      <w:hyperlink r:id="rId188">
        <w:r w:rsidRPr="006810DB">
          <w:rPr>
            <w:rStyle w:val="Hyperlink"/>
            <w:rFonts w:ascii="Book Antiqua" w:hAnsi="Book Antiqua"/>
            <w:color w:val="000000" w:themeColor="text1"/>
            <w:sz w:val="20"/>
            <w:szCs w:val="20"/>
            <w:u w:val="none"/>
            <w:lang w:val="en"/>
          </w:rPr>
          <w:t>https://doi.org/10.2478/10004-1254-60-2009-2005</w:t>
        </w:r>
      </w:hyperlink>
    </w:p>
    <w:p w14:paraId="327FB40B"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Lamine, J. B., Boujbiha, M. A., Dahmani, M., Cheraief, I., Khlifi, S., Chahdoura, R., ... &amp; Achour, L. (2019). Quality control of Nigella sativa oil: LC/MS analysis of thymoquinone and its degradation products. </w:t>
      </w:r>
      <w:r w:rsidRPr="006810DB">
        <w:rPr>
          <w:rFonts w:ascii="Book Antiqua" w:hAnsi="Book Antiqua"/>
          <w:i/>
          <w:iCs/>
          <w:color w:val="000000" w:themeColor="text1"/>
          <w:sz w:val="20"/>
          <w:szCs w:val="20"/>
          <w:lang w:val="en"/>
        </w:rPr>
        <w:t>Journal of Food Measurement and Characterization</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13</w:t>
      </w:r>
      <w:r w:rsidRPr="006810DB">
        <w:rPr>
          <w:rFonts w:ascii="Book Antiqua" w:hAnsi="Book Antiqua"/>
          <w:color w:val="000000" w:themeColor="text1"/>
          <w:sz w:val="20"/>
          <w:szCs w:val="20"/>
          <w:lang w:val="en"/>
        </w:rPr>
        <w:t>, 425–434.</w:t>
      </w:r>
      <w:hyperlink r:id="rId189">
        <w:r w:rsidRPr="006810DB">
          <w:rPr>
            <w:rStyle w:val="Hyperlink"/>
            <w:rFonts w:ascii="Book Antiqua" w:hAnsi="Book Antiqua"/>
            <w:color w:val="000000" w:themeColor="text1"/>
            <w:sz w:val="20"/>
            <w:szCs w:val="20"/>
            <w:u w:val="none"/>
            <w:lang w:val="en"/>
          </w:rPr>
          <w:t xml:space="preserve"> </w:t>
        </w:r>
      </w:hyperlink>
      <w:hyperlink r:id="rId190">
        <w:r w:rsidRPr="006810DB">
          <w:rPr>
            <w:rStyle w:val="Hyperlink"/>
            <w:rFonts w:ascii="Book Antiqua" w:hAnsi="Book Antiqua"/>
            <w:color w:val="000000" w:themeColor="text1"/>
            <w:sz w:val="20"/>
            <w:szCs w:val="20"/>
            <w:u w:val="none"/>
            <w:lang w:val="en"/>
          </w:rPr>
          <w:t>https://doi.org/10.1007/s11694-018-9957-6</w:t>
        </w:r>
      </w:hyperlink>
    </w:p>
    <w:p w14:paraId="682AD094"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Sahoo, N., Manchikanti, P., &amp; Dey, S. (2010). Herbal drugs: Standards and regulation. </w:t>
      </w:r>
      <w:r w:rsidRPr="006810DB">
        <w:rPr>
          <w:rFonts w:ascii="Book Antiqua" w:hAnsi="Book Antiqua"/>
          <w:i/>
          <w:iCs/>
          <w:color w:val="000000" w:themeColor="text1"/>
          <w:sz w:val="20"/>
          <w:szCs w:val="20"/>
          <w:lang w:val="en"/>
        </w:rPr>
        <w:t>Fitoterapia</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81</w:t>
      </w:r>
      <w:r w:rsidRPr="006810DB">
        <w:rPr>
          <w:rFonts w:ascii="Book Antiqua" w:hAnsi="Book Antiqua"/>
          <w:color w:val="000000" w:themeColor="text1"/>
          <w:sz w:val="20"/>
          <w:szCs w:val="20"/>
          <w:lang w:val="en"/>
        </w:rPr>
        <w:t>(6), 462-471.</w:t>
      </w:r>
      <w:hyperlink r:id="rId191">
        <w:r w:rsidRPr="006810DB">
          <w:rPr>
            <w:rStyle w:val="Hyperlink"/>
            <w:rFonts w:ascii="Book Antiqua" w:hAnsi="Book Antiqua"/>
            <w:color w:val="000000" w:themeColor="text1"/>
            <w:sz w:val="20"/>
            <w:szCs w:val="20"/>
            <w:u w:val="none"/>
            <w:lang w:val="en"/>
          </w:rPr>
          <w:t xml:space="preserve"> </w:t>
        </w:r>
      </w:hyperlink>
      <w:hyperlink r:id="rId192">
        <w:r w:rsidRPr="006810DB">
          <w:rPr>
            <w:rStyle w:val="Hyperlink"/>
            <w:rFonts w:ascii="Book Antiqua" w:hAnsi="Book Antiqua"/>
            <w:color w:val="000000" w:themeColor="text1"/>
            <w:sz w:val="20"/>
            <w:szCs w:val="20"/>
            <w:u w:val="none"/>
            <w:lang w:val="en"/>
          </w:rPr>
          <w:t>https://doi.org/10.1016/j.fitote.2010.02.001</w:t>
        </w:r>
      </w:hyperlink>
    </w:p>
    <w:p w14:paraId="4D909BA6"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Shafodino, F., Lusilao, J., &amp; Mwapagha, L. (2022). Phytochemical characterization and antimicrobial activity of Nigella sativa seeds. </w:t>
      </w:r>
      <w:r w:rsidRPr="006810DB">
        <w:rPr>
          <w:rFonts w:ascii="Book Antiqua" w:hAnsi="Book Antiqua"/>
          <w:i/>
          <w:iCs/>
          <w:color w:val="000000" w:themeColor="text1"/>
          <w:sz w:val="20"/>
          <w:szCs w:val="20"/>
          <w:lang w:val="en"/>
        </w:rPr>
        <w:t>PLoS ONE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17</w:t>
      </w:r>
      <w:r w:rsidRPr="006810DB">
        <w:rPr>
          <w:rFonts w:ascii="Book Antiqua" w:hAnsi="Book Antiqua"/>
          <w:color w:val="000000" w:themeColor="text1"/>
          <w:sz w:val="20"/>
          <w:szCs w:val="20"/>
          <w:lang w:val="en"/>
        </w:rPr>
        <w:t>(8), e0272457.</w:t>
      </w:r>
      <w:hyperlink r:id="rId193">
        <w:r w:rsidRPr="006810DB">
          <w:rPr>
            <w:rStyle w:val="Hyperlink"/>
            <w:rFonts w:ascii="Book Antiqua" w:hAnsi="Book Antiqua"/>
            <w:color w:val="000000" w:themeColor="text1"/>
            <w:sz w:val="20"/>
            <w:szCs w:val="20"/>
            <w:u w:val="none"/>
            <w:lang w:val="en"/>
          </w:rPr>
          <w:t xml:space="preserve"> </w:t>
        </w:r>
      </w:hyperlink>
      <w:hyperlink r:id="rId194">
        <w:r w:rsidRPr="006810DB">
          <w:rPr>
            <w:rStyle w:val="Hyperlink"/>
            <w:rFonts w:ascii="Book Antiqua" w:hAnsi="Book Antiqua"/>
            <w:color w:val="000000" w:themeColor="text1"/>
            <w:sz w:val="20"/>
            <w:szCs w:val="20"/>
            <w:u w:val="none"/>
            <w:lang w:val="en"/>
          </w:rPr>
          <w:t>https://doi.org/10.1371/journal.pone.0272457</w:t>
        </w:r>
      </w:hyperlink>
    </w:p>
    <w:p w14:paraId="3FB01FFF"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Sobhannizadeh, A., Giglou, M., Behnamian, M., Estaji, A., Majdi, M., &amp; Szumny, A. (2025). The effect of plant growth regulators, FeO3-CTs nanoparticles and LEDs light on the growth and biochemical compounds of black seed (Nigella sativa L.) callus in vitro. </w:t>
      </w:r>
      <w:r w:rsidRPr="006810DB">
        <w:rPr>
          <w:rFonts w:ascii="Book Antiqua" w:hAnsi="Book Antiqua"/>
          <w:i/>
          <w:iCs/>
          <w:color w:val="000000" w:themeColor="text1"/>
          <w:sz w:val="20"/>
          <w:szCs w:val="20"/>
          <w:lang w:val="en"/>
        </w:rPr>
        <w:t>BMC Plant Biology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25</w:t>
      </w:r>
      <w:r w:rsidRPr="006810DB">
        <w:rPr>
          <w:rFonts w:ascii="Book Antiqua" w:hAnsi="Book Antiqua"/>
          <w:color w:val="000000" w:themeColor="text1"/>
          <w:sz w:val="20"/>
          <w:szCs w:val="20"/>
          <w:lang w:val="en"/>
        </w:rPr>
        <w:t>, 1-15.</w:t>
      </w:r>
      <w:hyperlink r:id="rId195">
        <w:r w:rsidRPr="006810DB">
          <w:rPr>
            <w:rStyle w:val="Hyperlink"/>
            <w:rFonts w:ascii="Book Antiqua" w:hAnsi="Book Antiqua"/>
            <w:color w:val="000000" w:themeColor="text1"/>
            <w:sz w:val="20"/>
            <w:szCs w:val="20"/>
            <w:u w:val="none"/>
            <w:lang w:val="en"/>
          </w:rPr>
          <w:t xml:space="preserve"> </w:t>
        </w:r>
      </w:hyperlink>
      <w:hyperlink r:id="rId196">
        <w:r w:rsidRPr="006810DB">
          <w:rPr>
            <w:rStyle w:val="Hyperlink"/>
            <w:rFonts w:ascii="Book Antiqua" w:hAnsi="Book Antiqua"/>
            <w:color w:val="000000" w:themeColor="text1"/>
            <w:sz w:val="20"/>
            <w:szCs w:val="20"/>
            <w:u w:val="none"/>
            <w:lang w:val="en"/>
          </w:rPr>
          <w:t>https://doi.org/10.1186/s12870-025-06423-y</w:t>
        </w:r>
      </w:hyperlink>
    </w:p>
    <w:p w14:paraId="62C85AAB"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Street, R. A., Drisko, J., &amp; Basch, E. (2008). Heavy metal toxicity in herbal medicines. </w:t>
      </w:r>
      <w:r w:rsidRPr="006810DB">
        <w:rPr>
          <w:rFonts w:ascii="Book Antiqua" w:hAnsi="Book Antiqua"/>
          <w:i/>
          <w:iCs/>
          <w:color w:val="000000" w:themeColor="text1"/>
          <w:sz w:val="20"/>
          <w:szCs w:val="20"/>
          <w:lang w:val="en"/>
        </w:rPr>
        <w:t>South African Medical Journal</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98</w:t>
      </w:r>
      <w:r w:rsidRPr="006810DB">
        <w:rPr>
          <w:rFonts w:ascii="Book Antiqua" w:hAnsi="Book Antiqua"/>
          <w:color w:val="000000" w:themeColor="text1"/>
          <w:sz w:val="20"/>
          <w:szCs w:val="20"/>
          <w:lang w:val="en"/>
        </w:rPr>
        <w:t>(10), 770.</w:t>
      </w:r>
    </w:p>
    <w:p w14:paraId="3B4B3494"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Tchounwou, P. B., Yedjou, C. G., Patlolla, A. K., &amp; Sutton, D. J. (2012). Heavy metal toxicity and the environment. </w:t>
      </w:r>
      <w:r w:rsidRPr="006810DB">
        <w:rPr>
          <w:rFonts w:ascii="Book Antiqua" w:hAnsi="Book Antiqua"/>
          <w:i/>
          <w:iCs/>
          <w:color w:val="000000" w:themeColor="text1"/>
          <w:sz w:val="20"/>
          <w:szCs w:val="20"/>
          <w:lang w:val="en"/>
        </w:rPr>
        <w:t>Experientia Supplementum</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101</w:t>
      </w:r>
      <w:r w:rsidRPr="006810DB">
        <w:rPr>
          <w:rFonts w:ascii="Book Antiqua" w:hAnsi="Book Antiqua"/>
          <w:color w:val="000000" w:themeColor="text1"/>
          <w:sz w:val="20"/>
          <w:szCs w:val="20"/>
          <w:lang w:val="en"/>
        </w:rPr>
        <w:t>, 133–164.</w:t>
      </w:r>
      <w:hyperlink r:id="rId197">
        <w:r w:rsidRPr="006810DB">
          <w:rPr>
            <w:rStyle w:val="Hyperlink"/>
            <w:rFonts w:ascii="Book Antiqua" w:hAnsi="Book Antiqua"/>
            <w:color w:val="000000" w:themeColor="text1"/>
            <w:sz w:val="20"/>
            <w:szCs w:val="20"/>
            <w:u w:val="none"/>
            <w:lang w:val="en"/>
          </w:rPr>
          <w:t xml:space="preserve"> </w:t>
        </w:r>
      </w:hyperlink>
      <w:hyperlink r:id="rId198">
        <w:r w:rsidRPr="006810DB">
          <w:rPr>
            <w:rStyle w:val="Hyperlink"/>
            <w:rFonts w:ascii="Book Antiqua" w:hAnsi="Book Antiqua"/>
            <w:color w:val="000000" w:themeColor="text1"/>
            <w:sz w:val="20"/>
            <w:szCs w:val="20"/>
            <w:u w:val="none"/>
            <w:lang w:val="en"/>
          </w:rPr>
          <w:t>https://doi.org/10.1007/978-3-7643-8340-4_6</w:t>
        </w:r>
      </w:hyperlink>
    </w:p>
    <w:p w14:paraId="4F2CDF2A" w14:textId="77777777" w:rsidR="006D3DC3" w:rsidRPr="006810DB" w:rsidRDefault="006D3DC3"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Yimer, E. M., Tuem, K. B., Karim, A., Ur-Rehman, N., &amp; Anwar, F. (2019). Nigella sativa L. (Black Cumin): A Promising Natural Remedy for Wide Range of Illnesses. </w:t>
      </w:r>
      <w:r w:rsidRPr="006810DB">
        <w:rPr>
          <w:rFonts w:ascii="Book Antiqua" w:hAnsi="Book Antiqua"/>
          <w:i/>
          <w:iCs/>
          <w:color w:val="000000" w:themeColor="text1"/>
          <w:sz w:val="20"/>
          <w:szCs w:val="20"/>
          <w:lang w:val="en"/>
        </w:rPr>
        <w:t>Evidence-Based Complementary and Alternative Medicine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2019</w:t>
      </w:r>
      <w:r w:rsidRPr="006810DB">
        <w:rPr>
          <w:rFonts w:ascii="Book Antiqua" w:hAnsi="Book Antiqua"/>
          <w:color w:val="000000" w:themeColor="text1"/>
          <w:sz w:val="20"/>
          <w:szCs w:val="20"/>
          <w:lang w:val="en"/>
        </w:rPr>
        <w:t>, 1528635.</w:t>
      </w:r>
      <w:hyperlink r:id="rId199">
        <w:r w:rsidRPr="006810DB">
          <w:rPr>
            <w:rStyle w:val="Hyperlink"/>
            <w:rFonts w:ascii="Book Antiqua" w:hAnsi="Book Antiqua"/>
            <w:color w:val="000000" w:themeColor="text1"/>
            <w:sz w:val="20"/>
            <w:szCs w:val="20"/>
            <w:u w:val="none"/>
            <w:lang w:val="en"/>
          </w:rPr>
          <w:t xml:space="preserve"> </w:t>
        </w:r>
      </w:hyperlink>
      <w:hyperlink r:id="rId200">
        <w:r w:rsidRPr="006810DB">
          <w:rPr>
            <w:rStyle w:val="Hyperlink"/>
            <w:rFonts w:ascii="Book Antiqua" w:hAnsi="Book Antiqua"/>
            <w:color w:val="000000" w:themeColor="text1"/>
            <w:sz w:val="20"/>
            <w:szCs w:val="20"/>
            <w:u w:val="none"/>
            <w:lang w:val="en"/>
          </w:rPr>
          <w:t>https://doi.org/10.1155/2019/1528635</w:t>
        </w:r>
      </w:hyperlink>
    </w:p>
    <w:p w14:paraId="077A4074" w14:textId="77777777" w:rsidR="006D3DC3" w:rsidRPr="006810DB" w:rsidRDefault="006D3DC3" w:rsidP="006810DB">
      <w:pPr>
        <w:spacing w:after="120" w:line="276" w:lineRule="auto"/>
        <w:ind w:left="567" w:hanging="567"/>
        <w:jc w:val="both"/>
        <w:rPr>
          <w:rFonts w:ascii="Book Antiqua" w:hAnsi="Book Antiqua"/>
          <w:sz w:val="20"/>
          <w:szCs w:val="20"/>
          <w:lang w:val="en"/>
        </w:rPr>
      </w:pPr>
      <w:r w:rsidRPr="006810DB">
        <w:rPr>
          <w:rFonts w:ascii="Book Antiqua" w:hAnsi="Book Antiqua"/>
          <w:color w:val="000000" w:themeColor="text1"/>
          <w:sz w:val="20"/>
          <w:szCs w:val="20"/>
          <w:lang w:val="en"/>
        </w:rPr>
        <w:t xml:space="preserve">Zhai, Q., Narbad, A., &amp; Chen, W. (2019). Dietary strategies for the treatment of cadmium and lead toxicity. </w:t>
      </w:r>
      <w:r w:rsidRPr="006810DB">
        <w:rPr>
          <w:rFonts w:ascii="Book Antiqua" w:hAnsi="Book Antiqua"/>
          <w:i/>
          <w:iCs/>
          <w:color w:val="000000" w:themeColor="text1"/>
          <w:sz w:val="20"/>
          <w:szCs w:val="20"/>
          <w:lang w:val="en"/>
        </w:rPr>
        <w:t>Nutrients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7</w:t>
      </w:r>
      <w:r w:rsidRPr="006810DB">
        <w:rPr>
          <w:rFonts w:ascii="Book Antiqua" w:hAnsi="Book Antiqua"/>
          <w:color w:val="000000" w:themeColor="text1"/>
          <w:sz w:val="20"/>
          <w:szCs w:val="20"/>
          <w:lang w:val="en"/>
        </w:rPr>
        <w:t>(1), 55-64.</w:t>
      </w:r>
      <w:hyperlink r:id="rId201">
        <w:r w:rsidRPr="006810DB">
          <w:rPr>
            <w:rStyle w:val="Hyperlink"/>
            <w:rFonts w:ascii="Book Antiqua" w:hAnsi="Book Antiqua"/>
            <w:color w:val="000000" w:themeColor="text1"/>
            <w:sz w:val="20"/>
            <w:szCs w:val="20"/>
            <w:u w:val="none"/>
            <w:lang w:val="en"/>
          </w:rPr>
          <w:t xml:space="preserve"> </w:t>
        </w:r>
      </w:hyperlink>
      <w:hyperlink r:id="rId202">
        <w:r w:rsidRPr="006810DB">
          <w:rPr>
            <w:rStyle w:val="Hyperlink"/>
            <w:rFonts w:ascii="Book Antiqua" w:hAnsi="Book Antiqua"/>
            <w:color w:val="000000" w:themeColor="text1"/>
            <w:sz w:val="20"/>
            <w:szCs w:val="20"/>
            <w:u w:val="none"/>
            <w:lang w:val="en"/>
          </w:rPr>
          <w:t>https://doi.org/10.3390/nu7010055</w:t>
        </w:r>
      </w:hyperlink>
    </w:p>
    <w:p w14:paraId="78074EB8" w14:textId="77777777" w:rsidR="006D3DC3" w:rsidRPr="006810DB" w:rsidRDefault="006D3DC3" w:rsidP="006810DB">
      <w:pPr>
        <w:spacing w:after="0" w:line="276" w:lineRule="auto"/>
        <w:jc w:val="both"/>
        <w:rPr>
          <w:rFonts w:ascii="Book Antiqua" w:hAnsi="Book Antiqua"/>
          <w:b/>
          <w:bCs/>
          <w:sz w:val="20"/>
          <w:szCs w:val="20"/>
          <w:lang w:val="en"/>
        </w:rPr>
      </w:pPr>
      <w:bookmarkStart w:id="233" w:name="_srg4soegk8cr" w:colFirst="0" w:colLast="0"/>
      <w:bookmarkEnd w:id="233"/>
    </w:p>
    <w:p w14:paraId="4B63EBF8" w14:textId="77777777" w:rsidR="006D3DC3" w:rsidRPr="006810DB" w:rsidRDefault="006D3DC3"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72E98BA0" w14:textId="6E114DF0" w:rsidR="00F351CE" w:rsidRPr="006810DB" w:rsidRDefault="00F351CE" w:rsidP="006810DB">
      <w:pPr>
        <w:pStyle w:val="Heading1"/>
        <w:spacing w:before="0" w:line="276" w:lineRule="auto"/>
        <w:ind w:firstLine="142"/>
        <w:rPr>
          <w:b/>
          <w:bCs/>
          <w:szCs w:val="20"/>
          <w:lang w:val="en"/>
        </w:rPr>
      </w:pPr>
      <w:bookmarkStart w:id="234" w:name="_Toc223088931"/>
      <w:r w:rsidRPr="006810DB">
        <w:rPr>
          <w:b/>
          <w:noProof/>
          <w:sz w:val="48"/>
          <w:szCs w:val="20"/>
          <w:lang w:val="en-US"/>
        </w:rPr>
        <w:lastRenderedPageBreak/>
        <mc:AlternateContent>
          <mc:Choice Requires="wps">
            <w:drawing>
              <wp:anchor distT="0" distB="0" distL="114300" distR="114300" simplePos="0" relativeHeight="251694080" behindDoc="0" locked="0" layoutInCell="1" allowOverlap="1" wp14:anchorId="049E603B" wp14:editId="3235C67B">
                <wp:simplePos x="0" y="0"/>
                <wp:positionH relativeFrom="column">
                  <wp:posOffset>910590</wp:posOffset>
                </wp:positionH>
                <wp:positionV relativeFrom="paragraph">
                  <wp:posOffset>133350</wp:posOffset>
                </wp:positionV>
                <wp:extent cx="2820035" cy="1066800"/>
                <wp:effectExtent l="0" t="0" r="0" b="0"/>
                <wp:wrapNone/>
                <wp:docPr id="22" name="Rectangle 22"/>
                <wp:cNvGraphicFramePr/>
                <a:graphic xmlns:a="http://schemas.openxmlformats.org/drawingml/2006/main">
                  <a:graphicData uri="http://schemas.microsoft.com/office/word/2010/wordprocessingShape">
                    <wps:wsp>
                      <wps:cNvSpPr/>
                      <wps:spPr>
                        <a:xfrm>
                          <a:off x="0" y="0"/>
                          <a:ext cx="2820035" cy="1066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A60DE16" w14:textId="7A615854" w:rsidR="00F351CE" w:rsidRPr="006D3DC3" w:rsidRDefault="00F351CE" w:rsidP="00F351CE">
                            <w:pPr>
                              <w:spacing w:after="0" w:line="276" w:lineRule="auto"/>
                              <w:jc w:val="center"/>
                              <w:rPr>
                                <w:rFonts w:ascii="Book Antiqua" w:hAnsi="Book Antiqua"/>
                                <w:b/>
                                <w:bCs/>
                                <w:sz w:val="32"/>
                                <w:szCs w:val="36"/>
                                <w:lang w:val="en"/>
                              </w:rPr>
                            </w:pPr>
                            <w:bookmarkStart w:id="235" w:name="_Hlk222850780"/>
                            <w:bookmarkStart w:id="236" w:name="_Hlk222850781"/>
                            <w:r w:rsidRPr="006D3DC3">
                              <w:rPr>
                                <w:rFonts w:ascii="Book Antiqua" w:hAnsi="Book Antiqua"/>
                                <w:b/>
                                <w:bCs/>
                                <w:sz w:val="32"/>
                                <w:szCs w:val="36"/>
                                <w:lang w:val="en"/>
                              </w:rPr>
                              <w:t xml:space="preserve">AKTIVITAS ANTIOKSIDAN EKSTRAK </w:t>
                            </w:r>
                            <w:r w:rsidR="006D3DC3" w:rsidRPr="006D3DC3">
                              <w:rPr>
                                <w:rFonts w:ascii="Book Antiqua" w:hAnsi="Book Antiqua"/>
                                <w:b/>
                                <w:bCs/>
                                <w:i/>
                                <w:iCs/>
                                <w:sz w:val="32"/>
                                <w:szCs w:val="36"/>
                                <w:lang w:val="en"/>
                              </w:rPr>
                              <w:t>Nigella sativa</w:t>
                            </w:r>
                            <w:bookmarkEnd w:id="235"/>
                            <w:bookmarkEnd w:id="236"/>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49E603B" id="Rectangle 22" o:spid="_x0000_s1035" style="position:absolute;left:0;text-align:left;margin-left:71.7pt;margin-top:10.5pt;width:222.05pt;height:8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kNCZgIAABAFAAAOAAAAZHJzL2Uyb0RvYy54bWysVN1P2zAQf5+0/8Hy+0jSQQcVKapATJPQ&#10;QMC0Z9ex22i2zzu7Tbu/fmcnDbD1adpLct8fv7vz5dXOGrZVGFpwNa9OSs6Uk9C0blXzb8+3H845&#10;C1G4RhhwquZ7FfjV/P27y87P1ATWYBqFjIK4MOt8zdcx+llRBLlWVoQT8MqRUgNaEYnFVdGg6Ci6&#10;NcWkLKdFB9h4BKlCIOlNr+TzHF9rJeO91kFFZmpOtcX8xfxdpm8xvxSzFQq/buVQhviHKqxoHSUd&#10;Q92IKNgG279C2VYiBNDxRIItQOtWqtwDdVOVf3TztBZe5V4InOBHmML/Cyu/bh+QtU3NJxPOnLA0&#10;o0dCTbiVUYxkBFDnw4zsnvwDDlwgMnW702jTn/pguwzqfgRV7SKTJJyc05w+nnEmSVeV0+l5mWEv&#10;Xtw9hvhZgWWJqDlS/gym2N6FSCnJ9GCSsjm4bY3JkzPujYAMk6RIFfc1ZirujUp2xj0qTc2mqnKC&#10;vGbq2iDbCloQIaVycZp6zpHIOrlpyjY6VsccTawGp8E2uam8fqNjeczxbcbRI2cFF0dn2zrAYwGa&#10;H2Pm3v7Qfd9zaj/ulrs84YvDMJfQ7GnqCP05BC9vW0L+ToT4IJD2ny6Fbjre00cb6GoOA8XZGvDX&#10;MXmyp7UkLWcd3VPNw8+NQMWZ+eJoYS+q09N0gJk5Pfs0IQZfa5avNW5jr4EmUtHr4WUmk300B1Ij&#10;2O90+ouUlVTCScpdcxnxwFzH/s7p8ZBqschmdHRexDv35GUKnnB2sNhE0G1etIRXj86AI51dXobh&#10;iUh3/ZrPVi8P2fw3AAAA//8DAFBLAwQUAAYACAAAACEA+saja94AAAAKAQAADwAAAGRycy9kb3du&#10;cmV2LnhtbEyPzU7DMBCE70i8g7VI3KjT0kIIcSpAQgj1gCjt3XG2SUS8jmznp2/PcoLjaEYz3+Tb&#10;2XZiRB9aRwqWiwQEknFVS7WCw9frTQoiRE2V7hyhgjMG2BaXF7nOKjfRJ477WAsuoZBpBU2MfSZl&#10;MA1aHRauR2Lv5LzVkaWvZeX1xOW2k6skuZNWt8QLje7xpUHzvR+sgqM7PU/WlPQ+nj/a4W3njUl3&#10;Sl1fzU+PICLO8S8Mv/iMDgUzlW6gKoiO9fp2zVEFqyV/4sAmvd+AKNlJHxKQRS7/Xyh+AAAA//8D&#10;AFBLAQItABQABgAIAAAAIQC2gziS/gAAAOEBAAATAAAAAAAAAAAAAAAAAAAAAABbQ29udGVudF9U&#10;eXBlc10ueG1sUEsBAi0AFAAGAAgAAAAhADj9If/WAAAAlAEAAAsAAAAAAAAAAAAAAAAALwEAAF9y&#10;ZWxzLy5yZWxzUEsBAi0AFAAGAAgAAAAhAFA6Q0JmAgAAEAUAAA4AAAAAAAAAAAAAAAAALgIAAGRy&#10;cy9lMm9Eb2MueG1sUEsBAi0AFAAGAAgAAAAhAPrGo2veAAAACgEAAA8AAAAAAAAAAAAAAAAAwAQA&#10;AGRycy9kb3ducmV2LnhtbFBLBQYAAAAABAAEAPMAAADLBQAAAAA=&#10;" filled="f" stroked="f" strokeweight="1pt">
                <v:textbox>
                  <w:txbxContent>
                    <w:p w14:paraId="5A60DE16" w14:textId="7A615854" w:rsidR="00F351CE" w:rsidRPr="006D3DC3" w:rsidRDefault="00F351CE" w:rsidP="00F351CE">
                      <w:pPr>
                        <w:spacing w:after="0" w:line="276" w:lineRule="auto"/>
                        <w:jc w:val="center"/>
                        <w:rPr>
                          <w:rFonts w:ascii="Book Antiqua" w:hAnsi="Book Antiqua"/>
                          <w:b/>
                          <w:bCs/>
                          <w:sz w:val="32"/>
                          <w:szCs w:val="36"/>
                          <w:lang w:val="en"/>
                        </w:rPr>
                      </w:pPr>
                      <w:bookmarkStart w:id="237" w:name="_Hlk222850780"/>
                      <w:bookmarkStart w:id="238" w:name="_Hlk222850781"/>
                      <w:r w:rsidRPr="006D3DC3">
                        <w:rPr>
                          <w:rFonts w:ascii="Book Antiqua" w:hAnsi="Book Antiqua"/>
                          <w:b/>
                          <w:bCs/>
                          <w:sz w:val="32"/>
                          <w:szCs w:val="36"/>
                          <w:lang w:val="en"/>
                        </w:rPr>
                        <w:t xml:space="preserve">AKTIVITAS ANTIOKSIDAN EKSTRAK </w:t>
                      </w:r>
                      <w:r w:rsidR="006D3DC3" w:rsidRPr="006D3DC3">
                        <w:rPr>
                          <w:rFonts w:ascii="Book Antiqua" w:hAnsi="Book Antiqua"/>
                          <w:b/>
                          <w:bCs/>
                          <w:i/>
                          <w:iCs/>
                          <w:sz w:val="32"/>
                          <w:szCs w:val="36"/>
                          <w:lang w:val="en"/>
                        </w:rPr>
                        <w:t>Nigella sativa</w:t>
                      </w:r>
                      <w:bookmarkEnd w:id="237"/>
                      <w:bookmarkEnd w:id="238"/>
                    </w:p>
                  </w:txbxContent>
                </v:textbox>
              </v:rect>
            </w:pict>
          </mc:Fallback>
        </mc:AlternateContent>
      </w:r>
      <w:r w:rsidRPr="006810DB">
        <w:rPr>
          <w:b/>
          <w:noProof/>
          <w:sz w:val="48"/>
          <w:szCs w:val="20"/>
          <w:lang w:val="en-US"/>
        </w:rPr>
        <mc:AlternateContent>
          <mc:Choice Requires="wps">
            <w:drawing>
              <wp:anchor distT="0" distB="0" distL="114300" distR="114300" simplePos="0" relativeHeight="251693056" behindDoc="0" locked="0" layoutInCell="1" allowOverlap="1" wp14:anchorId="515C4274" wp14:editId="565E34A5">
                <wp:simplePos x="0" y="0"/>
                <wp:positionH relativeFrom="column">
                  <wp:posOffset>884555</wp:posOffset>
                </wp:positionH>
                <wp:positionV relativeFrom="paragraph">
                  <wp:posOffset>76835</wp:posOffset>
                </wp:positionV>
                <wp:extent cx="0" cy="1152000"/>
                <wp:effectExtent l="19050" t="0" r="38100" b="48260"/>
                <wp:wrapNone/>
                <wp:docPr id="23" name="Straight Connector 23"/>
                <wp:cNvGraphicFramePr/>
                <a:graphic xmlns:a="http://schemas.openxmlformats.org/drawingml/2006/main">
                  <a:graphicData uri="http://schemas.microsoft.com/office/word/2010/wordprocessingShape">
                    <wps:wsp>
                      <wps:cNvCnPr/>
                      <wps:spPr>
                        <a:xfrm>
                          <a:off x="0" y="0"/>
                          <a:ext cx="0" cy="1152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1B9891A" id="Straight Connector 23" o:spid="_x0000_s1026" style="position:absolute;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Nh+2AEAAA8EAAAOAAAAZHJzL2Uyb0RvYy54bWysU8GO0zAQvSPxD5bvNE1RAUVN99DVckFQ&#10;sewHeJ1xY8n2WLZp0r9n7KTpChASiIuTGc97nvc83t2N1rAzhKjRtbxerTkDJ7HT7tTyp28Pbz5w&#10;FpNwnTDooOUXiPxu//rVbvANbLBH00FgROJiM/iW9yn5pqqi7MGKuEIPjjYVBisSheFUdUEMxG5N&#10;tVmv31UDhs4HlBAjZe+nTb4v/EqBTF+UipCYaTn1lsoayvqc12q/E80pCN9rObch/qELK7SjQxeq&#10;e5EE+x70L1RWy4ARVVpJtBUqpSUUDaSmXv+k5rEXHooWMif6xab4/2jl5/MxMN21fPOWMycs3dFj&#10;CkKf+sQO6Bw5iIHRJjk1+NgQ4OCOYY6iP4Yse1TB5i8JYmNx97K4C2NickpKytb1li6uOF/dgD7E&#10;9BHQsvzTcqNdFi4acf4UEx1GpdeSnDaODS3fvq+361IW0ejuQRuTN8vwwMEEdhZ07Wmsc/PE8KKK&#10;IuMomSVNIspfuhiY+L+CIluo7Xo6IA/kjVNICS5deY2j6gxT1MECnDv7E3Cuz1Aow/o34AVRTkaX&#10;FrDVDsPv2r5Zoab6qwOT7mzBM3aXcr3FGpq64tz8QvJYv4wL/PaO9z8AAAD//wMAUEsDBBQABgAI&#10;AAAAIQBHaIbM2gAAAAoBAAAPAAAAZHJzL2Rvd25yZXYueG1sTE9NS8NAEL0L/odlBG9204aIidmU&#10;IhTpRWgreN1kx2QxOxuy2zT++0691Nt7M4/3Ua5n14sJx2A9KVguEhBIjTeWWgWfx+3TC4gQNRnd&#10;e0IFvxhgXd3flbow/kx7nA6xFWxCodAKuhiHQsrQdOh0WPgBiX/ffnQ6Mh1baUZ9ZnPXy1WSPEun&#10;LXFCpwd867D5OZwch2RfzTsGuzPbTVZnU27r5MMq9fgwb15BRJzjTQzX+lwdKu5U+xOZIHrmaZ6y&#10;lMFqCeIq+DvUDPI0A1mV8v+E6gIAAP//AwBQSwECLQAUAAYACAAAACEAtoM4kv4AAADhAQAAEwAA&#10;AAAAAAAAAAAAAAAAAAAAW0NvbnRlbnRfVHlwZXNdLnhtbFBLAQItABQABgAIAAAAIQA4/SH/1gAA&#10;AJQBAAALAAAAAAAAAAAAAAAAAC8BAABfcmVscy8ucmVsc1BLAQItABQABgAIAAAAIQB5nNh+2AEA&#10;AA8EAAAOAAAAAAAAAAAAAAAAAC4CAABkcnMvZTJvRG9jLnhtbFBLAQItABQABgAIAAAAIQBHaIbM&#10;2gAAAAoBAAAPAAAAAAAAAAAAAAAAADIEAABkcnMvZG93bnJldi54bWxQSwUGAAAAAAQABADzAAAA&#10;OQU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30"/>
          <w:szCs w:val="130"/>
          <w:lang w:val="en-US"/>
        </w:rPr>
        <w:t>10</w:t>
      </w:r>
      <w:r w:rsidRPr="006810DB">
        <w:rPr>
          <w:b/>
          <w:szCs w:val="20"/>
          <w:lang w:val="en-US"/>
        </w:rPr>
        <w:t xml:space="preserve"> </w:t>
      </w:r>
      <w:r w:rsidRPr="006810DB">
        <w:rPr>
          <w:b/>
          <w:szCs w:val="20"/>
          <w:lang w:val="en-US"/>
        </w:rPr>
        <w:tab/>
      </w:r>
      <w:r w:rsidR="006D3DC3" w:rsidRPr="006810DB">
        <w:rPr>
          <w:b/>
          <w:color w:val="FFFFFF" w:themeColor="background1"/>
          <w:sz w:val="14"/>
          <w:szCs w:val="14"/>
          <w:lang w:val="en-US"/>
        </w:rPr>
        <w:t xml:space="preserve">AKTIVITAS ANTIOKSIDAN EKSTRAK </w:t>
      </w:r>
      <w:r w:rsidR="006D3DC3" w:rsidRPr="006810DB">
        <w:rPr>
          <w:b/>
          <w:i/>
          <w:iCs/>
          <w:color w:val="FFFFFF" w:themeColor="background1"/>
          <w:sz w:val="14"/>
          <w:szCs w:val="14"/>
          <w:lang w:val="en-US"/>
        </w:rPr>
        <w:t>Nigella sativa</w:t>
      </w:r>
      <w:bookmarkEnd w:id="234"/>
    </w:p>
    <w:p w14:paraId="260DBDFB" w14:textId="71AB1E34" w:rsidR="00F351CE" w:rsidRPr="006810DB" w:rsidRDefault="00F351CE" w:rsidP="006810DB">
      <w:pPr>
        <w:spacing w:after="0" w:line="276" w:lineRule="auto"/>
        <w:jc w:val="both"/>
        <w:rPr>
          <w:rFonts w:ascii="Book Antiqua" w:hAnsi="Book Antiqua"/>
          <w:sz w:val="20"/>
          <w:szCs w:val="20"/>
          <w:lang w:val="en"/>
        </w:rPr>
      </w:pPr>
    </w:p>
    <w:p w14:paraId="4CB2A0FC" w14:textId="77777777" w:rsidR="008A3BB8" w:rsidRPr="006810DB" w:rsidRDefault="008A3BB8" w:rsidP="006810DB">
      <w:pPr>
        <w:spacing w:after="0" w:line="276" w:lineRule="auto"/>
        <w:jc w:val="both"/>
        <w:rPr>
          <w:rFonts w:ascii="Book Antiqua" w:hAnsi="Book Antiqua"/>
          <w:sz w:val="20"/>
          <w:szCs w:val="20"/>
          <w:lang w:val="en"/>
        </w:rPr>
      </w:pPr>
    </w:p>
    <w:p w14:paraId="5A9D60CC" w14:textId="3D6A5378" w:rsidR="00B258B7" w:rsidRPr="006810DB" w:rsidRDefault="00C32C86" w:rsidP="00B9360C">
      <w:pPr>
        <w:pStyle w:val="Heading2"/>
        <w:numPr>
          <w:ilvl w:val="0"/>
          <w:numId w:val="25"/>
        </w:numPr>
        <w:ind w:left="284" w:hanging="284"/>
      </w:pPr>
      <w:bookmarkStart w:id="239" w:name="_8wja1itng41c" w:colFirst="0" w:colLast="0"/>
      <w:bookmarkStart w:id="240" w:name="_Toc223088932"/>
      <w:bookmarkEnd w:id="239"/>
      <w:r w:rsidRPr="006810DB">
        <w:t>Pendahuluan</w:t>
      </w:r>
      <w:bookmarkEnd w:id="240"/>
    </w:p>
    <w:p w14:paraId="6297528A"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Dalam pertempuran biologis melawan mukositis oral yang diinduksi oleh cisplatin, stres oksidatif adalah musuh yang tak terlihat namun mematikan. Seperti yang telah dibahas pada bab-bab sebelumnya, cisplatin memicu gelombang pasang spesies oksigen reaktif (ROS) yang membanjiri pertahanan seluler normal, menyebabkan kerusakan luas pada lipid, protein, dan DNA. Oleh karena itu, strategi pertahanan yang paling logis adalah menetralisir ancaman ini tepat di sumbernya. Di sinilah peran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berubah dari sekadar tanaman obat menjadi modulator redoks yang canggih. Aktivitas antioksidan dari ekstrak ini bukan sekadar fitur tambahan, melainkan mekanisme farmakologis inti yang mendasari potensi protektifnya terhadap kerusakan jaringan.</w:t>
      </w:r>
    </w:p>
    <w:p w14:paraId="62466F91"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Aktivitas antioksidan sering kali disederhanakan sebagai kemampuan untuk "melawan" radikal bebas. Namun, secara kimiawi, ini adalah proses yang jauh lebih nuansa yang melibatkan donasi elektron atau atom hidrogen untuk menstabilkan molekul yang tidak stabil.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dengan kandungan fitokimianya yang kaya, bertindak sebagai donor elektron yang murah hati. Senyawa-senyawa aktifnya, terutama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memiliki struktur molekuler yang memungkinkannya menyerap reaktivitas radikal bebas tanpa menjadi berbahaya bagi sel itu sendiri. Kemampuan ini memutus rantai reaksi oksidatif yang destruktif sebelum </w:t>
      </w:r>
      <w:r w:rsidRPr="006810DB">
        <w:rPr>
          <w:rFonts w:ascii="Book Antiqua" w:hAnsi="Book Antiqua"/>
          <w:sz w:val="20"/>
          <w:szCs w:val="20"/>
          <w:lang w:val="en"/>
        </w:rPr>
        <w:lastRenderedPageBreak/>
        <w:t>kerusakan permanen terjadi pada struktur seluler vital seperti membran mitokondria.</w:t>
      </w:r>
    </w:p>
    <w:p w14:paraId="4332FC0C"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Penting untuk dipahami bahwa aktivitas antioksidan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tidak bergantung pada satu mekanisme tunggal. Ia bekerja melalui pendekatan multi-cabang: sebagai </w:t>
      </w:r>
      <w:r w:rsidRPr="006810DB">
        <w:rPr>
          <w:rFonts w:ascii="Book Antiqua" w:hAnsi="Book Antiqua"/>
          <w:i/>
          <w:iCs/>
          <w:sz w:val="20"/>
          <w:szCs w:val="20"/>
          <w:lang w:val="en"/>
        </w:rPr>
        <w:t>scavenger</w:t>
      </w:r>
      <w:r w:rsidRPr="006810DB">
        <w:rPr>
          <w:rFonts w:ascii="Book Antiqua" w:hAnsi="Book Antiqua"/>
          <w:sz w:val="20"/>
          <w:szCs w:val="20"/>
          <w:lang w:val="en"/>
        </w:rPr>
        <w:t xml:space="preserve"> (pembersih) langsung yang menyapu ROS dari lingkungan intraseluler, dan sebagai pengelat logam yang mencegah pembentukan radikal hidroksil yang sangat toksik. Kompleksitas aksi ini memberikan keunggulan dibandingkan antioksidan sintetik tunggal, karena ekstrak herbal ini dapat menargetkan berbagai jenis radikal bebas, mulai dari anion superoksida hingga radikal peroksil, secara simultan. Sinergi antara </w:t>
      </w:r>
      <w:r w:rsidRPr="006810DB">
        <w:rPr>
          <w:rFonts w:ascii="Book Antiqua" w:hAnsi="Book Antiqua"/>
          <w:i/>
          <w:iCs/>
          <w:sz w:val="20"/>
          <w:szCs w:val="20"/>
          <w:lang w:val="en"/>
        </w:rPr>
        <w:t>thymoquinone</w:t>
      </w:r>
      <w:r w:rsidRPr="006810DB">
        <w:rPr>
          <w:rFonts w:ascii="Book Antiqua" w:hAnsi="Book Antiqua"/>
          <w:sz w:val="20"/>
          <w:szCs w:val="20"/>
          <w:lang w:val="en"/>
        </w:rPr>
        <w:t>, flavonoid, dan polifenol lainnya menciptakan jaring pengaman yang komprehensif bagi sel-sel mukosa yang terpapar kemoterapi.</w:t>
      </w:r>
    </w:p>
    <w:p w14:paraId="15FC2131"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Untuk memvalidasi klaim potensi antioksidan ini, ilmu pengetahuan mengandalkan serangkaian uji </w:t>
      </w:r>
      <w:r w:rsidRPr="006810DB">
        <w:rPr>
          <w:rFonts w:ascii="Book Antiqua" w:hAnsi="Book Antiqua"/>
          <w:i/>
          <w:iCs/>
          <w:sz w:val="20"/>
          <w:szCs w:val="20"/>
          <w:lang w:val="en"/>
        </w:rPr>
        <w:t>in vitro</w:t>
      </w:r>
      <w:r w:rsidRPr="006810DB">
        <w:rPr>
          <w:rFonts w:ascii="Book Antiqua" w:hAnsi="Book Antiqua"/>
          <w:sz w:val="20"/>
          <w:szCs w:val="20"/>
          <w:lang w:val="en"/>
        </w:rPr>
        <w:t xml:space="preserve"> yang terstandarisasi. Metode-metode seperti uji DPPH (</w:t>
      </w:r>
      <w:r w:rsidRPr="006810DB">
        <w:rPr>
          <w:rFonts w:ascii="Book Antiqua" w:hAnsi="Book Antiqua"/>
          <w:i/>
          <w:iCs/>
          <w:sz w:val="20"/>
          <w:szCs w:val="20"/>
          <w:lang w:val="en"/>
        </w:rPr>
        <w:t>2,2-diphenyl-1-picrylhydrazyl</w:t>
      </w:r>
      <w:r w:rsidRPr="006810DB">
        <w:rPr>
          <w:rFonts w:ascii="Book Antiqua" w:hAnsi="Book Antiqua"/>
          <w:sz w:val="20"/>
          <w:szCs w:val="20"/>
          <w:lang w:val="en"/>
        </w:rPr>
        <w:t>) dan FRAP (</w:t>
      </w:r>
      <w:r w:rsidRPr="006810DB">
        <w:rPr>
          <w:rFonts w:ascii="Book Antiqua" w:hAnsi="Book Antiqua"/>
          <w:i/>
          <w:iCs/>
          <w:sz w:val="20"/>
          <w:szCs w:val="20"/>
          <w:lang w:val="en"/>
        </w:rPr>
        <w:t>Ferric Reducing Antioxidant Power</w:t>
      </w:r>
      <w:r w:rsidRPr="006810DB">
        <w:rPr>
          <w:rFonts w:ascii="Book Antiqua" w:hAnsi="Book Antiqua"/>
          <w:sz w:val="20"/>
          <w:szCs w:val="20"/>
          <w:lang w:val="en"/>
        </w:rPr>
        <w:t xml:space="preserve">) berfungsi sebagai tolok ukur kuantitatif. Uji-uji ini memungkinkan peneliti untuk mengukur "kekuatan" antioksidan ekstrak dalam angka yang konkret, seperti nilai IC50 (konsentrasi penghambatan 50%). Data ini krusial karena memberikan bukti empiris yang diperlukan untuk membandingkan efikasi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dengan antioksidan standar seperti Vitamin C atau E, serta untuk menetapkan dosis yang efektif dalam aplikasi biologis.</w:t>
      </w:r>
    </w:p>
    <w:p w14:paraId="04921D8F"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Selain kuantifikasi aktivitas, bab ini juga akan mengeksplorasi hubungan fundamental antara struktur kimia dan fungsi biologis. Kandungan fenolik total (</w:t>
      </w:r>
      <w:r w:rsidRPr="006810DB">
        <w:rPr>
          <w:rFonts w:ascii="Book Antiqua" w:hAnsi="Book Antiqua"/>
          <w:i/>
          <w:iCs/>
          <w:sz w:val="20"/>
          <w:szCs w:val="20"/>
          <w:lang w:val="en"/>
        </w:rPr>
        <w:t>Total Phenolic Content</w:t>
      </w:r>
      <w:r w:rsidRPr="006810DB">
        <w:rPr>
          <w:rFonts w:ascii="Book Antiqua" w:hAnsi="Book Antiqua"/>
          <w:sz w:val="20"/>
          <w:szCs w:val="20"/>
          <w:lang w:val="en"/>
        </w:rPr>
        <w:t xml:space="preserve">/TPC) sering kali berkorelasi linier dengan kapasitas antioksidan, menegaskan bahwa gugus hidroksil pada cincin aromatik senyawa fenolik adalah kunci dari aktivitas redoks. Namun, kehadiran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dengan struktur kuinonnya menambahkan dimensi lain pada profil antioksidan tanaman ini, </w:t>
      </w:r>
      <w:r w:rsidRPr="006810DB">
        <w:rPr>
          <w:rFonts w:ascii="Book Antiqua" w:hAnsi="Book Antiqua"/>
          <w:sz w:val="20"/>
          <w:szCs w:val="20"/>
          <w:lang w:val="en"/>
        </w:rPr>
        <w:lastRenderedPageBreak/>
        <w:t>yang mungkin menjelaskan mengapa ia sering mengungguli ekstrak tanaman lain yang hanya mengandalkan polifenol biasa.</w:t>
      </w:r>
    </w:p>
    <w:p w14:paraId="7484B8BC"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Pemahaman mendalam tentang aktivitas antioksidan ini menjadi jembatan penting menuju bab-bab selanjutnya yang akan membahas mekanisme anti-inflamasi. Sebab, dalam patofisiologi mukositis, stres oksidatif adalah pemicu utama yang mengaktifkan jalur inflamasi NF-κB. Dengan meredam badai oksidatif di tahap awal,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secara efektif mencegah aktivasi kaskade peradangan di hilir. Oleh karena itu, kapasitas antioksidan yang dibahas di sini adalah fondasi dari efek anti-inflamasi dan sitoprotektif yang diamati secara in vivo.</w:t>
      </w:r>
    </w:p>
    <w:p w14:paraId="22AFF092" w14:textId="77EA40AE"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Bab ini bertujuan untuk menguraikan secara sistematis bagaimana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mendemonstrasikan kekuatan antioksidannya di tingkat kimiawi. Melalui analisis mekanisme reaksi, evaluasi metode pengujian, dan studi korelasi struktur-aktivitas, kita akan membangun argumen ilmiah yang kuat bahwa ekstrak ini adalah agen penangkal radikal bebas yang poten. Pengetahuan ini tidak hanya memvalidasi penggunaan tradisionalnya, tetapi juga memberikan rasionalitas yang kuat untuk pengembangannya sebagai ajuvan kemoterapi modern.</w:t>
      </w:r>
    </w:p>
    <w:p w14:paraId="70C03B0F" w14:textId="77777777" w:rsidR="00F351CE" w:rsidRPr="006810DB" w:rsidRDefault="00F351CE" w:rsidP="006810DB">
      <w:pPr>
        <w:spacing w:after="0" w:line="276" w:lineRule="auto"/>
        <w:jc w:val="both"/>
        <w:rPr>
          <w:rFonts w:ascii="Book Antiqua" w:hAnsi="Book Antiqua"/>
          <w:sz w:val="20"/>
          <w:szCs w:val="20"/>
          <w:lang w:val="en"/>
        </w:rPr>
      </w:pPr>
    </w:p>
    <w:p w14:paraId="52ACD6A6" w14:textId="46AF15EB" w:rsidR="00B258B7" w:rsidRPr="006810DB" w:rsidRDefault="00B258B7" w:rsidP="006810DB">
      <w:pPr>
        <w:pStyle w:val="Heading2"/>
        <w:numPr>
          <w:ilvl w:val="0"/>
          <w:numId w:val="25"/>
        </w:numPr>
        <w:ind w:left="284" w:hanging="284"/>
      </w:pPr>
      <w:bookmarkStart w:id="241" w:name="_7jl4q6m5kpcj" w:colFirst="0" w:colLast="0"/>
      <w:bookmarkStart w:id="242" w:name="_Toc223088933"/>
      <w:bookmarkEnd w:id="241"/>
      <w:r w:rsidRPr="006810DB">
        <w:t xml:space="preserve">Mekanisme </w:t>
      </w:r>
      <w:r w:rsidRPr="006810DB">
        <w:rPr>
          <w:i/>
          <w:iCs/>
        </w:rPr>
        <w:t>Scavenging</w:t>
      </w:r>
      <w:r w:rsidRPr="006810DB">
        <w:t xml:space="preserve"> Radikal Bebas</w:t>
      </w:r>
      <w:bookmarkEnd w:id="242"/>
    </w:p>
    <w:p w14:paraId="4BB36E54"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eastAsia="zh-CN"/>
        </w:rPr>
        <w:t xml:space="preserve">Kemampuan suatu senyawa untuk bertindak sebagai </w:t>
      </w:r>
      <w:r w:rsidRPr="006810DB">
        <w:rPr>
          <w:rFonts w:ascii="Book Antiqua" w:hAnsi="Book Antiqua"/>
          <w:i/>
          <w:iCs/>
          <w:sz w:val="20"/>
          <w:szCs w:val="20"/>
          <w:lang w:val="en" w:eastAsia="zh-CN"/>
        </w:rPr>
        <w:t>scavenger</w:t>
      </w:r>
      <w:r w:rsidRPr="006810DB">
        <w:rPr>
          <w:rFonts w:ascii="Book Antiqua" w:hAnsi="Book Antiqua"/>
          <w:sz w:val="20"/>
          <w:szCs w:val="20"/>
          <w:lang w:val="en" w:eastAsia="zh-CN"/>
        </w:rPr>
        <w:t xml:space="preserve"> atau pembersih radikal bebas ditentukan oleh kemampuannya untuk mendonorkan elektron atau atom hidrogen kepada radikal yang tidak stabil, sehingga menetralkannya menjadi molekul yang stabil. </w:t>
      </w:r>
      <w:r w:rsidRPr="006810DB">
        <w:rPr>
          <w:rFonts w:ascii="Book Antiqua" w:hAnsi="Book Antiqua"/>
          <w:sz w:val="20"/>
          <w:szCs w:val="20"/>
          <w:lang w:val="en"/>
        </w:rPr>
        <w:t xml:space="preserve">Dalam konteks </w:t>
      </w:r>
      <w:r w:rsidRPr="006810DB">
        <w:rPr>
          <w:rFonts w:ascii="Book Antiqua" w:hAnsi="Book Antiqua"/>
          <w:i/>
          <w:iCs/>
          <w:sz w:val="20"/>
          <w:szCs w:val="20"/>
          <w:lang w:val="en"/>
        </w:rPr>
        <w:t>Nigella sativa</w:t>
      </w:r>
      <w:r w:rsidRPr="006810DB">
        <w:rPr>
          <w:rFonts w:ascii="Book Antiqua" w:hAnsi="Book Antiqua"/>
          <w:sz w:val="20"/>
          <w:szCs w:val="20"/>
          <w:lang w:val="en"/>
        </w:rPr>
        <w:t>, mekanisme ini didominasi oleh interaksi antara konstituen fitokimia utamanya dengan berbagai spesies oksigen reaktif (ROS). Senyawa aktif dalam ekstrak tidak hanya "menyerap" radikal bebas, tetapi melakukannya melalui jalur kimia yang spesifik yang mencegah propagasi kerusakan oksidatif lebih lanjut di dalam sel.</w:t>
      </w:r>
    </w:p>
    <w:p w14:paraId="3D9C660E"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Bayangkan sebuah pesta dansa yang kacau (lingkungan seluler saat kemoterapi) di mana terdapat banyak individu yang sangat agresif dan tidak </w:t>
      </w:r>
      <w:r w:rsidRPr="006810DB">
        <w:rPr>
          <w:rFonts w:ascii="Book Antiqua" w:hAnsi="Book Antiqua"/>
          <w:sz w:val="20"/>
          <w:szCs w:val="20"/>
          <w:lang w:val="en"/>
        </w:rPr>
        <w:lastRenderedPageBreak/>
        <w:t xml:space="preserve">berpasangan (radikal bebas). Individu-individu ini berlarian menabrak tamu lain, merusak furnitur (membran sel), dan mencoba merebut pasangan orang lain (mencuri elektron) untuk menstabilkan diri mereka sendiri.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khususnya molekul </w:t>
      </w:r>
      <w:r w:rsidRPr="006810DB">
        <w:rPr>
          <w:rFonts w:ascii="Book Antiqua" w:hAnsi="Book Antiqua"/>
          <w:i/>
          <w:iCs/>
          <w:sz w:val="20"/>
          <w:szCs w:val="20"/>
          <w:lang w:val="en"/>
        </w:rPr>
        <w:t>thymoquinone</w:t>
      </w:r>
      <w:r w:rsidRPr="006810DB">
        <w:rPr>
          <w:rFonts w:ascii="Book Antiqua" w:hAnsi="Book Antiqua"/>
          <w:sz w:val="20"/>
          <w:szCs w:val="20"/>
          <w:lang w:val="en"/>
        </w:rPr>
        <w:t>, bertindak sebagai tim keamanan profesional yang masuk ke dalam ruangan. Mereka memiliki "pasangan cadangan" (elektron/atom hidrogen) yang siap diberikan kepada individu agresif tersebut. Segera setelah individu agresif mendapatkan pasangan, mereka menjadi tenang (stabil) dan berhenti membuat kekacauan. Tim keamanan ini menetralkan ancaman satu per satu, mencegah kerusuhan total (kematian sel) terjadi di pesta tersebut.</w:t>
      </w:r>
    </w:p>
    <w:p w14:paraId="34040340" w14:textId="559AC525" w:rsidR="00B258B7" w:rsidRPr="006810DB" w:rsidRDefault="00B258B7" w:rsidP="006810DB">
      <w:pPr>
        <w:pStyle w:val="ListParagraph"/>
        <w:numPr>
          <w:ilvl w:val="0"/>
          <w:numId w:val="63"/>
        </w:numPr>
        <w:spacing w:after="0" w:line="276" w:lineRule="auto"/>
        <w:ind w:left="567" w:hanging="283"/>
        <w:contextualSpacing w:val="0"/>
        <w:jc w:val="both"/>
        <w:rPr>
          <w:rFonts w:ascii="Book Antiqua" w:hAnsi="Book Antiqua"/>
          <w:b/>
          <w:bCs/>
          <w:sz w:val="20"/>
          <w:szCs w:val="20"/>
          <w:lang w:val="en"/>
        </w:rPr>
      </w:pPr>
      <w:bookmarkStart w:id="243" w:name="_a1xcdr3avory" w:colFirst="0" w:colLast="0"/>
      <w:bookmarkEnd w:id="243"/>
      <w:r w:rsidRPr="006810DB">
        <w:rPr>
          <w:rFonts w:ascii="Book Antiqua" w:hAnsi="Book Antiqua"/>
          <w:b/>
          <w:bCs/>
          <w:sz w:val="20"/>
          <w:szCs w:val="20"/>
          <w:lang w:val="en"/>
        </w:rPr>
        <w:t xml:space="preserve">Interaksi </w:t>
      </w:r>
      <w:r w:rsidRPr="006810DB">
        <w:rPr>
          <w:rFonts w:ascii="Book Antiqua" w:hAnsi="Book Antiqua"/>
          <w:b/>
          <w:bCs/>
          <w:i/>
          <w:iCs/>
          <w:sz w:val="20"/>
          <w:szCs w:val="20"/>
          <w:lang w:val="en"/>
        </w:rPr>
        <w:t>Thymoquinone</w:t>
      </w:r>
      <w:r w:rsidRPr="006810DB">
        <w:rPr>
          <w:rFonts w:ascii="Book Antiqua" w:hAnsi="Book Antiqua"/>
          <w:b/>
          <w:bCs/>
          <w:sz w:val="20"/>
          <w:szCs w:val="20"/>
          <w:lang w:val="en"/>
        </w:rPr>
        <w:t xml:space="preserve"> dengan Anion Superoksida</w:t>
      </w:r>
    </w:p>
    <w:p w14:paraId="4D927FA0" w14:textId="018B3C73"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Anion superoksida (O2−O_2^-O2−) adalah radikal bebas primer yang dihasilkan oleh kebocoran rantai transpor elektron mitokondria akibat paparan cisplatin.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(TQ) menunjukkan kemampuan luar biasa untuk menetralkan radikal ini melalui mekanisme transfer elektron. Struktur kimia TQ yang mengandung gugus kuinon memungkinkannya untuk menerima elektron dan proton, bertransisi menjadi bentuk semikuinon dan akhirnya menjadi </w:t>
      </w:r>
      <w:r w:rsidRPr="006810DB">
        <w:rPr>
          <w:rFonts w:ascii="Book Antiqua" w:hAnsi="Book Antiqua"/>
          <w:i/>
          <w:iCs/>
          <w:sz w:val="20"/>
          <w:szCs w:val="20"/>
          <w:lang w:val="en"/>
        </w:rPr>
        <w:t>thymohydroquinone</w:t>
      </w:r>
      <w:r w:rsidRPr="006810DB">
        <w:rPr>
          <w:rFonts w:ascii="Book Antiqua" w:hAnsi="Book Antiqua"/>
          <w:sz w:val="20"/>
          <w:szCs w:val="20"/>
          <w:lang w:val="en"/>
        </w:rPr>
        <w:t xml:space="preserve"> (Hannan et al., 2021). Transformasi reversibel ini memungkinkan TQ bertindak sebagai "spons" redoks yang efektif.</w:t>
      </w:r>
    </w:p>
    <w:p w14:paraId="0836F685"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Dalam proses pembersihan superoksida, TQ dapat bertindak menyerupai enzim </w:t>
      </w:r>
      <w:r w:rsidRPr="006810DB">
        <w:rPr>
          <w:rFonts w:ascii="Book Antiqua" w:hAnsi="Book Antiqua"/>
          <w:i/>
          <w:iCs/>
          <w:sz w:val="20"/>
          <w:szCs w:val="20"/>
          <w:lang w:val="en"/>
        </w:rPr>
        <w:t>superoxide dismutase</w:t>
      </w:r>
      <w:r w:rsidRPr="006810DB">
        <w:rPr>
          <w:rFonts w:ascii="Book Antiqua" w:hAnsi="Book Antiqua"/>
          <w:sz w:val="20"/>
          <w:szCs w:val="20"/>
          <w:lang w:val="en"/>
        </w:rPr>
        <w:t xml:space="preserve"> (SOD-like activity). Ia memfasilitasi dismutasi anion superoksida menjadi hidrogen peroksida yang kurang reaktif, yang kemudian dapat ditangani oleh enzim seluler lainnya. Studi menunjukkan bahwa pemberian TQ secara signifikan menurunkan kadar superoksida di jaringan ginjal dan mukosa yang terpapar racun, membuktikan bahwa ia bekerja langsung pada hulu kaskade oksidatif (Cascella et al., 2018).</w:t>
      </w:r>
    </w:p>
    <w:p w14:paraId="7E7D6A2F" w14:textId="77777777" w:rsidR="00A95863" w:rsidRDefault="00A95863">
      <w:pPr>
        <w:rPr>
          <w:rFonts w:ascii="Book Antiqua" w:hAnsi="Book Antiqua"/>
          <w:b/>
          <w:bCs/>
          <w:sz w:val="20"/>
          <w:szCs w:val="20"/>
          <w:lang w:val="en"/>
        </w:rPr>
      </w:pPr>
      <w:bookmarkStart w:id="244" w:name="_3m0wb8jqce52" w:colFirst="0" w:colLast="0"/>
      <w:bookmarkEnd w:id="244"/>
      <w:r>
        <w:rPr>
          <w:rFonts w:ascii="Book Antiqua" w:hAnsi="Book Antiqua"/>
          <w:b/>
          <w:bCs/>
          <w:sz w:val="20"/>
          <w:szCs w:val="20"/>
          <w:lang w:val="en"/>
        </w:rPr>
        <w:br w:type="page"/>
      </w:r>
    </w:p>
    <w:p w14:paraId="3F9BF42E" w14:textId="4A6ACE69" w:rsidR="00B258B7" w:rsidRPr="006810DB" w:rsidRDefault="00B258B7" w:rsidP="006810DB">
      <w:pPr>
        <w:pStyle w:val="ListParagraph"/>
        <w:numPr>
          <w:ilvl w:val="0"/>
          <w:numId w:val="63"/>
        </w:numPr>
        <w:spacing w:after="0" w:line="276" w:lineRule="auto"/>
        <w:ind w:left="567" w:hanging="283"/>
        <w:contextualSpacing w:val="0"/>
        <w:jc w:val="both"/>
        <w:rPr>
          <w:rFonts w:ascii="Book Antiqua" w:hAnsi="Book Antiqua"/>
          <w:b/>
          <w:bCs/>
          <w:sz w:val="20"/>
          <w:szCs w:val="20"/>
          <w:lang w:val="en"/>
        </w:rPr>
      </w:pPr>
      <w:r w:rsidRPr="006810DB">
        <w:rPr>
          <w:rFonts w:ascii="Book Antiqua" w:hAnsi="Book Antiqua"/>
          <w:b/>
          <w:bCs/>
          <w:sz w:val="20"/>
          <w:szCs w:val="20"/>
          <w:lang w:val="en"/>
        </w:rPr>
        <w:lastRenderedPageBreak/>
        <w:t>Kapasitas Donor Hidrogen pada Radikal DPPH</w:t>
      </w:r>
    </w:p>
    <w:p w14:paraId="5CF3547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Salah satu mekanisme utama stabilisasi radikal bebas oleh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adalah melalui donasi atom hidrogen (</w:t>
      </w:r>
      <w:r w:rsidRPr="006810DB">
        <w:rPr>
          <w:rFonts w:ascii="Book Antiqua" w:hAnsi="Book Antiqua"/>
          <w:i/>
          <w:iCs/>
          <w:sz w:val="20"/>
          <w:szCs w:val="20"/>
          <w:lang w:val="en"/>
        </w:rPr>
        <w:t>Hydrogen Atom Transfer</w:t>
      </w:r>
      <w:r w:rsidRPr="006810DB">
        <w:rPr>
          <w:rFonts w:ascii="Book Antiqua" w:hAnsi="Book Antiqua"/>
          <w:sz w:val="20"/>
          <w:szCs w:val="20"/>
          <w:lang w:val="en"/>
        </w:rPr>
        <w:t>/HAT). Mekanisme ini terlihat jelas dalam interaksinya dengan radikal sintetis seperti DPPH maupun radikal biologis seperti peroksil. Senyawa fenolik dan TQ dalam ekstrak memiliki ikatan O-H atau C-H yang relatif lemah, yang memungkinkan pelepasan atom hidrogen dengan mudah kepada radikal bebas yang lapar elektron (Belfiore et al., 2024).</w:t>
      </w:r>
    </w:p>
    <w:p w14:paraId="7DFC253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Ketika molekul antioksidan dari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mendonorkan atom hidrogennya ke radikal bebas, radikal tersebut menjadi molekul stabil non-radikal. Sementara itu, molekul antioksidan itu sendiri berubah menjadi radikal fenoksil atau semikuinon. Namun, berkat struktur resonansi cincin aromatiknya, radikal baru ini jauh lebih stabil dan tidak reaktif dibandingkan radikal asli yang dinetralkannya. Stabilitas ini mencegah molekul antioksidan itu sendiri menjadi pro-oksidan, sebuah fitur keamanan kimiawi yang krusial (Sobhannizadeh et al., 2025).</w:t>
      </w:r>
    </w:p>
    <w:p w14:paraId="4D2C4323" w14:textId="23DDAD98" w:rsidR="00B258B7" w:rsidRPr="006810DB" w:rsidRDefault="00B258B7" w:rsidP="006810DB">
      <w:pPr>
        <w:pStyle w:val="ListParagraph"/>
        <w:numPr>
          <w:ilvl w:val="0"/>
          <w:numId w:val="63"/>
        </w:numPr>
        <w:spacing w:after="0" w:line="276" w:lineRule="auto"/>
        <w:ind w:left="567" w:hanging="283"/>
        <w:contextualSpacing w:val="0"/>
        <w:jc w:val="both"/>
        <w:rPr>
          <w:rFonts w:ascii="Book Antiqua" w:hAnsi="Book Antiqua"/>
          <w:b/>
          <w:bCs/>
          <w:sz w:val="20"/>
          <w:szCs w:val="20"/>
          <w:lang w:val="en"/>
        </w:rPr>
      </w:pPr>
      <w:bookmarkStart w:id="245" w:name="_7ykf8tb5b3rl" w:colFirst="0" w:colLast="0"/>
      <w:bookmarkEnd w:id="245"/>
      <w:r w:rsidRPr="006810DB">
        <w:rPr>
          <w:rFonts w:ascii="Book Antiqua" w:hAnsi="Book Antiqua"/>
          <w:b/>
          <w:bCs/>
          <w:sz w:val="20"/>
          <w:szCs w:val="20"/>
          <w:lang w:val="en"/>
        </w:rPr>
        <w:t>Pencegahan Rantai Reaksi Peroksidasi Lipid</w:t>
      </w:r>
    </w:p>
    <w:p w14:paraId="2EFA6B2E" w14:textId="0A3FE3CB"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Peroksidasi lipid adalah reaksi berantai yang paling merusak integritas membran sel. Radikal peroksil (ROO∙ROO^\bulletROO∙) yang terbentuk selama proses ini akan menyerang asam lemak tak jenuh ganda (PUFA) di sekitarnya, menciptakan siklus kerusakan yang terus meluas. Senyawa aktif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berfungsi sebagai antioksidan pemutus rantai (</w:t>
      </w:r>
      <w:r w:rsidRPr="006810DB">
        <w:rPr>
          <w:rFonts w:ascii="Book Antiqua" w:hAnsi="Book Antiqua"/>
          <w:i/>
          <w:iCs/>
          <w:sz w:val="20"/>
          <w:szCs w:val="20"/>
          <w:lang w:val="en"/>
        </w:rPr>
        <w:t>chain-breaking antioxidants</w:t>
      </w:r>
      <w:r w:rsidRPr="006810DB">
        <w:rPr>
          <w:rFonts w:ascii="Book Antiqua" w:hAnsi="Book Antiqua"/>
          <w:sz w:val="20"/>
          <w:szCs w:val="20"/>
          <w:lang w:val="en"/>
        </w:rPr>
        <w:t>). Mereka mencegat radikal peroksil di dalam lapisan ganda lipid membran sebelum radikal tersebut sempat menyerang molekul lipid tetangganya (Al-Malki &amp; Moselhy, 2011).</w:t>
      </w:r>
    </w:p>
    <w:p w14:paraId="57EE9FCC" w14:textId="47D87A4B"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Sifat lipofilik dari minyak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dan TQ memungkinkan mereka untuk berinterkalasi atau menyisip dengan sempurna ke dalam membran sel. Posisi strategis ini menempatkan mereka tepat di garis depan pertempuran melawan peroksidasi lipid. Dengan mendonorkan hidrogen </w:t>
      </w:r>
      <w:r w:rsidRPr="006810DB">
        <w:rPr>
          <w:rFonts w:ascii="Book Antiqua" w:hAnsi="Book Antiqua"/>
          <w:sz w:val="20"/>
          <w:szCs w:val="20"/>
          <w:lang w:val="en"/>
        </w:rPr>
        <w:lastRenderedPageBreak/>
        <w:t xml:space="preserve">kepada radikal peroksil lipid, mereka menghentikan propagasi reaksi berantai, sehingga menjaga fluiditas dan permeabilitas membran tetap utuh. Hal ini terbukti dari penurunan kadar malondialdehyde (MDA) yang konsisten pada model hewan yang diberi suplemen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(Putra et al., 2022).</w:t>
      </w:r>
    </w:p>
    <w:p w14:paraId="56D86FE7" w14:textId="77777777" w:rsidR="00504B56" w:rsidRPr="006810DB" w:rsidRDefault="00504B56" w:rsidP="006810DB">
      <w:pPr>
        <w:spacing w:after="0" w:line="276" w:lineRule="auto"/>
        <w:jc w:val="both"/>
        <w:rPr>
          <w:rFonts w:ascii="Book Antiqua" w:hAnsi="Book Antiqua"/>
          <w:sz w:val="20"/>
          <w:szCs w:val="20"/>
          <w:lang w:val="en"/>
        </w:rPr>
      </w:pPr>
    </w:p>
    <w:p w14:paraId="78753803" w14:textId="655254AD" w:rsidR="00B258B7" w:rsidRPr="006810DB" w:rsidRDefault="00B258B7" w:rsidP="006810DB">
      <w:pPr>
        <w:pStyle w:val="Heading2"/>
        <w:numPr>
          <w:ilvl w:val="0"/>
          <w:numId w:val="25"/>
        </w:numPr>
        <w:ind w:left="284" w:hanging="284"/>
        <w:rPr>
          <w:bCs/>
          <w:szCs w:val="20"/>
          <w:lang w:val="en"/>
        </w:rPr>
      </w:pPr>
      <w:bookmarkStart w:id="246" w:name="_xsp7cjgpk2tl" w:colFirst="0" w:colLast="0"/>
      <w:bookmarkStart w:id="247" w:name="_Toc223088934"/>
      <w:bookmarkEnd w:id="246"/>
      <w:r w:rsidRPr="006810DB">
        <w:rPr>
          <w:bCs/>
          <w:szCs w:val="20"/>
          <w:lang w:val="en"/>
        </w:rPr>
        <w:t xml:space="preserve">Uji </w:t>
      </w:r>
      <w:r w:rsidRPr="006810DB">
        <w:rPr>
          <w:bCs/>
          <w:i/>
          <w:iCs/>
          <w:szCs w:val="20"/>
          <w:lang w:val="en"/>
        </w:rPr>
        <w:t>In Vitro</w:t>
      </w:r>
      <w:r w:rsidRPr="006810DB">
        <w:rPr>
          <w:bCs/>
          <w:szCs w:val="20"/>
          <w:lang w:val="en"/>
        </w:rPr>
        <w:t xml:space="preserve"> Potensi Antioksidan</w:t>
      </w:r>
      <w:bookmarkEnd w:id="247"/>
    </w:p>
    <w:p w14:paraId="43F2C24D"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Untuk mengevaluasi potensi antioksidan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secara objektif, para ilmuwan menggunakan serangkaian uji laboratorium standar (</w:t>
      </w:r>
      <w:r w:rsidRPr="006810DB">
        <w:rPr>
          <w:rFonts w:ascii="Book Antiqua" w:hAnsi="Book Antiqua"/>
          <w:i/>
          <w:iCs/>
          <w:sz w:val="20"/>
          <w:szCs w:val="20"/>
          <w:lang w:val="en"/>
        </w:rPr>
        <w:t>in vitro</w:t>
      </w:r>
      <w:r w:rsidRPr="006810DB">
        <w:rPr>
          <w:rFonts w:ascii="Book Antiqua" w:hAnsi="Book Antiqua"/>
          <w:sz w:val="20"/>
          <w:szCs w:val="20"/>
          <w:lang w:val="en"/>
        </w:rPr>
        <w:t>). Uji-uji ini dirancang untuk mensimulasikan interaksi antara antioksidan dan radikal bebas dalam lingkungan terkontrol, memberikan data kuantitatif yang dapat dibandingkan. Karena mekanisme antioksidan sangat kompleks, tidak ada satu metode tunggal yang dapat memberikan gambaran lengkap. Oleh karena itu, kombinasi berbagai metode uji diperlukan untuk memvalidasi profil antioksidan ekstrak secara komprehensif.</w:t>
      </w:r>
    </w:p>
    <w:p w14:paraId="5314DD83" w14:textId="77777777" w:rsidR="00B258B7" w:rsidRPr="006810DB" w:rsidRDefault="00B258B7" w:rsidP="006810DB">
      <w:pPr>
        <w:spacing w:after="0" w:line="276" w:lineRule="auto"/>
        <w:ind w:left="284"/>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Mengukur kekuatan antioksidan ekstrak herbal mirip dengan menguji kemampuan atlet dasalomba. Kita tidak bisa menilai atlet hanya dari satu jenis olahraga, misalnya lari cepat saja. Kita perlu serangkaian tes: lari (uji DPPH), angkat beban (uji FRAP), dan lompat jauh (uji penghambatan peroksidasi). Jika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menunjukkan hasil yang baik di semua tes ini, berlari cepat menetralkan radikal, kuat mereduksi ion logam, dan mampu melompat jauh menghentikan kerusakan lemak, maka kita dapat menyimpulkan bahwa ia adalah "atlet" antioksidan yang serba bisa dan tangguh, siap diterjunkan ke "olimpiade" seluler di dalam tubuh manusia.</w:t>
      </w:r>
    </w:p>
    <w:p w14:paraId="6282C6C0" w14:textId="02F5B45F" w:rsidR="00B258B7" w:rsidRPr="006810DB" w:rsidRDefault="00B258B7" w:rsidP="006810DB">
      <w:pPr>
        <w:pStyle w:val="ListParagraph"/>
        <w:numPr>
          <w:ilvl w:val="0"/>
          <w:numId w:val="64"/>
        </w:numPr>
        <w:spacing w:after="0" w:line="276" w:lineRule="auto"/>
        <w:ind w:left="567" w:hanging="283"/>
        <w:contextualSpacing w:val="0"/>
        <w:jc w:val="both"/>
        <w:rPr>
          <w:rFonts w:ascii="Book Antiqua" w:hAnsi="Book Antiqua"/>
          <w:b/>
          <w:bCs/>
          <w:sz w:val="20"/>
          <w:szCs w:val="20"/>
          <w:lang w:val="en"/>
        </w:rPr>
      </w:pPr>
      <w:bookmarkStart w:id="248" w:name="_yvpg2d8yiofz" w:colFirst="0" w:colLast="0"/>
      <w:bookmarkEnd w:id="248"/>
      <w:r w:rsidRPr="006810DB">
        <w:rPr>
          <w:rFonts w:ascii="Book Antiqua" w:hAnsi="Book Antiqua"/>
          <w:b/>
          <w:bCs/>
          <w:sz w:val="20"/>
          <w:szCs w:val="20"/>
          <w:lang w:val="en"/>
        </w:rPr>
        <w:t>Metode DPPH (2,2-diphenyl-1-picrylhydrazyl)</w:t>
      </w:r>
    </w:p>
    <w:p w14:paraId="4E0F9DA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Metode DPPH adalah salah satu uji yang paling populer dan sederhana untuk skrining aktivitas antioksidan. DPPH adalah radikal bebas stabil berwarna ungu pekat yang memiliki elektron tak berpasangan pada atom nitrogennya. Ketika larutan DPPH dicampur dengan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w:t>
      </w:r>
      <w:r w:rsidRPr="006810DB">
        <w:rPr>
          <w:rFonts w:ascii="Book Antiqua" w:hAnsi="Book Antiqua"/>
          <w:sz w:val="20"/>
          <w:szCs w:val="20"/>
          <w:lang w:val="en"/>
        </w:rPr>
        <w:lastRenderedPageBreak/>
        <w:t>yang mengandung senyawa donor hidrogen, radikal DPPH akan tereduksi menjadi bentuk non-radikal yang berwarna kuning pucat (diphenylpicrylhydrazine) (Belfiore et al., 2024).</w:t>
      </w:r>
    </w:p>
    <w:p w14:paraId="481ECFDA"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Perubahan warna dari ungu ke kuning ini dapat diukur secara spektrofotometri pada panjang gelombang 517 nm. Intensitas penurunan warna berbanding lurus dengan kemampuan ekstrak untuk mendonorkan hidrogen. Studi menunjukkan bahwa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mampu memudarkan warna DPPH secara signifikan dalam hitungan menit, menunjukkan reaktivitas yang cepat. Metode ini sangat berguna untuk memberikan estimasi awal tentang kapasitas antioksidan total dari komponen yang larut dalam pelarut organik (Shafodino et al., 2022).</w:t>
      </w:r>
    </w:p>
    <w:p w14:paraId="6118B808" w14:textId="6BC466DB" w:rsidR="00B258B7" w:rsidRPr="006810DB" w:rsidRDefault="00B258B7" w:rsidP="006810DB">
      <w:pPr>
        <w:pStyle w:val="ListParagraph"/>
        <w:numPr>
          <w:ilvl w:val="0"/>
          <w:numId w:val="64"/>
        </w:numPr>
        <w:spacing w:after="0" w:line="276" w:lineRule="auto"/>
        <w:ind w:left="567" w:hanging="283"/>
        <w:contextualSpacing w:val="0"/>
        <w:jc w:val="both"/>
        <w:rPr>
          <w:rFonts w:ascii="Book Antiqua" w:hAnsi="Book Antiqua"/>
          <w:b/>
          <w:bCs/>
          <w:sz w:val="20"/>
          <w:szCs w:val="20"/>
          <w:lang w:val="en"/>
        </w:rPr>
      </w:pPr>
      <w:bookmarkStart w:id="249" w:name="_d4n308nleif8" w:colFirst="0" w:colLast="0"/>
      <w:bookmarkEnd w:id="249"/>
      <w:r w:rsidRPr="006810DB">
        <w:rPr>
          <w:rFonts w:ascii="Book Antiqua" w:hAnsi="Book Antiqua"/>
          <w:b/>
          <w:bCs/>
          <w:sz w:val="20"/>
          <w:szCs w:val="20"/>
          <w:lang w:val="en"/>
        </w:rPr>
        <w:t>Analisis FRAP (</w:t>
      </w:r>
      <w:r w:rsidRPr="006810DB">
        <w:rPr>
          <w:rFonts w:ascii="Book Antiqua" w:hAnsi="Book Antiqua"/>
          <w:b/>
          <w:bCs/>
          <w:i/>
          <w:iCs/>
          <w:sz w:val="20"/>
          <w:szCs w:val="20"/>
          <w:lang w:val="en"/>
        </w:rPr>
        <w:t>Ferric Reducing Antioxidant Power</w:t>
      </w:r>
      <w:r w:rsidRPr="006810DB">
        <w:rPr>
          <w:rFonts w:ascii="Book Antiqua" w:hAnsi="Book Antiqua"/>
          <w:b/>
          <w:bCs/>
          <w:sz w:val="20"/>
          <w:szCs w:val="20"/>
          <w:lang w:val="en"/>
        </w:rPr>
        <w:t>)</w:t>
      </w:r>
    </w:p>
    <w:p w14:paraId="67420D24" w14:textId="60D4F848"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Berbeda dengan DPPH yang mengukur kemampuan menangkap radikal, uji FRAP mengukur kemampuan ekstrak untuk mereduksi ion logam. Prinsip dasarnya adalah reduksi kompleks </w:t>
      </w:r>
      <w:r w:rsidRPr="006810DB">
        <w:rPr>
          <w:rFonts w:ascii="Book Antiqua" w:hAnsi="Book Antiqua"/>
          <w:i/>
          <w:iCs/>
          <w:sz w:val="20"/>
          <w:szCs w:val="20"/>
          <w:lang w:val="en"/>
        </w:rPr>
        <w:t>ferric-tripiridyltriazine</w:t>
      </w:r>
      <w:r w:rsidRPr="006810DB">
        <w:rPr>
          <w:rFonts w:ascii="Book Antiqua" w:hAnsi="Book Antiqua"/>
          <w:sz w:val="20"/>
          <w:szCs w:val="20"/>
          <w:lang w:val="en"/>
        </w:rPr>
        <w:t xml:space="preserve"> (Fe3+Fe^{3+}Fe3+-TPTZ) yang tidak berwarna menjadi bentuk </w:t>
      </w:r>
      <w:r w:rsidRPr="006810DB">
        <w:rPr>
          <w:rFonts w:ascii="Book Antiqua" w:hAnsi="Book Antiqua"/>
          <w:i/>
          <w:iCs/>
          <w:sz w:val="20"/>
          <w:szCs w:val="20"/>
          <w:lang w:val="en"/>
        </w:rPr>
        <w:t>ferrous</w:t>
      </w:r>
      <w:r w:rsidRPr="006810DB">
        <w:rPr>
          <w:rFonts w:ascii="Book Antiqua" w:hAnsi="Book Antiqua"/>
          <w:sz w:val="20"/>
          <w:szCs w:val="20"/>
          <w:lang w:val="en"/>
        </w:rPr>
        <w:t xml:space="preserve"> (Fe2+Fe^{2+}Fe2+-TPTZ) yang berwarna biru intens dalam kondisi asam. Reaksi ini melibatkan transfer elektron tunggal dari molekul antioksidan ke ion besi (Kazemi et al., 2022).</w:t>
      </w:r>
    </w:p>
    <w:p w14:paraId="6BFF1A15"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Kemampuan mereduksi ion besi sangat relevan secara biologis karena ion logam transisi sering kali menjadi katalisator dalam pembentukan radikal bebas (misalnya dalam reaksi Fenton).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yang menunjukkan nilai FRAP tinggi mengindikasikan bahwa ia memiliki potensi reduksi elektron yang kuat. Hal ini berarti senyawa-senyawa di dalamnya mampu mendonorkan elektron untuk menstabilkan spesies oksidatif dan mencegah ion logam memicu pembentukan radikal hidroksil yang sangat merusak. Data FRAP sering kali berkorelasi positif dengan kandungan polifenol dalam ekstrak.</w:t>
      </w:r>
    </w:p>
    <w:p w14:paraId="65717481" w14:textId="77777777" w:rsidR="00A95863" w:rsidRDefault="00A95863">
      <w:pPr>
        <w:rPr>
          <w:rFonts w:ascii="Book Antiqua" w:hAnsi="Book Antiqua"/>
          <w:b/>
          <w:bCs/>
          <w:sz w:val="20"/>
          <w:szCs w:val="20"/>
          <w:lang w:val="en"/>
        </w:rPr>
      </w:pPr>
      <w:bookmarkStart w:id="250" w:name="_t4ousz3bm114" w:colFirst="0" w:colLast="0"/>
      <w:bookmarkEnd w:id="250"/>
      <w:r>
        <w:rPr>
          <w:rFonts w:ascii="Book Antiqua" w:hAnsi="Book Antiqua"/>
          <w:b/>
          <w:bCs/>
          <w:sz w:val="20"/>
          <w:szCs w:val="20"/>
          <w:lang w:val="en"/>
        </w:rPr>
        <w:br w:type="page"/>
      </w:r>
    </w:p>
    <w:p w14:paraId="34988912" w14:textId="2C5F7753" w:rsidR="00B258B7" w:rsidRPr="006810DB" w:rsidRDefault="00B258B7" w:rsidP="006810DB">
      <w:pPr>
        <w:pStyle w:val="ListParagraph"/>
        <w:numPr>
          <w:ilvl w:val="0"/>
          <w:numId w:val="64"/>
        </w:numPr>
        <w:spacing w:after="0" w:line="276" w:lineRule="auto"/>
        <w:ind w:left="567" w:hanging="283"/>
        <w:contextualSpacing w:val="0"/>
        <w:jc w:val="both"/>
        <w:rPr>
          <w:rFonts w:ascii="Book Antiqua" w:hAnsi="Book Antiqua"/>
          <w:b/>
          <w:bCs/>
          <w:sz w:val="20"/>
          <w:szCs w:val="20"/>
          <w:lang w:val="en"/>
        </w:rPr>
      </w:pPr>
      <w:r w:rsidRPr="006810DB">
        <w:rPr>
          <w:rFonts w:ascii="Book Antiqua" w:hAnsi="Book Antiqua"/>
          <w:b/>
          <w:bCs/>
          <w:sz w:val="20"/>
          <w:szCs w:val="20"/>
          <w:lang w:val="en"/>
        </w:rPr>
        <w:lastRenderedPageBreak/>
        <w:t>Penentuan Nilai IC50 (</w:t>
      </w:r>
      <w:r w:rsidRPr="006810DB">
        <w:rPr>
          <w:rFonts w:ascii="Book Antiqua" w:hAnsi="Book Antiqua"/>
          <w:b/>
          <w:bCs/>
          <w:i/>
          <w:iCs/>
          <w:sz w:val="20"/>
          <w:szCs w:val="20"/>
          <w:lang w:val="en"/>
        </w:rPr>
        <w:t>Inhibition Concentration</w:t>
      </w:r>
      <w:r w:rsidRPr="006810DB">
        <w:rPr>
          <w:rFonts w:ascii="Book Antiqua" w:hAnsi="Book Antiqua"/>
          <w:b/>
          <w:bCs/>
          <w:sz w:val="20"/>
          <w:szCs w:val="20"/>
          <w:lang w:val="en"/>
        </w:rPr>
        <w:t>)</w:t>
      </w:r>
    </w:p>
    <w:p w14:paraId="5ACF51A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Nilai IC50 (</w:t>
      </w:r>
      <w:r w:rsidRPr="006810DB">
        <w:rPr>
          <w:rFonts w:ascii="Book Antiqua" w:hAnsi="Book Antiqua"/>
          <w:i/>
          <w:iCs/>
          <w:sz w:val="20"/>
          <w:szCs w:val="20"/>
          <w:lang w:val="en"/>
        </w:rPr>
        <w:t>Inhibition Concentration 50</w:t>
      </w:r>
      <w:r w:rsidRPr="006810DB">
        <w:rPr>
          <w:rFonts w:ascii="Book Antiqua" w:hAnsi="Book Antiqua"/>
          <w:sz w:val="20"/>
          <w:szCs w:val="20"/>
          <w:lang w:val="en"/>
        </w:rPr>
        <w:t>) adalah parameter kuantitatif yang paling umum digunakan untuk menyatakan potensi antioksidan. Nilai ini didefinisikan sebagai konsentrasi ekstrak yang diperlukan untuk menghambat atau menetralkan 50% radikal bebas dalam larutan uji. Dalam konteks uji DPPH, misalnya, IC50 adalah konsentrasi ekstrak di mana intensitas warna ungu berkurang hingga setengah dari kontrol (Sobhannizadeh et al., 2025).</w:t>
      </w:r>
    </w:p>
    <w:p w14:paraId="5E7D4764" w14:textId="65C12AFD"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Nilai IC50 berbanding terbalik dengan potensi antioksidan: semakin kecil nilai IC50, semakin kuat aktivitas antioksidannya, karena hanya dibutuhkan sedikit ekstrak untuk mencapai efek yang signifikan.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yang berkualitas tinggi, terutama yang kaya akan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sering kali menunjukkan nilai IC50 yang sangat rendah (&lt; 50 µg/mL), yang sebanding atau bahkan lebih baik daripada beberapa antioksidan sintetik standar. Penentuan IC50 memungkinkan peneliti untuk membandingkan potensi antar </w:t>
      </w:r>
      <w:r w:rsidRPr="006810DB">
        <w:rPr>
          <w:rFonts w:ascii="Book Antiqua" w:hAnsi="Book Antiqua"/>
          <w:i/>
          <w:iCs/>
          <w:sz w:val="20"/>
          <w:szCs w:val="20"/>
          <w:lang w:val="en"/>
        </w:rPr>
        <w:t>batch</w:t>
      </w:r>
      <w:r w:rsidRPr="006810DB">
        <w:rPr>
          <w:rFonts w:ascii="Book Antiqua" w:hAnsi="Book Antiqua"/>
          <w:sz w:val="20"/>
          <w:szCs w:val="20"/>
          <w:lang w:val="en"/>
        </w:rPr>
        <w:t xml:space="preserve"> produksi yang berbeda atau antar metode ekstraksi yang berbeda secara presisi.</w:t>
      </w:r>
    </w:p>
    <w:p w14:paraId="3E9B1A21" w14:textId="77777777" w:rsidR="002E5D2A" w:rsidRPr="006810DB" w:rsidRDefault="002E5D2A" w:rsidP="006810DB">
      <w:pPr>
        <w:spacing w:after="0" w:line="276" w:lineRule="auto"/>
        <w:jc w:val="both"/>
        <w:rPr>
          <w:rFonts w:ascii="Book Antiqua" w:hAnsi="Book Antiqua"/>
          <w:sz w:val="20"/>
          <w:szCs w:val="20"/>
          <w:lang w:val="en"/>
        </w:rPr>
      </w:pPr>
    </w:p>
    <w:p w14:paraId="0728B69A" w14:textId="40F0C866" w:rsidR="00B258B7" w:rsidRPr="006810DB" w:rsidRDefault="00B258B7" w:rsidP="006810DB">
      <w:pPr>
        <w:pStyle w:val="Heading2"/>
        <w:numPr>
          <w:ilvl w:val="0"/>
          <w:numId w:val="25"/>
        </w:numPr>
        <w:ind w:left="284" w:hanging="284"/>
        <w:rPr>
          <w:bCs/>
          <w:szCs w:val="20"/>
          <w:lang w:val="en"/>
        </w:rPr>
      </w:pPr>
      <w:bookmarkStart w:id="251" w:name="_c4jddtxz6q8" w:colFirst="0" w:colLast="0"/>
      <w:bookmarkStart w:id="252" w:name="_Toc223088935"/>
      <w:bookmarkEnd w:id="251"/>
      <w:r w:rsidRPr="006810DB">
        <w:rPr>
          <w:bCs/>
          <w:szCs w:val="20"/>
          <w:lang w:val="en"/>
        </w:rPr>
        <w:t>Korelasi Kandungan Fenolik dengan Daya Antioksidan</w:t>
      </w:r>
      <w:bookmarkEnd w:id="252"/>
    </w:p>
    <w:p w14:paraId="3FF1DB4E"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Aktivitas antioksidan dari ekstrak tumbuhan tidak muncul secara ajaib; ia berakar pada komposisi kimianya. Kelompok senyawa yang paling sering dikaitkan dengan aktivitas ini adalah polifenol atau senyawa fenolik. Struktur kimia senyawa fenolik, yang memiliki cincin aromatik dengan satu atau lebih gugus hidroksil (-OH), menjadikannya donor hidrogen yang ideal. Oleh karena itu, terdapat hipotesis kuat bahwa semakin tinggi kandungan fenolik dalam ekstrak </w:t>
      </w:r>
      <w:r w:rsidRPr="006810DB">
        <w:rPr>
          <w:rFonts w:ascii="Book Antiqua" w:hAnsi="Book Antiqua"/>
          <w:i/>
          <w:iCs/>
          <w:sz w:val="20"/>
          <w:szCs w:val="20"/>
          <w:lang w:val="en"/>
        </w:rPr>
        <w:t>Nigella sativa</w:t>
      </w:r>
      <w:r w:rsidRPr="006810DB">
        <w:rPr>
          <w:rFonts w:ascii="Book Antiqua" w:hAnsi="Book Antiqua"/>
          <w:sz w:val="20"/>
          <w:szCs w:val="20"/>
          <w:lang w:val="en"/>
        </w:rPr>
        <w:t>, semakin kuat pula daya antioksidannya. Memahami korelasi ini penting untuk tujuan standardisasi dan prediksi efikasi.</w:t>
      </w:r>
    </w:p>
    <w:p w14:paraId="36247E5C" w14:textId="77777777" w:rsidR="00A95863" w:rsidRDefault="00A95863">
      <w:pPr>
        <w:rPr>
          <w:rFonts w:ascii="Book Antiqua" w:hAnsi="Book Antiqua"/>
          <w:b/>
          <w:bCs/>
          <w:sz w:val="20"/>
          <w:szCs w:val="20"/>
          <w:lang w:val="en"/>
        </w:rPr>
      </w:pPr>
      <w:r>
        <w:rPr>
          <w:rFonts w:ascii="Book Antiqua" w:hAnsi="Book Antiqua"/>
          <w:b/>
          <w:bCs/>
          <w:sz w:val="20"/>
          <w:szCs w:val="20"/>
          <w:lang w:val="en"/>
        </w:rPr>
        <w:br w:type="page"/>
      </w:r>
    </w:p>
    <w:p w14:paraId="3C77235E" w14:textId="4C8F7266"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lastRenderedPageBreak/>
        <w:t>Analogi/Contoh Kasus:</w:t>
      </w:r>
      <w:r w:rsidRPr="006810DB">
        <w:rPr>
          <w:rFonts w:ascii="Book Antiqua" w:hAnsi="Book Antiqua"/>
          <w:sz w:val="20"/>
          <w:szCs w:val="20"/>
          <w:lang w:val="en"/>
        </w:rPr>
        <w:t xml:space="preserve"> Hubungan antara kandungan fenolik dan daya antioksidan mirip dengan hubungan antara jumlah pasukan elit dan kekuatan tempur sebuah batalion. Kandungan fenolik (Total Phenolic Content) adalah jumlah prajurit yang tersedia. Daya antioksidan adalah seberapa efektif batalion tersebut memenangkan pertempuran. Umumnya, semakin banyak prajurit elit (senyawa fenolik) yang Anda miliki, semakin besar peluang Anda untuk menang (aktivitas antioksidan tinggi). Namun, peralatan dan strategi (struktur kimia spesifik) juga penting. Dalam kasus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bertindak seperti komandan pasukan khusus yang memiliki senjata unik, sehingga meskipun jumlah total prajuritnya sedang, kekuatan tempurnya sangat mematikan.</w:t>
      </w:r>
    </w:p>
    <w:p w14:paraId="4194936E" w14:textId="01F4EF7E" w:rsidR="00B258B7" w:rsidRPr="006810DB" w:rsidRDefault="00B258B7" w:rsidP="006810DB">
      <w:pPr>
        <w:pStyle w:val="ListParagraph"/>
        <w:numPr>
          <w:ilvl w:val="0"/>
          <w:numId w:val="65"/>
        </w:numPr>
        <w:spacing w:after="0" w:line="276" w:lineRule="auto"/>
        <w:ind w:left="567" w:hanging="283"/>
        <w:contextualSpacing w:val="0"/>
        <w:jc w:val="both"/>
        <w:rPr>
          <w:rFonts w:ascii="Book Antiqua" w:hAnsi="Book Antiqua"/>
          <w:b/>
          <w:bCs/>
          <w:sz w:val="20"/>
          <w:szCs w:val="20"/>
          <w:lang w:val="en"/>
        </w:rPr>
      </w:pPr>
      <w:bookmarkStart w:id="253" w:name="_e1y8qqbfs6nx" w:colFirst="0" w:colLast="0"/>
      <w:bookmarkEnd w:id="253"/>
      <w:r w:rsidRPr="006810DB">
        <w:rPr>
          <w:rFonts w:ascii="Book Antiqua" w:hAnsi="Book Antiqua"/>
          <w:b/>
          <w:bCs/>
          <w:sz w:val="20"/>
          <w:szCs w:val="20"/>
          <w:lang w:val="en"/>
        </w:rPr>
        <w:t xml:space="preserve">Penentuan </w:t>
      </w:r>
      <w:r w:rsidRPr="006810DB">
        <w:rPr>
          <w:rFonts w:ascii="Book Antiqua" w:hAnsi="Book Antiqua"/>
          <w:b/>
          <w:bCs/>
          <w:i/>
          <w:iCs/>
          <w:sz w:val="20"/>
          <w:szCs w:val="20"/>
          <w:lang w:val="en"/>
        </w:rPr>
        <w:t>Total Phenolic Content</w:t>
      </w:r>
      <w:r w:rsidRPr="006810DB">
        <w:rPr>
          <w:rFonts w:ascii="Book Antiqua" w:hAnsi="Book Antiqua"/>
          <w:b/>
          <w:bCs/>
          <w:sz w:val="20"/>
          <w:szCs w:val="20"/>
          <w:lang w:val="en"/>
        </w:rPr>
        <w:t xml:space="preserve"> (TPC)</w:t>
      </w:r>
    </w:p>
    <w:p w14:paraId="7BE8CB55"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Penentuan Kandungan Fenolik Total atau </w:t>
      </w:r>
      <w:r w:rsidRPr="006810DB">
        <w:rPr>
          <w:rFonts w:ascii="Book Antiqua" w:hAnsi="Book Antiqua"/>
          <w:i/>
          <w:iCs/>
          <w:sz w:val="20"/>
          <w:szCs w:val="20"/>
          <w:lang w:val="en"/>
        </w:rPr>
        <w:t>Total Phenolic Content</w:t>
      </w:r>
      <w:r w:rsidRPr="006810DB">
        <w:rPr>
          <w:rFonts w:ascii="Book Antiqua" w:hAnsi="Book Antiqua"/>
          <w:sz w:val="20"/>
          <w:szCs w:val="20"/>
          <w:lang w:val="en"/>
        </w:rPr>
        <w:t xml:space="preserve"> (TPC) biasanya dilakukan menggunakan metode Folin-Ciocalteu. Reagen Folin-Ciocalteu mengandung kompleks fosfomolibdat-fosfotungstat yang akan tereduksi oleh gugus hidroksil fenolik dalam suasana basa, menghasilkan warna biru. Intensitas warna biru ini diukur dengan spektrofotometer dan dikonversikan menjadi ekuivalen asam galat (</w:t>
      </w:r>
      <w:r w:rsidRPr="006810DB">
        <w:rPr>
          <w:rFonts w:ascii="Book Antiqua" w:hAnsi="Book Antiqua"/>
          <w:i/>
          <w:iCs/>
          <w:sz w:val="20"/>
          <w:szCs w:val="20"/>
          <w:lang w:val="en"/>
        </w:rPr>
        <w:t>Gallic Acid Equivalent</w:t>
      </w:r>
      <w:r w:rsidRPr="006810DB">
        <w:rPr>
          <w:rFonts w:ascii="Book Antiqua" w:hAnsi="Book Antiqua"/>
          <w:sz w:val="20"/>
          <w:szCs w:val="20"/>
          <w:lang w:val="en"/>
        </w:rPr>
        <w:t>/GAE) per gram ekstrak (Hannan et al., 2021).</w:t>
      </w:r>
    </w:p>
    <w:p w14:paraId="2CCD7D0F"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Hasil analisis TPC pada berbagai varietas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menunjukkan variasi yang cukup luas tergantung pada asal geografis dan metode ekstraksi. Namun, secara umum, ekstrak yang menggunakan pelarut polar seperti etanol atau metanol cenderung memiliki nilai TPC yang lebih tinggi dibandingkan ekstrak heksana atau air. Pengukuran TPC menjadi parameter kontrol kualitas yang cepat dan murah untuk memperkirakan potensi antioksidan awal dari bahan baku sebelum dilakukan uji aktivitas yang lebih spesifik.</w:t>
      </w:r>
    </w:p>
    <w:p w14:paraId="6243619E" w14:textId="3959975C" w:rsidR="00B258B7" w:rsidRPr="006810DB" w:rsidRDefault="00B258B7" w:rsidP="006810DB">
      <w:pPr>
        <w:pStyle w:val="ListParagraph"/>
        <w:numPr>
          <w:ilvl w:val="0"/>
          <w:numId w:val="65"/>
        </w:numPr>
        <w:spacing w:after="0" w:line="276" w:lineRule="auto"/>
        <w:ind w:left="567" w:hanging="283"/>
        <w:contextualSpacing w:val="0"/>
        <w:jc w:val="both"/>
        <w:rPr>
          <w:rFonts w:ascii="Book Antiqua" w:hAnsi="Book Antiqua"/>
          <w:b/>
          <w:bCs/>
          <w:sz w:val="20"/>
          <w:szCs w:val="20"/>
          <w:lang w:val="en"/>
        </w:rPr>
      </w:pPr>
      <w:bookmarkStart w:id="254" w:name="_vatvvgiwx5lq" w:colFirst="0" w:colLast="0"/>
      <w:bookmarkEnd w:id="254"/>
      <w:r w:rsidRPr="006810DB">
        <w:rPr>
          <w:rFonts w:ascii="Book Antiqua" w:hAnsi="Book Antiqua"/>
          <w:b/>
          <w:bCs/>
          <w:sz w:val="20"/>
          <w:szCs w:val="20"/>
          <w:lang w:val="en"/>
        </w:rPr>
        <w:t>Hubungan Struktur Kimia dan Aktivitas Biologis</w:t>
      </w:r>
    </w:p>
    <w:p w14:paraId="4E04DAF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Korelasi antara TPC dan aktivitas antioksidan pada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umumnya bersifat positif dan linier, namun tidak selalu sempurna. Hal ini disebabkan oleh pengaruh </w:t>
      </w:r>
      <w:r w:rsidRPr="006810DB">
        <w:rPr>
          <w:rFonts w:ascii="Book Antiqua" w:hAnsi="Book Antiqua"/>
          <w:sz w:val="20"/>
          <w:szCs w:val="20"/>
          <w:lang w:val="en"/>
        </w:rPr>
        <w:lastRenderedPageBreak/>
        <w:t>struktur kimia spesifik (</w:t>
      </w:r>
      <w:r w:rsidRPr="006810DB">
        <w:rPr>
          <w:rFonts w:ascii="Book Antiqua" w:hAnsi="Book Antiqua"/>
          <w:i/>
          <w:iCs/>
          <w:sz w:val="20"/>
          <w:szCs w:val="20"/>
          <w:lang w:val="en"/>
        </w:rPr>
        <w:t>Structure-Activity Relationship</w:t>
      </w:r>
      <w:r w:rsidRPr="006810DB">
        <w:rPr>
          <w:rFonts w:ascii="Book Antiqua" w:hAnsi="Book Antiqua"/>
          <w:sz w:val="20"/>
          <w:szCs w:val="20"/>
          <w:lang w:val="en"/>
        </w:rPr>
        <w:t xml:space="preserve">/SAR). Posisi dan jumlah gugus hidroksil pada cincin benzen sangat menentukan reaktivitas senyawa fenolik. Senyawa dengan gugus hidroksil pada posisi </w:t>
      </w:r>
      <w:r w:rsidRPr="006810DB">
        <w:rPr>
          <w:rFonts w:ascii="Book Antiqua" w:hAnsi="Book Antiqua"/>
          <w:i/>
          <w:iCs/>
          <w:sz w:val="20"/>
          <w:szCs w:val="20"/>
          <w:lang w:val="en"/>
        </w:rPr>
        <w:t>ortho</w:t>
      </w:r>
      <w:r w:rsidRPr="006810DB">
        <w:rPr>
          <w:rFonts w:ascii="Book Antiqua" w:hAnsi="Book Antiqua"/>
          <w:sz w:val="20"/>
          <w:szCs w:val="20"/>
          <w:lang w:val="en"/>
        </w:rPr>
        <w:t xml:space="preserve"> (bersebelahan), misalnya, memiliki kemampuan kelat logam dan donasi hidrogen yang lebih baik (Belfiore et al., 2024).</w:t>
      </w:r>
    </w:p>
    <w:p w14:paraId="2B5022A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Selain fenolik klasik,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(TQ) memainkan peran unik. Meskipun secara teknis bukan polifenol (karena struktur kuinonnya), TQ memberikan kontribusi besar pada aktivitas antioksidan total. Kehadiran gugus karbonil dan ikatan rangkap terkonjugasi pada TQ memungkinkannya berpartisipasi dalam reaksi redoks dengan cara yang berbeda namun komplementer dengan fenolik. Oleh karena itu, dalam ekstrak </w:t>
      </w:r>
      <w:r w:rsidRPr="006810DB">
        <w:rPr>
          <w:rFonts w:ascii="Book Antiqua" w:hAnsi="Book Antiqua"/>
          <w:i/>
          <w:iCs/>
          <w:sz w:val="20"/>
          <w:szCs w:val="20"/>
          <w:lang w:val="en"/>
        </w:rPr>
        <w:t>Nigella sativa</w:t>
      </w:r>
      <w:r w:rsidRPr="006810DB">
        <w:rPr>
          <w:rFonts w:ascii="Book Antiqua" w:hAnsi="Book Antiqua"/>
          <w:sz w:val="20"/>
          <w:szCs w:val="20"/>
          <w:lang w:val="en"/>
        </w:rPr>
        <w:t>, aktivitas antioksidan total adalah hasil penjumlahan dan sinergi antara senyawa fenolik (seperti flavonoid) dan senyawa non-fenolik aktif redoks (seperti TQ) (Madani et al., 2023).</w:t>
      </w:r>
    </w:p>
    <w:p w14:paraId="3C4DFEA4" w14:textId="2BB2F9AA" w:rsidR="00B258B7" w:rsidRPr="006810DB" w:rsidRDefault="00B258B7" w:rsidP="006810DB">
      <w:pPr>
        <w:pStyle w:val="ListParagraph"/>
        <w:numPr>
          <w:ilvl w:val="0"/>
          <w:numId w:val="65"/>
        </w:numPr>
        <w:spacing w:after="0" w:line="276" w:lineRule="auto"/>
        <w:ind w:left="567" w:hanging="283"/>
        <w:contextualSpacing w:val="0"/>
        <w:jc w:val="both"/>
        <w:rPr>
          <w:rFonts w:ascii="Book Antiqua" w:hAnsi="Book Antiqua"/>
          <w:b/>
          <w:bCs/>
          <w:sz w:val="20"/>
          <w:szCs w:val="20"/>
          <w:lang w:val="en"/>
        </w:rPr>
      </w:pPr>
      <w:bookmarkStart w:id="255" w:name="_no2aewkjrr9" w:colFirst="0" w:colLast="0"/>
      <w:bookmarkEnd w:id="255"/>
      <w:r w:rsidRPr="006810DB">
        <w:rPr>
          <w:rFonts w:ascii="Book Antiqua" w:hAnsi="Book Antiqua"/>
          <w:b/>
          <w:bCs/>
          <w:sz w:val="20"/>
          <w:szCs w:val="20"/>
          <w:lang w:val="en"/>
        </w:rPr>
        <w:t>Perbandingan dengan Antioksidan Standar (Vitamin E/C)</w:t>
      </w:r>
    </w:p>
    <w:p w14:paraId="172EA63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Untuk menempatkan potensi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dalam perspektif yang tepat, hasil uji sering dibandingkan dengan antioksidan standar yang sudah dikenal luas, seperti Vitamin C (asam askorbat), Vitamin E (α-tokoferol), atau BHT (</w:t>
      </w:r>
      <w:r w:rsidRPr="006810DB">
        <w:rPr>
          <w:rFonts w:ascii="Book Antiqua" w:hAnsi="Book Antiqua"/>
          <w:i/>
          <w:iCs/>
          <w:sz w:val="20"/>
          <w:szCs w:val="20"/>
          <w:lang w:val="en"/>
        </w:rPr>
        <w:t>Butylated Hydroxytoluene</w:t>
      </w:r>
      <w:r w:rsidRPr="006810DB">
        <w:rPr>
          <w:rFonts w:ascii="Book Antiqua" w:hAnsi="Book Antiqua"/>
          <w:sz w:val="20"/>
          <w:szCs w:val="20"/>
          <w:lang w:val="en"/>
        </w:rPr>
        <w:t>). Perbandingan ini penting untuk memvalidasi apakah ekstrak herbal tersebut memiliki potensi yang relevan secara klinis atau hanya efek marjinal.</w:t>
      </w:r>
    </w:p>
    <w:p w14:paraId="73ABF84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Dalam banyak studi </w:t>
      </w:r>
      <w:r w:rsidRPr="006810DB">
        <w:rPr>
          <w:rFonts w:ascii="Book Antiqua" w:hAnsi="Book Antiqua"/>
          <w:i/>
          <w:iCs/>
          <w:sz w:val="20"/>
          <w:szCs w:val="20"/>
          <w:lang w:val="en"/>
        </w:rPr>
        <w:t>in vitro</w:t>
      </w:r>
      <w:r w:rsidRPr="006810DB">
        <w:rPr>
          <w:rFonts w:ascii="Book Antiqua" w:hAnsi="Book Antiqua"/>
          <w:sz w:val="20"/>
          <w:szCs w:val="20"/>
          <w:lang w:val="en"/>
        </w:rPr>
        <w:t xml:space="preserve">,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yang kaya TQ menunjukkan aktivitas penghambatan radikal yang sebanding dengan Vitamin E, terutama dalam uji peroksidasi lipid. Hal ini masuk akal mengingat sifat lipofilik dari minyak jintan hitam yang mirip dengan Vitamin E, memungkinkannya bekerja efektif di membran sel. Meskipun mungkin memiliki IC50 yang sedikit lebih tinggi dibandingkan asam askorbat murni dalam uji berbasis air, keunggulan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terletak pada kompleksitas senyawanya yang menawarkan stabilitas lebih baik dan </w:t>
      </w:r>
      <w:r w:rsidRPr="006810DB">
        <w:rPr>
          <w:rFonts w:ascii="Book Antiqua" w:hAnsi="Book Antiqua"/>
          <w:sz w:val="20"/>
          <w:szCs w:val="20"/>
          <w:lang w:val="en"/>
        </w:rPr>
        <w:lastRenderedPageBreak/>
        <w:t>mekanisme aksi yang lebih luas dibandingkan vitamin tunggal (Yimer et al., 2019).</w:t>
      </w:r>
    </w:p>
    <w:p w14:paraId="5F9A1450" w14:textId="77777777" w:rsidR="002E5D2A" w:rsidRPr="006810DB" w:rsidRDefault="002E5D2A" w:rsidP="006810DB">
      <w:pPr>
        <w:spacing w:after="0" w:line="276" w:lineRule="auto"/>
        <w:jc w:val="both"/>
        <w:rPr>
          <w:rFonts w:ascii="Book Antiqua" w:hAnsi="Book Antiqua"/>
          <w:b/>
          <w:bCs/>
          <w:sz w:val="20"/>
          <w:szCs w:val="20"/>
          <w:lang w:val="en"/>
        </w:rPr>
      </w:pPr>
      <w:bookmarkStart w:id="256" w:name="_rn0flqlvzjmn" w:colFirst="0" w:colLast="0"/>
      <w:bookmarkEnd w:id="256"/>
    </w:p>
    <w:p w14:paraId="482D680C" w14:textId="77777777" w:rsidR="00EA6A41" w:rsidRPr="006810DB" w:rsidRDefault="00EA6A41"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27619E21" w14:textId="7AA93399" w:rsidR="00B258B7" w:rsidRPr="006810DB" w:rsidRDefault="00B258B7" w:rsidP="006810DB">
      <w:pPr>
        <w:pStyle w:val="Heading2"/>
        <w:jc w:val="center"/>
        <w:rPr>
          <w:b w:val="0"/>
          <w:bCs/>
          <w:szCs w:val="20"/>
          <w:lang w:val="en"/>
        </w:rPr>
      </w:pPr>
      <w:bookmarkStart w:id="257" w:name="_Toc223088936"/>
      <w:r w:rsidRPr="006810DB">
        <w:lastRenderedPageBreak/>
        <w:t>KESIMPULAN</w:t>
      </w:r>
      <w:bookmarkEnd w:id="257"/>
    </w:p>
    <w:p w14:paraId="1EACDB20" w14:textId="77777777" w:rsidR="00D51341" w:rsidRPr="006810DB" w:rsidRDefault="00D51341" w:rsidP="006810DB">
      <w:pPr>
        <w:spacing w:after="0" w:line="276" w:lineRule="auto"/>
        <w:jc w:val="both"/>
        <w:rPr>
          <w:rFonts w:ascii="Book Antiqua" w:hAnsi="Book Antiqua"/>
          <w:sz w:val="20"/>
          <w:szCs w:val="20"/>
          <w:lang w:val="en"/>
        </w:rPr>
      </w:pPr>
    </w:p>
    <w:p w14:paraId="66FC3113" w14:textId="5A76E7F0" w:rsidR="00B258B7" w:rsidRPr="006810DB" w:rsidRDefault="00B258B7" w:rsidP="006810DB">
      <w:pPr>
        <w:spacing w:after="0" w:line="276" w:lineRule="auto"/>
        <w:ind w:firstLine="567"/>
        <w:jc w:val="both"/>
        <w:rPr>
          <w:rFonts w:ascii="Book Antiqua" w:hAnsi="Book Antiqua"/>
          <w:sz w:val="20"/>
          <w:szCs w:val="20"/>
          <w:lang w:val="en"/>
        </w:rPr>
      </w:pPr>
      <w:r w:rsidRPr="006810DB">
        <w:rPr>
          <w:rFonts w:ascii="Book Antiqua" w:hAnsi="Book Antiqua"/>
          <w:sz w:val="20"/>
          <w:szCs w:val="20"/>
          <w:lang w:val="en"/>
        </w:rPr>
        <w:t xml:space="preserve">Aktivitas antioksidan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telah terbukti secara ilmiah melalui berbagai metode pengujian </w:t>
      </w:r>
      <w:r w:rsidRPr="006810DB">
        <w:rPr>
          <w:rFonts w:ascii="Book Antiqua" w:hAnsi="Book Antiqua"/>
          <w:i/>
          <w:iCs/>
          <w:sz w:val="20"/>
          <w:szCs w:val="20"/>
          <w:lang w:val="en"/>
        </w:rPr>
        <w:t>in vitro</w:t>
      </w:r>
      <w:r w:rsidRPr="006810DB">
        <w:rPr>
          <w:rFonts w:ascii="Book Antiqua" w:hAnsi="Book Antiqua"/>
          <w:sz w:val="20"/>
          <w:szCs w:val="20"/>
          <w:lang w:val="en"/>
        </w:rPr>
        <w:t xml:space="preserve"> yang komprehensif. Mekanisme kerjanya melibatkan donasi hidrogen dan transfer elektron, yang secara efektif menetralkan radikal bebas seperti superoksida dan radikal peroksil lipid.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dan senyawa fenolik diidentifikasi sebagai agen utama di balik aktivitas ini, dengan korelasi positif yang kuat antara kandungan total fenolik dan kapasitas antioksidan. Dibandingkan dengan antioksidan standar,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menawarkan profil proteksi redoks yang kuat dan beragam, menjadikannya kandidat yang sangat menjanjikan untuk melawan stres oksidatif masif yang diinduksi oleh kemoterapi cisplatin.</w:t>
      </w:r>
    </w:p>
    <w:p w14:paraId="1ADABCD9" w14:textId="77777777" w:rsidR="00F351CE" w:rsidRPr="006810DB" w:rsidRDefault="00F351CE" w:rsidP="006810DB">
      <w:pPr>
        <w:spacing w:after="0" w:line="276" w:lineRule="auto"/>
        <w:jc w:val="both"/>
        <w:rPr>
          <w:rFonts w:ascii="Book Antiqua" w:hAnsi="Book Antiqua"/>
          <w:b/>
          <w:bCs/>
          <w:sz w:val="20"/>
          <w:szCs w:val="20"/>
          <w:lang w:val="en"/>
        </w:rPr>
      </w:pPr>
      <w:bookmarkStart w:id="258" w:name="_af4x42elg469" w:colFirst="0" w:colLast="0"/>
      <w:bookmarkEnd w:id="258"/>
    </w:p>
    <w:p w14:paraId="4BABA119" w14:textId="77777777" w:rsidR="002E5D2A" w:rsidRPr="006810DB" w:rsidRDefault="002E5D2A"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4E5DD138" w14:textId="77777777" w:rsidR="00824155" w:rsidRPr="006810DB" w:rsidRDefault="00824155" w:rsidP="00824155">
      <w:pPr>
        <w:pStyle w:val="Heading2"/>
        <w:jc w:val="center"/>
        <w:rPr>
          <w:rFonts w:eastAsia="DengXian"/>
          <w:lang w:eastAsia="zh-CN"/>
        </w:rPr>
      </w:pPr>
      <w:bookmarkStart w:id="259" w:name="_Toc223088937"/>
      <w:r w:rsidRPr="006810DB">
        <w:lastRenderedPageBreak/>
        <w:t>GLOSARIUM</w:t>
      </w:r>
      <w:bookmarkEnd w:id="259"/>
    </w:p>
    <w:p w14:paraId="00303C45" w14:textId="77777777" w:rsidR="00824155" w:rsidRPr="006810DB" w:rsidRDefault="00824155" w:rsidP="00824155">
      <w:pPr>
        <w:spacing w:after="0" w:line="276" w:lineRule="auto"/>
        <w:jc w:val="both"/>
        <w:rPr>
          <w:rFonts w:ascii="Book Antiqua" w:hAnsi="Book Antiqua"/>
          <w:b/>
          <w:bCs/>
          <w:sz w:val="20"/>
          <w:szCs w:val="20"/>
          <w:lang w:val="en"/>
        </w:rPr>
      </w:pPr>
    </w:p>
    <w:p w14:paraId="5584DE42"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DPPH (</w:t>
      </w:r>
      <w:r w:rsidRPr="006810DB">
        <w:rPr>
          <w:rFonts w:ascii="Book Antiqua" w:hAnsi="Book Antiqua"/>
          <w:b/>
          <w:bCs/>
          <w:i/>
          <w:iCs/>
          <w:sz w:val="20"/>
          <w:szCs w:val="20"/>
          <w:lang w:val="en"/>
        </w:rPr>
        <w:t>2,2-diphenyl-1-picrylhydrazyl</w:t>
      </w:r>
      <w:r w:rsidRPr="006810DB">
        <w:rPr>
          <w:rFonts w:ascii="Book Antiqua" w:hAnsi="Book Antiqua"/>
          <w:b/>
          <w:bCs/>
          <w:sz w:val="20"/>
          <w:szCs w:val="20"/>
          <w:lang w:val="en"/>
        </w:rPr>
        <w:t>):</w:t>
      </w:r>
      <w:r w:rsidRPr="006810DB">
        <w:rPr>
          <w:rFonts w:ascii="Book Antiqua" w:hAnsi="Book Antiqua"/>
          <w:sz w:val="20"/>
          <w:szCs w:val="20"/>
          <w:lang w:val="en"/>
        </w:rPr>
        <w:t xml:space="preserve"> Radikal bebas sintetis stabil berwarna ungu yang digunakan dalam uji laboratorium untuk mengukur kapasitas antioksidan suatu zat berdasarkan kemampuannya memudarkan warna tersebut.</w:t>
      </w:r>
    </w:p>
    <w:p w14:paraId="654F76D9"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FRAP (</w:t>
      </w:r>
      <w:r w:rsidRPr="006810DB">
        <w:rPr>
          <w:rFonts w:ascii="Book Antiqua" w:hAnsi="Book Antiqua"/>
          <w:b/>
          <w:bCs/>
          <w:i/>
          <w:iCs/>
          <w:sz w:val="20"/>
          <w:szCs w:val="20"/>
          <w:lang w:val="en"/>
        </w:rPr>
        <w:t>Ferric Reducing Antioxidant Power</w:t>
      </w:r>
      <w:r w:rsidRPr="006810DB">
        <w:rPr>
          <w:rFonts w:ascii="Book Antiqua" w:hAnsi="Book Antiqua"/>
          <w:b/>
          <w:bCs/>
          <w:sz w:val="20"/>
          <w:szCs w:val="20"/>
          <w:lang w:val="en"/>
        </w:rPr>
        <w:t>):</w:t>
      </w:r>
      <w:r w:rsidRPr="006810DB">
        <w:rPr>
          <w:rFonts w:ascii="Book Antiqua" w:hAnsi="Book Antiqua"/>
          <w:sz w:val="20"/>
          <w:szCs w:val="20"/>
          <w:lang w:val="en"/>
        </w:rPr>
        <w:t xml:space="preserve"> Metode uji antioksidan yang mengukur kemampuan suatu zat untuk mereduksi ion besi (III) menjadi besi (II), yang mencerminkan kemampuan donasi elektron.</w:t>
      </w:r>
    </w:p>
    <w:p w14:paraId="348F4823"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IC50 (</w:t>
      </w:r>
      <w:r w:rsidRPr="006810DB">
        <w:rPr>
          <w:rFonts w:ascii="Book Antiqua" w:hAnsi="Book Antiqua"/>
          <w:b/>
          <w:bCs/>
          <w:i/>
          <w:iCs/>
          <w:sz w:val="20"/>
          <w:szCs w:val="20"/>
          <w:lang w:val="en"/>
        </w:rPr>
        <w:t>Inhibition Concentration 50</w:t>
      </w:r>
      <w:r w:rsidRPr="006810DB">
        <w:rPr>
          <w:rFonts w:ascii="Book Antiqua" w:hAnsi="Book Antiqua"/>
          <w:b/>
          <w:bCs/>
          <w:sz w:val="20"/>
          <w:szCs w:val="20"/>
          <w:lang w:val="en"/>
        </w:rPr>
        <w:t>):</w:t>
      </w:r>
      <w:r w:rsidRPr="006810DB">
        <w:rPr>
          <w:rFonts w:ascii="Book Antiqua" w:hAnsi="Book Antiqua"/>
          <w:sz w:val="20"/>
          <w:szCs w:val="20"/>
          <w:lang w:val="en"/>
        </w:rPr>
        <w:t xml:space="preserve"> Konsentrasi suatu zat atau obat yang diperlukan untuk menghambat proses biologis atau kimiawi (seperti aktivitas radikal bebas) sebesar 50%. Nilai yang lebih rendah menunjukkan potensi yang lebih tinggi.</w:t>
      </w:r>
    </w:p>
    <w:p w14:paraId="77CF305E"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i/>
          <w:iCs/>
          <w:sz w:val="20"/>
          <w:szCs w:val="20"/>
          <w:lang w:val="en"/>
        </w:rPr>
        <w:t>Scavenging</w:t>
      </w:r>
      <w:r w:rsidRPr="006810DB">
        <w:rPr>
          <w:rFonts w:ascii="Book Antiqua" w:hAnsi="Book Antiqua"/>
          <w:b/>
          <w:bCs/>
          <w:sz w:val="20"/>
          <w:szCs w:val="20"/>
          <w:lang w:val="en"/>
        </w:rPr>
        <w:t xml:space="preserve"> Radikal Bebas:</w:t>
      </w:r>
      <w:r w:rsidRPr="006810DB">
        <w:rPr>
          <w:rFonts w:ascii="Book Antiqua" w:hAnsi="Book Antiqua"/>
          <w:sz w:val="20"/>
          <w:szCs w:val="20"/>
          <w:lang w:val="en"/>
        </w:rPr>
        <w:t xml:space="preserve"> Proses di mana antioksidan mencari, bereaksi dengan, dan menetralkan radikal bebas reaktif untuk mencegah kerusakan seluler.</w:t>
      </w:r>
    </w:p>
    <w:p w14:paraId="627F7531"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TPC (</w:t>
      </w:r>
      <w:r w:rsidRPr="006810DB">
        <w:rPr>
          <w:rFonts w:ascii="Book Antiqua" w:hAnsi="Book Antiqua"/>
          <w:b/>
          <w:bCs/>
          <w:i/>
          <w:iCs/>
          <w:sz w:val="20"/>
          <w:szCs w:val="20"/>
          <w:lang w:val="en"/>
        </w:rPr>
        <w:t>Total Phenolic Content</w:t>
      </w:r>
      <w:r w:rsidRPr="006810DB">
        <w:rPr>
          <w:rFonts w:ascii="Book Antiqua" w:hAnsi="Book Antiqua"/>
          <w:b/>
          <w:bCs/>
          <w:sz w:val="20"/>
          <w:szCs w:val="20"/>
          <w:lang w:val="en"/>
        </w:rPr>
        <w:t>):</w:t>
      </w:r>
      <w:r w:rsidRPr="006810DB">
        <w:rPr>
          <w:rFonts w:ascii="Book Antiqua" w:hAnsi="Book Antiqua"/>
          <w:sz w:val="20"/>
          <w:szCs w:val="20"/>
          <w:lang w:val="en"/>
        </w:rPr>
        <w:t xml:space="preserve"> Ukuran kuantitatif dari jumlah total senyawa fenolik dalam suatu sampel, biasanya dinyatakan dalam ekuivalen asam galat, yang sering digunakan sebagai indikator awal potensi antioksidan.</w:t>
      </w:r>
    </w:p>
    <w:p w14:paraId="4EBFBA22" w14:textId="77777777" w:rsidR="00824155" w:rsidRPr="006810DB" w:rsidRDefault="00824155" w:rsidP="00824155">
      <w:pPr>
        <w:spacing w:line="276" w:lineRule="auto"/>
        <w:rPr>
          <w:rFonts w:ascii="Book Antiqua" w:hAnsi="Book Antiqua"/>
          <w:b/>
          <w:bCs/>
          <w:sz w:val="20"/>
          <w:szCs w:val="20"/>
          <w:lang w:val="en"/>
        </w:rPr>
      </w:pPr>
      <w:bookmarkStart w:id="260" w:name="_psb76c4d9ta6" w:colFirst="0" w:colLast="0"/>
      <w:bookmarkEnd w:id="260"/>
      <w:r w:rsidRPr="006810DB">
        <w:rPr>
          <w:rFonts w:ascii="Book Antiqua" w:hAnsi="Book Antiqua"/>
          <w:b/>
          <w:bCs/>
          <w:sz w:val="20"/>
          <w:szCs w:val="20"/>
          <w:lang w:val="en"/>
        </w:rPr>
        <w:br w:type="page"/>
      </w:r>
    </w:p>
    <w:p w14:paraId="4511618A" w14:textId="77777777" w:rsidR="001C793B" w:rsidRPr="006810DB" w:rsidRDefault="001C793B" w:rsidP="006810DB">
      <w:pPr>
        <w:pStyle w:val="Heading2"/>
        <w:jc w:val="center"/>
      </w:pPr>
      <w:bookmarkStart w:id="261" w:name="_Toc223088938"/>
      <w:r w:rsidRPr="006810DB">
        <w:lastRenderedPageBreak/>
        <w:t>DAFTAR PUSTAKA</w:t>
      </w:r>
      <w:bookmarkEnd w:id="261"/>
    </w:p>
    <w:p w14:paraId="46D7B77C" w14:textId="77777777" w:rsidR="001C793B" w:rsidRPr="006810DB" w:rsidRDefault="001C793B" w:rsidP="006810DB">
      <w:pPr>
        <w:spacing w:after="0" w:line="276" w:lineRule="auto"/>
        <w:jc w:val="both"/>
        <w:rPr>
          <w:rFonts w:ascii="Book Antiqua" w:hAnsi="Book Antiqua"/>
          <w:b/>
          <w:bCs/>
          <w:sz w:val="20"/>
          <w:szCs w:val="20"/>
          <w:lang w:val="en"/>
        </w:rPr>
      </w:pPr>
    </w:p>
    <w:p w14:paraId="5CA6ED68"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Al-Malki, A. L., &amp; Moselhy, S. S. (2011). The protective effect of epicatchin against oxidative stress and nephrotoxicity in rats induced by cisplatin. </w:t>
      </w:r>
      <w:r w:rsidRPr="006810DB">
        <w:rPr>
          <w:rFonts w:ascii="Book Antiqua" w:hAnsi="Book Antiqua"/>
          <w:i/>
          <w:iCs/>
          <w:color w:val="000000" w:themeColor="text1"/>
          <w:sz w:val="20"/>
          <w:szCs w:val="20"/>
          <w:lang w:val="en"/>
        </w:rPr>
        <w:t>Human &amp; Experimental Toxicology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30</w:t>
      </w:r>
      <w:r w:rsidRPr="006810DB">
        <w:rPr>
          <w:rFonts w:ascii="Book Antiqua" w:hAnsi="Book Antiqua"/>
          <w:color w:val="000000" w:themeColor="text1"/>
          <w:sz w:val="20"/>
          <w:szCs w:val="20"/>
          <w:lang w:val="en"/>
        </w:rPr>
        <w:t>(10), 1453–1459.</w:t>
      </w:r>
      <w:hyperlink r:id="rId203">
        <w:r w:rsidRPr="006810DB">
          <w:rPr>
            <w:rStyle w:val="Hyperlink"/>
            <w:rFonts w:ascii="Book Antiqua" w:hAnsi="Book Antiqua"/>
            <w:color w:val="000000" w:themeColor="text1"/>
            <w:sz w:val="20"/>
            <w:szCs w:val="20"/>
            <w:u w:val="none"/>
            <w:lang w:val="en"/>
          </w:rPr>
          <w:t xml:space="preserve"> </w:t>
        </w:r>
      </w:hyperlink>
      <w:hyperlink r:id="rId204">
        <w:r w:rsidRPr="006810DB">
          <w:rPr>
            <w:rStyle w:val="Hyperlink"/>
            <w:rFonts w:ascii="Book Antiqua" w:hAnsi="Book Antiqua"/>
            <w:color w:val="000000" w:themeColor="text1"/>
            <w:sz w:val="20"/>
            <w:szCs w:val="20"/>
            <w:u w:val="none"/>
            <w:lang w:val="en"/>
          </w:rPr>
          <w:t>https://doi.org/10.1177/0960327110392095</w:t>
        </w:r>
      </w:hyperlink>
    </w:p>
    <w:p w14:paraId="0AEE9510"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Belfiore, E., Di Prima, G., Angellotti, G., Panzarella, V., &amp; De Caro, V. (2024). Plant-Derived Polyphenols to Prevent and Treat Oral Mucositis Induced by Chemo- and Radiotherapy in Head and Neck Cancers Management. </w:t>
      </w:r>
      <w:r w:rsidRPr="006810DB">
        <w:rPr>
          <w:rFonts w:ascii="Book Antiqua" w:hAnsi="Book Antiqua"/>
          <w:i/>
          <w:iCs/>
          <w:color w:val="000000" w:themeColor="text1"/>
          <w:sz w:val="20"/>
          <w:szCs w:val="20"/>
          <w:lang w:val="en"/>
        </w:rPr>
        <w:t>Cancers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16</w:t>
      </w:r>
      <w:r w:rsidRPr="006810DB">
        <w:rPr>
          <w:rFonts w:ascii="Book Antiqua" w:hAnsi="Book Antiqua"/>
          <w:color w:val="000000" w:themeColor="text1"/>
          <w:sz w:val="20"/>
          <w:szCs w:val="20"/>
          <w:lang w:val="en"/>
        </w:rPr>
        <w:t>(2), 260.</w:t>
      </w:r>
      <w:hyperlink r:id="rId205">
        <w:r w:rsidRPr="006810DB">
          <w:rPr>
            <w:rStyle w:val="Hyperlink"/>
            <w:rFonts w:ascii="Book Antiqua" w:hAnsi="Book Antiqua"/>
            <w:color w:val="000000" w:themeColor="text1"/>
            <w:sz w:val="20"/>
            <w:szCs w:val="20"/>
            <w:u w:val="none"/>
            <w:lang w:val="en"/>
          </w:rPr>
          <w:t xml:space="preserve"> </w:t>
        </w:r>
      </w:hyperlink>
      <w:hyperlink r:id="rId206">
        <w:r w:rsidRPr="006810DB">
          <w:rPr>
            <w:rStyle w:val="Hyperlink"/>
            <w:rFonts w:ascii="Book Antiqua" w:hAnsi="Book Antiqua"/>
            <w:color w:val="000000" w:themeColor="text1"/>
            <w:sz w:val="20"/>
            <w:szCs w:val="20"/>
            <w:u w:val="none"/>
            <w:lang w:val="en"/>
          </w:rPr>
          <w:t>https://doi.org/10.3390/cancers16020260</w:t>
        </w:r>
      </w:hyperlink>
    </w:p>
    <w:p w14:paraId="7DD937F6"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Cascella, M., Palma, G., Barbieri, A., Bimonte, S., Amruthraj, N. J., &amp; Muzio, M. R. (2018). Role of Nigella sativa and its constituent thymoquinone on chemotherapy-induced nephrotoxicity: Evidences from experimental animal studies. </w:t>
      </w:r>
      <w:r w:rsidRPr="006810DB">
        <w:rPr>
          <w:rFonts w:ascii="Book Antiqua" w:hAnsi="Book Antiqua"/>
          <w:i/>
          <w:iCs/>
          <w:color w:val="000000" w:themeColor="text1"/>
          <w:sz w:val="20"/>
          <w:szCs w:val="20"/>
          <w:lang w:val="en"/>
        </w:rPr>
        <w:t>Nutrients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9</w:t>
      </w:r>
      <w:r w:rsidRPr="006810DB">
        <w:rPr>
          <w:rFonts w:ascii="Book Antiqua" w:hAnsi="Book Antiqua"/>
          <w:color w:val="000000" w:themeColor="text1"/>
          <w:sz w:val="20"/>
          <w:szCs w:val="20"/>
          <w:lang w:val="en"/>
        </w:rPr>
        <w:t>(6), 625.</w:t>
      </w:r>
      <w:hyperlink r:id="rId207">
        <w:r w:rsidRPr="006810DB">
          <w:rPr>
            <w:rStyle w:val="Hyperlink"/>
            <w:rFonts w:ascii="Book Antiqua" w:hAnsi="Book Antiqua"/>
            <w:color w:val="000000" w:themeColor="text1"/>
            <w:sz w:val="20"/>
            <w:szCs w:val="20"/>
            <w:u w:val="none"/>
            <w:lang w:val="en"/>
          </w:rPr>
          <w:t xml:space="preserve"> </w:t>
        </w:r>
      </w:hyperlink>
      <w:hyperlink r:id="rId208">
        <w:r w:rsidRPr="006810DB">
          <w:rPr>
            <w:rStyle w:val="Hyperlink"/>
            <w:rFonts w:ascii="Book Antiqua" w:hAnsi="Book Antiqua"/>
            <w:color w:val="000000" w:themeColor="text1"/>
            <w:sz w:val="20"/>
            <w:szCs w:val="20"/>
            <w:u w:val="none"/>
            <w:lang w:val="en"/>
          </w:rPr>
          <w:t>https://doi.org/10.3390/nu9060625</w:t>
        </w:r>
      </w:hyperlink>
    </w:p>
    <w:p w14:paraId="1144DE91"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Hannan, M. A., Sohag, A. A. M., Uddin, M. J., Dash, R., Sikder, M. H., Rahman, M. S., ... &amp; Kim, B. (2021). Black Cumin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A Comprehensive Review on Phytochemistry, Health Benefits, Molecular Pharmacology, and Safety. </w:t>
      </w:r>
      <w:r w:rsidRPr="006810DB">
        <w:rPr>
          <w:rFonts w:ascii="Book Antiqua" w:hAnsi="Book Antiqua"/>
          <w:i/>
          <w:iCs/>
          <w:color w:val="000000" w:themeColor="text1"/>
          <w:sz w:val="20"/>
          <w:szCs w:val="20"/>
          <w:lang w:val="en"/>
        </w:rPr>
        <w:t>Nutrients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13</w:t>
      </w:r>
      <w:r w:rsidRPr="006810DB">
        <w:rPr>
          <w:rFonts w:ascii="Book Antiqua" w:hAnsi="Book Antiqua"/>
          <w:color w:val="000000" w:themeColor="text1"/>
          <w:sz w:val="20"/>
          <w:szCs w:val="20"/>
          <w:lang w:val="en"/>
        </w:rPr>
        <w:t>(6), 1784.</w:t>
      </w:r>
      <w:hyperlink r:id="rId209">
        <w:r w:rsidRPr="006810DB">
          <w:rPr>
            <w:rStyle w:val="Hyperlink"/>
            <w:rFonts w:ascii="Book Antiqua" w:hAnsi="Book Antiqua"/>
            <w:color w:val="000000" w:themeColor="text1"/>
            <w:sz w:val="20"/>
            <w:szCs w:val="20"/>
            <w:u w:val="none"/>
            <w:lang w:val="en"/>
          </w:rPr>
          <w:t xml:space="preserve"> </w:t>
        </w:r>
      </w:hyperlink>
      <w:hyperlink r:id="rId210">
        <w:r w:rsidRPr="006810DB">
          <w:rPr>
            <w:rStyle w:val="Hyperlink"/>
            <w:rFonts w:ascii="Book Antiqua" w:hAnsi="Book Antiqua"/>
            <w:color w:val="000000" w:themeColor="text1"/>
            <w:sz w:val="20"/>
            <w:szCs w:val="20"/>
            <w:u w:val="none"/>
            <w:lang w:val="en"/>
          </w:rPr>
          <w:t>https://doi.org/10.3390/nu13061784</w:t>
        </w:r>
      </w:hyperlink>
    </w:p>
    <w:p w14:paraId="1A1B2071"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Kazemi, S., Moghadamnia, A., Saebnouri, H., Roudsari, S., &amp; Afraz, E. (2022). Effect of intraperitoneal injection of Nigella sativa oil on 5-fluorouracil-induced oral mucositis in rats. </w:t>
      </w:r>
      <w:r w:rsidRPr="006810DB">
        <w:rPr>
          <w:rFonts w:ascii="Book Antiqua" w:hAnsi="Book Antiqua"/>
          <w:i/>
          <w:iCs/>
          <w:color w:val="000000" w:themeColor="text1"/>
          <w:sz w:val="20"/>
          <w:szCs w:val="20"/>
          <w:lang w:val="en"/>
        </w:rPr>
        <w:t>Journal of Biological Studies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w:t>
      </w:r>
      <w:r w:rsidRPr="006810DB">
        <w:rPr>
          <w:rFonts w:ascii="Book Antiqua" w:hAnsi="Book Antiqua"/>
          <w:color w:val="000000" w:themeColor="text1"/>
          <w:sz w:val="20"/>
          <w:szCs w:val="20"/>
          <w:lang w:val="en"/>
        </w:rPr>
        <w:t>(1), 6365.</w:t>
      </w:r>
      <w:hyperlink r:id="rId211">
        <w:r w:rsidRPr="006810DB">
          <w:rPr>
            <w:rStyle w:val="Hyperlink"/>
            <w:rFonts w:ascii="Book Antiqua" w:hAnsi="Book Antiqua"/>
            <w:color w:val="000000" w:themeColor="text1"/>
            <w:sz w:val="20"/>
            <w:szCs w:val="20"/>
            <w:u w:val="none"/>
            <w:lang w:val="en"/>
          </w:rPr>
          <w:t xml:space="preserve"> </w:t>
        </w:r>
      </w:hyperlink>
      <w:hyperlink r:id="rId212">
        <w:r w:rsidRPr="006810DB">
          <w:rPr>
            <w:rStyle w:val="Hyperlink"/>
            <w:rFonts w:ascii="Book Antiqua" w:hAnsi="Book Antiqua"/>
            <w:color w:val="000000" w:themeColor="text1"/>
            <w:sz w:val="20"/>
            <w:szCs w:val="20"/>
            <w:u w:val="none"/>
            <w:lang w:val="en"/>
          </w:rPr>
          <w:t>https://doi.org/10.62400/jbs.v5i1.6365</w:t>
        </w:r>
      </w:hyperlink>
    </w:p>
    <w:p w14:paraId="1DB858A2"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Madani, F., Kazemi, S., Shirafkan, F., Lotfi, M., Hosseini, S., &amp; Moghadamnia, A. (2023). Thymoquinone protects against 5</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Fluorouracil</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induced mucositis by NF</w:t>
      </w:r>
      <w:r w:rsidRPr="006810DB">
        <w:rPr>
          <w:rFonts w:ascii="Times New Roman" w:hAnsi="Times New Roman" w:cs="Times New Roman"/>
          <w:color w:val="000000" w:themeColor="text1"/>
          <w:sz w:val="20"/>
          <w:szCs w:val="20"/>
          <w:lang w:val="en"/>
        </w:rPr>
        <w:t>‐</w:t>
      </w:r>
      <w:r w:rsidRPr="006810DB">
        <w:rPr>
          <w:rFonts w:ascii="Book Antiqua" w:hAnsi="Book Antiqua" w:cs="Book Antiqua"/>
          <w:color w:val="000000" w:themeColor="text1"/>
          <w:sz w:val="20"/>
          <w:szCs w:val="20"/>
          <w:lang w:val="en"/>
        </w:rPr>
        <w:t>κβ</w:t>
      </w:r>
      <w:r w:rsidRPr="006810DB">
        <w:rPr>
          <w:rFonts w:ascii="Book Antiqua" w:hAnsi="Book Antiqua"/>
          <w:color w:val="000000" w:themeColor="text1"/>
          <w:sz w:val="20"/>
          <w:szCs w:val="20"/>
          <w:lang w:val="en"/>
        </w:rPr>
        <w:t xml:space="preserve"> and HIF</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 xml:space="preserve">1 mechanisms in mice. </w:t>
      </w:r>
      <w:r w:rsidRPr="006810DB">
        <w:rPr>
          <w:rFonts w:ascii="Book Antiqua" w:hAnsi="Book Antiqua"/>
          <w:i/>
          <w:iCs/>
          <w:color w:val="000000" w:themeColor="text1"/>
          <w:sz w:val="20"/>
          <w:szCs w:val="20"/>
          <w:lang w:val="en"/>
        </w:rPr>
        <w:t>Journal of Biochemical and Molecular Toxicology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37</w:t>
      </w:r>
      <w:r w:rsidRPr="006810DB">
        <w:rPr>
          <w:rFonts w:ascii="Book Antiqua" w:hAnsi="Book Antiqua"/>
          <w:color w:val="000000" w:themeColor="text1"/>
          <w:sz w:val="20"/>
          <w:szCs w:val="20"/>
          <w:lang w:val="en"/>
        </w:rPr>
        <w:t>(6), e23405.</w:t>
      </w:r>
      <w:hyperlink r:id="rId213">
        <w:r w:rsidRPr="006810DB">
          <w:rPr>
            <w:rStyle w:val="Hyperlink"/>
            <w:rFonts w:ascii="Book Antiqua" w:hAnsi="Book Antiqua"/>
            <w:color w:val="000000" w:themeColor="text1"/>
            <w:sz w:val="20"/>
            <w:szCs w:val="20"/>
            <w:u w:val="none"/>
            <w:lang w:val="en"/>
          </w:rPr>
          <w:t xml:space="preserve"> </w:t>
        </w:r>
      </w:hyperlink>
      <w:hyperlink r:id="rId214">
        <w:r w:rsidRPr="006810DB">
          <w:rPr>
            <w:rStyle w:val="Hyperlink"/>
            <w:rFonts w:ascii="Book Antiqua" w:hAnsi="Book Antiqua"/>
            <w:color w:val="000000" w:themeColor="text1"/>
            <w:sz w:val="20"/>
            <w:szCs w:val="20"/>
            <w:u w:val="none"/>
            <w:lang w:val="en"/>
          </w:rPr>
          <w:t>https://doi.org/10.1002/jbt.23405</w:t>
        </w:r>
      </w:hyperlink>
    </w:p>
    <w:p w14:paraId="442D0090" w14:textId="77777777" w:rsidR="001C793B" w:rsidRPr="006810DB" w:rsidRDefault="001C793B" w:rsidP="006810DB">
      <w:pPr>
        <w:spacing w:line="276" w:lineRule="auto"/>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br w:type="page"/>
      </w:r>
    </w:p>
    <w:p w14:paraId="0D7B799E"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Putra, K. P., Prayitno, A., &amp; Widodo, A. D. (2022). The effect of Nigella sativa oil on malondialdehyde levels in wistar rats induced with cisplatin. </w:t>
      </w:r>
      <w:r w:rsidRPr="006810DB">
        <w:rPr>
          <w:rFonts w:ascii="Book Antiqua" w:hAnsi="Book Antiqua"/>
          <w:i/>
          <w:iCs/>
          <w:color w:val="000000" w:themeColor="text1"/>
          <w:sz w:val="20"/>
          <w:szCs w:val="20"/>
          <w:lang w:val="en"/>
        </w:rPr>
        <w:t>Journal of Medicine and Health</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4</w:t>
      </w:r>
      <w:r w:rsidRPr="006810DB">
        <w:rPr>
          <w:rFonts w:ascii="Book Antiqua" w:hAnsi="Book Antiqua"/>
          <w:color w:val="000000" w:themeColor="text1"/>
          <w:sz w:val="20"/>
          <w:szCs w:val="20"/>
          <w:lang w:val="en"/>
        </w:rPr>
        <w:t>(2), 176-183.</w:t>
      </w:r>
      <w:hyperlink r:id="rId215">
        <w:r w:rsidRPr="006810DB">
          <w:rPr>
            <w:rStyle w:val="Hyperlink"/>
            <w:rFonts w:ascii="Book Antiqua" w:hAnsi="Book Antiqua"/>
            <w:color w:val="000000" w:themeColor="text1"/>
            <w:sz w:val="20"/>
            <w:szCs w:val="20"/>
            <w:u w:val="none"/>
            <w:lang w:val="en"/>
          </w:rPr>
          <w:t xml:space="preserve"> </w:t>
        </w:r>
      </w:hyperlink>
      <w:hyperlink r:id="rId216">
        <w:r w:rsidRPr="006810DB">
          <w:rPr>
            <w:rStyle w:val="Hyperlink"/>
            <w:rFonts w:ascii="Book Antiqua" w:hAnsi="Book Antiqua"/>
            <w:color w:val="000000" w:themeColor="text1"/>
            <w:sz w:val="20"/>
            <w:szCs w:val="20"/>
            <w:u w:val="none"/>
            <w:lang w:val="en"/>
          </w:rPr>
          <w:t>https://doi.org/10.28932/jmh.v4i2.4632</w:t>
        </w:r>
      </w:hyperlink>
    </w:p>
    <w:p w14:paraId="54F56C0D"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Shafodino, F., Lusilao, J. G., &amp; Mwapagha, L. M. (2022). Phytochemical characterization and antimicrobial activity of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seeds. </w:t>
      </w:r>
      <w:r w:rsidRPr="006810DB">
        <w:rPr>
          <w:rFonts w:ascii="Book Antiqua" w:hAnsi="Book Antiqua"/>
          <w:i/>
          <w:iCs/>
          <w:color w:val="000000" w:themeColor="text1"/>
          <w:sz w:val="20"/>
          <w:szCs w:val="20"/>
          <w:lang w:val="en"/>
        </w:rPr>
        <w:t>PLoS ONE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17</w:t>
      </w:r>
      <w:r w:rsidRPr="006810DB">
        <w:rPr>
          <w:rFonts w:ascii="Book Antiqua" w:hAnsi="Book Antiqua"/>
          <w:color w:val="000000" w:themeColor="text1"/>
          <w:sz w:val="20"/>
          <w:szCs w:val="20"/>
          <w:lang w:val="en"/>
        </w:rPr>
        <w:t>(10), e0272457.</w:t>
      </w:r>
      <w:hyperlink r:id="rId217">
        <w:r w:rsidRPr="006810DB">
          <w:rPr>
            <w:rStyle w:val="Hyperlink"/>
            <w:rFonts w:ascii="Book Antiqua" w:hAnsi="Book Antiqua"/>
            <w:color w:val="000000" w:themeColor="text1"/>
            <w:sz w:val="20"/>
            <w:szCs w:val="20"/>
            <w:u w:val="none"/>
            <w:lang w:val="en"/>
          </w:rPr>
          <w:t xml:space="preserve"> </w:t>
        </w:r>
      </w:hyperlink>
      <w:hyperlink r:id="rId218">
        <w:r w:rsidRPr="006810DB">
          <w:rPr>
            <w:rStyle w:val="Hyperlink"/>
            <w:rFonts w:ascii="Book Antiqua" w:hAnsi="Book Antiqua"/>
            <w:color w:val="000000" w:themeColor="text1"/>
            <w:sz w:val="20"/>
            <w:szCs w:val="20"/>
            <w:u w:val="none"/>
            <w:lang w:val="en"/>
          </w:rPr>
          <w:t>https://doi.org/10.1371/journal.pone.0272457</w:t>
        </w:r>
      </w:hyperlink>
    </w:p>
    <w:p w14:paraId="663F1DC4"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Sobhannizadeh, A., Giglou, M. F., Behnamian, M., Estaji, A., Majdi, M., &amp; Szumny, A. (2025). The effect of plant growth regulators, FeO3-CTs nanoparticles and LEDs light on the growth and biochemical compounds of black seed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callus in vitro. </w:t>
      </w:r>
      <w:r w:rsidRPr="006810DB">
        <w:rPr>
          <w:rFonts w:ascii="Book Antiqua" w:hAnsi="Book Antiqua"/>
          <w:i/>
          <w:iCs/>
          <w:color w:val="000000" w:themeColor="text1"/>
          <w:sz w:val="20"/>
          <w:szCs w:val="20"/>
          <w:lang w:val="en"/>
        </w:rPr>
        <w:t>BMC Plant Biology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25</w:t>
      </w:r>
      <w:r w:rsidRPr="006810DB">
        <w:rPr>
          <w:rFonts w:ascii="Book Antiqua" w:hAnsi="Book Antiqua"/>
          <w:color w:val="000000" w:themeColor="text1"/>
          <w:sz w:val="20"/>
          <w:szCs w:val="20"/>
          <w:lang w:val="en"/>
        </w:rPr>
        <w:t>(1), 263.</w:t>
      </w:r>
      <w:hyperlink r:id="rId219">
        <w:r w:rsidRPr="006810DB">
          <w:rPr>
            <w:rStyle w:val="Hyperlink"/>
            <w:rFonts w:ascii="Book Antiqua" w:hAnsi="Book Antiqua"/>
            <w:color w:val="000000" w:themeColor="text1"/>
            <w:sz w:val="20"/>
            <w:szCs w:val="20"/>
            <w:u w:val="none"/>
            <w:lang w:val="en"/>
          </w:rPr>
          <w:t xml:space="preserve"> </w:t>
        </w:r>
      </w:hyperlink>
      <w:hyperlink r:id="rId220">
        <w:r w:rsidRPr="006810DB">
          <w:rPr>
            <w:rStyle w:val="Hyperlink"/>
            <w:rFonts w:ascii="Book Antiqua" w:hAnsi="Book Antiqua"/>
            <w:color w:val="000000" w:themeColor="text1"/>
            <w:sz w:val="20"/>
            <w:szCs w:val="20"/>
            <w:u w:val="none"/>
            <w:lang w:val="en"/>
          </w:rPr>
          <w:t>https://doi.org/10.1186/s12870-025-06423-y</w:t>
        </w:r>
      </w:hyperlink>
    </w:p>
    <w:p w14:paraId="1E65C963"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Yimer, E. M., Tuem, K. B., Karim, A., Ur-Rehman, N., &amp; Anwar, F. (2019).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(black cumin): a promising natural remedy for wide range of illnesses. </w:t>
      </w:r>
      <w:r w:rsidRPr="006810DB">
        <w:rPr>
          <w:rFonts w:ascii="Book Antiqua" w:hAnsi="Book Antiqua"/>
          <w:i/>
          <w:iCs/>
          <w:color w:val="000000" w:themeColor="text1"/>
          <w:sz w:val="20"/>
          <w:szCs w:val="20"/>
          <w:lang w:val="en"/>
        </w:rPr>
        <w:t>Evidence-Based Complementary and Alternative Medicine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2019</w:t>
      </w:r>
      <w:r w:rsidRPr="006810DB">
        <w:rPr>
          <w:rFonts w:ascii="Book Antiqua" w:hAnsi="Book Antiqua"/>
          <w:color w:val="000000" w:themeColor="text1"/>
          <w:sz w:val="20"/>
          <w:szCs w:val="20"/>
          <w:lang w:val="en"/>
        </w:rPr>
        <w:t>, 1528635.</w:t>
      </w:r>
      <w:hyperlink r:id="rId221">
        <w:r w:rsidRPr="006810DB">
          <w:rPr>
            <w:rStyle w:val="Hyperlink"/>
            <w:rFonts w:ascii="Book Antiqua" w:hAnsi="Book Antiqua"/>
            <w:color w:val="000000" w:themeColor="text1"/>
            <w:sz w:val="20"/>
            <w:szCs w:val="20"/>
            <w:u w:val="none"/>
            <w:lang w:val="en"/>
          </w:rPr>
          <w:t xml:space="preserve"> </w:t>
        </w:r>
      </w:hyperlink>
      <w:hyperlink r:id="rId222">
        <w:r w:rsidRPr="006810DB">
          <w:rPr>
            <w:rStyle w:val="Hyperlink"/>
            <w:rFonts w:ascii="Book Antiqua" w:hAnsi="Book Antiqua"/>
            <w:color w:val="000000" w:themeColor="text1"/>
            <w:sz w:val="20"/>
            <w:szCs w:val="20"/>
            <w:u w:val="none"/>
            <w:lang w:val="en"/>
          </w:rPr>
          <w:t>https://doi.org/10.1155/2019/1528635</w:t>
        </w:r>
      </w:hyperlink>
    </w:p>
    <w:p w14:paraId="41EBA4FF" w14:textId="77777777" w:rsidR="001C793B" w:rsidRPr="006810DB" w:rsidRDefault="001C793B" w:rsidP="006810DB">
      <w:pPr>
        <w:spacing w:after="0" w:line="276" w:lineRule="auto"/>
        <w:jc w:val="both"/>
        <w:rPr>
          <w:rFonts w:ascii="Book Antiqua" w:hAnsi="Book Antiqua"/>
          <w:b/>
          <w:bCs/>
          <w:sz w:val="20"/>
          <w:szCs w:val="20"/>
          <w:lang w:val="en"/>
        </w:rPr>
      </w:pPr>
      <w:bookmarkStart w:id="262" w:name="_dn0u34xza70z" w:colFirst="0" w:colLast="0"/>
      <w:bookmarkEnd w:id="262"/>
    </w:p>
    <w:p w14:paraId="08258FCD" w14:textId="77777777" w:rsidR="001C793B" w:rsidRPr="006810DB" w:rsidRDefault="001C793B"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75B1DC88" w14:textId="6356DAB5" w:rsidR="00F351CE" w:rsidRPr="006810DB" w:rsidRDefault="00F351CE" w:rsidP="006810DB">
      <w:pPr>
        <w:pStyle w:val="Heading1"/>
        <w:spacing w:before="0" w:line="276" w:lineRule="auto"/>
        <w:ind w:firstLine="142"/>
        <w:rPr>
          <w:b/>
          <w:bCs/>
          <w:color w:val="FFFFFF" w:themeColor="background1"/>
          <w:szCs w:val="20"/>
          <w:lang w:val="en"/>
        </w:rPr>
      </w:pPr>
      <w:bookmarkStart w:id="263" w:name="_Toc223088939"/>
      <w:r w:rsidRPr="006810DB">
        <w:rPr>
          <w:b/>
          <w:noProof/>
          <w:sz w:val="48"/>
          <w:szCs w:val="20"/>
          <w:lang w:val="en-US"/>
        </w:rPr>
        <w:lastRenderedPageBreak/>
        <mc:AlternateContent>
          <mc:Choice Requires="wps">
            <w:drawing>
              <wp:anchor distT="0" distB="0" distL="114300" distR="114300" simplePos="0" relativeHeight="251697152" behindDoc="0" locked="0" layoutInCell="1" allowOverlap="1" wp14:anchorId="43663435" wp14:editId="42EDB72F">
                <wp:simplePos x="0" y="0"/>
                <wp:positionH relativeFrom="column">
                  <wp:posOffset>910590</wp:posOffset>
                </wp:positionH>
                <wp:positionV relativeFrom="paragraph">
                  <wp:posOffset>133350</wp:posOffset>
                </wp:positionV>
                <wp:extent cx="2820035" cy="1066800"/>
                <wp:effectExtent l="0" t="0" r="0" b="0"/>
                <wp:wrapNone/>
                <wp:docPr id="24" name="Rectangle 24"/>
                <wp:cNvGraphicFramePr/>
                <a:graphic xmlns:a="http://schemas.openxmlformats.org/drawingml/2006/main">
                  <a:graphicData uri="http://schemas.microsoft.com/office/word/2010/wordprocessingShape">
                    <wps:wsp>
                      <wps:cNvSpPr/>
                      <wps:spPr>
                        <a:xfrm>
                          <a:off x="0" y="0"/>
                          <a:ext cx="2820035" cy="1066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85AD74F" w14:textId="4CE556BD" w:rsidR="00F351CE" w:rsidRPr="00C32C86" w:rsidRDefault="00F351CE" w:rsidP="00F351CE">
                            <w:pPr>
                              <w:spacing w:after="0" w:line="276" w:lineRule="auto"/>
                              <w:jc w:val="center"/>
                              <w:rPr>
                                <w:rFonts w:ascii="Book Antiqua" w:hAnsi="Book Antiqua"/>
                                <w:b/>
                                <w:bCs/>
                                <w:sz w:val="36"/>
                                <w:szCs w:val="40"/>
                                <w:lang w:val="en"/>
                              </w:rPr>
                            </w:pPr>
                            <w:r w:rsidRPr="00C32C86">
                              <w:rPr>
                                <w:rFonts w:ascii="Book Antiqua" w:hAnsi="Book Antiqua"/>
                                <w:b/>
                                <w:bCs/>
                                <w:sz w:val="36"/>
                                <w:szCs w:val="40"/>
                                <w:lang w:val="en"/>
                              </w:rPr>
                              <w:t>RESPON INFLAMASI PADA MUKOSITIS ORAL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3663435" id="Rectangle 24" o:spid="_x0000_s1036" style="position:absolute;left:0;text-align:left;margin-left:71.7pt;margin-top:10.5pt;width:222.05pt;height:8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RukZQIAABEFAAAOAAAAZHJzL2Uyb0RvYy54bWysVN1v0zAQf0fif7D8zpKUroyq6VRtGkKa&#10;2LSBeHYdu42wfebsNi1/PWc3zTroE+Ilue+P3915dr2zhm0VhhZczauLkjPlJDStW9X829e7d1ec&#10;hShcIww4VfO9Cvx6/vbNrPNTNYI1mEYhoyAuTDtf83WMfloUQa6VFeECvHKk1IBWRGJxVTQoOopu&#10;TTEqy0nRATYeQaoQSHp7UPJ5jq+1kvFB66AiMzWn2mL+Yv4u07eYz8R0hcKvW9mXIf6hCitaR0mH&#10;ULciCrbB9q9QtpUIAXS8kGAL0LqVKvdA3VTlH908r4VXuRcCJ/gBpvD/wsov20dkbVPz0ZgzJyzN&#10;6IlQE25lFCMZAdT5MCW7Z/+IPReITN3uNNr0pz7YLoO6H0BVu8gkCUdXNKf3l5xJ0lXlZHJVZtiL&#10;F3ePIX5SYFkiao6UP4MptvchUkoyPZqkbA7uWmPy5Ix7JSDDJClSxYcaMxX3RiU7456UpmZTVTlB&#10;XjN1Y5BtBS2IkFK5OEk950hkndw0ZRscq3OOJla9U2+b3FRev8GxPOf4OuPgkbOCi4OzbR3guQDN&#10;jyHzwf7Y/aHn1H7cLXd5wlXGPYmW0Oxp7AiHewhe3rUE/b0I8VEgHQCdCh11fKCPNtDVHHqKszXg&#10;r3PyZE97SVrOOjqomoefG4GKM/PZ0cZ+rMbjdIGZGV9+GBGDp5rlqcZt7A3QSCp6PrzMZLKP5khq&#10;BPudbn+RspJKOEm5ay4jHpmbeDh0ej2kWiyyGV2dF/HePXuZgiegHSw2EXSbN+0FnR5Iuru8Df0b&#10;kQ77lM9WLy/Z/DcAAAD//wMAUEsDBBQABgAIAAAAIQD6xqNr3gAAAAoBAAAPAAAAZHJzL2Rvd25y&#10;ZXYueG1sTI/NTsMwEITvSLyDtUjcqNPSQghxKkBCCPWAKO3dcbZJRLyObOenb89yguNoRjPf5NvZ&#10;dmJEH1pHCpaLBASScVVLtYLD1+tNCiJETZXuHKGCMwbYFpcXuc4qN9EnjvtYCy6hkGkFTYx9JmUw&#10;DVodFq5HYu/kvNWRpa9l5fXE5baTqyS5k1a3xAuN7vGlQfO9H6yCozs9T9aU9D6eP9rhbeeNSXdK&#10;XV/NT48gIs7xLwy/+IwOBTOVbqAqiI71+nbNUQWrJX/iwCa934Ao2UkfEpBFLv9fKH4AAAD//wMA&#10;UEsBAi0AFAAGAAgAAAAhALaDOJL+AAAA4QEAABMAAAAAAAAAAAAAAAAAAAAAAFtDb250ZW50X1R5&#10;cGVzXS54bWxQSwECLQAUAAYACAAAACEAOP0h/9YAAACUAQAACwAAAAAAAAAAAAAAAAAvAQAAX3Jl&#10;bHMvLnJlbHNQSwECLQAUAAYACAAAACEARIEbpGUCAAARBQAADgAAAAAAAAAAAAAAAAAuAgAAZHJz&#10;L2Uyb0RvYy54bWxQSwECLQAUAAYACAAAACEA+saja94AAAAKAQAADwAAAAAAAAAAAAAAAAC/BAAA&#10;ZHJzL2Rvd25yZXYueG1sUEsFBgAAAAAEAAQA8wAAAMoFAAAAAA==&#10;" filled="f" stroked="f" strokeweight="1pt">
                <v:textbox>
                  <w:txbxContent>
                    <w:p w14:paraId="585AD74F" w14:textId="4CE556BD" w:rsidR="00F351CE" w:rsidRPr="00C32C86" w:rsidRDefault="00F351CE" w:rsidP="00F351CE">
                      <w:pPr>
                        <w:spacing w:after="0" w:line="276" w:lineRule="auto"/>
                        <w:jc w:val="center"/>
                        <w:rPr>
                          <w:rFonts w:ascii="Book Antiqua" w:hAnsi="Book Antiqua"/>
                          <w:b/>
                          <w:bCs/>
                          <w:sz w:val="36"/>
                          <w:szCs w:val="40"/>
                          <w:lang w:val="en"/>
                        </w:rPr>
                      </w:pPr>
                      <w:r w:rsidRPr="00C32C86">
                        <w:rPr>
                          <w:rFonts w:ascii="Book Antiqua" w:hAnsi="Book Antiqua"/>
                          <w:b/>
                          <w:bCs/>
                          <w:sz w:val="36"/>
                          <w:szCs w:val="40"/>
                          <w:lang w:val="en"/>
                        </w:rPr>
                        <w:t>RESPON INFLAMASI PADA MUKOSITIS ORAL</w:t>
                      </w:r>
                    </w:p>
                  </w:txbxContent>
                </v:textbox>
              </v:rect>
            </w:pict>
          </mc:Fallback>
        </mc:AlternateContent>
      </w:r>
      <w:r w:rsidRPr="006810DB">
        <w:rPr>
          <w:b/>
          <w:noProof/>
          <w:sz w:val="48"/>
          <w:szCs w:val="20"/>
          <w:lang w:val="en-US"/>
        </w:rPr>
        <mc:AlternateContent>
          <mc:Choice Requires="wps">
            <w:drawing>
              <wp:anchor distT="0" distB="0" distL="114300" distR="114300" simplePos="0" relativeHeight="251696128" behindDoc="0" locked="0" layoutInCell="1" allowOverlap="1" wp14:anchorId="34996F6D" wp14:editId="7D546AE8">
                <wp:simplePos x="0" y="0"/>
                <wp:positionH relativeFrom="column">
                  <wp:posOffset>884555</wp:posOffset>
                </wp:positionH>
                <wp:positionV relativeFrom="paragraph">
                  <wp:posOffset>76835</wp:posOffset>
                </wp:positionV>
                <wp:extent cx="0" cy="1152000"/>
                <wp:effectExtent l="19050" t="0" r="38100" b="48260"/>
                <wp:wrapNone/>
                <wp:docPr id="25" name="Straight Connector 25"/>
                <wp:cNvGraphicFramePr/>
                <a:graphic xmlns:a="http://schemas.openxmlformats.org/drawingml/2006/main">
                  <a:graphicData uri="http://schemas.microsoft.com/office/word/2010/wordprocessingShape">
                    <wps:wsp>
                      <wps:cNvCnPr/>
                      <wps:spPr>
                        <a:xfrm>
                          <a:off x="0" y="0"/>
                          <a:ext cx="0" cy="1152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837A332" id="Straight Connector 25" o:spid="_x0000_s1026" style="position:absolute;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mAT2AEAAA8EAAAOAAAAZHJzL2Uyb0RvYy54bWysU02P0zAQvSPxHyzft0kqFVDUdA9d7V4Q&#10;VCz8AK8zbiz5S2PTpP+esdOmK0BIIC5OZjzved7zeHs/WcNOgFF71/FmVXMGTvpeu2PHv319vPvA&#10;WUzC9cJ4Bx0/Q+T3u7dvtmNoYe0Hb3pARiQutmPo+JBSaKsqygGsiCsfwNGm8mhFohCPVY9iJHZr&#10;qnVdv6tGj31ALyFGyj7Mm3xX+JUCmT4rFSEx03HqLZUVy/qS12q3Fe0RRRi0vLQh/qELK7SjQxeq&#10;B5EE+476FyqrJfroVVpJbyuvlJZQNJCapv5JzfMgAhQtZE4Mi03x/9HKT6cDMt13fL3hzAlLd/Sc&#10;UOjjkNjeO0cOemS0SU6NIbYE2LsDXqIYDphlTwpt/pIgNhV3z4u7MCUm56SkbNNs6OKK89UNGDCm&#10;J/CW5Z+OG+2ycNGK08eY6DAqvZbktHFs7PjmfbOpS1n0RveP2pi8WYYH9gbZSdC1p6nJzRPDqyqK&#10;jKNkljSLKH/pbGDm/wKKbKG2m/mAPJA3TiEluHTlNY6qM0xRBwvw0tmfgJf6DIUyrH8DXhDlZO/S&#10;Arbaefxd2zcr1Fx/dWDWnS148f25XG+xhqauOHd5IXmsX8cFfnvHux8AAAD//wMAUEsDBBQABgAI&#10;AAAAIQBHaIbM2gAAAAoBAAAPAAAAZHJzL2Rvd25yZXYueG1sTE9NS8NAEL0L/odlBG9204aIidmU&#10;IhTpRWgreN1kx2QxOxuy2zT++0691Nt7M4/3Ua5n14sJx2A9KVguEhBIjTeWWgWfx+3TC4gQNRnd&#10;e0IFvxhgXd3flbow/kx7nA6xFWxCodAKuhiHQsrQdOh0WPgBiX/ffnQ6Mh1baUZ9ZnPXy1WSPEun&#10;LXFCpwd867D5OZwch2RfzTsGuzPbTVZnU27r5MMq9fgwb15BRJzjTQzX+lwdKu5U+xOZIHrmaZ6y&#10;lMFqCeIq+DvUDPI0A1mV8v+E6gIAAP//AwBQSwECLQAUAAYACAAAACEAtoM4kv4AAADhAQAAEwAA&#10;AAAAAAAAAAAAAAAAAAAAW0NvbnRlbnRfVHlwZXNdLnhtbFBLAQItABQABgAIAAAAIQA4/SH/1gAA&#10;AJQBAAALAAAAAAAAAAAAAAAAAC8BAABfcmVscy8ucmVsc1BLAQItABQABgAIAAAAIQCYdmAT2AEA&#10;AA8EAAAOAAAAAAAAAAAAAAAAAC4CAABkcnMvZTJvRG9jLnhtbFBLAQItABQABgAIAAAAIQBHaIbM&#10;2gAAAAoBAAAPAAAAAAAAAAAAAAAAADIEAABkcnMvZG93bnJldi54bWxQSwUGAAAAAAQABADzAAAA&#10;OQU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30"/>
          <w:szCs w:val="130"/>
          <w:lang w:val="en-US"/>
        </w:rPr>
        <w:t>11</w:t>
      </w:r>
      <w:r w:rsidRPr="006810DB">
        <w:rPr>
          <w:b/>
          <w:szCs w:val="20"/>
          <w:lang w:val="en-US"/>
        </w:rPr>
        <w:t xml:space="preserve"> </w:t>
      </w:r>
      <w:r w:rsidRPr="006810DB">
        <w:rPr>
          <w:b/>
          <w:szCs w:val="20"/>
          <w:lang w:val="en-US"/>
        </w:rPr>
        <w:tab/>
      </w:r>
      <w:r w:rsidRPr="006810DB">
        <w:rPr>
          <w:b/>
          <w:color w:val="FFFFFF" w:themeColor="background1"/>
          <w:sz w:val="14"/>
          <w:szCs w:val="14"/>
          <w:lang w:val="en-US"/>
        </w:rPr>
        <w:t>RESPON INFLAMASI PADA MUKOSITIS ORAL</w:t>
      </w:r>
      <w:bookmarkEnd w:id="263"/>
    </w:p>
    <w:p w14:paraId="0066B745" w14:textId="0C3995ED" w:rsidR="00F351CE" w:rsidRPr="006810DB" w:rsidRDefault="00F351CE" w:rsidP="006810DB">
      <w:pPr>
        <w:spacing w:after="0" w:line="276" w:lineRule="auto"/>
        <w:jc w:val="both"/>
        <w:rPr>
          <w:rFonts w:ascii="Book Antiqua" w:hAnsi="Book Antiqua"/>
          <w:sz w:val="20"/>
          <w:szCs w:val="20"/>
          <w:lang w:val="en"/>
        </w:rPr>
      </w:pPr>
    </w:p>
    <w:p w14:paraId="183964F0" w14:textId="77777777" w:rsidR="008A3BB8" w:rsidRPr="006810DB" w:rsidRDefault="008A3BB8" w:rsidP="006810DB">
      <w:pPr>
        <w:spacing w:after="0" w:line="276" w:lineRule="auto"/>
        <w:jc w:val="both"/>
        <w:rPr>
          <w:rFonts w:ascii="Book Antiqua" w:hAnsi="Book Antiqua"/>
          <w:sz w:val="20"/>
          <w:szCs w:val="20"/>
          <w:lang w:val="en"/>
        </w:rPr>
      </w:pPr>
    </w:p>
    <w:p w14:paraId="1D0BE4DB" w14:textId="2E96F5A7" w:rsidR="00B258B7" w:rsidRPr="006810DB" w:rsidRDefault="00C32C86" w:rsidP="00B9360C">
      <w:pPr>
        <w:pStyle w:val="Heading2"/>
        <w:numPr>
          <w:ilvl w:val="0"/>
          <w:numId w:val="26"/>
        </w:numPr>
        <w:ind w:left="284" w:hanging="284"/>
      </w:pPr>
      <w:bookmarkStart w:id="264" w:name="_ljzz07r28id7" w:colFirst="0" w:colLast="0"/>
      <w:bookmarkStart w:id="265" w:name="_Toc223088940"/>
      <w:bookmarkEnd w:id="264"/>
      <w:r w:rsidRPr="006810DB">
        <w:t>Pendahuluan</w:t>
      </w:r>
      <w:bookmarkEnd w:id="265"/>
    </w:p>
    <w:p w14:paraId="6C57629F"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Inflamasi sering kali disalahpahami hanya sebagai reaksi pertahanan tubuh yang bermanfaat. Namun, dalam konteks mukositis oral akibat kemoterapi, inflamasi bertransformasi menjadi pedang bermata dua yang justru mempercepat kerusakan jaringan. Jika bab sebelumnya telah mengupas peran radikal bebas sebagai pemicu awal, maka bab ini akan menelusuri bagaimana percikan oksidatif tersebut menyulut api peradangan yang berkobar di seluruh jaringan mukosa. Inflamasi bukan sekadar efek samping pasif; ia adalah mesin penggerak utama yang memperluas dan memperdalam luka, mengubah kerusakan seluler mikroskopis menjadi ulkus yang menyakitkan secara makroskopis.</w:t>
      </w:r>
    </w:p>
    <w:p w14:paraId="6F6F6F63"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Mekanisme ini didorong oleh pelepasan mediator kimiawi yang disebut sitokin pro-inflamasi. Sitokin-sitokin ini bertindak sebagai kurir sinyal yang merekrut sel-sel imun dan mengubah perilaku sel-sel residen mukosa. Dalam kondisi normal, sitokin diproduksi dalam jumlah kecil dan terkendali. Namun, paparan cisplatin memicu apa yang disebut sebagai "badai sitokin lokal" di dalam jaringan mulut. Lonjakan drastis kadar </w:t>
      </w:r>
      <w:r w:rsidRPr="006810DB">
        <w:rPr>
          <w:rFonts w:ascii="Book Antiqua" w:hAnsi="Book Antiqua"/>
          <w:i/>
          <w:iCs/>
          <w:sz w:val="20"/>
          <w:szCs w:val="20"/>
          <w:lang w:val="en"/>
        </w:rPr>
        <w:t>Tumor Necrosis Factor-alpha</w:t>
      </w:r>
      <w:r w:rsidRPr="006810DB">
        <w:rPr>
          <w:rFonts w:ascii="Book Antiqua" w:hAnsi="Book Antiqua"/>
          <w:sz w:val="20"/>
          <w:szCs w:val="20"/>
          <w:lang w:val="en"/>
        </w:rPr>
        <w:t xml:space="preserve"> (TNF-α), </w:t>
      </w:r>
      <w:r w:rsidRPr="006810DB">
        <w:rPr>
          <w:rFonts w:ascii="Book Antiqua" w:hAnsi="Book Antiqua"/>
          <w:i/>
          <w:iCs/>
          <w:sz w:val="20"/>
          <w:szCs w:val="20"/>
          <w:lang w:val="en"/>
        </w:rPr>
        <w:t>Interleukin-1 beta</w:t>
      </w:r>
      <w:r w:rsidRPr="006810DB">
        <w:rPr>
          <w:rFonts w:ascii="Book Antiqua" w:hAnsi="Book Antiqua"/>
          <w:sz w:val="20"/>
          <w:szCs w:val="20"/>
          <w:lang w:val="en"/>
        </w:rPr>
        <w:t xml:space="preserve"> (IL-1β), dan </w:t>
      </w:r>
      <w:r w:rsidRPr="006810DB">
        <w:rPr>
          <w:rFonts w:ascii="Book Antiqua" w:hAnsi="Book Antiqua"/>
          <w:i/>
          <w:iCs/>
          <w:sz w:val="20"/>
          <w:szCs w:val="20"/>
          <w:lang w:val="en"/>
        </w:rPr>
        <w:t>Interleukin-6</w:t>
      </w:r>
      <w:r w:rsidRPr="006810DB">
        <w:rPr>
          <w:rFonts w:ascii="Book Antiqua" w:hAnsi="Book Antiqua"/>
          <w:sz w:val="20"/>
          <w:szCs w:val="20"/>
          <w:lang w:val="en"/>
        </w:rPr>
        <w:t xml:space="preserve"> (IL-6) menciptakan lingkungan toksik yang tidak hanya mematikan bagi sel epitel, tetapi juga merusak struktur penyangga jaringan.</w:t>
      </w:r>
    </w:p>
    <w:p w14:paraId="26A5C697" w14:textId="77777777" w:rsidR="00056B27" w:rsidRDefault="00056B27">
      <w:pPr>
        <w:rPr>
          <w:rFonts w:ascii="Book Antiqua" w:hAnsi="Book Antiqua"/>
          <w:sz w:val="20"/>
          <w:szCs w:val="20"/>
          <w:lang w:val="en"/>
        </w:rPr>
      </w:pPr>
      <w:r>
        <w:rPr>
          <w:rFonts w:ascii="Book Antiqua" w:hAnsi="Book Antiqua"/>
          <w:sz w:val="20"/>
          <w:szCs w:val="20"/>
          <w:lang w:val="en"/>
        </w:rPr>
        <w:br w:type="page"/>
      </w:r>
    </w:p>
    <w:p w14:paraId="21110C19" w14:textId="72AB09D9"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lastRenderedPageBreak/>
        <w:t xml:space="preserve">Bab ini akan membedah peran spesifik dari masing-masing sitokin utama tersebut. TNF-α akan diidentifikasi sebagai inisiator kunci yang memicu kematian sel dan kerusakan pembuluh darah. IL-1β akan dibahas perannya dalam memperkuat sinyal nyeri dan demam lokal, sementara IL-6 akan dijelaskan sebagai amplifier yang memperpanjang durasi peradangan. Pemahaman tentang hierarki dan interaksi antar sitokin ini penting untuk mengidentifikasi target terapi yang potensial bagi agen anti-inflamasi seperti </w:t>
      </w:r>
      <w:r w:rsidRPr="006810DB">
        <w:rPr>
          <w:rFonts w:ascii="Book Antiqua" w:hAnsi="Book Antiqua"/>
          <w:i/>
          <w:iCs/>
          <w:sz w:val="20"/>
          <w:szCs w:val="20"/>
          <w:lang w:val="en"/>
        </w:rPr>
        <w:t>Nigella sativa</w:t>
      </w:r>
      <w:r w:rsidRPr="006810DB">
        <w:rPr>
          <w:rFonts w:ascii="Book Antiqua" w:hAnsi="Book Antiqua"/>
          <w:sz w:val="20"/>
          <w:szCs w:val="20"/>
          <w:lang w:val="en"/>
        </w:rPr>
        <w:t>.</w:t>
      </w:r>
    </w:p>
    <w:p w14:paraId="2609DA8C"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Selanjutnya, pembahasan akan bergerak dari tingkat molekuler ke tingkat jaringan. Kita akan melihat bagaimana sinyal kimia ini diterjemahkan menjadi perubahan fisik yang nyata: pembengkakan (edema) akibat kebocoran pembuluh darah, infiltrasi pasukan sel imun seperti neutrofil yang justru memperburuk kerusakan oksidatif, dan degradasi kolagen oleh enzim matriks yang diaktifkan. Inilah fase di mana integritas struktural mukosa mulai runtuh.</w:t>
      </w:r>
    </w:p>
    <w:p w14:paraId="631200ED"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Puncak dari kaskade destruktif ini adalah transisi dari peradangan menuju ulserasi terbuka. Bab ini akan menguraikan mekanisme kematian sel masif yang menyebabkan hilangnya lapisan epitel pelindung. Terbentuknya ulkus bukan hanya masalah estetika atau kenyamanan; ia membuka gerbang bagi infeksi sekunder dan mengekspos ujung-ujung saraf, menyebabkan nyeri neuropatik yang khas dan menyiksa pada pasien mukositis.</w:t>
      </w:r>
    </w:p>
    <w:p w14:paraId="44BA7CA8"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Dengan memahami biologi inflamasi ini secara mendalam, kita meletakkan dasar untuk bab-bab selanjutnya yang akan membahas jalur sinyal NF-κB sebagai saklar utamanya.</w:t>
      </w:r>
    </w:p>
    <w:p w14:paraId="414D1CD6"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Pengetahuan ini menegaskan bahwa intervensi terapeutik tidak cukup hanya dengan antioksidan; diperlukan agen yang mampu memutus rantai sinyal inflamasi yang ganas ini.</w:t>
      </w:r>
    </w:p>
    <w:p w14:paraId="4658157C" w14:textId="063FB100"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Bab ini memberikan gambaran lengkap tentang "medan perang" di dalam mukosa mulut, menjelaskan mengapa mukositis begitu sulit ditangani dan mengapa pendekatan multi-target sangat diperlukan.</w:t>
      </w:r>
    </w:p>
    <w:p w14:paraId="3C3D046C" w14:textId="570C6381" w:rsidR="00B258B7" w:rsidRPr="006810DB" w:rsidRDefault="00B258B7" w:rsidP="006810DB">
      <w:pPr>
        <w:pStyle w:val="Heading2"/>
        <w:numPr>
          <w:ilvl w:val="0"/>
          <w:numId w:val="26"/>
        </w:numPr>
        <w:ind w:left="284" w:hanging="284"/>
      </w:pPr>
      <w:bookmarkStart w:id="266" w:name="_vy42suj43yqq" w:colFirst="0" w:colLast="0"/>
      <w:bookmarkStart w:id="267" w:name="_Toc223088941"/>
      <w:bookmarkEnd w:id="266"/>
      <w:r w:rsidRPr="006810DB">
        <w:lastRenderedPageBreak/>
        <w:t>Sitokin Pro-Inflamasi dalam Patogenesis Mukositis</w:t>
      </w:r>
      <w:bookmarkEnd w:id="267"/>
    </w:p>
    <w:p w14:paraId="0BDF7CED"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Sitokin adalah protein kecil yang berfungsi sebagai pembawa pesan antar sel, mengatur respons imun dan peradangan. Dalam patogenesis mukositis oral, sitokin pro-inflamasi tidak diproduksi secara acak, melainkan mengikuti pola ekspresi yang terorkestrasi dengan baik, yang sering disebut sebagai kaskade sitokin. Paparan kemoterapi cisplatin merangsang makrofag dan sel epitel untuk memproduksi sitokin primer, yang kemudian memicu produksi sitokin sekunder dan tersier. Peningkatan kadar sitokin ini di jaringan mukosa berkorelasi langsung dengan tingkat keparahan klinis mukositis, menjadikannya target utama untuk intervensi terapeutik (Madani et al., 2023).</w:t>
      </w:r>
    </w:p>
    <w:p w14:paraId="17C853D6"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Bayangkan sebuah gedung perkantoran (jaringan mukosa) yang dilengkapi dengan sistem alarm kebakaran yang sangat sensitif. Cisplatin bertindak seperti seseorang yang menekan tombol darurat utama. Sirine pertama yang berbunyi sangat keras adalah TNF-α; suaranya menyebabkan kepanikan massal, membuat orang-orang berhenti bekerja (disfungsi sel) dan beberapa bahkan melompat keluar jendela (apoptosis). Sirine ini kemudian mengaktifkan alarm sekunder di setiap lantai, yaitu IL-1β dan IL-6, yang memanggil tim pemadam kebakaran (sel imun). Sayangnya, tim pemadam ini datang dengan kapak dan selang air bertekanan tinggi, yang alih-alih menyelamatkan gedung, justru menghancurkan pintu, memecahkan kaca, dan membanjiri ruangan (kerusakan jaringan), menyebabkan kerusakan yang jauh lebih parah daripada ancaman api awal itu sendiri.</w:t>
      </w:r>
    </w:p>
    <w:p w14:paraId="7B44F402" w14:textId="66FC2A2C" w:rsidR="00B258B7" w:rsidRPr="006810DB" w:rsidRDefault="00B258B7" w:rsidP="006810DB">
      <w:pPr>
        <w:pStyle w:val="ListParagraph"/>
        <w:numPr>
          <w:ilvl w:val="0"/>
          <w:numId w:val="66"/>
        </w:numPr>
        <w:spacing w:after="0" w:line="276" w:lineRule="auto"/>
        <w:ind w:left="567" w:hanging="283"/>
        <w:contextualSpacing w:val="0"/>
        <w:jc w:val="both"/>
        <w:rPr>
          <w:rFonts w:ascii="Book Antiqua" w:hAnsi="Book Antiqua"/>
          <w:b/>
          <w:bCs/>
          <w:sz w:val="20"/>
          <w:szCs w:val="20"/>
          <w:lang w:val="en"/>
        </w:rPr>
      </w:pPr>
      <w:bookmarkStart w:id="268" w:name="_o61cd86puflk" w:colFirst="0" w:colLast="0"/>
      <w:bookmarkEnd w:id="268"/>
      <w:r w:rsidRPr="006810DB">
        <w:rPr>
          <w:rFonts w:ascii="Book Antiqua" w:hAnsi="Book Antiqua"/>
          <w:b/>
          <w:bCs/>
          <w:sz w:val="20"/>
          <w:szCs w:val="20"/>
          <w:lang w:val="en"/>
        </w:rPr>
        <w:t xml:space="preserve">Peran </w:t>
      </w:r>
      <w:r w:rsidRPr="006810DB">
        <w:rPr>
          <w:rFonts w:ascii="Book Antiqua" w:hAnsi="Book Antiqua"/>
          <w:b/>
          <w:bCs/>
          <w:i/>
          <w:iCs/>
          <w:sz w:val="20"/>
          <w:szCs w:val="20"/>
          <w:lang w:val="en"/>
        </w:rPr>
        <w:t>Tumor Necrosis Factor-alpha</w:t>
      </w:r>
      <w:r w:rsidRPr="006810DB">
        <w:rPr>
          <w:rFonts w:ascii="Book Antiqua" w:hAnsi="Book Antiqua"/>
          <w:b/>
          <w:bCs/>
          <w:sz w:val="20"/>
          <w:szCs w:val="20"/>
          <w:lang w:val="en"/>
        </w:rPr>
        <w:t xml:space="preserve"> (TNF-α)</w:t>
      </w:r>
    </w:p>
    <w:p w14:paraId="1F51E49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i/>
          <w:iCs/>
          <w:sz w:val="20"/>
          <w:szCs w:val="20"/>
          <w:lang w:val="en"/>
        </w:rPr>
        <w:t>Tumor Necrosis Factor-alpha</w:t>
      </w:r>
      <w:r w:rsidRPr="006810DB">
        <w:rPr>
          <w:rFonts w:ascii="Book Antiqua" w:hAnsi="Book Antiqua"/>
          <w:sz w:val="20"/>
          <w:szCs w:val="20"/>
          <w:lang w:val="en"/>
        </w:rPr>
        <w:t xml:space="preserve"> (TNF-α) dianggap sebagai sitokin inisiator atau "master regulator" dalam kaskade inflamasi mukositis. Segera setelah cisplatin menyebabkan kerusakan DNA dan stres oksidatif, faktor transkripsi NF-κB mengaktifkan gen TNF-α. Peningkatan kadar TNF-α di jaringan mukosa terjadi sangat awal, sering kali sebelum tanda-tanda klinis terlihat. TNF-α memiliki efek pleiotropik, </w:t>
      </w:r>
      <w:r w:rsidRPr="006810DB">
        <w:rPr>
          <w:rFonts w:ascii="Book Antiqua" w:hAnsi="Book Antiqua"/>
          <w:sz w:val="20"/>
          <w:szCs w:val="20"/>
          <w:lang w:val="en"/>
        </w:rPr>
        <w:lastRenderedPageBreak/>
        <w:t>artinya ia memengaruhi berbagai jenis sel dengan cara yang berbeda namun merusak (Kadarullah et al., 2024).</w:t>
      </w:r>
    </w:p>
    <w:p w14:paraId="23BA61A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Salah satu efek utama TNF-α adalah induksi apoptosis pada sel epitel basal dan fibroblas submukosa. Ia berikatan dengan reseptor kematian (</w:t>
      </w:r>
      <w:r w:rsidRPr="006810DB">
        <w:rPr>
          <w:rFonts w:ascii="Book Antiqua" w:hAnsi="Book Antiqua"/>
          <w:i/>
          <w:iCs/>
          <w:sz w:val="20"/>
          <w:szCs w:val="20"/>
          <w:lang w:val="en"/>
        </w:rPr>
        <w:t>death receptors</w:t>
      </w:r>
      <w:r w:rsidRPr="006810DB">
        <w:rPr>
          <w:rFonts w:ascii="Book Antiqua" w:hAnsi="Book Antiqua"/>
          <w:sz w:val="20"/>
          <w:szCs w:val="20"/>
          <w:lang w:val="en"/>
        </w:rPr>
        <w:t>) di permukaan sel, memicu jalur pensinyalan yang mengaktifkan kaspase dan menghancurkan sel. Selain itu, TNF-α juga merusak sel endotel pembuluh darah, meningkatkan permeabilitas kapiler yang menyebabkan edema jaringan. Yang paling krusial, TNF-α bekerja dalam loop umpan balik positif: ia merangsang produksi lebih banyak ROS dan mengaktifkan kembali NF-κB, menciptakan siklus peradangan yang memperkuat diri sendiri (Al-Dasooqi et al., 2013).</w:t>
      </w:r>
    </w:p>
    <w:p w14:paraId="403FED86" w14:textId="058B44D9" w:rsidR="00B258B7" w:rsidRPr="006810DB" w:rsidRDefault="00B258B7" w:rsidP="006810DB">
      <w:pPr>
        <w:pStyle w:val="ListParagraph"/>
        <w:numPr>
          <w:ilvl w:val="0"/>
          <w:numId w:val="66"/>
        </w:numPr>
        <w:spacing w:after="0" w:line="276" w:lineRule="auto"/>
        <w:ind w:left="567" w:hanging="283"/>
        <w:contextualSpacing w:val="0"/>
        <w:jc w:val="both"/>
        <w:rPr>
          <w:rFonts w:ascii="Book Antiqua" w:hAnsi="Book Antiqua"/>
          <w:b/>
          <w:bCs/>
          <w:sz w:val="20"/>
          <w:szCs w:val="20"/>
          <w:lang w:val="en"/>
        </w:rPr>
      </w:pPr>
      <w:bookmarkStart w:id="269" w:name="_mplv1nem2u58" w:colFirst="0" w:colLast="0"/>
      <w:bookmarkEnd w:id="269"/>
      <w:r w:rsidRPr="006810DB">
        <w:rPr>
          <w:rFonts w:ascii="Book Antiqua" w:hAnsi="Book Antiqua"/>
          <w:b/>
          <w:bCs/>
          <w:sz w:val="20"/>
          <w:szCs w:val="20"/>
          <w:lang w:val="en"/>
        </w:rPr>
        <w:t>Keterlibatan Interleukin-1 beta (IL-1β)</w:t>
      </w:r>
    </w:p>
    <w:p w14:paraId="6F880292"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Sering bekerja bersamaan dengan TNF-α, </w:t>
      </w:r>
      <w:r w:rsidRPr="006810DB">
        <w:rPr>
          <w:rFonts w:ascii="Book Antiqua" w:hAnsi="Book Antiqua"/>
          <w:i/>
          <w:iCs/>
          <w:sz w:val="20"/>
          <w:szCs w:val="20"/>
          <w:lang w:val="en"/>
        </w:rPr>
        <w:t>Interleukin-1 beta</w:t>
      </w:r>
      <w:r w:rsidRPr="006810DB">
        <w:rPr>
          <w:rFonts w:ascii="Book Antiqua" w:hAnsi="Book Antiqua"/>
          <w:sz w:val="20"/>
          <w:szCs w:val="20"/>
          <w:lang w:val="en"/>
        </w:rPr>
        <w:t xml:space="preserve"> (IL-1β) adalah mediator kunci lainnya dalam fase amplifikasi mukositis. Produksi IL-1β diatur secara ketat oleh kompleks protein intraseluler yang disebut inflamasom (</w:t>
      </w:r>
      <w:r w:rsidRPr="006810DB">
        <w:rPr>
          <w:rFonts w:ascii="Book Antiqua" w:hAnsi="Book Antiqua"/>
          <w:i/>
          <w:iCs/>
          <w:sz w:val="20"/>
          <w:szCs w:val="20"/>
          <w:lang w:val="en"/>
        </w:rPr>
        <w:t>inflammasome</w:t>
      </w:r>
      <w:r w:rsidRPr="006810DB">
        <w:rPr>
          <w:rFonts w:ascii="Book Antiqua" w:hAnsi="Book Antiqua"/>
          <w:sz w:val="20"/>
          <w:szCs w:val="20"/>
          <w:lang w:val="en"/>
        </w:rPr>
        <w:t>), yang diaktifkan oleh sinyal bahaya dari sel yang rusak. Setelah dilepaskan, IL-1β memiliki efek sinergis dengan TNF-α dalam mempromosikan rekrutmen sel radang dan kerusakan jaringan (Belfiore et al., 2024).</w:t>
      </w:r>
    </w:p>
    <w:p w14:paraId="4FD7938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Peran spesifik IL-1β yang menonjol adalah dalam mediasi nyeri dan hiperalgesia (peningkatan sensitivitas terhadap nyeri). Ia meningkatkan rangsangan pada ujung saraf nosiseptif di mukosa mulut, membuat rangsangan ringan seperti sentuhan makanan atau lidah terasa sangat menyakitkan bagi pasien. Selain itu, IL-1β juga merangsang sel-sel stroma untuk melepaskan enzim penghancur jaringan, seperti metaloproteinase matriks (MMP), yang mendegradasi kolagen dan memperlemah struktur mukosa, memfasilitasi pembentukan ulkus yang lebih dalam (Sonis, 2010).</w:t>
      </w:r>
    </w:p>
    <w:p w14:paraId="1C435885" w14:textId="612E6DAB" w:rsidR="00B258B7" w:rsidRPr="006810DB" w:rsidRDefault="00B258B7" w:rsidP="006810DB">
      <w:pPr>
        <w:pStyle w:val="ListParagraph"/>
        <w:numPr>
          <w:ilvl w:val="0"/>
          <w:numId w:val="66"/>
        </w:numPr>
        <w:spacing w:after="0" w:line="276" w:lineRule="auto"/>
        <w:ind w:left="567" w:hanging="283"/>
        <w:contextualSpacing w:val="0"/>
        <w:jc w:val="both"/>
        <w:rPr>
          <w:rFonts w:ascii="Book Antiqua" w:hAnsi="Book Antiqua"/>
          <w:b/>
          <w:bCs/>
          <w:sz w:val="20"/>
          <w:szCs w:val="20"/>
          <w:lang w:val="en"/>
        </w:rPr>
      </w:pPr>
      <w:bookmarkStart w:id="270" w:name="_47y0c7is6f2" w:colFirst="0" w:colLast="0"/>
      <w:bookmarkEnd w:id="270"/>
      <w:r w:rsidRPr="006810DB">
        <w:rPr>
          <w:rFonts w:ascii="Book Antiqua" w:hAnsi="Book Antiqua"/>
          <w:b/>
          <w:bCs/>
          <w:sz w:val="20"/>
          <w:szCs w:val="20"/>
          <w:lang w:val="en"/>
        </w:rPr>
        <w:t>Amplifikasi Sinyal Inflamasi melalui Interleukin-6</w:t>
      </w:r>
    </w:p>
    <w:p w14:paraId="5EA79BD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i/>
          <w:iCs/>
          <w:sz w:val="20"/>
          <w:szCs w:val="20"/>
          <w:lang w:val="en"/>
        </w:rPr>
        <w:t>Interleukin-6</w:t>
      </w:r>
      <w:r w:rsidRPr="006810DB">
        <w:rPr>
          <w:rFonts w:ascii="Book Antiqua" w:hAnsi="Book Antiqua"/>
          <w:sz w:val="20"/>
          <w:szCs w:val="20"/>
          <w:lang w:val="en"/>
        </w:rPr>
        <w:t xml:space="preserve"> (IL-6) adalah sitokin pleiotropik yang diproduksi sebagai respons terhadap stimulasi TNF-α dan IL-1β. Dalam konteks mukositis, IL-6 berfungsi sebagai </w:t>
      </w:r>
      <w:r w:rsidRPr="006810DB">
        <w:rPr>
          <w:rFonts w:ascii="Book Antiqua" w:hAnsi="Book Antiqua"/>
          <w:sz w:val="20"/>
          <w:szCs w:val="20"/>
          <w:lang w:val="en"/>
        </w:rPr>
        <w:lastRenderedPageBreak/>
        <w:t>amplifier utama yang mempertahankan dan memperluas respons inflamasi. Kadar IL-6 serum dan saliva sering ditemukan meningkat tajam pada pasien yang mengalami mukositis parah, menjadikannya biomarker potensial untuk memprediksi keparahan penyakit (Madani et al., 2023).</w:t>
      </w:r>
    </w:p>
    <w:p w14:paraId="5F116EED" w14:textId="0FC82DCE"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IL-6 berperan penting dalam transisi dari respon imun bawaan ke respon imun adaptif. Ia menarik sel-sel imun spesifik ke lokasi cedera dan mencegah kematian sel imun tersebut (neutrofil dan makrofag), sehingga memperpanjang durasi peradangan di jaringan. Selain efek lokal, IL-6 juga bertanggung jawab atas efek sistemik dari mukositis, seperti demam, kelelahan, dan respons fase akut di hati (peningkatan protein C-reaktif). Keberadaan IL-6 yang persisten sering kali dikaitkan dengan penyembuhan luka yang tertunda dan kronisitas lesi mukositis (Kadarullah et al., 2024).</w:t>
      </w:r>
    </w:p>
    <w:p w14:paraId="0D91E04D" w14:textId="77777777" w:rsidR="002E5D2A" w:rsidRPr="006810DB" w:rsidRDefault="002E5D2A" w:rsidP="006810DB">
      <w:pPr>
        <w:spacing w:after="0" w:line="276" w:lineRule="auto"/>
        <w:jc w:val="both"/>
        <w:rPr>
          <w:rFonts w:ascii="Book Antiqua" w:hAnsi="Book Antiqua"/>
          <w:sz w:val="20"/>
          <w:szCs w:val="20"/>
          <w:lang w:val="en"/>
        </w:rPr>
      </w:pPr>
    </w:p>
    <w:p w14:paraId="3AD9574F" w14:textId="0461B4E2" w:rsidR="00B258B7" w:rsidRPr="006810DB" w:rsidRDefault="00B258B7" w:rsidP="006810DB">
      <w:pPr>
        <w:pStyle w:val="Heading2"/>
        <w:numPr>
          <w:ilvl w:val="0"/>
          <w:numId w:val="26"/>
        </w:numPr>
        <w:ind w:left="284" w:hanging="284"/>
        <w:rPr>
          <w:bCs/>
          <w:szCs w:val="20"/>
          <w:lang w:val="en"/>
        </w:rPr>
      </w:pPr>
      <w:bookmarkStart w:id="271" w:name="_lbllc6ijc3sw" w:colFirst="0" w:colLast="0"/>
      <w:bookmarkStart w:id="272" w:name="_Toc223088942"/>
      <w:bookmarkEnd w:id="271"/>
      <w:r w:rsidRPr="006810DB">
        <w:rPr>
          <w:bCs/>
          <w:szCs w:val="20"/>
          <w:lang w:val="en"/>
        </w:rPr>
        <w:t>Kaskade Sinyal Inflamasi di Tingkat Jaringan</w:t>
      </w:r>
      <w:bookmarkEnd w:id="272"/>
    </w:p>
    <w:p w14:paraId="3EF74A0A"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Pelepasan sitokin bukanlah akhir dari cerita, melainkan awal dari serangkaian perubahan patologis di tingkat jaringan. Sinyal-sinyal kimiawi ini mengubah perilaku biologis dari seluruh komponen mukosa, termasuk pembuluh darah, matriks ekstraseluler, dan populasi sel imun. Kaskade ini mengubah lingkungan mikro jaringan dari keadaan homeostasis (keseimbangan) menjadi keadaan pro-inflamasi yang destruktif. Perubahan jaringan ini bermanifestasi sebagai tanda-tanda kardinal peradangan: rubor (kemerahan), tumor (bengkak), calor (panas), dan dolor (nyeri), yang mendahului kerusakan fungsional (functio laesa) berupa ulserasi.</w:t>
      </w:r>
    </w:p>
    <w:p w14:paraId="2FE04164"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Bayangkan sebuah jalan raya yang sibuk (pembuluh darah) di sebelah lokasi konstruksi (jaringan mukosa). Ketika sitokin dilepaskan, mereka bertindak seperti pengunjuk rasa yang memblokir jalan dan merusak pagar pembatas. Akibatnya, lalu lintas macet dan cairan dari truk tangki tumpah ke jalanan (permeabilitas vaskular meningkat, menyebabkan edema). Melihat kekacauan ini, </w:t>
      </w:r>
      <w:r w:rsidRPr="006810DB">
        <w:rPr>
          <w:rFonts w:ascii="Book Antiqua" w:hAnsi="Book Antiqua"/>
          <w:sz w:val="20"/>
          <w:szCs w:val="20"/>
          <w:lang w:val="en"/>
        </w:rPr>
        <w:lastRenderedPageBreak/>
        <w:t>pasukan keamanan anti huru-hara (neutrofil) dikirim masuk. Namun, alih-alih menenangkan situasi, mereka menembakkan gas air mata dan peluru karet secara membabi buta (melepaskan ROS dan enzim proteolitik), yang tidak hanya mengenai perusuh tetapi juga menghancurkan fondasi bangunan yang sedang dikonstruksi (matriks ekstraseluler), menyebabkan struktur tersebut runtuh total.</w:t>
      </w:r>
    </w:p>
    <w:p w14:paraId="49397869" w14:textId="4B3A55F3" w:rsidR="00B258B7" w:rsidRPr="006810DB" w:rsidRDefault="00B258B7" w:rsidP="006810DB">
      <w:pPr>
        <w:pStyle w:val="ListParagraph"/>
        <w:numPr>
          <w:ilvl w:val="0"/>
          <w:numId w:val="67"/>
        </w:numPr>
        <w:spacing w:after="0" w:line="276" w:lineRule="auto"/>
        <w:ind w:left="567" w:hanging="283"/>
        <w:contextualSpacing w:val="0"/>
        <w:jc w:val="both"/>
        <w:rPr>
          <w:rFonts w:ascii="Book Antiqua" w:hAnsi="Book Antiqua"/>
          <w:b/>
          <w:bCs/>
          <w:sz w:val="20"/>
          <w:szCs w:val="20"/>
          <w:lang w:val="en"/>
        </w:rPr>
      </w:pPr>
      <w:bookmarkStart w:id="273" w:name="_y1qgf664f9gx" w:colFirst="0" w:colLast="0"/>
      <w:bookmarkEnd w:id="273"/>
      <w:r w:rsidRPr="006810DB">
        <w:rPr>
          <w:rFonts w:ascii="Book Antiqua" w:hAnsi="Book Antiqua"/>
          <w:b/>
          <w:bCs/>
          <w:sz w:val="20"/>
          <w:szCs w:val="20"/>
          <w:lang w:val="en"/>
        </w:rPr>
        <w:t>Aktivasi Sel Imun dan Infiltrasi Neutrofil</w:t>
      </w:r>
    </w:p>
    <w:p w14:paraId="3CCD413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Salah satu dampak langsung dari peningkatan sitokin adalah rekrutmen sel-sel imun dari sirkulasi darah ke dalam jaringan mukosa. TNF-α dan IL-1β merangsang sel endotel pembuluh darah untuk mengekspresikan molekul adhesi (seperti ICAM-1 dan VCAM-1), yang bertindak sebagai "tangan perekat" untuk menangkap sel darah putih yang lewat. Neutrofil adalah sel imun pertama yang merespons panggilan ini dan menginfiltrasi jaringan dalam jumlah besar (Leitao et al., 2012).</w:t>
      </w:r>
    </w:p>
    <w:p w14:paraId="294CACF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Meskipun neutrofil bertujuan untuk melawan potensi infeksi, dalam konteks mukositis steril (awal), kehadirannya bersifat merusak. Neutrofil yang teraktivasi melepaskan granula yang berisi enzim proteolitik (seperti elastase) dan memproduksi sejumlah besar radikal bebas baru melalui proses </w:t>
      </w:r>
      <w:r w:rsidRPr="006810DB">
        <w:rPr>
          <w:rFonts w:ascii="Book Antiqua" w:hAnsi="Book Antiqua"/>
          <w:i/>
          <w:iCs/>
          <w:sz w:val="20"/>
          <w:szCs w:val="20"/>
          <w:lang w:val="en"/>
        </w:rPr>
        <w:t>respiratory burst</w:t>
      </w:r>
      <w:r w:rsidRPr="006810DB">
        <w:rPr>
          <w:rFonts w:ascii="Book Antiqua" w:hAnsi="Book Antiqua"/>
          <w:sz w:val="20"/>
          <w:szCs w:val="20"/>
          <w:lang w:val="en"/>
        </w:rPr>
        <w:t>. "Ledakan" oksidatif sekunder dari neutrofil ini menambah beban stres oksidatif yang sudah ada akibat cisplatin, memperparah kerusakan pada sel epitel di sekitarnya dan mempercepat nekrosis jaringan (Al-Dasooqi et al., 2013).</w:t>
      </w:r>
    </w:p>
    <w:p w14:paraId="7D9501A1" w14:textId="40169920" w:rsidR="00B258B7" w:rsidRPr="006810DB" w:rsidRDefault="00B258B7" w:rsidP="006810DB">
      <w:pPr>
        <w:pStyle w:val="ListParagraph"/>
        <w:numPr>
          <w:ilvl w:val="0"/>
          <w:numId w:val="67"/>
        </w:numPr>
        <w:spacing w:after="0" w:line="276" w:lineRule="auto"/>
        <w:ind w:left="567" w:hanging="283"/>
        <w:contextualSpacing w:val="0"/>
        <w:jc w:val="both"/>
        <w:rPr>
          <w:rFonts w:ascii="Book Antiqua" w:hAnsi="Book Antiqua"/>
          <w:b/>
          <w:bCs/>
          <w:sz w:val="20"/>
          <w:szCs w:val="20"/>
          <w:lang w:val="en"/>
        </w:rPr>
      </w:pPr>
      <w:bookmarkStart w:id="274" w:name="_2ralqsat41at" w:colFirst="0" w:colLast="0"/>
      <w:bookmarkEnd w:id="274"/>
      <w:r w:rsidRPr="006810DB">
        <w:rPr>
          <w:rFonts w:ascii="Book Antiqua" w:hAnsi="Book Antiqua"/>
          <w:b/>
          <w:bCs/>
          <w:sz w:val="20"/>
          <w:szCs w:val="20"/>
          <w:lang w:val="en"/>
        </w:rPr>
        <w:t>Peningkatan Permeabilitas Vaskular Mukosa</w:t>
      </w:r>
    </w:p>
    <w:p w14:paraId="586C85A2"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Integritas pembuluh darah mikro di submukosa sangat penting untuk nutrisi jaringan. Namun, di bawah pengaruh mediator inflamasi seperti histamin, bradikinin, dan sitokin pro-inflamasi, sel-sel endotel pembuluh darah berkontraksi dan melonggarkan sambungan antar sel (</w:t>
      </w:r>
      <w:r w:rsidRPr="006810DB">
        <w:rPr>
          <w:rFonts w:ascii="Book Antiqua" w:hAnsi="Book Antiqua"/>
          <w:i/>
          <w:iCs/>
          <w:sz w:val="20"/>
          <w:szCs w:val="20"/>
          <w:lang w:val="en"/>
        </w:rPr>
        <w:t>tight junctions</w:t>
      </w:r>
      <w:r w:rsidRPr="006810DB">
        <w:rPr>
          <w:rFonts w:ascii="Book Antiqua" w:hAnsi="Book Antiqua"/>
          <w:sz w:val="20"/>
          <w:szCs w:val="20"/>
          <w:lang w:val="en"/>
        </w:rPr>
        <w:t xml:space="preserve">). Fenomena ini menyebabkan peningkatan permeabilitas vaskular, di mana cairan plasma yang kaya protein bocor </w:t>
      </w:r>
      <w:r w:rsidRPr="006810DB">
        <w:rPr>
          <w:rFonts w:ascii="Book Antiqua" w:hAnsi="Book Antiqua"/>
          <w:sz w:val="20"/>
          <w:szCs w:val="20"/>
          <w:lang w:val="en"/>
        </w:rPr>
        <w:lastRenderedPageBreak/>
        <w:t>keluar dari pembuluh darah menuju ruang interstisial jaringan (Sonis, 2010).</w:t>
      </w:r>
    </w:p>
    <w:p w14:paraId="564F735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Kebocoran ini bermanifestasi secara klinis sebagai edema atau pembengkakan pada mukosa, yang sering terlihat sebagai lidah yang membesar atau pipi bagian dalam yang menebal dengan cetakan gigi (</w:t>
      </w:r>
      <w:r w:rsidRPr="006810DB">
        <w:rPr>
          <w:rFonts w:ascii="Book Antiqua" w:hAnsi="Book Antiqua"/>
          <w:i/>
          <w:iCs/>
          <w:sz w:val="20"/>
          <w:szCs w:val="20"/>
          <w:lang w:val="en"/>
        </w:rPr>
        <w:t>indentation</w:t>
      </w:r>
      <w:r w:rsidRPr="006810DB">
        <w:rPr>
          <w:rFonts w:ascii="Book Antiqua" w:hAnsi="Book Antiqua"/>
          <w:sz w:val="20"/>
          <w:szCs w:val="20"/>
          <w:lang w:val="en"/>
        </w:rPr>
        <w:t>). Edema ini menekan pembuluh darah kecil, mengganggu aliran darah normal, dan menyebabkan hipoksia (kekurangan oksigen) lokal. Hipoksia jaringan ini selanjutnya memicu faktor transkripsi HIF-1α (</w:t>
      </w:r>
      <w:r w:rsidRPr="006810DB">
        <w:rPr>
          <w:rFonts w:ascii="Book Antiqua" w:hAnsi="Book Antiqua"/>
          <w:i/>
          <w:iCs/>
          <w:sz w:val="20"/>
          <w:szCs w:val="20"/>
          <w:lang w:val="en"/>
        </w:rPr>
        <w:t>Hypoxia-Inducible Factor</w:t>
      </w:r>
      <w:r w:rsidRPr="006810DB">
        <w:rPr>
          <w:rFonts w:ascii="Book Antiqua" w:hAnsi="Book Antiqua"/>
          <w:sz w:val="20"/>
          <w:szCs w:val="20"/>
          <w:lang w:val="en"/>
        </w:rPr>
        <w:t>), yang dapat memperburuk peradangan dan kematian sel, menciptakan lingkaran setan kerusakan vaskular dan jaringan (Madani et al., 2023).</w:t>
      </w:r>
    </w:p>
    <w:p w14:paraId="4108A221" w14:textId="1CF4A1BF" w:rsidR="00B258B7" w:rsidRPr="006810DB" w:rsidRDefault="00B258B7" w:rsidP="006810DB">
      <w:pPr>
        <w:pStyle w:val="ListParagraph"/>
        <w:numPr>
          <w:ilvl w:val="0"/>
          <w:numId w:val="67"/>
        </w:numPr>
        <w:spacing w:after="0" w:line="276" w:lineRule="auto"/>
        <w:ind w:left="567" w:hanging="283"/>
        <w:contextualSpacing w:val="0"/>
        <w:jc w:val="both"/>
        <w:rPr>
          <w:rFonts w:ascii="Book Antiqua" w:hAnsi="Book Antiqua"/>
          <w:b/>
          <w:bCs/>
          <w:sz w:val="20"/>
          <w:szCs w:val="20"/>
          <w:lang w:val="en"/>
        </w:rPr>
      </w:pPr>
      <w:bookmarkStart w:id="275" w:name="_q5mq8jhyhi0w" w:colFirst="0" w:colLast="0"/>
      <w:bookmarkEnd w:id="275"/>
      <w:r w:rsidRPr="006810DB">
        <w:rPr>
          <w:rFonts w:ascii="Book Antiqua" w:hAnsi="Book Antiqua"/>
          <w:b/>
          <w:bCs/>
          <w:sz w:val="20"/>
          <w:szCs w:val="20"/>
          <w:lang w:val="en"/>
        </w:rPr>
        <w:t>Perusakan Jaringan Ikat oleh Enzim Matriks</w:t>
      </w:r>
    </w:p>
    <w:p w14:paraId="03409772"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Jaringan mukosa ditopang oleh kerangka struktural yang disebut matriks ekstraseluler (ECM), yang terdiri dari protein seperti kolagen, elastin, dan fibronektin. Integritas ECM dijaga oleh keseimbangan antara pembentukan dan degradasi. Dalam kondisi mukositis, sitokin pro-inflamasi merangsang fibroblas dan sel imun untuk memproduksi enzim </w:t>
      </w:r>
      <w:r w:rsidRPr="006810DB">
        <w:rPr>
          <w:rFonts w:ascii="Book Antiqua" w:hAnsi="Book Antiqua"/>
          <w:i/>
          <w:iCs/>
          <w:sz w:val="20"/>
          <w:szCs w:val="20"/>
          <w:lang w:val="en"/>
        </w:rPr>
        <w:t>Matrix Metalloproteinases</w:t>
      </w:r>
      <w:r w:rsidRPr="006810DB">
        <w:rPr>
          <w:rFonts w:ascii="Book Antiqua" w:hAnsi="Book Antiqua"/>
          <w:sz w:val="20"/>
          <w:szCs w:val="20"/>
          <w:lang w:val="en"/>
        </w:rPr>
        <w:t xml:space="preserve"> (MMPs), terutama MMP-2 dan MMP-9, secara berlebihan (Al-Dasooqi et al., 2013).</w:t>
      </w:r>
    </w:p>
    <w:p w14:paraId="5FFEA084" w14:textId="4AE05BDE"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MMPs adalah enzim "gunting" molekuler yang mampu memotong dan mendegradasi komponen kolagen dan protein matriks lainnya. Aktivitas MMP yang tidak terkendali menyebabkan hilangnya dukungan struktural bagi lapisan epitel di atasnya. Epitel yang sudah melemah akibat kematian sel basal kini kehilangan tambatannya ke jaringan ikat di bawahnya. Hal ini mempermudah terlepasnya lapisan epitel (deskuamasi), mempercepat pembentukan ulkus yang dalam dan memperlambat proses penyembuhan karena sel-sel baru tidak memiliki kerangka untuk bermigrasi dan menempel (Sonis et al., 2004).</w:t>
      </w:r>
    </w:p>
    <w:p w14:paraId="1C3137D4" w14:textId="77777777" w:rsidR="002E5D2A" w:rsidRPr="006810DB" w:rsidRDefault="002E5D2A" w:rsidP="006810DB">
      <w:pPr>
        <w:spacing w:after="0" w:line="276" w:lineRule="auto"/>
        <w:jc w:val="both"/>
        <w:rPr>
          <w:rFonts w:ascii="Book Antiqua" w:hAnsi="Book Antiqua"/>
          <w:sz w:val="20"/>
          <w:szCs w:val="20"/>
          <w:lang w:val="en"/>
        </w:rPr>
      </w:pPr>
    </w:p>
    <w:p w14:paraId="4660D952" w14:textId="60BC63D3" w:rsidR="00B258B7" w:rsidRPr="006810DB" w:rsidRDefault="00B258B7" w:rsidP="006810DB">
      <w:pPr>
        <w:pStyle w:val="Heading2"/>
        <w:numPr>
          <w:ilvl w:val="0"/>
          <w:numId w:val="26"/>
        </w:numPr>
        <w:ind w:left="284" w:hanging="284"/>
        <w:rPr>
          <w:bCs/>
          <w:szCs w:val="20"/>
          <w:lang w:val="en"/>
        </w:rPr>
      </w:pPr>
      <w:bookmarkStart w:id="276" w:name="_4twhgw6watk" w:colFirst="0" w:colLast="0"/>
      <w:bookmarkStart w:id="277" w:name="_Toc223088943"/>
      <w:bookmarkEnd w:id="276"/>
      <w:r w:rsidRPr="006810DB">
        <w:rPr>
          <w:bCs/>
          <w:szCs w:val="20"/>
          <w:lang w:val="en"/>
        </w:rPr>
        <w:lastRenderedPageBreak/>
        <w:t>Transisi dari Inflamasi ke Ulserasi</w:t>
      </w:r>
      <w:bookmarkEnd w:id="277"/>
    </w:p>
    <w:p w14:paraId="0C7E08D1"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Fase ulserasi adalah puncak manifestasi klinis dari mukositis oral, di mana kerusakan molekuler dan seluler yang terakumulasi akhirnya menyebabkan hilangnya integritas permukaan mukosa secara total. Ini bukan peristiwa mendadak, melainkan titik kritis di mana kapasitas regeneratif epitel kalah telak melawan laju kematian sel. Transisi ini menandai perubahan dari kondisi peradangan tertutup menjadi luka terbuka, yang secara drastis mengubah risiko klinis bagi pasien, dari sekadar ketidaknyamanan menjadi risiko infeksi sistemik dan nyeri yang tak tertahankan.</w:t>
      </w:r>
    </w:p>
    <w:p w14:paraId="5A24EE39"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Proses ini mirip dengan jebolnya sebuah tanggul air. Selama fase inflamasi, air (kerusakan) terus naik dan menekan dinding tanggul. Retakan-retakan kecil (kematian sel mikroskopis) mulai muncul, tetapi pekerja (sel basal) berusaha menambalnya. Namun, karena tekanan air terlalu kuat dan pekerja kelelahan atau mati, retakan tersebut menyatu dan meluas. Akhirnya, struktur dinding tidak lagi mampu menahan beban, dan bagian dinding itu runtuh seketika (ulserasi). Air bah (bakteri dan iritan) membanjiri desa di belakang tanggul (jaringan submukosa), menyebabkan kehancuran total yang jauh lebih sulit diperbaiki daripada sekadar menambal retakan.</w:t>
      </w:r>
    </w:p>
    <w:p w14:paraId="55D3F8AB" w14:textId="4E8F07BE" w:rsidR="00B258B7" w:rsidRPr="006810DB" w:rsidRDefault="00B258B7" w:rsidP="006810DB">
      <w:pPr>
        <w:pStyle w:val="ListParagraph"/>
        <w:numPr>
          <w:ilvl w:val="0"/>
          <w:numId w:val="68"/>
        </w:numPr>
        <w:spacing w:after="0" w:line="276" w:lineRule="auto"/>
        <w:ind w:left="567" w:hanging="283"/>
        <w:contextualSpacing w:val="0"/>
        <w:jc w:val="both"/>
        <w:rPr>
          <w:rFonts w:ascii="Book Antiqua" w:hAnsi="Book Antiqua"/>
          <w:b/>
          <w:bCs/>
          <w:sz w:val="20"/>
          <w:szCs w:val="20"/>
          <w:lang w:val="en"/>
        </w:rPr>
      </w:pPr>
      <w:bookmarkStart w:id="278" w:name="_skak8v6mpgc1" w:colFirst="0" w:colLast="0"/>
      <w:bookmarkEnd w:id="278"/>
      <w:r w:rsidRPr="006810DB">
        <w:rPr>
          <w:rFonts w:ascii="Book Antiqua" w:hAnsi="Book Antiqua"/>
          <w:b/>
          <w:bCs/>
          <w:sz w:val="20"/>
          <w:szCs w:val="20"/>
          <w:lang w:val="en"/>
        </w:rPr>
        <w:t>Kematian Sel Epitel Masif (Nekrosis)</w:t>
      </w:r>
    </w:p>
    <w:p w14:paraId="3FF78A8B"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Akumulasi kerusakan DNA akibat cisplatin, serangan radikal bebas yang terus-menerus, dan sinyal kematian dari sitokin TNF-α mencapai titik jenuh. Sel-sel epitel mukosa, yang biasanya memiliki laju pergantian yang cepat, mengalami kematian massal. Kematian ini terjadi melalui dua mekanisme utama: apoptosis (bunuh diri sel terprogram) dan nekrosis (kematian sel akibat cedera akut).</w:t>
      </w:r>
    </w:p>
    <w:p w14:paraId="168AC8D8"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Sementara apoptosis adalah proses yang "bersih", nekrosis menyebabkan sel pecah dan menumpahkan isi sitoplasmanya ke lingkungan sekitarnya. Isi sel yang tumpah ini mengandung sinyal bahaya (</w:t>
      </w:r>
      <w:r w:rsidRPr="006810DB">
        <w:rPr>
          <w:rFonts w:ascii="Book Antiqua" w:hAnsi="Book Antiqua"/>
          <w:i/>
          <w:iCs/>
          <w:sz w:val="20"/>
          <w:szCs w:val="20"/>
          <w:lang w:val="en"/>
        </w:rPr>
        <w:t>Damage-Associated Molecular Patterns</w:t>
      </w:r>
      <w:r w:rsidRPr="006810DB">
        <w:rPr>
          <w:rFonts w:ascii="Book Antiqua" w:hAnsi="Book Antiqua"/>
          <w:sz w:val="20"/>
          <w:szCs w:val="20"/>
          <w:lang w:val="en"/>
        </w:rPr>
        <w:t xml:space="preserve">/DAMPs) yang semakin memprovokasi sistem imun, </w:t>
      </w:r>
      <w:r w:rsidRPr="006810DB">
        <w:rPr>
          <w:rFonts w:ascii="Book Antiqua" w:hAnsi="Book Antiqua"/>
          <w:sz w:val="20"/>
          <w:szCs w:val="20"/>
          <w:lang w:val="en"/>
        </w:rPr>
        <w:lastRenderedPageBreak/>
        <w:t>memicu gelombang peradangan baru. Hilangnya populasi sel epitel secara masif ini menyebabkan penipisan lapisan mukosa (</w:t>
      </w:r>
      <w:r w:rsidRPr="006810DB">
        <w:rPr>
          <w:rFonts w:ascii="Book Antiqua" w:hAnsi="Book Antiqua"/>
          <w:i/>
          <w:iCs/>
          <w:sz w:val="20"/>
          <w:szCs w:val="20"/>
          <w:lang w:val="en"/>
        </w:rPr>
        <w:t>atrofi</w:t>
      </w:r>
      <w:r w:rsidRPr="006810DB">
        <w:rPr>
          <w:rFonts w:ascii="Book Antiqua" w:hAnsi="Book Antiqua"/>
          <w:sz w:val="20"/>
          <w:szCs w:val="20"/>
          <w:lang w:val="en"/>
        </w:rPr>
        <w:t>) hingga akhirnya lapisan tersebut tidak ada lagi, mengekspos jaringan ikat di bawahnya (Salcan et al., 2025).</w:t>
      </w:r>
    </w:p>
    <w:p w14:paraId="6547D1D8" w14:textId="2F914FD3" w:rsidR="00B258B7" w:rsidRPr="006810DB" w:rsidRDefault="00B258B7" w:rsidP="006810DB">
      <w:pPr>
        <w:pStyle w:val="ListParagraph"/>
        <w:numPr>
          <w:ilvl w:val="0"/>
          <w:numId w:val="68"/>
        </w:numPr>
        <w:spacing w:after="0" w:line="276" w:lineRule="auto"/>
        <w:ind w:left="567" w:hanging="283"/>
        <w:contextualSpacing w:val="0"/>
        <w:jc w:val="both"/>
        <w:rPr>
          <w:rFonts w:ascii="Book Antiqua" w:hAnsi="Book Antiqua"/>
          <w:b/>
          <w:bCs/>
          <w:sz w:val="20"/>
          <w:szCs w:val="20"/>
          <w:lang w:val="en"/>
        </w:rPr>
      </w:pPr>
      <w:bookmarkStart w:id="279" w:name="_hfm1pqpy9m5b" w:colFirst="0" w:colLast="0"/>
      <w:bookmarkEnd w:id="279"/>
      <w:r w:rsidRPr="006810DB">
        <w:rPr>
          <w:rFonts w:ascii="Book Antiqua" w:hAnsi="Book Antiqua"/>
          <w:b/>
          <w:bCs/>
          <w:sz w:val="20"/>
          <w:szCs w:val="20"/>
          <w:lang w:val="en"/>
        </w:rPr>
        <w:t>Pembentukan Ulkus dan Hilangnya Barier Mukosa</w:t>
      </w:r>
    </w:p>
    <w:p w14:paraId="0F4A415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Secara klinis, ulkus mukositis tampak sebagai kawah dangkal dengan dasar berwarna putih kekuningan (terdiri dari fibrin dan sel mati) yang dikelilingi oleh tepi merah yang meradang. Pembentukan ulkus ini menandakan hilangnya fungsi barier mukosa secara total. Rongga mulut yang penuh dengan mikroorganisme kini memiliki akses langsung ke jaringan submukosa yang kaya akan pembuluh darah (Lalla et al., 2014).</w:t>
      </w:r>
    </w:p>
    <w:p w14:paraId="2EB9290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Hilangnya barier ini adalah momen kritis. Bakteri Gram-positif dan Gram-negatif, serta jamur seperti </w:t>
      </w:r>
      <w:r w:rsidRPr="006810DB">
        <w:rPr>
          <w:rFonts w:ascii="Book Antiqua" w:hAnsi="Book Antiqua"/>
          <w:i/>
          <w:iCs/>
          <w:sz w:val="20"/>
          <w:szCs w:val="20"/>
          <w:lang w:val="en"/>
        </w:rPr>
        <w:t>Candida</w:t>
      </w:r>
      <w:r w:rsidRPr="006810DB">
        <w:rPr>
          <w:rFonts w:ascii="Book Antiqua" w:hAnsi="Book Antiqua"/>
          <w:sz w:val="20"/>
          <w:szCs w:val="20"/>
          <w:lang w:val="en"/>
        </w:rPr>
        <w:t>, dapat menginvasi jaringan yang terbuka. Produk dinding sel bakteri (seperti lipopolisakarida/LPS) merangsang makrofag residen untuk memproduksi lebih banyak sitokin pro-inflamasi (IL-1β dan TNF-α), menciptakan "badai dalam badai" yang memperlambat penyembuhan dan meningkatkan risiko bakteremia (bakteri masuk ke darah), yang bisa berakibat fatal pada pasien kanker dengan sistem imun lemah (neutropenia) (Khan et al., 2021).</w:t>
      </w:r>
    </w:p>
    <w:p w14:paraId="1066DE03" w14:textId="152598AD" w:rsidR="00B258B7" w:rsidRPr="006810DB" w:rsidRDefault="00B258B7" w:rsidP="006810DB">
      <w:pPr>
        <w:pStyle w:val="ListParagraph"/>
        <w:numPr>
          <w:ilvl w:val="0"/>
          <w:numId w:val="68"/>
        </w:numPr>
        <w:spacing w:after="0" w:line="276" w:lineRule="auto"/>
        <w:ind w:left="567" w:hanging="283"/>
        <w:contextualSpacing w:val="0"/>
        <w:jc w:val="both"/>
        <w:rPr>
          <w:rFonts w:ascii="Book Antiqua" w:hAnsi="Book Antiqua"/>
          <w:b/>
          <w:bCs/>
          <w:sz w:val="20"/>
          <w:szCs w:val="20"/>
          <w:lang w:val="en"/>
        </w:rPr>
      </w:pPr>
      <w:bookmarkStart w:id="280" w:name="_tgjwuf6j0vuh" w:colFirst="0" w:colLast="0"/>
      <w:bookmarkEnd w:id="280"/>
      <w:r w:rsidRPr="006810DB">
        <w:rPr>
          <w:rFonts w:ascii="Book Antiqua" w:hAnsi="Book Antiqua"/>
          <w:b/>
          <w:bCs/>
          <w:sz w:val="20"/>
          <w:szCs w:val="20"/>
          <w:lang w:val="en"/>
        </w:rPr>
        <w:t>Nyeri Neuropatik Akibat Paparan Ujung Saraf</w:t>
      </w:r>
    </w:p>
    <w:p w14:paraId="555FD9FA"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Nyeri adalah keluhan utama pasien mukositis, dan karakteristik nyerinya sering kali tidak sebanding dengan ukuran luka yang terlihat. Hal ini karena nyeri mukositis memiliki komponen neuropatik dan nosiseptif. Hilangnya epitel menyebabkan ujung-ujung saraf bebas di submukosa terpapar langsung ke lingkungan mulut yang ekstrem (perubahan suhu, pH makanan, gesekan mekanis) (Belfiore et al., 2024).</w:t>
      </w:r>
    </w:p>
    <w:p w14:paraId="593A3132"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Selain paparan fisik, ujung saraf ini juga "dimandikan" dalam sup kimiawi yang berisi sitokin pro-inflamasi, prostaglandin (hasil induksi enzim COX-2), dan bradikinin. </w:t>
      </w:r>
      <w:r w:rsidRPr="006810DB">
        <w:rPr>
          <w:rFonts w:ascii="Book Antiqua" w:hAnsi="Book Antiqua"/>
          <w:sz w:val="20"/>
          <w:szCs w:val="20"/>
          <w:lang w:val="en"/>
        </w:rPr>
        <w:lastRenderedPageBreak/>
        <w:t>Zat-zat ini menurunkan ambang batas aktivasi saraf (</w:t>
      </w:r>
      <w:r w:rsidRPr="006810DB">
        <w:rPr>
          <w:rFonts w:ascii="Book Antiqua" w:hAnsi="Book Antiqua"/>
          <w:i/>
          <w:iCs/>
          <w:sz w:val="20"/>
          <w:szCs w:val="20"/>
          <w:lang w:val="en"/>
        </w:rPr>
        <w:t>sensitisasi perifer</w:t>
      </w:r>
      <w:r w:rsidRPr="006810DB">
        <w:rPr>
          <w:rFonts w:ascii="Book Antiqua" w:hAnsi="Book Antiqua"/>
          <w:sz w:val="20"/>
          <w:szCs w:val="20"/>
          <w:lang w:val="en"/>
        </w:rPr>
        <w:t>), sehingga stimulus yang seharusnya tidak menyakitkan menjadi sangat nyeri (</w:t>
      </w:r>
      <w:r w:rsidRPr="006810DB">
        <w:rPr>
          <w:rFonts w:ascii="Book Antiqua" w:hAnsi="Book Antiqua"/>
          <w:i/>
          <w:iCs/>
          <w:sz w:val="20"/>
          <w:szCs w:val="20"/>
          <w:lang w:val="en"/>
        </w:rPr>
        <w:t>allodynia</w:t>
      </w:r>
      <w:r w:rsidRPr="006810DB">
        <w:rPr>
          <w:rFonts w:ascii="Book Antiqua" w:hAnsi="Book Antiqua"/>
          <w:sz w:val="20"/>
          <w:szCs w:val="20"/>
          <w:lang w:val="en"/>
        </w:rPr>
        <w:t>). Kerusakan langsung cisplatin pada saraf (neurotoksisitas) juga berkontribusi, menjadikan manajemen nyeri pada mukositis tantangan klinis yang kompleks yang sering kali memerlukan opioid kuat (Kazemi et al., 2022).</w:t>
      </w:r>
    </w:p>
    <w:p w14:paraId="0B0FF5DA" w14:textId="77777777" w:rsidR="002E5D2A" w:rsidRPr="006810DB" w:rsidRDefault="002E5D2A" w:rsidP="006810DB">
      <w:pPr>
        <w:spacing w:after="0" w:line="276" w:lineRule="auto"/>
        <w:jc w:val="both"/>
        <w:rPr>
          <w:rFonts w:ascii="Book Antiqua" w:hAnsi="Book Antiqua"/>
          <w:b/>
          <w:bCs/>
          <w:sz w:val="20"/>
          <w:szCs w:val="20"/>
          <w:lang w:val="en"/>
        </w:rPr>
      </w:pPr>
      <w:bookmarkStart w:id="281" w:name="_azlk1lwh0vuu" w:colFirst="0" w:colLast="0"/>
      <w:bookmarkEnd w:id="281"/>
    </w:p>
    <w:p w14:paraId="63AD6300" w14:textId="77777777" w:rsidR="00564DC0" w:rsidRPr="006810DB" w:rsidRDefault="00564DC0"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287E4227" w14:textId="050D20BB" w:rsidR="00B258B7" w:rsidRPr="006810DB" w:rsidRDefault="00B258B7" w:rsidP="006810DB">
      <w:pPr>
        <w:pStyle w:val="Heading2"/>
        <w:jc w:val="center"/>
      </w:pPr>
      <w:bookmarkStart w:id="282" w:name="_Toc223088944"/>
      <w:r w:rsidRPr="006810DB">
        <w:lastRenderedPageBreak/>
        <w:t>KESIMPULAN</w:t>
      </w:r>
      <w:bookmarkEnd w:id="282"/>
    </w:p>
    <w:p w14:paraId="23CCDB7D" w14:textId="77777777" w:rsidR="00564DC0" w:rsidRPr="006810DB" w:rsidRDefault="00564DC0" w:rsidP="006810DB">
      <w:pPr>
        <w:spacing w:after="0" w:line="276" w:lineRule="auto"/>
        <w:jc w:val="both"/>
        <w:rPr>
          <w:rFonts w:ascii="Book Antiqua" w:hAnsi="Book Antiqua"/>
          <w:b/>
          <w:bCs/>
          <w:sz w:val="20"/>
          <w:szCs w:val="20"/>
          <w:lang w:val="en"/>
        </w:rPr>
      </w:pPr>
    </w:p>
    <w:p w14:paraId="0EBC96BB" w14:textId="77777777" w:rsidR="00B258B7" w:rsidRPr="006810DB" w:rsidRDefault="00B258B7" w:rsidP="006810DB">
      <w:pPr>
        <w:spacing w:after="0" w:line="276" w:lineRule="auto"/>
        <w:ind w:firstLine="567"/>
        <w:jc w:val="both"/>
        <w:rPr>
          <w:rFonts w:ascii="Book Antiqua" w:hAnsi="Book Antiqua"/>
          <w:sz w:val="20"/>
          <w:szCs w:val="20"/>
          <w:lang w:val="en"/>
        </w:rPr>
      </w:pPr>
      <w:r w:rsidRPr="006810DB">
        <w:rPr>
          <w:rFonts w:ascii="Book Antiqua" w:hAnsi="Book Antiqua"/>
          <w:sz w:val="20"/>
          <w:szCs w:val="20"/>
          <w:lang w:val="en"/>
        </w:rPr>
        <w:t xml:space="preserve">Respons inflamasi pada mukositis oral adalah proses bertingkat yang sangat kompleks, dimulai dari pelepasan sitokin inisiator seperti TNF-α, yang kemudian diamplifikasi oleh IL-1β dan IL-6. Sinyal kimia ini memicu kaskade kerusakan jaringan melalui infiltrasi neutrofil, edema vaskular, dan degradasi matriks ekstraseluler. Puncak dari proses ini adalah kematian sel epitel masif yang menyebabkan terbentuknya ulkus, hilangnya barier pelindung, dan nyeri hebat akibat paparan saraf. Memahami detail jalur inflamasi ini menegaskan bahwa terapi efektif, seperti </w:t>
      </w:r>
      <w:r w:rsidRPr="006810DB">
        <w:rPr>
          <w:rFonts w:ascii="Book Antiqua" w:hAnsi="Book Antiqua"/>
          <w:i/>
          <w:iCs/>
          <w:sz w:val="20"/>
          <w:szCs w:val="20"/>
          <w:lang w:val="en"/>
        </w:rPr>
        <w:t>Nigella sativa</w:t>
      </w:r>
      <w:r w:rsidRPr="006810DB">
        <w:rPr>
          <w:rFonts w:ascii="Book Antiqua" w:hAnsi="Book Antiqua"/>
          <w:sz w:val="20"/>
          <w:szCs w:val="20"/>
          <w:lang w:val="en"/>
        </w:rPr>
        <w:t>, harus mampu memodulasi sitokin-sitokin kunci ini untuk mencegah kerusakan yang ireversibel.</w:t>
      </w:r>
    </w:p>
    <w:p w14:paraId="7DB59CCD" w14:textId="77777777" w:rsidR="00F351CE" w:rsidRPr="006810DB" w:rsidRDefault="00F351CE" w:rsidP="006810DB">
      <w:pPr>
        <w:spacing w:after="0" w:line="276" w:lineRule="auto"/>
        <w:jc w:val="both"/>
        <w:rPr>
          <w:rFonts w:ascii="Book Antiqua" w:hAnsi="Book Antiqua"/>
          <w:b/>
          <w:bCs/>
          <w:sz w:val="20"/>
          <w:szCs w:val="20"/>
          <w:lang w:val="en"/>
        </w:rPr>
      </w:pPr>
      <w:bookmarkStart w:id="283" w:name="_gctpna5fi2rt" w:colFirst="0" w:colLast="0"/>
      <w:bookmarkEnd w:id="283"/>
    </w:p>
    <w:p w14:paraId="478DA41A" w14:textId="77777777" w:rsidR="002E5D2A" w:rsidRPr="006810DB" w:rsidRDefault="002E5D2A"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12162C13" w14:textId="77777777" w:rsidR="00824155" w:rsidRPr="006810DB" w:rsidRDefault="00824155" w:rsidP="00824155">
      <w:pPr>
        <w:pStyle w:val="Heading2"/>
        <w:jc w:val="center"/>
        <w:rPr>
          <w:rFonts w:eastAsia="DengXian"/>
          <w:lang w:eastAsia="zh-CN"/>
        </w:rPr>
      </w:pPr>
      <w:bookmarkStart w:id="284" w:name="_Toc223088945"/>
      <w:r w:rsidRPr="006810DB">
        <w:lastRenderedPageBreak/>
        <w:t>GLOSARIUM</w:t>
      </w:r>
      <w:bookmarkEnd w:id="284"/>
    </w:p>
    <w:p w14:paraId="77A58C92" w14:textId="77777777" w:rsidR="00824155" w:rsidRPr="006810DB" w:rsidRDefault="00824155" w:rsidP="00824155">
      <w:pPr>
        <w:spacing w:after="0" w:line="276" w:lineRule="auto"/>
        <w:jc w:val="both"/>
        <w:rPr>
          <w:rFonts w:ascii="Book Antiqua" w:hAnsi="Book Antiqua"/>
          <w:b/>
          <w:bCs/>
          <w:sz w:val="20"/>
          <w:szCs w:val="20"/>
          <w:lang w:val="en"/>
        </w:rPr>
      </w:pPr>
    </w:p>
    <w:p w14:paraId="250EBBAB"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Edema</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Pembengkakan jaringan akibat penumpukan cairan di ruang interstisial yang disebabkan oleh peningkatan permeabilitas pembuluh darah.</w:t>
      </w:r>
    </w:p>
    <w:p w14:paraId="41426810"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Matrix Metalloproteinases (MMPs)</w:t>
      </w:r>
      <w:r w:rsidRPr="006810DB">
        <w:rPr>
          <w:rFonts w:ascii="Book Antiqua" w:hAnsi="Book Antiqua"/>
          <w:sz w:val="20"/>
          <w:szCs w:val="20"/>
          <w:lang w:val="en"/>
        </w:rPr>
        <w:t>: Kelompok enzim yang mampu memecah protein matriks ekstraseluler seperti kolagen, berperan dalam remodeling jaringan namun merusak pada kondisi peradangan berlebih.</w:t>
      </w:r>
    </w:p>
    <w:p w14:paraId="2B9EF898"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Nyeri Neuropatik</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Jenis nyeri yang timbul akibat kerusakan atau disfungsi pada sistem saraf, sering digambarkan sebagai rasa terbakar atau kesemutan.</w:t>
      </w:r>
    </w:p>
    <w:p w14:paraId="0CB39D56"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Permeabilitas Vaskular</w:t>
      </w:r>
      <w:r w:rsidRPr="006810DB">
        <w:rPr>
          <w:rFonts w:ascii="Book Antiqua" w:hAnsi="Book Antiqua"/>
          <w:sz w:val="20"/>
          <w:szCs w:val="20"/>
          <w:lang w:val="en"/>
        </w:rPr>
        <w:t>: Kemampuan dinding pembuluh darah untuk meloloskan aliran molekul kecil atau bahkan sel utuh (seperti sel darah putih) menuju ke jaringan sekitarnya.</w:t>
      </w:r>
    </w:p>
    <w:p w14:paraId="61A7B5F8"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Sitokin Pro-inflamasi</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Protein sinyal yang diproduksi oleh sel imun (seperti makrofag) yang memicu dan memperkuat reaksi peradangan, contohnya TNF-α, IL-1β, dan IL-6.</w:t>
      </w:r>
    </w:p>
    <w:p w14:paraId="79FCE11A" w14:textId="77777777" w:rsidR="00824155" w:rsidRPr="006810DB" w:rsidRDefault="00824155" w:rsidP="00824155">
      <w:pPr>
        <w:spacing w:after="0" w:line="276" w:lineRule="auto"/>
        <w:jc w:val="both"/>
        <w:rPr>
          <w:rFonts w:ascii="Book Antiqua" w:hAnsi="Book Antiqua"/>
          <w:b/>
          <w:bCs/>
          <w:sz w:val="20"/>
          <w:szCs w:val="20"/>
          <w:lang w:val="en"/>
        </w:rPr>
      </w:pPr>
      <w:bookmarkStart w:id="285" w:name="_o4kugiu9xf9j" w:colFirst="0" w:colLast="0"/>
      <w:bookmarkEnd w:id="285"/>
    </w:p>
    <w:p w14:paraId="7554A5DE" w14:textId="77777777" w:rsidR="00824155" w:rsidRPr="006810DB" w:rsidRDefault="00824155" w:rsidP="00824155">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378EE419" w14:textId="77777777" w:rsidR="001C793B" w:rsidRPr="006810DB" w:rsidRDefault="001C793B" w:rsidP="006810DB">
      <w:pPr>
        <w:pStyle w:val="Heading2"/>
        <w:jc w:val="center"/>
        <w:rPr>
          <w:rFonts w:eastAsia="DengXian"/>
          <w:lang w:eastAsia="zh-CN"/>
        </w:rPr>
      </w:pPr>
      <w:bookmarkStart w:id="286" w:name="_Toc223088946"/>
      <w:r w:rsidRPr="006810DB">
        <w:lastRenderedPageBreak/>
        <w:t>DAFTAR PUSTAKA</w:t>
      </w:r>
      <w:bookmarkEnd w:id="286"/>
    </w:p>
    <w:p w14:paraId="7FD15444" w14:textId="77777777" w:rsidR="001C793B" w:rsidRPr="006810DB" w:rsidRDefault="001C793B" w:rsidP="006810DB">
      <w:pPr>
        <w:spacing w:after="0" w:line="276" w:lineRule="auto"/>
        <w:jc w:val="both"/>
        <w:rPr>
          <w:rFonts w:ascii="Book Antiqua" w:hAnsi="Book Antiqua"/>
          <w:b/>
          <w:bCs/>
          <w:sz w:val="20"/>
          <w:szCs w:val="20"/>
          <w:lang w:val="en"/>
        </w:rPr>
      </w:pPr>
    </w:p>
    <w:p w14:paraId="1C9AB5F5"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Al-Dasooqi, N., Sonis, S. T., Bowen, J. M., Bateman, E., Biers, K., Gibson, R. J., ... &amp; Keefe, D. M. (2013). The role of inflammation in the pathogenesis of oral mucositis. </w:t>
      </w:r>
      <w:r w:rsidRPr="006810DB">
        <w:rPr>
          <w:rFonts w:ascii="Book Antiqua" w:hAnsi="Book Antiqua"/>
          <w:i/>
          <w:iCs/>
          <w:color w:val="000000" w:themeColor="text1"/>
          <w:sz w:val="20"/>
          <w:szCs w:val="20"/>
          <w:lang w:val="en"/>
        </w:rPr>
        <w:t>Supportive Care in 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21</w:t>
      </w:r>
      <w:r w:rsidRPr="006810DB">
        <w:rPr>
          <w:rFonts w:ascii="Book Antiqua" w:hAnsi="Book Antiqua"/>
          <w:color w:val="000000" w:themeColor="text1"/>
          <w:sz w:val="20"/>
          <w:szCs w:val="20"/>
          <w:lang w:val="en"/>
        </w:rPr>
        <w:t>(11), 3191-3200.</w:t>
      </w:r>
      <w:hyperlink r:id="rId223">
        <w:r w:rsidRPr="006810DB">
          <w:rPr>
            <w:rStyle w:val="Hyperlink"/>
            <w:rFonts w:ascii="Book Antiqua" w:hAnsi="Book Antiqua"/>
            <w:color w:val="000000" w:themeColor="text1"/>
            <w:sz w:val="20"/>
            <w:szCs w:val="20"/>
            <w:u w:val="none"/>
            <w:lang w:val="en"/>
          </w:rPr>
          <w:t xml:space="preserve"> </w:t>
        </w:r>
      </w:hyperlink>
      <w:hyperlink r:id="rId224">
        <w:r w:rsidRPr="006810DB">
          <w:rPr>
            <w:rStyle w:val="Hyperlink"/>
            <w:rFonts w:ascii="Book Antiqua" w:hAnsi="Book Antiqua"/>
            <w:color w:val="000000" w:themeColor="text1"/>
            <w:sz w:val="20"/>
            <w:szCs w:val="20"/>
            <w:u w:val="none"/>
            <w:lang w:val="en"/>
          </w:rPr>
          <w:t>https://doi.org/10.1007/s00520-013-1921-2</w:t>
        </w:r>
      </w:hyperlink>
    </w:p>
    <w:p w14:paraId="76433837"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Belfiore, E., Di Prima, G., Angellotti, G., Panzarella, V., &amp; De Caro, V. (2024). Plant-Derived Polyphenols to Prevent and Treat Oral Mucositis Induced by Chemo- and Radiotherapy in Head and Neck Cancers Management. </w:t>
      </w:r>
      <w:r w:rsidRPr="006810DB">
        <w:rPr>
          <w:rFonts w:ascii="Book Antiqua" w:hAnsi="Book Antiqua"/>
          <w:i/>
          <w:iCs/>
          <w:color w:val="000000" w:themeColor="text1"/>
          <w:sz w:val="20"/>
          <w:szCs w:val="20"/>
          <w:lang w:val="en"/>
        </w:rPr>
        <w:t>Cancers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16</w:t>
      </w:r>
      <w:r w:rsidRPr="006810DB">
        <w:rPr>
          <w:rFonts w:ascii="Book Antiqua" w:hAnsi="Book Antiqua"/>
          <w:color w:val="000000" w:themeColor="text1"/>
          <w:sz w:val="20"/>
          <w:szCs w:val="20"/>
          <w:lang w:val="en"/>
        </w:rPr>
        <w:t>(2), 260.</w:t>
      </w:r>
      <w:hyperlink r:id="rId225">
        <w:r w:rsidRPr="006810DB">
          <w:rPr>
            <w:rStyle w:val="Hyperlink"/>
            <w:rFonts w:ascii="Book Antiqua" w:hAnsi="Book Antiqua"/>
            <w:color w:val="000000" w:themeColor="text1"/>
            <w:sz w:val="20"/>
            <w:szCs w:val="20"/>
            <w:u w:val="none"/>
            <w:lang w:val="en"/>
          </w:rPr>
          <w:t xml:space="preserve"> </w:t>
        </w:r>
      </w:hyperlink>
      <w:hyperlink r:id="rId226">
        <w:r w:rsidRPr="006810DB">
          <w:rPr>
            <w:rStyle w:val="Hyperlink"/>
            <w:rFonts w:ascii="Book Antiqua" w:hAnsi="Book Antiqua"/>
            <w:color w:val="000000" w:themeColor="text1"/>
            <w:sz w:val="20"/>
            <w:szCs w:val="20"/>
            <w:u w:val="none"/>
            <w:lang w:val="en"/>
          </w:rPr>
          <w:t>https://doi.org/10.3390/cancers16020260</w:t>
        </w:r>
      </w:hyperlink>
    </w:p>
    <w:p w14:paraId="0BD08960"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Kadarullah, O., Tamtomo, D., Wasita, B., Setiamika, M., Prayitno, A., Widyaningsih, V., &amp; Soetrisno, S. (2024). Cisplatin-Induced Oral Mucositis Prevention: Nigella sativa’s Anti-Inflammatory Role through NFκB Pathway. </w:t>
      </w:r>
      <w:r w:rsidRPr="006810DB">
        <w:rPr>
          <w:rFonts w:ascii="Book Antiqua" w:hAnsi="Book Antiqua"/>
          <w:i/>
          <w:iCs/>
          <w:color w:val="000000" w:themeColor="text1"/>
          <w:sz w:val="20"/>
          <w:szCs w:val="20"/>
          <w:lang w:val="en"/>
        </w:rPr>
        <w:t>Trends in Sciences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21</w:t>
      </w:r>
      <w:r w:rsidRPr="006810DB">
        <w:rPr>
          <w:rFonts w:ascii="Book Antiqua" w:hAnsi="Book Antiqua"/>
          <w:color w:val="000000" w:themeColor="text1"/>
          <w:sz w:val="20"/>
          <w:szCs w:val="20"/>
          <w:lang w:val="en"/>
        </w:rPr>
        <w:t>(1), 8105.</w:t>
      </w:r>
      <w:hyperlink r:id="rId227">
        <w:r w:rsidRPr="006810DB">
          <w:rPr>
            <w:rStyle w:val="Hyperlink"/>
            <w:rFonts w:ascii="Book Antiqua" w:hAnsi="Book Antiqua"/>
            <w:color w:val="000000" w:themeColor="text1"/>
            <w:sz w:val="20"/>
            <w:szCs w:val="20"/>
            <w:u w:val="none"/>
            <w:lang w:val="en"/>
          </w:rPr>
          <w:t xml:space="preserve"> </w:t>
        </w:r>
      </w:hyperlink>
      <w:hyperlink r:id="rId228">
        <w:r w:rsidRPr="006810DB">
          <w:rPr>
            <w:rStyle w:val="Hyperlink"/>
            <w:rFonts w:ascii="Book Antiqua" w:hAnsi="Book Antiqua"/>
            <w:color w:val="000000" w:themeColor="text1"/>
            <w:sz w:val="20"/>
            <w:szCs w:val="20"/>
            <w:u w:val="none"/>
            <w:lang w:val="en"/>
          </w:rPr>
          <w:t>https://doi.org/10.48048/tis.2024.8105</w:t>
        </w:r>
      </w:hyperlink>
    </w:p>
    <w:p w14:paraId="5A32D0DC"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Kazemi, S., Moghadamnia, A., Saebnouri, H., Roudsari, S., &amp; Afraz, E. (2022). Effect of intraperitoneal injection of Nigella sativa oil on 5-fluorouracil-induced oral mucositis in rats. </w:t>
      </w:r>
      <w:r w:rsidRPr="006810DB">
        <w:rPr>
          <w:rFonts w:ascii="Book Antiqua" w:hAnsi="Book Antiqua"/>
          <w:i/>
          <w:iCs/>
          <w:color w:val="000000" w:themeColor="text1"/>
          <w:sz w:val="20"/>
          <w:szCs w:val="20"/>
          <w:lang w:val="en"/>
        </w:rPr>
        <w:t>Journal of Biological Studies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w:t>
      </w:r>
      <w:r w:rsidRPr="006810DB">
        <w:rPr>
          <w:rFonts w:ascii="Book Antiqua" w:hAnsi="Book Antiqua"/>
          <w:color w:val="000000" w:themeColor="text1"/>
          <w:sz w:val="20"/>
          <w:szCs w:val="20"/>
          <w:lang w:val="en"/>
        </w:rPr>
        <w:t>(1), 6365.</w:t>
      </w:r>
      <w:hyperlink r:id="rId229">
        <w:r w:rsidRPr="006810DB">
          <w:rPr>
            <w:rStyle w:val="Hyperlink"/>
            <w:rFonts w:ascii="Book Antiqua" w:hAnsi="Book Antiqua"/>
            <w:color w:val="000000" w:themeColor="text1"/>
            <w:sz w:val="20"/>
            <w:szCs w:val="20"/>
            <w:u w:val="none"/>
            <w:lang w:val="en"/>
          </w:rPr>
          <w:t xml:space="preserve"> </w:t>
        </w:r>
      </w:hyperlink>
      <w:hyperlink r:id="rId230">
        <w:r w:rsidRPr="006810DB">
          <w:rPr>
            <w:rStyle w:val="Hyperlink"/>
            <w:rFonts w:ascii="Book Antiqua" w:hAnsi="Book Antiqua"/>
            <w:color w:val="000000" w:themeColor="text1"/>
            <w:sz w:val="20"/>
            <w:szCs w:val="20"/>
            <w:u w:val="none"/>
            <w:lang w:val="en"/>
          </w:rPr>
          <w:t>https://doi.org/10.62400/jbs.v5i1.6365</w:t>
        </w:r>
      </w:hyperlink>
    </w:p>
    <w:p w14:paraId="6A836F78"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Khan, J., Siddiqui, M. F., &amp; Ahmad, R. (2021). Role of oral microbiome in the pathogenesis of oral mucositis. </w:t>
      </w:r>
      <w:r w:rsidRPr="006810DB">
        <w:rPr>
          <w:rFonts w:ascii="Book Antiqua" w:hAnsi="Book Antiqua"/>
          <w:i/>
          <w:iCs/>
          <w:color w:val="000000" w:themeColor="text1"/>
          <w:sz w:val="20"/>
          <w:szCs w:val="20"/>
          <w:lang w:val="en"/>
        </w:rPr>
        <w:t>Journal of Oral Biology and Craniofacial Research</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11</w:t>
      </w:r>
      <w:r w:rsidRPr="006810DB">
        <w:rPr>
          <w:rFonts w:ascii="Book Antiqua" w:hAnsi="Book Antiqua"/>
          <w:color w:val="000000" w:themeColor="text1"/>
          <w:sz w:val="20"/>
          <w:szCs w:val="20"/>
          <w:lang w:val="en"/>
        </w:rPr>
        <w:t>(4), 548-553.</w:t>
      </w:r>
      <w:hyperlink r:id="rId231">
        <w:r w:rsidRPr="006810DB">
          <w:rPr>
            <w:rStyle w:val="Hyperlink"/>
            <w:rFonts w:ascii="Book Antiqua" w:hAnsi="Book Antiqua"/>
            <w:color w:val="000000" w:themeColor="text1"/>
            <w:sz w:val="20"/>
            <w:szCs w:val="20"/>
            <w:u w:val="none"/>
            <w:lang w:val="en"/>
          </w:rPr>
          <w:t xml:space="preserve"> </w:t>
        </w:r>
      </w:hyperlink>
      <w:hyperlink r:id="rId232">
        <w:r w:rsidRPr="006810DB">
          <w:rPr>
            <w:rStyle w:val="Hyperlink"/>
            <w:rFonts w:ascii="Book Antiqua" w:hAnsi="Book Antiqua"/>
            <w:color w:val="000000" w:themeColor="text1"/>
            <w:sz w:val="20"/>
            <w:szCs w:val="20"/>
            <w:u w:val="none"/>
            <w:lang w:val="en"/>
          </w:rPr>
          <w:t>https://doi.org/10.1016/j.jobcr.2021.08.006</w:t>
        </w:r>
      </w:hyperlink>
    </w:p>
    <w:p w14:paraId="4F584FD8"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Lalla, R. V., Bowen, J., Barasch, A., Elting, L., Epstein, J., Keefe, D. M., ... &amp; Elad, S. (2014). MASCC/ISOO clinical practice guidelines for the management of mucositis secondary to cancer therapy. </w:t>
      </w:r>
      <w:r w:rsidRPr="006810DB">
        <w:rPr>
          <w:rFonts w:ascii="Book Antiqua" w:hAnsi="Book Antiqua"/>
          <w:i/>
          <w:iCs/>
          <w:color w:val="000000" w:themeColor="text1"/>
          <w:sz w:val="20"/>
          <w:szCs w:val="20"/>
          <w:lang w:val="en"/>
        </w:rPr>
        <w:t>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120</w:t>
      </w:r>
      <w:r w:rsidRPr="006810DB">
        <w:rPr>
          <w:rFonts w:ascii="Book Antiqua" w:hAnsi="Book Antiqua"/>
          <w:color w:val="000000" w:themeColor="text1"/>
          <w:sz w:val="20"/>
          <w:szCs w:val="20"/>
          <w:lang w:val="en"/>
        </w:rPr>
        <w:t>(10), 1453-1461.</w:t>
      </w:r>
      <w:hyperlink r:id="rId233">
        <w:r w:rsidRPr="006810DB">
          <w:rPr>
            <w:rStyle w:val="Hyperlink"/>
            <w:rFonts w:ascii="Book Antiqua" w:hAnsi="Book Antiqua"/>
            <w:color w:val="000000" w:themeColor="text1"/>
            <w:sz w:val="20"/>
            <w:szCs w:val="20"/>
            <w:u w:val="none"/>
            <w:lang w:val="en"/>
          </w:rPr>
          <w:t xml:space="preserve"> </w:t>
        </w:r>
      </w:hyperlink>
      <w:hyperlink r:id="rId234">
        <w:r w:rsidRPr="006810DB">
          <w:rPr>
            <w:rStyle w:val="Hyperlink"/>
            <w:rFonts w:ascii="Book Antiqua" w:hAnsi="Book Antiqua"/>
            <w:color w:val="000000" w:themeColor="text1"/>
            <w:sz w:val="20"/>
            <w:szCs w:val="20"/>
            <w:u w:val="none"/>
            <w:lang w:val="en"/>
          </w:rPr>
          <w:t>https://doi.org/10.1002/cncr.28592</w:t>
        </w:r>
      </w:hyperlink>
    </w:p>
    <w:p w14:paraId="09FBF7F9"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Leitao, R. F. C., Brito, G. A. C., &amp; Cunha, F. Q. (2012). The development of an experimental model of oral mucositis in mice. In </w:t>
      </w:r>
      <w:r w:rsidRPr="006810DB">
        <w:rPr>
          <w:rFonts w:ascii="Book Antiqua" w:hAnsi="Book Antiqua"/>
          <w:i/>
          <w:iCs/>
          <w:color w:val="000000" w:themeColor="text1"/>
          <w:sz w:val="20"/>
          <w:szCs w:val="20"/>
          <w:lang w:val="en"/>
        </w:rPr>
        <w:t>Oral Mucositis</w:t>
      </w:r>
      <w:r w:rsidRPr="006810DB">
        <w:rPr>
          <w:rFonts w:ascii="Book Antiqua" w:hAnsi="Book Antiqua"/>
          <w:color w:val="000000" w:themeColor="text1"/>
          <w:sz w:val="20"/>
          <w:szCs w:val="20"/>
          <w:lang w:val="en"/>
        </w:rPr>
        <w:t xml:space="preserve"> (pp. 11-20). Springer, Vienna.</w:t>
      </w:r>
    </w:p>
    <w:p w14:paraId="2264D184"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Madani, F., Kazemi, S., Shirafkan, F., Lotfi, M., Hosseini, S., &amp; Moghadamnia, A. (2023). Thymoquinone protects against 5</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Fluorouracil</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induced mucositis by NF</w:t>
      </w:r>
      <w:r w:rsidRPr="006810DB">
        <w:rPr>
          <w:rFonts w:ascii="Times New Roman" w:hAnsi="Times New Roman" w:cs="Times New Roman"/>
          <w:color w:val="000000" w:themeColor="text1"/>
          <w:sz w:val="20"/>
          <w:szCs w:val="20"/>
          <w:lang w:val="en"/>
        </w:rPr>
        <w:t>‐</w:t>
      </w:r>
      <w:r w:rsidRPr="006810DB">
        <w:rPr>
          <w:rFonts w:ascii="Book Antiqua" w:hAnsi="Book Antiqua" w:cs="Book Antiqua"/>
          <w:color w:val="000000" w:themeColor="text1"/>
          <w:sz w:val="20"/>
          <w:szCs w:val="20"/>
          <w:lang w:val="en"/>
        </w:rPr>
        <w:t>κβ</w:t>
      </w:r>
      <w:r w:rsidRPr="006810DB">
        <w:rPr>
          <w:rFonts w:ascii="Book Antiqua" w:hAnsi="Book Antiqua"/>
          <w:color w:val="000000" w:themeColor="text1"/>
          <w:sz w:val="20"/>
          <w:szCs w:val="20"/>
          <w:lang w:val="en"/>
        </w:rPr>
        <w:t xml:space="preserve"> and HIF</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 xml:space="preserve">1 mechanisms in mice. </w:t>
      </w:r>
      <w:r w:rsidRPr="006810DB">
        <w:rPr>
          <w:rFonts w:ascii="Book Antiqua" w:hAnsi="Book Antiqua"/>
          <w:i/>
          <w:iCs/>
          <w:color w:val="000000" w:themeColor="text1"/>
          <w:sz w:val="20"/>
          <w:szCs w:val="20"/>
          <w:lang w:val="en"/>
        </w:rPr>
        <w:t>Journal of Biochemical and Molecular Toxicology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37</w:t>
      </w:r>
      <w:r w:rsidRPr="006810DB">
        <w:rPr>
          <w:rFonts w:ascii="Book Antiqua" w:hAnsi="Book Antiqua"/>
          <w:color w:val="000000" w:themeColor="text1"/>
          <w:sz w:val="20"/>
          <w:szCs w:val="20"/>
          <w:lang w:val="en"/>
        </w:rPr>
        <w:t>(6), e23405.</w:t>
      </w:r>
      <w:hyperlink r:id="rId235">
        <w:r w:rsidRPr="006810DB">
          <w:rPr>
            <w:rStyle w:val="Hyperlink"/>
            <w:rFonts w:ascii="Book Antiqua" w:hAnsi="Book Antiqua"/>
            <w:color w:val="000000" w:themeColor="text1"/>
            <w:sz w:val="20"/>
            <w:szCs w:val="20"/>
            <w:u w:val="none"/>
            <w:lang w:val="en"/>
          </w:rPr>
          <w:t xml:space="preserve"> </w:t>
        </w:r>
      </w:hyperlink>
      <w:hyperlink r:id="rId236">
        <w:r w:rsidRPr="006810DB">
          <w:rPr>
            <w:rStyle w:val="Hyperlink"/>
            <w:rFonts w:ascii="Book Antiqua" w:hAnsi="Book Antiqua"/>
            <w:color w:val="000000" w:themeColor="text1"/>
            <w:sz w:val="20"/>
            <w:szCs w:val="20"/>
            <w:u w:val="none"/>
            <w:lang w:val="en"/>
          </w:rPr>
          <w:t>https://doi.org/10.1002/jbt.23405</w:t>
        </w:r>
      </w:hyperlink>
    </w:p>
    <w:p w14:paraId="10C6886D"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Salcan, I., Dilber, M., Suleyman, Z., Yucel, N., Salcan, S., Kesan, S., Yazici, G., Çelik, F., Koseturk, M., Alp, N., &amp; Suleyman, H. (2025). Protective effect of adenosine triphosphate against cisplatin-induced necrotic and degenerative oral mucositis in rats. </w:t>
      </w:r>
      <w:r w:rsidRPr="006810DB">
        <w:rPr>
          <w:rFonts w:ascii="Book Antiqua" w:hAnsi="Book Antiqua"/>
          <w:i/>
          <w:iCs/>
          <w:color w:val="000000" w:themeColor="text1"/>
          <w:sz w:val="20"/>
          <w:szCs w:val="20"/>
          <w:lang w:val="en"/>
        </w:rPr>
        <w:t>Journal of Applied Oral Science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33</w:t>
      </w:r>
      <w:r w:rsidRPr="006810DB">
        <w:rPr>
          <w:rFonts w:ascii="Book Antiqua" w:hAnsi="Book Antiqua"/>
          <w:color w:val="000000" w:themeColor="text1"/>
          <w:sz w:val="20"/>
          <w:szCs w:val="20"/>
          <w:lang w:val="en"/>
        </w:rPr>
        <w:t>, e20240366.</w:t>
      </w:r>
      <w:hyperlink r:id="rId237">
        <w:r w:rsidRPr="006810DB">
          <w:rPr>
            <w:rStyle w:val="Hyperlink"/>
            <w:rFonts w:ascii="Book Antiqua" w:hAnsi="Book Antiqua"/>
            <w:color w:val="000000" w:themeColor="text1"/>
            <w:sz w:val="20"/>
            <w:szCs w:val="20"/>
            <w:u w:val="none"/>
            <w:lang w:val="en"/>
          </w:rPr>
          <w:t xml:space="preserve"> </w:t>
        </w:r>
      </w:hyperlink>
      <w:hyperlink r:id="rId238">
        <w:r w:rsidRPr="006810DB">
          <w:rPr>
            <w:rStyle w:val="Hyperlink"/>
            <w:rFonts w:ascii="Book Antiqua" w:hAnsi="Book Antiqua"/>
            <w:color w:val="000000" w:themeColor="text1"/>
            <w:sz w:val="20"/>
            <w:szCs w:val="20"/>
            <w:u w:val="none"/>
            <w:lang w:val="en"/>
          </w:rPr>
          <w:t>https://doi.org/10.1590/1678-7757-2025-0007</w:t>
        </w:r>
      </w:hyperlink>
    </w:p>
    <w:p w14:paraId="2B6C7E6A"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Sonis, S. T. (2010). The pathobiology of mucositis. </w:t>
      </w:r>
      <w:r w:rsidRPr="006810DB">
        <w:rPr>
          <w:rFonts w:ascii="Book Antiqua" w:hAnsi="Book Antiqua"/>
          <w:i/>
          <w:iCs/>
          <w:color w:val="000000" w:themeColor="text1"/>
          <w:sz w:val="20"/>
          <w:szCs w:val="20"/>
          <w:lang w:val="en"/>
        </w:rPr>
        <w:t>Nature Reviews 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w:t>
      </w:r>
      <w:r w:rsidRPr="006810DB">
        <w:rPr>
          <w:rFonts w:ascii="Book Antiqua" w:hAnsi="Book Antiqua"/>
          <w:color w:val="000000" w:themeColor="text1"/>
          <w:sz w:val="20"/>
          <w:szCs w:val="20"/>
          <w:lang w:val="en"/>
        </w:rPr>
        <w:t>(4), 277-284.</w:t>
      </w:r>
      <w:hyperlink r:id="rId239">
        <w:r w:rsidRPr="006810DB">
          <w:rPr>
            <w:rStyle w:val="Hyperlink"/>
            <w:rFonts w:ascii="Book Antiqua" w:hAnsi="Book Antiqua"/>
            <w:color w:val="000000" w:themeColor="text1"/>
            <w:sz w:val="20"/>
            <w:szCs w:val="20"/>
            <w:u w:val="none"/>
            <w:lang w:val="en"/>
          </w:rPr>
          <w:t xml:space="preserve"> </w:t>
        </w:r>
      </w:hyperlink>
      <w:hyperlink r:id="rId240">
        <w:r w:rsidRPr="006810DB">
          <w:rPr>
            <w:rStyle w:val="Hyperlink"/>
            <w:rFonts w:ascii="Book Antiqua" w:hAnsi="Book Antiqua"/>
            <w:color w:val="000000" w:themeColor="text1"/>
            <w:sz w:val="20"/>
            <w:szCs w:val="20"/>
            <w:u w:val="none"/>
            <w:lang w:val="en"/>
          </w:rPr>
          <w:t>https://doi.org/10.1038/nrc2812</w:t>
        </w:r>
      </w:hyperlink>
    </w:p>
    <w:p w14:paraId="7C3A608D"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Sonis, S. T., Elting, L. S., Keefe, D., Peterson, D. E., Schubert, M., Hauer-Jensen, M., ... &amp; The Mucositis Study Section of the Multinational Association of Supportive Care in Cancer and the International Society for Oral Oncology. (2004). Perspectives on cancer therapy-induced mucosal injury: pathogenesis, measurement, epidemiology, and consequences for patients. </w:t>
      </w:r>
      <w:r w:rsidRPr="006810DB">
        <w:rPr>
          <w:rFonts w:ascii="Book Antiqua" w:hAnsi="Book Antiqua"/>
          <w:i/>
          <w:iCs/>
          <w:color w:val="000000" w:themeColor="text1"/>
          <w:sz w:val="20"/>
          <w:szCs w:val="20"/>
          <w:lang w:val="en"/>
        </w:rPr>
        <w:t>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100</w:t>
      </w:r>
      <w:r w:rsidRPr="006810DB">
        <w:rPr>
          <w:rFonts w:ascii="Book Antiqua" w:hAnsi="Book Antiqua"/>
          <w:color w:val="000000" w:themeColor="text1"/>
          <w:sz w:val="20"/>
          <w:szCs w:val="20"/>
          <w:lang w:val="en"/>
        </w:rPr>
        <w:t>(S9), 1995-2025.</w:t>
      </w:r>
      <w:hyperlink r:id="rId241">
        <w:r w:rsidRPr="006810DB">
          <w:rPr>
            <w:rStyle w:val="Hyperlink"/>
            <w:rFonts w:ascii="Book Antiqua" w:hAnsi="Book Antiqua"/>
            <w:color w:val="000000" w:themeColor="text1"/>
            <w:sz w:val="20"/>
            <w:szCs w:val="20"/>
            <w:u w:val="none"/>
            <w:lang w:val="en"/>
          </w:rPr>
          <w:t xml:space="preserve"> </w:t>
        </w:r>
      </w:hyperlink>
      <w:hyperlink r:id="rId242">
        <w:r w:rsidRPr="006810DB">
          <w:rPr>
            <w:rStyle w:val="Hyperlink"/>
            <w:rFonts w:ascii="Book Antiqua" w:hAnsi="Book Antiqua"/>
            <w:color w:val="000000" w:themeColor="text1"/>
            <w:sz w:val="20"/>
            <w:szCs w:val="20"/>
            <w:u w:val="none"/>
            <w:lang w:val="en"/>
          </w:rPr>
          <w:t>https://doi.org/10.1002/cncr.20162</w:t>
        </w:r>
      </w:hyperlink>
    </w:p>
    <w:p w14:paraId="6696FC54" w14:textId="77777777" w:rsidR="001C793B" w:rsidRPr="006810DB" w:rsidRDefault="001C793B" w:rsidP="006810DB">
      <w:pPr>
        <w:spacing w:after="0" w:line="276" w:lineRule="auto"/>
        <w:jc w:val="both"/>
        <w:rPr>
          <w:rFonts w:ascii="Book Antiqua" w:hAnsi="Book Antiqua"/>
          <w:b/>
          <w:bCs/>
          <w:sz w:val="20"/>
          <w:szCs w:val="20"/>
          <w:lang w:val="en"/>
        </w:rPr>
      </w:pPr>
      <w:bookmarkStart w:id="287" w:name="_8a6pig8aeuhf" w:colFirst="0" w:colLast="0"/>
      <w:bookmarkEnd w:id="287"/>
    </w:p>
    <w:p w14:paraId="495B0D23" w14:textId="77777777" w:rsidR="001C793B" w:rsidRPr="006810DB" w:rsidRDefault="001C793B"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6616E40A" w14:textId="67875994" w:rsidR="00F351CE" w:rsidRPr="006810DB" w:rsidRDefault="00F351CE" w:rsidP="006810DB">
      <w:pPr>
        <w:pStyle w:val="Heading1"/>
        <w:spacing w:before="0" w:line="276" w:lineRule="auto"/>
        <w:ind w:firstLine="142"/>
        <w:rPr>
          <w:b/>
          <w:bCs/>
          <w:szCs w:val="20"/>
          <w:lang w:val="en"/>
        </w:rPr>
      </w:pPr>
      <w:bookmarkStart w:id="288" w:name="_Toc223088947"/>
      <w:r w:rsidRPr="006810DB">
        <w:rPr>
          <w:b/>
          <w:noProof/>
          <w:sz w:val="48"/>
          <w:szCs w:val="20"/>
          <w:lang w:val="en-US"/>
        </w:rPr>
        <w:lastRenderedPageBreak/>
        <mc:AlternateContent>
          <mc:Choice Requires="wps">
            <w:drawing>
              <wp:anchor distT="0" distB="0" distL="114300" distR="114300" simplePos="0" relativeHeight="251700224" behindDoc="0" locked="0" layoutInCell="1" allowOverlap="1" wp14:anchorId="173745AD" wp14:editId="3E78C2DB">
                <wp:simplePos x="0" y="0"/>
                <wp:positionH relativeFrom="column">
                  <wp:posOffset>910590</wp:posOffset>
                </wp:positionH>
                <wp:positionV relativeFrom="paragraph">
                  <wp:posOffset>133350</wp:posOffset>
                </wp:positionV>
                <wp:extent cx="2820035" cy="1066800"/>
                <wp:effectExtent l="0" t="0" r="0" b="0"/>
                <wp:wrapNone/>
                <wp:docPr id="26" name="Rectangle 26"/>
                <wp:cNvGraphicFramePr/>
                <a:graphic xmlns:a="http://schemas.openxmlformats.org/drawingml/2006/main">
                  <a:graphicData uri="http://schemas.microsoft.com/office/word/2010/wordprocessingShape">
                    <wps:wsp>
                      <wps:cNvSpPr/>
                      <wps:spPr>
                        <a:xfrm>
                          <a:off x="0" y="0"/>
                          <a:ext cx="2820035" cy="1066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1DC0D9E" w14:textId="05BCEB72" w:rsidR="00F351CE" w:rsidRPr="00657FDD" w:rsidRDefault="00F351CE" w:rsidP="00F351CE">
                            <w:pPr>
                              <w:spacing w:after="0" w:line="276" w:lineRule="auto"/>
                              <w:jc w:val="center"/>
                              <w:rPr>
                                <w:rFonts w:ascii="Book Antiqua" w:hAnsi="Book Antiqua"/>
                                <w:b/>
                                <w:bCs/>
                                <w:sz w:val="36"/>
                                <w:szCs w:val="40"/>
                                <w:lang w:val="en"/>
                              </w:rPr>
                            </w:pPr>
                            <w:r w:rsidRPr="00657FDD">
                              <w:rPr>
                                <w:rFonts w:ascii="Book Antiqua" w:hAnsi="Book Antiqua"/>
                                <w:b/>
                                <w:bCs/>
                                <w:sz w:val="36"/>
                                <w:szCs w:val="40"/>
                                <w:lang w:val="en"/>
                              </w:rPr>
                              <w:t xml:space="preserve">JALUR </w:t>
                            </w:r>
                            <w:r w:rsidRPr="00657FDD">
                              <w:rPr>
                                <w:rFonts w:ascii="Book Antiqua" w:hAnsi="Book Antiqua"/>
                                <w:b/>
                                <w:bCs/>
                                <w:i/>
                                <w:iCs/>
                                <w:sz w:val="36"/>
                                <w:szCs w:val="40"/>
                                <w:lang w:val="en"/>
                              </w:rPr>
                              <w:t>SIGNALING</w:t>
                            </w:r>
                            <w:r w:rsidRPr="00657FDD">
                              <w:rPr>
                                <w:rFonts w:ascii="Book Antiqua" w:hAnsi="Book Antiqua"/>
                                <w:b/>
                                <w:bCs/>
                                <w:sz w:val="36"/>
                                <w:szCs w:val="40"/>
                                <w:lang w:val="en"/>
                              </w:rPr>
                              <w:t xml:space="preserve"> </w:t>
                            </w:r>
                            <w:r w:rsidR="00657FDD">
                              <w:rPr>
                                <w:rFonts w:ascii="Book Antiqua" w:hAnsi="Book Antiqua"/>
                                <w:b/>
                                <w:bCs/>
                                <w:sz w:val="36"/>
                                <w:szCs w:val="40"/>
                                <w:lang w:val="en"/>
                              </w:rPr>
                              <w:br/>
                            </w:r>
                            <w:r w:rsidR="001C793B" w:rsidRPr="00657FDD">
                              <w:rPr>
                                <w:rFonts w:ascii="Book Antiqua" w:hAnsi="Book Antiqua"/>
                                <w:b/>
                                <w:bCs/>
                                <w:sz w:val="36"/>
                                <w:szCs w:val="40"/>
                                <w:lang w:val="en"/>
                              </w:rPr>
                              <w:t xml:space="preserve">NF-κB </w:t>
                            </w:r>
                            <w:r w:rsidRPr="00657FDD">
                              <w:rPr>
                                <w:rFonts w:ascii="Book Antiqua" w:hAnsi="Book Antiqua"/>
                                <w:b/>
                                <w:bCs/>
                                <w:sz w:val="36"/>
                                <w:szCs w:val="40"/>
                                <w:lang w:val="en"/>
                              </w:rPr>
                              <w:t>DALAM INFLAMASI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73745AD" id="Rectangle 26" o:spid="_x0000_s1037" style="position:absolute;left:0;text-align:left;margin-left:71.7pt;margin-top:10.5pt;width:222.05pt;height:8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eDgZwIAABEFAAAOAAAAZHJzL2Uyb0RvYy54bWysVMFu2zAMvQ/YPwi6L7azNuuCOkXQosOA&#10;YA3aDTsrspQYk0SNUuJkXz9KTtx2y2nYxabIR1J8JHV9s7eG7RSGFlzNq1HJmXISmtata/7t6/27&#10;K85CFK4RBpyq+UEFfjN7++a681M1hg2YRiGjIC5MO1/zTYx+WhRBbpQVYQReOTJqQCsiHXFdNCg6&#10;im5NMS7LSdEBNh5BqhBIe9cb+SzH11rJ+KB1UJGZmtPdYv5i/q7St5hdi+kahd+08ngN8Q+3sKJ1&#10;lHQIdSeiYFts/wplW4kQQMeRBFuA1q1UuQaqpir/qOZpI7zKtRA5wQ80hf8XVn7ZLZG1Tc3HE86c&#10;sNSjR2JNuLVRjHREUOfDlHBPfonHUyAxVbvXaNOf6mD7TOphIFXtI5OkHF9Rn95fcibJVpWTyVWZ&#10;aS+e3T2G+EmBZUmoOVL+TKbYLUKklAQ9QVI2B/etMblzxr1SEDBpinTj/o5ZigejEs64R6Wp2HSr&#10;nCCPmbo1yHaCBkRIqVzMNedIhE5umrINjtU5RxOrRBQ5HbHJTeXxGxzLc46vMw4eOSu4ODjb1gGe&#10;C9D8GDL3+FP1fc2p/Lhf7XOHqwxNqhU0B2o7Qr8Pwcv7lqhfiBCXAmkBaFVoqeMDfbSBruZwlDjb&#10;AP46p094mkuyctbRQtU8/NwKVJyZz44m9mN1cZE2MB8uLj+M6YAvLauXFre1t0Atqej58DKLCR/N&#10;SdQI9jvt/jxlJZNwknLXXEY8HW5jv+j0ekg1n2cYbZ0XceGevEzBE9EO5tsIus2T9szOkUjau9zY&#10;4xuRFvvlOaOeX7LZbwAAAP//AwBQSwMEFAAGAAgAAAAhAPrGo2veAAAACgEAAA8AAABkcnMvZG93&#10;bnJldi54bWxMj81OwzAQhO9IvIO1SNyo09JCCHEqQEII9YAo7d1xtklEvI5s56dvz3KC42hGM9/k&#10;29l2YkQfWkcKlosEBJJxVUu1gsPX600KIkRNle4coYIzBtgWlxe5zio30SeO+1gLLqGQaQVNjH0m&#10;ZTANWh0Wrkdi7+S81ZGlr2Xl9cTltpOrJLmTVrfEC43u8aVB870frIKjOz1P1pT0Pp4/2uFt541J&#10;d0pdX81PjyAizvEvDL/4jA4FM5VuoCqIjvX6ds1RBaslf+LAJr3fgCjZSR8SkEUu/18ofgAAAP//&#10;AwBQSwECLQAUAAYACAAAACEAtoM4kv4AAADhAQAAEwAAAAAAAAAAAAAAAAAAAAAAW0NvbnRlbnRf&#10;VHlwZXNdLnhtbFBLAQItABQABgAIAAAAIQA4/SH/1gAAAJQBAAALAAAAAAAAAAAAAAAAAC8BAABf&#10;cmVscy8ucmVsc1BLAQItABQABgAIAAAAIQDxBeDgZwIAABEFAAAOAAAAAAAAAAAAAAAAAC4CAABk&#10;cnMvZTJvRG9jLnhtbFBLAQItABQABgAIAAAAIQD6xqNr3gAAAAoBAAAPAAAAAAAAAAAAAAAAAMEE&#10;AABkcnMvZG93bnJldi54bWxQSwUGAAAAAAQABADzAAAAzAUAAAAA&#10;" filled="f" stroked="f" strokeweight="1pt">
                <v:textbox>
                  <w:txbxContent>
                    <w:p w14:paraId="61DC0D9E" w14:textId="05BCEB72" w:rsidR="00F351CE" w:rsidRPr="00657FDD" w:rsidRDefault="00F351CE" w:rsidP="00F351CE">
                      <w:pPr>
                        <w:spacing w:after="0" w:line="276" w:lineRule="auto"/>
                        <w:jc w:val="center"/>
                        <w:rPr>
                          <w:rFonts w:ascii="Book Antiqua" w:hAnsi="Book Antiqua"/>
                          <w:b/>
                          <w:bCs/>
                          <w:sz w:val="36"/>
                          <w:szCs w:val="40"/>
                          <w:lang w:val="en"/>
                        </w:rPr>
                      </w:pPr>
                      <w:r w:rsidRPr="00657FDD">
                        <w:rPr>
                          <w:rFonts w:ascii="Book Antiqua" w:hAnsi="Book Antiqua"/>
                          <w:b/>
                          <w:bCs/>
                          <w:sz w:val="36"/>
                          <w:szCs w:val="40"/>
                          <w:lang w:val="en"/>
                        </w:rPr>
                        <w:t xml:space="preserve">JALUR </w:t>
                      </w:r>
                      <w:r w:rsidRPr="00657FDD">
                        <w:rPr>
                          <w:rFonts w:ascii="Book Antiqua" w:hAnsi="Book Antiqua"/>
                          <w:b/>
                          <w:bCs/>
                          <w:i/>
                          <w:iCs/>
                          <w:sz w:val="36"/>
                          <w:szCs w:val="40"/>
                          <w:lang w:val="en"/>
                        </w:rPr>
                        <w:t>SIGNALING</w:t>
                      </w:r>
                      <w:r w:rsidRPr="00657FDD">
                        <w:rPr>
                          <w:rFonts w:ascii="Book Antiqua" w:hAnsi="Book Antiqua"/>
                          <w:b/>
                          <w:bCs/>
                          <w:sz w:val="36"/>
                          <w:szCs w:val="40"/>
                          <w:lang w:val="en"/>
                        </w:rPr>
                        <w:t xml:space="preserve"> </w:t>
                      </w:r>
                      <w:r w:rsidR="00657FDD">
                        <w:rPr>
                          <w:rFonts w:ascii="Book Antiqua" w:hAnsi="Book Antiqua"/>
                          <w:b/>
                          <w:bCs/>
                          <w:sz w:val="36"/>
                          <w:szCs w:val="40"/>
                          <w:lang w:val="en"/>
                        </w:rPr>
                        <w:br/>
                      </w:r>
                      <w:r w:rsidR="001C793B" w:rsidRPr="00657FDD">
                        <w:rPr>
                          <w:rFonts w:ascii="Book Antiqua" w:hAnsi="Book Antiqua"/>
                          <w:b/>
                          <w:bCs/>
                          <w:sz w:val="36"/>
                          <w:szCs w:val="40"/>
                          <w:lang w:val="en"/>
                        </w:rPr>
                        <w:t xml:space="preserve">NF-κB </w:t>
                      </w:r>
                      <w:r w:rsidRPr="00657FDD">
                        <w:rPr>
                          <w:rFonts w:ascii="Book Antiqua" w:hAnsi="Book Antiqua"/>
                          <w:b/>
                          <w:bCs/>
                          <w:sz w:val="36"/>
                          <w:szCs w:val="40"/>
                          <w:lang w:val="en"/>
                        </w:rPr>
                        <w:t>DALAM INFLAMASI</w:t>
                      </w:r>
                    </w:p>
                  </w:txbxContent>
                </v:textbox>
              </v:rect>
            </w:pict>
          </mc:Fallback>
        </mc:AlternateContent>
      </w:r>
      <w:r w:rsidRPr="006810DB">
        <w:rPr>
          <w:b/>
          <w:noProof/>
          <w:sz w:val="48"/>
          <w:szCs w:val="20"/>
          <w:lang w:val="en-US"/>
        </w:rPr>
        <mc:AlternateContent>
          <mc:Choice Requires="wps">
            <w:drawing>
              <wp:anchor distT="0" distB="0" distL="114300" distR="114300" simplePos="0" relativeHeight="251699200" behindDoc="0" locked="0" layoutInCell="1" allowOverlap="1" wp14:anchorId="39D83090" wp14:editId="35CBD875">
                <wp:simplePos x="0" y="0"/>
                <wp:positionH relativeFrom="column">
                  <wp:posOffset>884555</wp:posOffset>
                </wp:positionH>
                <wp:positionV relativeFrom="paragraph">
                  <wp:posOffset>76835</wp:posOffset>
                </wp:positionV>
                <wp:extent cx="0" cy="1152000"/>
                <wp:effectExtent l="19050" t="0" r="38100" b="48260"/>
                <wp:wrapNone/>
                <wp:docPr id="27" name="Straight Connector 27"/>
                <wp:cNvGraphicFramePr/>
                <a:graphic xmlns:a="http://schemas.openxmlformats.org/drawingml/2006/main">
                  <a:graphicData uri="http://schemas.microsoft.com/office/word/2010/wordprocessingShape">
                    <wps:wsp>
                      <wps:cNvCnPr/>
                      <wps:spPr>
                        <a:xfrm>
                          <a:off x="0" y="0"/>
                          <a:ext cx="0" cy="1152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AF80AA8" id="Straight Connector 27" o:spid="_x0000_s1026" style="position:absolute;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Pc32AEAAA8EAAAOAAAAZHJzL2Uyb0RvYy54bWysU8GO2yAQvVfqPyDuje1I6VZWnD1ktb1U&#10;bdRtP4DFECMBgwYaO3/fASfOqltVatUL9gzzHvMew/Z+cpadFEYDvuPNquZMeQm98ceOf//2+O4D&#10;ZzEJ3wsLXnX8rCK/3719sx1Dq9YwgO0VMiLxsR1Dx4eUQltVUQ7KibiCoDxtakAnEoV4rHoUI7E7&#10;W63r+n01AvYBQaoYKfswb/Jd4ddayfRF66gSsx2n3lJZsazPea12W9EeUYTByEsb4h+6cMJ4OnSh&#10;ehBJsB9oXlE5IxEi6LSS4CrQ2khVNJCapv5FzdMggipayJwYFpvi/6OVn08HZKbv+PqOMy8c3dFT&#10;QmGOQ2J78J4cBGS0SU6NIbYE2PsDXqIYDphlTxpd/pIgNhV3z4u7akpMzklJ2abZ0MUV56sbMGBM&#10;HxU4ln86bo3PwkUrTp9iosOo9FqS09azseObu2ZTl7II1vSPxtq8WYZH7S2yk6BrT1OTmyeGF1UU&#10;WU/JLGkWUf7S2aqZ/6vSZAu13cwH5IG8cQoplU9XXuupOsM0dbAAL539CXipz1BVhvVvwAuinAw+&#10;LWBnPODv2r5Zoef6qwOz7mzBM/Tncr3FGpq64tzlheSxfhkX+O0d734CAAD//wMAUEsDBBQABgAI&#10;AAAAIQBHaIbM2gAAAAoBAAAPAAAAZHJzL2Rvd25yZXYueG1sTE9NS8NAEL0L/odlBG9204aIidmU&#10;IhTpRWgreN1kx2QxOxuy2zT++0691Nt7M4/3Ua5n14sJx2A9KVguEhBIjTeWWgWfx+3TC4gQNRnd&#10;e0IFvxhgXd3flbow/kx7nA6xFWxCodAKuhiHQsrQdOh0WPgBiX/ffnQ6Mh1baUZ9ZnPXy1WSPEun&#10;LXFCpwd867D5OZwch2RfzTsGuzPbTVZnU27r5MMq9fgwb15BRJzjTQzX+lwdKu5U+xOZIHrmaZ6y&#10;lMFqCeIq+DvUDPI0A1mV8v+E6gIAAP//AwBQSwECLQAUAAYACAAAACEAtoM4kv4AAADhAQAAEwAA&#10;AAAAAAAAAAAAAAAAAAAAW0NvbnRlbnRfVHlwZXNdLnhtbFBLAQItABQABgAIAAAAIQA4/SH/1gAA&#10;AJQBAAALAAAAAAAAAAAAAAAAAC8BAABfcmVscy8ucmVsc1BLAQItABQABgAIAAAAIQDH0Pc32AEA&#10;AA8EAAAOAAAAAAAAAAAAAAAAAC4CAABkcnMvZTJvRG9jLnhtbFBLAQItABQABgAIAAAAIQBHaIbM&#10;2gAAAAoBAAAPAAAAAAAAAAAAAAAAADIEAABkcnMvZG93bnJldi54bWxQSwUGAAAAAAQABADzAAAA&#10;OQU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30"/>
          <w:szCs w:val="130"/>
          <w:lang w:val="en-US"/>
        </w:rPr>
        <w:t>12</w:t>
      </w:r>
      <w:r w:rsidRPr="006810DB">
        <w:rPr>
          <w:b/>
          <w:szCs w:val="20"/>
          <w:lang w:val="en-US"/>
        </w:rPr>
        <w:t xml:space="preserve"> </w:t>
      </w:r>
      <w:r w:rsidRPr="006810DB">
        <w:rPr>
          <w:b/>
          <w:szCs w:val="20"/>
          <w:lang w:val="en-US"/>
        </w:rPr>
        <w:tab/>
      </w:r>
      <w:r w:rsidR="001C793B" w:rsidRPr="006810DB">
        <w:rPr>
          <w:b/>
          <w:color w:val="FFFFFF" w:themeColor="background1"/>
          <w:sz w:val="14"/>
          <w:szCs w:val="14"/>
          <w:lang w:val="en-US"/>
        </w:rPr>
        <w:t xml:space="preserve">JALUR </w:t>
      </w:r>
      <w:r w:rsidR="001C793B" w:rsidRPr="006810DB">
        <w:rPr>
          <w:b/>
          <w:i/>
          <w:iCs/>
          <w:color w:val="FFFFFF" w:themeColor="background1"/>
          <w:sz w:val="14"/>
          <w:szCs w:val="14"/>
          <w:lang w:val="en-US"/>
        </w:rPr>
        <w:t>SIGNALING</w:t>
      </w:r>
      <w:r w:rsidR="001C793B" w:rsidRPr="006810DB">
        <w:rPr>
          <w:b/>
          <w:color w:val="FFFFFF" w:themeColor="background1"/>
          <w:sz w:val="14"/>
          <w:szCs w:val="14"/>
          <w:lang w:val="en-US"/>
        </w:rPr>
        <w:t xml:space="preserve"> NF-κB DALAM INFLAMASI</w:t>
      </w:r>
      <w:bookmarkEnd w:id="288"/>
    </w:p>
    <w:p w14:paraId="7A04A4AB" w14:textId="77777777" w:rsidR="00F351CE" w:rsidRPr="006810DB" w:rsidRDefault="00F351CE" w:rsidP="006810DB">
      <w:pPr>
        <w:spacing w:after="0" w:line="276" w:lineRule="auto"/>
        <w:jc w:val="both"/>
        <w:rPr>
          <w:rFonts w:ascii="Book Antiqua" w:hAnsi="Book Antiqua"/>
          <w:sz w:val="20"/>
          <w:szCs w:val="20"/>
          <w:lang w:val="en"/>
        </w:rPr>
      </w:pPr>
    </w:p>
    <w:p w14:paraId="4A2FCAC2" w14:textId="77777777" w:rsidR="00F351CE" w:rsidRPr="006810DB" w:rsidRDefault="00F351CE" w:rsidP="006810DB">
      <w:pPr>
        <w:spacing w:after="0" w:line="276" w:lineRule="auto"/>
        <w:jc w:val="both"/>
        <w:rPr>
          <w:rFonts w:ascii="Book Antiqua" w:hAnsi="Book Antiqua"/>
          <w:sz w:val="20"/>
          <w:szCs w:val="20"/>
          <w:lang w:val="en"/>
        </w:rPr>
      </w:pPr>
    </w:p>
    <w:p w14:paraId="6260A324" w14:textId="3158DDEE" w:rsidR="00B258B7" w:rsidRPr="006810DB" w:rsidRDefault="00657FDD" w:rsidP="00B9360C">
      <w:pPr>
        <w:pStyle w:val="Heading2"/>
        <w:numPr>
          <w:ilvl w:val="0"/>
          <w:numId w:val="27"/>
        </w:numPr>
        <w:ind w:left="284" w:hanging="284"/>
      </w:pPr>
      <w:bookmarkStart w:id="289" w:name="_d5tahb2vd4c5" w:colFirst="0" w:colLast="0"/>
      <w:bookmarkStart w:id="290" w:name="_Toc223088948"/>
      <w:bookmarkEnd w:id="289"/>
      <w:r w:rsidRPr="006810DB">
        <w:t>Pendahuluan</w:t>
      </w:r>
      <w:bookmarkEnd w:id="290"/>
    </w:p>
    <w:p w14:paraId="305F9098"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Pemahaman mendalam mengenai patogenesis mukositis oral tidak dapat dilepaskan dari peran sentral faktor transkripsi yang dikenal sebagai </w:t>
      </w:r>
      <w:r w:rsidRPr="006810DB">
        <w:rPr>
          <w:rFonts w:ascii="Book Antiqua" w:hAnsi="Book Antiqua"/>
          <w:i/>
          <w:iCs/>
          <w:sz w:val="20"/>
          <w:szCs w:val="20"/>
          <w:lang w:val="en"/>
        </w:rPr>
        <w:t>Nuclear Factor-kappa B</w:t>
      </w:r>
      <w:r w:rsidRPr="006810DB">
        <w:rPr>
          <w:rFonts w:ascii="Book Antiqua" w:hAnsi="Book Antiqua"/>
          <w:sz w:val="20"/>
          <w:szCs w:val="20"/>
          <w:lang w:val="en"/>
        </w:rPr>
        <w:t xml:space="preserve"> (</w:t>
      </w:r>
      <w:bookmarkStart w:id="291" w:name="_Hlk222851283"/>
      <w:r w:rsidRPr="006810DB">
        <w:rPr>
          <w:rFonts w:ascii="Book Antiqua" w:hAnsi="Book Antiqua"/>
          <w:sz w:val="20"/>
          <w:szCs w:val="20"/>
          <w:lang w:val="en"/>
        </w:rPr>
        <w:t>NF-κB</w:t>
      </w:r>
      <w:bookmarkEnd w:id="291"/>
      <w:r w:rsidRPr="006810DB">
        <w:rPr>
          <w:rFonts w:ascii="Book Antiqua" w:hAnsi="Book Antiqua"/>
          <w:sz w:val="20"/>
          <w:szCs w:val="20"/>
          <w:lang w:val="en"/>
        </w:rPr>
        <w:t xml:space="preserve">). Molekul ini sering dijuluki sebagai "saklar utama" atau </w:t>
      </w:r>
      <w:r w:rsidRPr="006810DB">
        <w:rPr>
          <w:rFonts w:ascii="Book Antiqua" w:hAnsi="Book Antiqua"/>
          <w:i/>
          <w:iCs/>
          <w:sz w:val="20"/>
          <w:szCs w:val="20"/>
          <w:lang w:val="en"/>
        </w:rPr>
        <w:t>master regulator</w:t>
      </w:r>
      <w:r w:rsidRPr="006810DB">
        <w:rPr>
          <w:rFonts w:ascii="Book Antiqua" w:hAnsi="Book Antiqua"/>
          <w:sz w:val="20"/>
          <w:szCs w:val="20"/>
          <w:lang w:val="en"/>
        </w:rPr>
        <w:t xml:space="preserve"> peradangan karena kemampuannya mengendalikan ekspresi ratusan gen yang terlibat dalam respon imun dan kelangsungan hidup sel. Dalam kondisi fisiologis normal, NF-κB berperan vital dalam menjaga homeostasis seluler dan respon imun adaptif. Namun, dalam konteks patologis seperti kemoterapi cisplatin, regulasi jalur ini menjadi kacau, memicu kaskade destruktif yang berujung pada kerusakan jaringan mukosa yang parah.</w:t>
      </w:r>
    </w:p>
    <w:p w14:paraId="5D3ADC00"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Aktivasi jalur NF-κB pada mukositis bukanlah peristiwa yang berdiri sendiri, melainkan respons terintegrasi terhadap stres genotoksik dan oksidatif. Ketika cisplatin menginduksi kerusakan DNA dan memicu pelepasan </w:t>
      </w:r>
      <w:r w:rsidRPr="006810DB">
        <w:rPr>
          <w:rFonts w:ascii="Book Antiqua" w:hAnsi="Book Antiqua"/>
          <w:i/>
          <w:iCs/>
          <w:sz w:val="20"/>
          <w:szCs w:val="20"/>
          <w:lang w:val="en"/>
        </w:rPr>
        <w:t>Reactive Oxygen Species</w:t>
      </w:r>
      <w:r w:rsidRPr="006810DB">
        <w:rPr>
          <w:rFonts w:ascii="Book Antiqua" w:hAnsi="Book Antiqua"/>
          <w:sz w:val="20"/>
          <w:szCs w:val="20"/>
          <w:lang w:val="en"/>
        </w:rPr>
        <w:t xml:space="preserve"> (ROS), sinyal bahaya ini ditransduksi ke dalam sitoplasma sel epitel. Di sinilah NF-κB, yang biasanya dalam keadaan dorman atau inaktif, dibangunkan. Proses aktivasi ini melibatkan serangkaian reaksi biokimia presisi yang membebaskan NF-κB dari inhibitornya, memungkinkannya melintasi membran inti sel untuk memengaruhi materi genetik.</w:t>
      </w:r>
    </w:p>
    <w:p w14:paraId="3616E276"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Pentingnya jalur ini terletak pada posisinya sebagai titik konvergensi bagi berbagai sinyal hulu dan titik divergensi bagi berbagai efektor hilir. Sinyal hulu seperti sitokin TNF-α dan IL-1β, yang telah dibahas pada bab sebelumnya, tidak akan mampu </w:t>
      </w:r>
      <w:r w:rsidRPr="006810DB">
        <w:rPr>
          <w:rFonts w:ascii="Book Antiqua" w:hAnsi="Book Antiqua"/>
          <w:sz w:val="20"/>
          <w:szCs w:val="20"/>
          <w:lang w:val="en"/>
        </w:rPr>
        <w:lastRenderedPageBreak/>
        <w:t>menimbulkan kerusakan masif tanpa perantara NF-κB. Sebaliknya, NF-κB memperkuat sinyal-sinyal ini dengan meningkatkan transkripsi gen yang mengkode sitokin itu sendiri, menciptakan lingkaran setan peradangan yang sulit diputus tanpa intervensi eksternal.</w:t>
      </w:r>
    </w:p>
    <w:p w14:paraId="26FAA960"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Bab ini akan menguraikan anatomi molekuler dari kompleks protein NF-κB, menjelaskan struktur subunit-subunit utamanya seperti p50 dan p65 yang membentuk heterodimer fungsional. Pemahaman mengenai struktur ini krusial karena interaksi fisik antar subunit menentukan spesifisitas pengikatan DNA dan jenis gen yang akan diaktifkan. Kita juga akan membahas peran protein inhibitor (IκB) yang bertindak sebagai "penjaga gerbang", menahan NF-κB tetap berada di sitoplasma dan mencegah aktivasi prematur yang berpotensi merusak.</w:t>
      </w:r>
    </w:p>
    <w:p w14:paraId="79409FEA"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Fokus utama pembahasan akan diarahkan pada jalur aktivasi kanonik, yang merupakan rute utama respons inflamasi akut. Mekanisme fosforilasi dan degradasi IκB oleh kompleks IKK (</w:t>
      </w:r>
      <w:r w:rsidRPr="006810DB">
        <w:rPr>
          <w:rFonts w:ascii="Book Antiqua" w:hAnsi="Book Antiqua"/>
          <w:i/>
          <w:iCs/>
          <w:sz w:val="20"/>
          <w:szCs w:val="20"/>
          <w:lang w:val="en"/>
        </w:rPr>
        <w:t>IκB Kinase</w:t>
      </w:r>
      <w:r w:rsidRPr="006810DB">
        <w:rPr>
          <w:rFonts w:ascii="Book Antiqua" w:hAnsi="Book Antiqua"/>
          <w:sz w:val="20"/>
          <w:szCs w:val="20"/>
          <w:lang w:val="en"/>
        </w:rPr>
        <w:t>) akan dijelaskan secara rinci sebagai langkah pembatas laju (</w:t>
      </w:r>
      <w:r w:rsidRPr="006810DB">
        <w:rPr>
          <w:rFonts w:ascii="Book Antiqua" w:hAnsi="Book Antiqua"/>
          <w:i/>
          <w:iCs/>
          <w:sz w:val="20"/>
          <w:szCs w:val="20"/>
          <w:lang w:val="en"/>
        </w:rPr>
        <w:t>rate-limiting step</w:t>
      </w:r>
      <w:r w:rsidRPr="006810DB">
        <w:rPr>
          <w:rFonts w:ascii="Book Antiqua" w:hAnsi="Book Antiqua"/>
          <w:sz w:val="20"/>
          <w:szCs w:val="20"/>
          <w:lang w:val="en"/>
        </w:rPr>
        <w:t>) dalam aktivasi NF-κB. Proses translokasi nuklear yang mengikuti degradasi inhibitor ini merupakan momen kritis di mana sel beralih dari keadaan istirahat menuju profil ekspresi gen pro-inflamasi yang agresif.</w:t>
      </w:r>
    </w:p>
    <w:p w14:paraId="3F43BE42"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Selanjutnya, bab ini akan membedah target-target genetik hilir dari NF-κB yang relevan dengan mukositis. Gen-gen ini mencakup sitokin pro-inflamasi, kemokin yang merekrut sel radang, serta enzim-enzim seperti COX-2 dan iNOS yang memproduksi mediator nyeri dan radikal bebas sekunder. Ekspresi berlebih dari produk-produk gen ini bertanggung jawab langsung atas manifestasi klinis mukositis, seperti eritema, edema, dan ulserasi nyeri.</w:t>
      </w:r>
    </w:p>
    <w:p w14:paraId="24E6B355" w14:textId="50A063FB"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Analisis mendalam mengenai jalur signaling ini memberikan landasan rasional bagi pengembangan terapi target. Mengetahui bahwa NF-κB adalah pusat komando peradangan membuka peluang untuk memblokir jalur ini guna mencegah kerusakan mukosa. Hal ini menjadi pengantar penting untuk memahami mekanisme kerja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dan </w:t>
      </w:r>
      <w:r w:rsidRPr="006810DB">
        <w:rPr>
          <w:rFonts w:ascii="Book Antiqua" w:hAnsi="Book Antiqua"/>
          <w:i/>
          <w:iCs/>
          <w:sz w:val="20"/>
          <w:szCs w:val="20"/>
          <w:lang w:val="en"/>
        </w:rPr>
        <w:lastRenderedPageBreak/>
        <w:t>thymoquinone</w:t>
      </w:r>
      <w:r w:rsidRPr="006810DB">
        <w:rPr>
          <w:rFonts w:ascii="Book Antiqua" w:hAnsi="Book Antiqua"/>
          <w:sz w:val="20"/>
          <w:szCs w:val="20"/>
          <w:lang w:val="en"/>
        </w:rPr>
        <w:t>, yang secara spesifik menargetkan komponen-komponen kunci dalam jalur ini, sebagaimana akan dibahas pada bab-bab berikutnya.</w:t>
      </w:r>
    </w:p>
    <w:p w14:paraId="34287FF8" w14:textId="77777777" w:rsidR="00D0395B" w:rsidRPr="006810DB" w:rsidRDefault="00D0395B" w:rsidP="006810DB">
      <w:pPr>
        <w:spacing w:after="0" w:line="276" w:lineRule="auto"/>
        <w:jc w:val="both"/>
        <w:rPr>
          <w:rFonts w:ascii="Book Antiqua" w:hAnsi="Book Antiqua"/>
          <w:sz w:val="20"/>
          <w:szCs w:val="20"/>
          <w:lang w:val="en"/>
        </w:rPr>
      </w:pPr>
    </w:p>
    <w:p w14:paraId="417A970D" w14:textId="21C773D3" w:rsidR="00B258B7" w:rsidRPr="006810DB" w:rsidRDefault="00B258B7" w:rsidP="006810DB">
      <w:pPr>
        <w:pStyle w:val="Heading2"/>
        <w:numPr>
          <w:ilvl w:val="0"/>
          <w:numId w:val="27"/>
        </w:numPr>
        <w:ind w:left="284" w:hanging="284"/>
      </w:pPr>
      <w:bookmarkStart w:id="292" w:name="_msnu6x6sh5zz" w:colFirst="0" w:colLast="0"/>
      <w:bookmarkStart w:id="293" w:name="_Toc223088949"/>
      <w:bookmarkEnd w:id="292"/>
      <w:r w:rsidRPr="006810DB">
        <w:t>Struktur dan Klasifikasi Protein NF-κB</w:t>
      </w:r>
      <w:bookmarkEnd w:id="293"/>
    </w:p>
    <w:p w14:paraId="17019907"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Keluarga faktor transkripsi NF-κB pada mamalia terdiri dari lima anggota protein yang berbeda namun terkait secara struktural: p65 (RelA), RelB, c-Rel, p50/p105 (NF-κB1), dan p52/p100 (NF-κB2). Kelima protein ini berbagi domain struktural yang sangat terkonservasi yang memungkinkan mereka untuk berinteraksi satu sama lain, membentuk berbagai kombinasi dimer. Dalam konteks inflamasi akut seperti mukositis, kombinasi heterodimer yang paling umum, paling melimpah, dan paling aktif secara transkripsi adalah pasangan antara p50 dan p65. Dimer ini adalah eksekutor utama yang menerjemahkan sinyal stres eksternal menjadi perubahan ekspresi gen di dalam inti sel (Liu et al., 2017).</w:t>
      </w:r>
    </w:p>
    <w:p w14:paraId="33586A13" w14:textId="77777777" w:rsidR="00B258B7" w:rsidRPr="006810DB" w:rsidRDefault="00B258B7" w:rsidP="00056B27">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Bayangkan NF-κB sebagai sebuah "kunci ganda" yang diperlukan untuk membuka brankas berisi dokumen rahasia (gen inflamasi) di dalam kantor pusat (nukleus). Kunci ini terdiri dari dua bagian logam yang berbeda (subunit p50 dan p65) yang disatukan. Bagian p65 adalah bagian yang memiliki gerigi rumit untuk memutar mekanisme (aktivasi transkripsi), sedangkan bagian p50 adalah batang kokoh yang memastikan kunci pas masuk ke lubangnya (pengikatan DNA). Dalam keadaan normal, kunci ini disimpan di dalam laci meja (sitoplasma) dan dibungkus dengan selotip tebal (inhibitor IκB) sehingga tidak bisa dimasukkan ke dalam lubang kunci brankas. Hanya ketika ada perintah darurat, selotip dilepas, dan kunci ganda ini dibawa ke brankas untuk membuka akses ke dokumen perang.</w:t>
      </w:r>
    </w:p>
    <w:p w14:paraId="61EA2E25" w14:textId="264B7D20" w:rsidR="00B258B7" w:rsidRPr="006810DB" w:rsidRDefault="00B258B7" w:rsidP="006810DB">
      <w:pPr>
        <w:pStyle w:val="ListParagraph"/>
        <w:numPr>
          <w:ilvl w:val="0"/>
          <w:numId w:val="69"/>
        </w:numPr>
        <w:spacing w:after="0" w:line="276" w:lineRule="auto"/>
        <w:ind w:left="567" w:hanging="283"/>
        <w:contextualSpacing w:val="0"/>
        <w:jc w:val="both"/>
        <w:rPr>
          <w:rFonts w:ascii="Book Antiqua" w:hAnsi="Book Antiqua"/>
          <w:b/>
          <w:bCs/>
          <w:sz w:val="20"/>
          <w:szCs w:val="20"/>
          <w:lang w:val="en"/>
        </w:rPr>
      </w:pPr>
      <w:bookmarkStart w:id="294" w:name="_j1yydw6e0ad6" w:colFirst="0" w:colLast="0"/>
      <w:bookmarkEnd w:id="294"/>
      <w:r w:rsidRPr="006810DB">
        <w:rPr>
          <w:rFonts w:ascii="Book Antiqua" w:hAnsi="Book Antiqua"/>
          <w:b/>
          <w:bCs/>
          <w:sz w:val="20"/>
          <w:szCs w:val="20"/>
          <w:lang w:val="en"/>
        </w:rPr>
        <w:t>Karakteristik Subunit p50 dan p65</w:t>
      </w:r>
    </w:p>
    <w:p w14:paraId="6FF93A13"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Subunit p65, atau sering disebut RelA, adalah komponen yang memberikan kemampuan aktivasi transkripsi yang kuat pada kompleks NF-κB. Protein ini mengandung domain aktivasi transkripsi (</w:t>
      </w:r>
      <w:r w:rsidRPr="006810DB">
        <w:rPr>
          <w:rFonts w:ascii="Book Antiqua" w:hAnsi="Book Antiqua"/>
          <w:i/>
          <w:iCs/>
          <w:sz w:val="20"/>
          <w:szCs w:val="20"/>
          <w:lang w:val="en"/>
        </w:rPr>
        <w:t xml:space="preserve">Transactivation </w:t>
      </w:r>
      <w:r w:rsidRPr="006810DB">
        <w:rPr>
          <w:rFonts w:ascii="Book Antiqua" w:hAnsi="Book Antiqua"/>
          <w:i/>
          <w:iCs/>
          <w:sz w:val="20"/>
          <w:szCs w:val="20"/>
          <w:lang w:val="en"/>
        </w:rPr>
        <w:lastRenderedPageBreak/>
        <w:t>Domain</w:t>
      </w:r>
      <w:r w:rsidRPr="006810DB">
        <w:rPr>
          <w:rFonts w:ascii="Book Antiqua" w:hAnsi="Book Antiqua"/>
          <w:sz w:val="20"/>
          <w:szCs w:val="20"/>
          <w:lang w:val="en"/>
        </w:rPr>
        <w:t>/TAD) di ujung C-terminalnya, yang berfungsi untuk merekrut ko-aktivator transkripsi dan mesin basal transkripsi (seperti RNA polimerase II) ke promotor gen target. Kehadiran TAD pada p65 menjadikannya pendorong utama ekspresi gen pro-inflamasi. Tanpa p65, pengikatan ke DNA mungkin terjadi, namun inisiasi transkripsi tidak akan berjalan efisien (Hayden &amp; Ghosh, 2012).</w:t>
      </w:r>
    </w:p>
    <w:p w14:paraId="4735D5A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Di sisi lain, subunit p50 tidak memiliki domain aktivasi transkripsi (TAD). Fungsi utamanya dalam heterodimer p50/p65 adalah untuk memfasilitasi pengikatan yang kuat dan spesifik ke urutan DNA konsensus (situs κB). Karena p50 tidak memiliki TAD, homodimer p50/p50 (dua subunit p50 yang berpasangan) justru dapat bertindak sebagai represor transkripsi, menghalangi akses dimer aktif ke DNA. Namun, ketika berpasangan dengan p65, p50 membantu menstabilkan kompleks pada DNA, memungkinkan p65 untuk melaksanakan fungsi aktivasinya dengan efektif. Keseimbangan antara p50 dan p65 sangat menentukan hasil akhir dari regulasi gen (Liu et al., 2017).</w:t>
      </w:r>
    </w:p>
    <w:p w14:paraId="7753218A" w14:textId="339EFFAD" w:rsidR="00B258B7" w:rsidRPr="006810DB" w:rsidRDefault="00B258B7" w:rsidP="006810DB">
      <w:pPr>
        <w:pStyle w:val="ListParagraph"/>
        <w:numPr>
          <w:ilvl w:val="0"/>
          <w:numId w:val="69"/>
        </w:numPr>
        <w:spacing w:after="0" w:line="276" w:lineRule="auto"/>
        <w:ind w:left="567" w:hanging="283"/>
        <w:contextualSpacing w:val="0"/>
        <w:jc w:val="both"/>
        <w:rPr>
          <w:rFonts w:ascii="Book Antiqua" w:hAnsi="Book Antiqua"/>
          <w:b/>
          <w:bCs/>
          <w:sz w:val="20"/>
          <w:szCs w:val="20"/>
          <w:lang w:val="en"/>
        </w:rPr>
      </w:pPr>
      <w:bookmarkStart w:id="295" w:name="_a2kcgdq3uesq" w:colFirst="0" w:colLast="0"/>
      <w:bookmarkEnd w:id="295"/>
      <w:r w:rsidRPr="006810DB">
        <w:rPr>
          <w:rFonts w:ascii="Book Antiqua" w:hAnsi="Book Antiqua"/>
          <w:b/>
          <w:bCs/>
          <w:sz w:val="20"/>
          <w:szCs w:val="20"/>
          <w:lang w:val="en"/>
        </w:rPr>
        <w:t>Domain Rel Homology (RHD)</w:t>
      </w:r>
    </w:p>
    <w:p w14:paraId="4B3AA73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Ciri khas yang mendefinisikan seluruh anggota keluarga NF-κB adalah keberadaan </w:t>
      </w:r>
      <w:r w:rsidRPr="006810DB">
        <w:rPr>
          <w:rFonts w:ascii="Book Antiqua" w:hAnsi="Book Antiqua"/>
          <w:i/>
          <w:iCs/>
          <w:sz w:val="20"/>
          <w:szCs w:val="20"/>
          <w:lang w:val="en"/>
        </w:rPr>
        <w:t>Rel Homology Domain</w:t>
      </w:r>
      <w:r w:rsidRPr="006810DB">
        <w:rPr>
          <w:rFonts w:ascii="Book Antiqua" w:hAnsi="Book Antiqua"/>
          <w:sz w:val="20"/>
          <w:szCs w:val="20"/>
          <w:lang w:val="en"/>
        </w:rPr>
        <w:t xml:space="preserve"> (RHD). RHD adalah segmen protein yang terdiri dari sekitar 300 asam amino yang terletak di ujung N-terminal. Domain ini bertanggung jawab atas tiga fungsi kritis: dimerisasi (penggabungan dua subunit), pengikatan DNA yang spesifik urutan, dan interaksi dengan protein inhibitor IκB. Struktur kristalografi RHD menunjukkan bahwa domain ini melipat menjadi dua struktur mirip imunoglobulin yang mencengkeram DNA seperti penjepit (Oeckinghaus &amp; Ghosh, 2009).</w:t>
      </w:r>
    </w:p>
    <w:p w14:paraId="242DBB0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Bagian N-terminal dari RHD bertanggung jawab utama untuk pengikatan DNA, mengenali urutan basa spesifik 5'-GGGRNWYYCC-3' pada promotor gen target. Sementara itu, bagian C-terminal dari RHD bertanggung jawab untuk dimerisasi dan juga mengandung </w:t>
      </w:r>
      <w:r w:rsidRPr="006810DB">
        <w:rPr>
          <w:rFonts w:ascii="Book Antiqua" w:hAnsi="Book Antiqua"/>
          <w:i/>
          <w:iCs/>
          <w:sz w:val="20"/>
          <w:szCs w:val="20"/>
          <w:lang w:val="en"/>
        </w:rPr>
        <w:t xml:space="preserve">Nuclear </w:t>
      </w:r>
      <w:r w:rsidRPr="006810DB">
        <w:rPr>
          <w:rFonts w:ascii="Book Antiqua" w:hAnsi="Book Antiqua"/>
          <w:i/>
          <w:iCs/>
          <w:sz w:val="20"/>
          <w:szCs w:val="20"/>
          <w:lang w:val="en"/>
        </w:rPr>
        <w:lastRenderedPageBreak/>
        <w:t>Localization Signal</w:t>
      </w:r>
      <w:r w:rsidRPr="006810DB">
        <w:rPr>
          <w:rFonts w:ascii="Book Antiqua" w:hAnsi="Book Antiqua"/>
          <w:sz w:val="20"/>
          <w:szCs w:val="20"/>
          <w:lang w:val="en"/>
        </w:rPr>
        <w:t xml:space="preserve"> (NLS). NLS ini adalah "kode pos" molekuler yang memberi tahu sel untuk mengirim protein ini ke dalam nukleus. Namun, dalam keadaan inaktif, NLS ini tertutupi atau disembunyikan oleh ikatan dengan protein IκB, sehingga mencegah kompleks NF-κB masuk ke inti sel (Hayden &amp; Ghosh, 2012).</w:t>
      </w:r>
    </w:p>
    <w:p w14:paraId="096CD16A" w14:textId="0ADDD7A6" w:rsidR="00B258B7" w:rsidRPr="006810DB" w:rsidRDefault="00B258B7" w:rsidP="006810DB">
      <w:pPr>
        <w:pStyle w:val="ListParagraph"/>
        <w:numPr>
          <w:ilvl w:val="0"/>
          <w:numId w:val="69"/>
        </w:numPr>
        <w:spacing w:after="0" w:line="276" w:lineRule="auto"/>
        <w:ind w:left="567" w:hanging="283"/>
        <w:contextualSpacing w:val="0"/>
        <w:jc w:val="both"/>
        <w:rPr>
          <w:rFonts w:ascii="Book Antiqua" w:hAnsi="Book Antiqua"/>
          <w:b/>
          <w:bCs/>
          <w:sz w:val="20"/>
          <w:szCs w:val="20"/>
          <w:lang w:val="en"/>
        </w:rPr>
      </w:pPr>
      <w:bookmarkStart w:id="296" w:name="_4hqcqzs0btxb" w:colFirst="0" w:colLast="0"/>
      <w:bookmarkEnd w:id="296"/>
      <w:r w:rsidRPr="006810DB">
        <w:rPr>
          <w:rFonts w:ascii="Book Antiqua" w:hAnsi="Book Antiqua"/>
          <w:b/>
          <w:bCs/>
          <w:sz w:val="20"/>
          <w:szCs w:val="20"/>
          <w:lang w:val="en"/>
        </w:rPr>
        <w:t>Inhibitor κB (IκB) sebagai Pengatur Aktivitas</w:t>
      </w:r>
    </w:p>
    <w:p w14:paraId="2EAA892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Aktivitas NF-κB dikendalikan secara ketat oleh keluarga protein inhibitor yang disebut IκB (Inhibitor of κB), dengan anggota utamanya adalah IκBα, IκBβ, dan IκBε. IκBα adalah yang paling penting dalam regulasi respons cepat terhadap sinyal pro-inflamasi. Protein IκB mengandung beberapa motif </w:t>
      </w:r>
      <w:r w:rsidRPr="006810DB">
        <w:rPr>
          <w:rFonts w:ascii="Book Antiqua" w:hAnsi="Book Antiqua"/>
          <w:i/>
          <w:iCs/>
          <w:sz w:val="20"/>
          <w:szCs w:val="20"/>
          <w:lang w:val="en"/>
        </w:rPr>
        <w:t>ankyrin repeat</w:t>
      </w:r>
      <w:r w:rsidRPr="006810DB">
        <w:rPr>
          <w:rFonts w:ascii="Book Antiqua" w:hAnsi="Book Antiqua"/>
          <w:sz w:val="20"/>
          <w:szCs w:val="20"/>
          <w:lang w:val="en"/>
        </w:rPr>
        <w:t xml:space="preserve"> yang memungkinkannya berinteraksi secara fisik dengan RHD dari dimer NF-κB (biasanya p50/p65) (Kadarullah et al., 2024).</w:t>
      </w:r>
    </w:p>
    <w:p w14:paraId="5F5B849D" w14:textId="7BA6A76F"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Fungsi utama IκB adalah untuk menahan dimer NF-κB di dalam sitoplasma. IκB melakukan ini dengan menutupi NLS pada p65 dan mengganggu akses NLS pada p50 ke mesin transpor nuklear. Akibatnya, kompleks NF-κB-IκB terperangkap di sitoplasma dalam keadaan laten. Interaksi ini bersifat reversibel namun sangat kuat. Selama IκB masih terikat, NF-κB tidak dapat memicu peradangan. Oleh karena itu, degradasi IκB adalah langkah kunci yang harus terjadi untuk mengaktifkan jalur ini, sebuah proses yang dipicu oleh sinyal eksternal seperti ROS atau sitokin (Madani et al., 2023).</w:t>
      </w:r>
    </w:p>
    <w:p w14:paraId="43724D01" w14:textId="77777777" w:rsidR="002E5D2A" w:rsidRPr="006810DB" w:rsidRDefault="002E5D2A" w:rsidP="006810DB">
      <w:pPr>
        <w:spacing w:after="0" w:line="276" w:lineRule="auto"/>
        <w:jc w:val="both"/>
        <w:rPr>
          <w:rFonts w:ascii="Book Antiqua" w:hAnsi="Book Antiqua"/>
          <w:sz w:val="20"/>
          <w:szCs w:val="20"/>
          <w:lang w:val="en"/>
        </w:rPr>
      </w:pPr>
    </w:p>
    <w:p w14:paraId="54FB5BC4" w14:textId="0F8CE3E0" w:rsidR="00B258B7" w:rsidRPr="006810DB" w:rsidRDefault="00B258B7" w:rsidP="006810DB">
      <w:pPr>
        <w:pStyle w:val="Heading2"/>
        <w:numPr>
          <w:ilvl w:val="0"/>
          <w:numId w:val="27"/>
        </w:numPr>
        <w:ind w:left="284" w:hanging="284"/>
        <w:rPr>
          <w:bCs/>
          <w:szCs w:val="20"/>
          <w:lang w:val="en"/>
        </w:rPr>
      </w:pPr>
      <w:bookmarkStart w:id="297" w:name="_np9xukofyd9x" w:colFirst="0" w:colLast="0"/>
      <w:bookmarkStart w:id="298" w:name="_Toc223088950"/>
      <w:bookmarkEnd w:id="297"/>
      <w:r w:rsidRPr="006810DB">
        <w:rPr>
          <w:bCs/>
          <w:szCs w:val="20"/>
          <w:lang w:val="en"/>
        </w:rPr>
        <w:t>Aktivasi Jalur Kanonik NF-κB</w:t>
      </w:r>
      <w:bookmarkEnd w:id="298"/>
    </w:p>
    <w:p w14:paraId="49FC5B26"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Jalur pensinyalan NF-κB dapat dibagi menjadi dua jalur utama: jalur kanonik (klasik) dan jalur non-kanonik (alternatif). Dalam patogenesis mukositis oral akibat kemoterapi, jalur kanonik adalah mekanisme dominan yang bertanggung jawab atas lonjakan cepat sitokin pro-inflamasi. Jalur ini dicirikan oleh respons yang cepat terhadap rangsangan, tidak bergantung pada sintesis protein baru, dan melibatkan degradasi IκBα yang dimediasi oleh proteasome. Proses ini mengubah sinyal kimia di </w:t>
      </w:r>
      <w:r w:rsidRPr="006810DB">
        <w:rPr>
          <w:rFonts w:ascii="Book Antiqua" w:hAnsi="Book Antiqua"/>
          <w:sz w:val="20"/>
          <w:szCs w:val="20"/>
          <w:lang w:val="en"/>
        </w:rPr>
        <w:lastRenderedPageBreak/>
        <w:t>luar sel atau stres oksidatif di dalam sel menjadi instruksi genetik di dalam nukleus dalam hitungan menit (Liu et al., 2017).</w:t>
      </w:r>
    </w:p>
    <w:p w14:paraId="71419EB0"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Aktivasi jalur kanonik NF-κB mirip dengan prosedur peluncuran misil di sebuah kapal selam tempur. Sinyal bahaya (ROS/TNF-α) diterima oleh operator radar. Operator melaporkan ke Komandan (IKK Complex). Komandan kemudian memberikan kode otorisasi untuk membuka kunci pengaman (fosforilasi IκB). Kunci pengaman dihancurkan (degradasi IκB), membebaskan Petugas Peluncuran (NF-κB) yang sebelumnya tertahan. Petugas Peluncuran kemudian berlari dari ruang kendali (sitoplasma) masuk ke ruang peluncuran (nukleus) dan menekan tombol merah (DNA binding), yang menyebabkan misil-misil (sitokin inflamasi) diluncurkan secara masif untuk menyerang target.</w:t>
      </w:r>
    </w:p>
    <w:p w14:paraId="7D71B6A0" w14:textId="08942BDF" w:rsidR="00B258B7" w:rsidRPr="006810DB" w:rsidRDefault="00B258B7" w:rsidP="006810DB">
      <w:pPr>
        <w:pStyle w:val="ListParagraph"/>
        <w:numPr>
          <w:ilvl w:val="0"/>
          <w:numId w:val="70"/>
        </w:numPr>
        <w:spacing w:after="0" w:line="276" w:lineRule="auto"/>
        <w:ind w:left="567" w:hanging="283"/>
        <w:contextualSpacing w:val="0"/>
        <w:jc w:val="both"/>
        <w:rPr>
          <w:rFonts w:ascii="Book Antiqua" w:hAnsi="Book Antiqua"/>
          <w:b/>
          <w:bCs/>
          <w:sz w:val="20"/>
          <w:szCs w:val="20"/>
          <w:lang w:val="en"/>
        </w:rPr>
      </w:pPr>
      <w:bookmarkStart w:id="299" w:name="_19uab5xd628t" w:colFirst="0" w:colLast="0"/>
      <w:bookmarkEnd w:id="299"/>
      <w:r w:rsidRPr="006810DB">
        <w:rPr>
          <w:rFonts w:ascii="Book Antiqua" w:hAnsi="Book Antiqua"/>
          <w:b/>
          <w:bCs/>
          <w:sz w:val="20"/>
          <w:szCs w:val="20"/>
          <w:lang w:val="en"/>
        </w:rPr>
        <w:t>Stimulasi oleh ROS dan Sitokin Pro-Inflamasi</w:t>
      </w:r>
    </w:p>
    <w:p w14:paraId="0E781F8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Langkah pertama dalam aktivasi jalur kanonik adalah penerimaan sinyal stimulator. Dalam konteks mukositis cisplatin, dua pemicu utama adalah stres oksidatif intraseluler (ROS) dan sitokin ekstraseluler seperti TNF-α dan IL-1β. ROS, seperti hidrogen peroksida, dapat memodulasi aktivitas enzim kinase secara langsung dengan mengoksidasi residu sistein tertentu, atau secara tidak langsung dengan menghambat enzim fosfatase yang biasanya menekan sinyal (Kadarullah et al., 2024).</w:t>
      </w:r>
    </w:p>
    <w:p w14:paraId="315E13D9"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Sementara itu, TNF-α bekerja dengan berikatan pada reseptor spesifik di permukaan sel, yaitu TNFR1. Pengikatan ligan-reseptor ini memicu perubahan konformasi dan perekrutan protein adaptor seperti TRADD dan TRAF2 ke bagian intra-sitoplasmik reseptor. Kompleks adaptor ini bertindak sebagai </w:t>
      </w:r>
      <w:r w:rsidRPr="006810DB">
        <w:rPr>
          <w:rFonts w:ascii="Book Antiqua" w:hAnsi="Book Antiqua"/>
          <w:i/>
          <w:iCs/>
          <w:sz w:val="20"/>
          <w:szCs w:val="20"/>
          <w:lang w:val="en"/>
        </w:rPr>
        <w:t>scaffold</w:t>
      </w:r>
      <w:r w:rsidRPr="006810DB">
        <w:rPr>
          <w:rFonts w:ascii="Book Antiqua" w:hAnsi="Book Antiqua"/>
          <w:sz w:val="20"/>
          <w:szCs w:val="20"/>
          <w:lang w:val="en"/>
        </w:rPr>
        <w:t xml:space="preserve"> atau kerangka kerja yang merekrut dan mengaktifkan kompleks kinase di hilir, yaitu IKK (</w:t>
      </w:r>
      <w:r w:rsidRPr="006810DB">
        <w:rPr>
          <w:rFonts w:ascii="Book Antiqua" w:hAnsi="Book Antiqua"/>
          <w:i/>
          <w:iCs/>
          <w:sz w:val="20"/>
          <w:szCs w:val="20"/>
          <w:lang w:val="en"/>
        </w:rPr>
        <w:t>IκB Kinase</w:t>
      </w:r>
      <w:r w:rsidRPr="006810DB">
        <w:rPr>
          <w:rFonts w:ascii="Book Antiqua" w:hAnsi="Book Antiqua"/>
          <w:sz w:val="20"/>
          <w:szCs w:val="20"/>
          <w:lang w:val="en"/>
        </w:rPr>
        <w:t>) (Oeckinghaus &amp; Ghosh, 2009). Ini adalah titik di mana sinyal fisik dari luar sel diterjemahkan menjadi kaskade enzimatik di dalam sel.</w:t>
      </w:r>
    </w:p>
    <w:p w14:paraId="696D0092" w14:textId="77777777" w:rsidR="00A95863" w:rsidRDefault="00A95863">
      <w:pPr>
        <w:rPr>
          <w:rFonts w:ascii="Book Antiqua" w:hAnsi="Book Antiqua"/>
          <w:b/>
          <w:bCs/>
          <w:sz w:val="20"/>
          <w:szCs w:val="20"/>
          <w:lang w:val="en"/>
        </w:rPr>
      </w:pPr>
      <w:bookmarkStart w:id="300" w:name="_l4c3mn6ard7w" w:colFirst="0" w:colLast="0"/>
      <w:bookmarkEnd w:id="300"/>
      <w:r>
        <w:rPr>
          <w:rFonts w:ascii="Book Antiqua" w:hAnsi="Book Antiqua"/>
          <w:b/>
          <w:bCs/>
          <w:sz w:val="20"/>
          <w:szCs w:val="20"/>
          <w:lang w:val="en"/>
        </w:rPr>
        <w:br w:type="page"/>
      </w:r>
    </w:p>
    <w:p w14:paraId="012C4035" w14:textId="5BA52443" w:rsidR="00B258B7" w:rsidRPr="006810DB" w:rsidRDefault="00B258B7" w:rsidP="006810DB">
      <w:pPr>
        <w:pStyle w:val="ListParagraph"/>
        <w:numPr>
          <w:ilvl w:val="0"/>
          <w:numId w:val="70"/>
        </w:numPr>
        <w:spacing w:after="0" w:line="276" w:lineRule="auto"/>
        <w:ind w:left="567" w:hanging="283"/>
        <w:contextualSpacing w:val="0"/>
        <w:jc w:val="both"/>
        <w:rPr>
          <w:rFonts w:ascii="Book Antiqua" w:hAnsi="Book Antiqua"/>
          <w:b/>
          <w:bCs/>
          <w:sz w:val="20"/>
          <w:szCs w:val="20"/>
          <w:lang w:val="en"/>
        </w:rPr>
      </w:pPr>
      <w:r w:rsidRPr="006810DB">
        <w:rPr>
          <w:rFonts w:ascii="Book Antiqua" w:hAnsi="Book Antiqua"/>
          <w:b/>
          <w:bCs/>
          <w:sz w:val="20"/>
          <w:szCs w:val="20"/>
          <w:lang w:val="en"/>
        </w:rPr>
        <w:lastRenderedPageBreak/>
        <w:t>Peran IKK Complex (IκB Kinase)</w:t>
      </w:r>
    </w:p>
    <w:p w14:paraId="19A7D29A"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Kompleks IKK adalah pusat integrasi sinyal atau "CPU" dari jalur NF-κB. Kompleks ini terdiri dari dua subunit katalitik kinase, IKKα dan IKKβ, serta satu subunit regulatori yang disebut IKKγ atau NEMO (</w:t>
      </w:r>
      <w:r w:rsidRPr="006810DB">
        <w:rPr>
          <w:rFonts w:ascii="Book Antiqua" w:hAnsi="Book Antiqua"/>
          <w:i/>
          <w:iCs/>
          <w:sz w:val="20"/>
          <w:szCs w:val="20"/>
          <w:lang w:val="en"/>
        </w:rPr>
        <w:t>NF-κB Essential Modulator</w:t>
      </w:r>
      <w:r w:rsidRPr="006810DB">
        <w:rPr>
          <w:rFonts w:ascii="Book Antiqua" w:hAnsi="Book Antiqua"/>
          <w:sz w:val="20"/>
          <w:szCs w:val="20"/>
          <w:lang w:val="en"/>
        </w:rPr>
        <w:t>). Dalam jalur kanonik yang dipicu oleh pro-inflamasi, IKKβ adalah subunit kinase yang paling berperan penting (Hayden &amp; Ghosh, 2012).</w:t>
      </w:r>
    </w:p>
    <w:p w14:paraId="56470AE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Setelah diaktifkan oleh sinyal hulu (melalui fosforilasi oleh TAK1 atau interaksi dengan NEMO yang terubiquitinasi), IKKβ melakukan tugas spesifiknya: memfosforilasi protein inhibitor IκBα pada dua residu serin spesifik di N-terminalnya (Ser32 dan Ser36). Fosforilasi ini adalah tanda molekuler atau "ciuman kematian" bagi IκBα. Tanpa aktivitas kinase dari kompleks IKK, IκBα akan tetap stabil, dan NF-κB akan tetap terinhibisi selamanya. Oleh karena itu, IKK sering menjadi target utama untuk obat anti-inflamasi (Madani et al., 2023).</w:t>
      </w:r>
    </w:p>
    <w:p w14:paraId="7E7A24A8" w14:textId="51A2D3B9" w:rsidR="00B258B7" w:rsidRPr="006810DB" w:rsidRDefault="00B258B7" w:rsidP="006810DB">
      <w:pPr>
        <w:pStyle w:val="ListParagraph"/>
        <w:numPr>
          <w:ilvl w:val="0"/>
          <w:numId w:val="70"/>
        </w:numPr>
        <w:spacing w:after="0" w:line="276" w:lineRule="auto"/>
        <w:ind w:left="567" w:hanging="283"/>
        <w:contextualSpacing w:val="0"/>
        <w:jc w:val="both"/>
        <w:rPr>
          <w:rFonts w:ascii="Book Antiqua" w:hAnsi="Book Antiqua"/>
          <w:b/>
          <w:bCs/>
          <w:sz w:val="20"/>
          <w:szCs w:val="20"/>
          <w:lang w:val="en"/>
        </w:rPr>
      </w:pPr>
      <w:bookmarkStart w:id="301" w:name="_ljmkwribhwf2" w:colFirst="0" w:colLast="0"/>
      <w:bookmarkEnd w:id="301"/>
      <w:r w:rsidRPr="006810DB">
        <w:rPr>
          <w:rFonts w:ascii="Book Antiqua" w:hAnsi="Book Antiqua"/>
          <w:b/>
          <w:bCs/>
          <w:sz w:val="20"/>
          <w:szCs w:val="20"/>
          <w:lang w:val="en"/>
        </w:rPr>
        <w:t>Translokasi Nuklear dan Ikatan DNA</w:t>
      </w:r>
    </w:p>
    <w:p w14:paraId="2EDD365F"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Fosforilasi IκBα oleh IKK memicu pengenalannya oleh ligase ubiquitin E3 (kompleks SCF-βTrCP). Ligase ini menempelkan rantai polipeptida ubiquitin pada IκBα, menandainya untuk dihancurkan oleh proteasome 26S, mesin pendegradasi protein seluler. Dengan hancurnya IκBα, </w:t>
      </w:r>
      <w:r w:rsidRPr="006810DB">
        <w:rPr>
          <w:rFonts w:ascii="Book Antiqua" w:hAnsi="Book Antiqua"/>
          <w:i/>
          <w:iCs/>
          <w:sz w:val="20"/>
          <w:szCs w:val="20"/>
          <w:lang w:val="en"/>
        </w:rPr>
        <w:t>Nuclear Localization Signal</w:t>
      </w:r>
      <w:r w:rsidRPr="006810DB">
        <w:rPr>
          <w:rFonts w:ascii="Book Antiqua" w:hAnsi="Book Antiqua"/>
          <w:sz w:val="20"/>
          <w:szCs w:val="20"/>
          <w:lang w:val="en"/>
        </w:rPr>
        <w:t xml:space="preserve"> (NLS) pada dimer p50/p65 menjadi terekspos (Liu et al., 2017).</w:t>
      </w:r>
    </w:p>
    <w:p w14:paraId="777B9F5E" w14:textId="52CD3A20"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Terbukanya NLS memungkinkan protein transpor nuklear (importin) untuk mengikat dimer NF-κB dan membawanya melewati pori nuklear masuk ke dalam nukleus. Sesampainya di nukleus, p50/p65 memindai genom untuk mencari urutan konsensus κB pada promotor gen target. Pengikatan dimer ini ke DNA merekrut ko-aktivator lain (seperti p300/CBP) yang memodifikasi struktur kromatin (asetilasi histon), membuka akses bagi RNA polimerase II untuk memulai transkripsi gen. Hasil akhirnya </w:t>
      </w:r>
      <w:r w:rsidRPr="006810DB">
        <w:rPr>
          <w:rFonts w:ascii="Book Antiqua" w:hAnsi="Book Antiqua"/>
          <w:sz w:val="20"/>
          <w:szCs w:val="20"/>
          <w:lang w:val="en"/>
        </w:rPr>
        <w:lastRenderedPageBreak/>
        <w:t>adalah produksi mRNA yang mengkode protein-protein efektor inflamasi (Kadarullah et al., 2024).</w:t>
      </w:r>
    </w:p>
    <w:p w14:paraId="263BD0DE" w14:textId="77777777" w:rsidR="002E5D2A" w:rsidRPr="006810DB" w:rsidRDefault="002E5D2A" w:rsidP="006810DB">
      <w:pPr>
        <w:spacing w:after="0" w:line="276" w:lineRule="auto"/>
        <w:jc w:val="both"/>
        <w:rPr>
          <w:rFonts w:ascii="Book Antiqua" w:hAnsi="Book Antiqua"/>
          <w:sz w:val="20"/>
          <w:szCs w:val="20"/>
          <w:lang w:val="en"/>
        </w:rPr>
      </w:pPr>
    </w:p>
    <w:p w14:paraId="5C9DD694" w14:textId="47668CAE" w:rsidR="00B258B7" w:rsidRPr="006810DB" w:rsidRDefault="00B258B7" w:rsidP="006810DB">
      <w:pPr>
        <w:pStyle w:val="Heading2"/>
        <w:numPr>
          <w:ilvl w:val="0"/>
          <w:numId w:val="27"/>
        </w:numPr>
        <w:ind w:left="284" w:hanging="284"/>
        <w:rPr>
          <w:bCs/>
          <w:szCs w:val="20"/>
          <w:lang w:val="en"/>
        </w:rPr>
      </w:pPr>
      <w:bookmarkStart w:id="302" w:name="_5aowjok8o81g" w:colFirst="0" w:colLast="0"/>
      <w:bookmarkStart w:id="303" w:name="_Toc223088951"/>
      <w:bookmarkEnd w:id="302"/>
      <w:r w:rsidRPr="006810DB">
        <w:rPr>
          <w:bCs/>
          <w:szCs w:val="20"/>
          <w:lang w:val="en"/>
        </w:rPr>
        <w:t>Target Genetik dari Aktivasi NF-κB</w:t>
      </w:r>
      <w:bookmarkEnd w:id="303"/>
    </w:p>
    <w:p w14:paraId="2E3DC84E"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Konsekuensi fungsional dari aktivasi NF-κB ditentukan oleh gen-gen yang dinyalakannya. Dalam sel epitel mukosa dan sel imun residen, NF-κB mengatur ekspresi lebih dari 500 gen yang berbeda. Namun, dalam konteks patogenesis mukositis, kelompok gen yang paling relevan adalah gen yang mengkode mediator pro-inflamasi, enzim penghasil radikal bebas, dan molekul adhesi. Aktivasi gen-gen ini secara kolektif mengubah fisiologi jaringan dari keadaan pemeliharaan menjadi keadaan pertahanan agresif yang merusak diri sendiri (Kadarullah et al., 2024).</w:t>
      </w:r>
    </w:p>
    <w:p w14:paraId="133A1854"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Aktivasi target genetik NF-κB mirip dengan proses mencetak selebaran propaganda di masa perang. Mesin cetak (transkripsi gen) mulai bekerja lembur segera setelah mendapat perintah. Selebaran pertama (sitokin) disebar untuk merekrut massa. Selebaran kedua (enzim COX-2/iNOS) berisi instruksi pembuatan bom molotov (prostaglandin/NO) yang menyebabkan ledakan dan kebakaran (nyeri/kerusakan jaringan). Selebaran ketiga (gen TNF-α) adalah perintah untuk mencetak lebih banyak selebaran lagi, menciptakan kekacauan yang meluas dan mandiri tanpa perlu perintah pusat lagi.</w:t>
      </w:r>
    </w:p>
    <w:p w14:paraId="36C406A3" w14:textId="30C23D54" w:rsidR="00B258B7" w:rsidRPr="006810DB" w:rsidRDefault="00B258B7" w:rsidP="006810DB">
      <w:pPr>
        <w:pStyle w:val="ListParagraph"/>
        <w:numPr>
          <w:ilvl w:val="0"/>
          <w:numId w:val="71"/>
        </w:numPr>
        <w:spacing w:after="0" w:line="276" w:lineRule="auto"/>
        <w:ind w:left="567" w:hanging="283"/>
        <w:contextualSpacing w:val="0"/>
        <w:jc w:val="both"/>
        <w:rPr>
          <w:rFonts w:ascii="Book Antiqua" w:hAnsi="Book Antiqua"/>
          <w:b/>
          <w:bCs/>
          <w:sz w:val="20"/>
          <w:szCs w:val="20"/>
          <w:lang w:val="en"/>
        </w:rPr>
      </w:pPr>
      <w:bookmarkStart w:id="304" w:name="_g7e75xtdu6i6" w:colFirst="0" w:colLast="0"/>
      <w:bookmarkEnd w:id="304"/>
      <w:r w:rsidRPr="006810DB">
        <w:rPr>
          <w:rFonts w:ascii="Book Antiqua" w:hAnsi="Book Antiqua"/>
          <w:b/>
          <w:bCs/>
          <w:sz w:val="20"/>
          <w:szCs w:val="20"/>
          <w:lang w:val="en"/>
        </w:rPr>
        <w:t>Transkripsi Gen Sitokin dan Kemokin</w:t>
      </w:r>
    </w:p>
    <w:p w14:paraId="193F76E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Target transkripsi utama NF-κB adalah gen-gen yang mengkode sitokin pro-inflamasi seperti TNF-α, IL-1β, IL-6, dan IL-8. Produksi protein-protein ini memulai fase amplifikasi mukositis. IL-8, misalnya, berfungsi sebagai kemokin (chemoattractant cytokine) yang kuat, bertindak seperti "jejak aroma" yang memandu neutrofil dari pembuluh darah menuju lokasi jaringan yang rusak (Sonis, 2010).</w:t>
      </w:r>
    </w:p>
    <w:p w14:paraId="32C2488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Ekspresi gen-gen ini terjadi sangat cepat karena promotor mereka mengandung situs pengikatan κB afinitas tinggi. Peningkatan kadar mRNA sitokin dapat dideteksi </w:t>
      </w:r>
      <w:r w:rsidRPr="006810DB">
        <w:rPr>
          <w:rFonts w:ascii="Book Antiqua" w:hAnsi="Book Antiqua"/>
          <w:sz w:val="20"/>
          <w:szCs w:val="20"/>
          <w:lang w:val="en"/>
        </w:rPr>
        <w:lastRenderedPageBreak/>
        <w:t>dalam jaringan hanya dalam beberapa jam setelah paparan cisplatin. Sitokin yang dihasilkan kemudian disekresikan keluar sel, di mana mereka dapat bekerja secara autokrin (mempengaruhi sel yang sama) atau parakrin (mempengaruhi sel tetangga), menyebarkan sinyal bahaya ke area yang lebih luas dari mukosa yang awalnya tidak terkena dampak langsung cisplatin (Madani et al., 2023).</w:t>
      </w:r>
    </w:p>
    <w:p w14:paraId="62652221" w14:textId="0B194037" w:rsidR="00B258B7" w:rsidRPr="006810DB" w:rsidRDefault="00B258B7" w:rsidP="006810DB">
      <w:pPr>
        <w:pStyle w:val="ListParagraph"/>
        <w:numPr>
          <w:ilvl w:val="0"/>
          <w:numId w:val="71"/>
        </w:numPr>
        <w:spacing w:after="0" w:line="276" w:lineRule="auto"/>
        <w:ind w:left="567" w:hanging="283"/>
        <w:contextualSpacing w:val="0"/>
        <w:jc w:val="both"/>
        <w:rPr>
          <w:rFonts w:ascii="Book Antiqua" w:hAnsi="Book Antiqua"/>
          <w:b/>
          <w:bCs/>
          <w:sz w:val="20"/>
          <w:szCs w:val="20"/>
          <w:lang w:val="en"/>
        </w:rPr>
      </w:pPr>
      <w:bookmarkStart w:id="305" w:name="_tiyytwnrjwsw" w:colFirst="0" w:colLast="0"/>
      <w:bookmarkEnd w:id="305"/>
      <w:r w:rsidRPr="006810DB">
        <w:rPr>
          <w:rFonts w:ascii="Book Antiqua" w:hAnsi="Book Antiqua"/>
          <w:b/>
          <w:bCs/>
          <w:sz w:val="20"/>
          <w:szCs w:val="20"/>
          <w:lang w:val="en"/>
        </w:rPr>
        <w:t>Regulasi Enzim COX-2 dan iNOS</w:t>
      </w:r>
    </w:p>
    <w:p w14:paraId="5CDB49F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Selain sitokin, NF-κB juga menginduksi ekspresi enzim-enzim induksibel seperti </w:t>
      </w:r>
      <w:r w:rsidRPr="006810DB">
        <w:rPr>
          <w:rFonts w:ascii="Book Antiqua" w:hAnsi="Book Antiqua"/>
          <w:i/>
          <w:iCs/>
          <w:sz w:val="20"/>
          <w:szCs w:val="20"/>
          <w:lang w:val="en"/>
        </w:rPr>
        <w:t>Cyclooxygenase-2</w:t>
      </w:r>
      <w:r w:rsidRPr="006810DB">
        <w:rPr>
          <w:rFonts w:ascii="Book Antiqua" w:hAnsi="Book Antiqua"/>
          <w:sz w:val="20"/>
          <w:szCs w:val="20"/>
          <w:lang w:val="en"/>
        </w:rPr>
        <w:t xml:space="preserve"> (COX-2) dan </w:t>
      </w:r>
      <w:r w:rsidRPr="006810DB">
        <w:rPr>
          <w:rFonts w:ascii="Book Antiqua" w:hAnsi="Book Antiqua"/>
          <w:i/>
          <w:iCs/>
          <w:sz w:val="20"/>
          <w:szCs w:val="20"/>
          <w:lang w:val="en"/>
        </w:rPr>
        <w:t>inducible Nitric Oxide Synthase</w:t>
      </w:r>
      <w:r w:rsidRPr="006810DB">
        <w:rPr>
          <w:rFonts w:ascii="Book Antiqua" w:hAnsi="Book Antiqua"/>
          <w:sz w:val="20"/>
          <w:szCs w:val="20"/>
          <w:lang w:val="en"/>
        </w:rPr>
        <w:t xml:space="preserve"> (iNOS). COX-2 bertanggung jawab atas konversi asam arakidonat menjadi prostaglandin (terutama PGE2). Prostaglandin adalah mediator lipid yang menyebabkan vasodilatasi (pembengkakan), sensitisasi ujung saraf nyeri (hiperalgesia), dan demam. Peningkatan ekspresi COX-2 berkorelasi kuat dengan tingkat nyeri yang dialami pasien mukositis (Logan et al., 2008).</w:t>
      </w:r>
    </w:p>
    <w:p w14:paraId="1ACBFCA2" w14:textId="26CA9098"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Di sisi lain, iNOS memproduksi nitrat oksida (NO) dalam jumlah besar, jauh melebihi jumlah yang diproduksi oleh isoform konstitutif (eNOS/nNOS). NO dalam konsentrasi tinggi bersifat sitotoksik. Ia dapat bereaksi dengan anion superoksida (yang juga meningkat akibat cisplatin) untuk membentuk peroksinitrit (ONOO−ONOO^-ONOO−), sebuah spesies reaktif nitrogen yang sangat destruktif. Peroksinitrit dapat menyebabkan nitrasi protein, kerusakan DNA lebih lanjut, dan nekrosis sel, memperparah kerusakan ulseratif pada mukosa (Kadarullah et al., 2024).</w:t>
      </w:r>
    </w:p>
    <w:p w14:paraId="1EA7A32D" w14:textId="1407914A" w:rsidR="00B258B7" w:rsidRPr="006810DB" w:rsidRDefault="00B258B7" w:rsidP="006810DB">
      <w:pPr>
        <w:pStyle w:val="ListParagraph"/>
        <w:numPr>
          <w:ilvl w:val="0"/>
          <w:numId w:val="71"/>
        </w:numPr>
        <w:spacing w:after="0" w:line="276" w:lineRule="auto"/>
        <w:ind w:left="567" w:hanging="283"/>
        <w:contextualSpacing w:val="0"/>
        <w:jc w:val="both"/>
        <w:rPr>
          <w:rFonts w:ascii="Book Antiqua" w:hAnsi="Book Antiqua"/>
          <w:b/>
          <w:bCs/>
          <w:sz w:val="20"/>
          <w:szCs w:val="20"/>
          <w:lang w:val="en"/>
        </w:rPr>
      </w:pPr>
      <w:bookmarkStart w:id="306" w:name="_p1qlgvaozrt9" w:colFirst="0" w:colLast="0"/>
      <w:bookmarkEnd w:id="306"/>
      <w:r w:rsidRPr="006810DB">
        <w:rPr>
          <w:rFonts w:ascii="Book Antiqua" w:hAnsi="Book Antiqua"/>
          <w:b/>
          <w:bCs/>
          <w:sz w:val="20"/>
          <w:szCs w:val="20"/>
          <w:lang w:val="en"/>
        </w:rPr>
        <w:t>Efek Umpan Balik Positif dalam Peradangan Kronis</w:t>
      </w:r>
    </w:p>
    <w:p w14:paraId="202BC46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Salah satu aspek paling berbahaya dari regulasi gen oleh NF-κB adalah kemampuannya untuk menciptakan loop umpan balik positif (</w:t>
      </w:r>
      <w:r w:rsidRPr="006810DB">
        <w:rPr>
          <w:rFonts w:ascii="Book Antiqua" w:hAnsi="Book Antiqua"/>
          <w:i/>
          <w:iCs/>
          <w:sz w:val="20"/>
          <w:szCs w:val="20"/>
          <w:lang w:val="en"/>
        </w:rPr>
        <w:t>positive feedback loop</w:t>
      </w:r>
      <w:r w:rsidRPr="006810DB">
        <w:rPr>
          <w:rFonts w:ascii="Book Antiqua" w:hAnsi="Book Antiqua"/>
          <w:sz w:val="20"/>
          <w:szCs w:val="20"/>
          <w:lang w:val="en"/>
        </w:rPr>
        <w:t xml:space="preserve">). Sebagai contoh, NF-κB menginduksi transkripsi gen TNF-α. Protein TNF-α yang dihasilkan kemudian disekresikan dan berikatan dengan reseptornya sendiri di permukaan sel, yang kembali memicu aktivasi NF-κB. Mekanisme ini memastikan bahwa </w:t>
      </w:r>
      <w:r w:rsidRPr="006810DB">
        <w:rPr>
          <w:rFonts w:ascii="Book Antiqua" w:hAnsi="Book Antiqua"/>
          <w:sz w:val="20"/>
          <w:szCs w:val="20"/>
          <w:lang w:val="en"/>
        </w:rPr>
        <w:lastRenderedPageBreak/>
        <w:t>respons peradangan tetap berlanjut dan bahkan meningkat intensitasnya meskipun stimulus awal (cisplatin) mungkin sudah tidak ada (Sonis, 2010).</w:t>
      </w:r>
    </w:p>
    <w:p w14:paraId="4A1A48BB"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Selain itu, NF-κB juga mengatur ekspresi IκBα baru. Meskipun ini secara teoritis adalah mekanisme umpan balik negatif untuk mematikan sinyal, dalam kondisi stres oksidatif yang berkelanjutan, degradasi IκBα terus terjadi lebih cepat daripada sintesisnya, atau bentuk IκBα yang baru disintesis langsung terdegradasi kembali. Hal ini menyebabkan aktivasi NF-κB yang konstitutif atau persisten, yang mengubah peradangan akut yang seharusnya protektif menjadi peradangan kronis yang merusak jaringan dan menghambat penyembuhan luka (Liu et al., 2017).</w:t>
      </w:r>
    </w:p>
    <w:p w14:paraId="7948BB22" w14:textId="77777777" w:rsidR="002E5D2A" w:rsidRPr="006810DB" w:rsidRDefault="002E5D2A" w:rsidP="006810DB">
      <w:pPr>
        <w:spacing w:after="0" w:line="276" w:lineRule="auto"/>
        <w:jc w:val="both"/>
        <w:rPr>
          <w:rFonts w:ascii="Book Antiqua" w:hAnsi="Book Antiqua"/>
          <w:b/>
          <w:bCs/>
          <w:sz w:val="20"/>
          <w:szCs w:val="20"/>
          <w:lang w:val="en"/>
        </w:rPr>
      </w:pPr>
      <w:bookmarkStart w:id="307" w:name="_8btrg4tj824p" w:colFirst="0" w:colLast="0"/>
      <w:bookmarkEnd w:id="307"/>
    </w:p>
    <w:p w14:paraId="36D68495" w14:textId="77777777" w:rsidR="00564DC0" w:rsidRPr="006810DB" w:rsidRDefault="00564DC0" w:rsidP="006810DB">
      <w:pPr>
        <w:spacing w:line="276" w:lineRule="auto"/>
        <w:rPr>
          <w:rFonts w:ascii="Book Antiqua" w:eastAsiaTheme="majorEastAsia" w:hAnsi="Book Antiqua" w:cstheme="majorBidi"/>
          <w:b/>
          <w:bCs/>
          <w:color w:val="000000" w:themeColor="text1"/>
          <w:sz w:val="20"/>
          <w:szCs w:val="20"/>
          <w:lang w:val="en"/>
        </w:rPr>
      </w:pPr>
      <w:r w:rsidRPr="006810DB">
        <w:rPr>
          <w:rFonts w:ascii="Book Antiqua" w:hAnsi="Book Antiqua"/>
          <w:bCs/>
          <w:szCs w:val="20"/>
          <w:lang w:val="en"/>
        </w:rPr>
        <w:br w:type="page"/>
      </w:r>
    </w:p>
    <w:p w14:paraId="6D65194E" w14:textId="769B1737" w:rsidR="00B258B7" w:rsidRPr="006810DB" w:rsidRDefault="00B258B7" w:rsidP="006810DB">
      <w:pPr>
        <w:pStyle w:val="Heading2"/>
        <w:jc w:val="center"/>
        <w:rPr>
          <w:b w:val="0"/>
          <w:bCs/>
          <w:szCs w:val="20"/>
          <w:lang w:val="en"/>
        </w:rPr>
      </w:pPr>
      <w:bookmarkStart w:id="308" w:name="_Toc223088952"/>
      <w:r w:rsidRPr="006810DB">
        <w:rPr>
          <w:bCs/>
          <w:szCs w:val="20"/>
          <w:lang w:val="en"/>
        </w:rPr>
        <w:lastRenderedPageBreak/>
        <w:t>KESIMPULAN</w:t>
      </w:r>
      <w:bookmarkEnd w:id="308"/>
    </w:p>
    <w:p w14:paraId="12744408" w14:textId="77777777" w:rsidR="002E5D2A" w:rsidRPr="006810DB" w:rsidRDefault="002E5D2A" w:rsidP="006810DB">
      <w:pPr>
        <w:spacing w:after="0" w:line="276" w:lineRule="auto"/>
        <w:jc w:val="both"/>
        <w:rPr>
          <w:rFonts w:ascii="Book Antiqua" w:hAnsi="Book Antiqua"/>
          <w:sz w:val="20"/>
          <w:szCs w:val="20"/>
          <w:lang w:val="en"/>
        </w:rPr>
      </w:pPr>
    </w:p>
    <w:p w14:paraId="5A88AA57" w14:textId="76400E5F" w:rsidR="00B258B7" w:rsidRPr="006810DB" w:rsidRDefault="00B258B7" w:rsidP="006810DB">
      <w:pPr>
        <w:spacing w:after="0" w:line="276" w:lineRule="auto"/>
        <w:ind w:firstLine="567"/>
        <w:jc w:val="both"/>
        <w:rPr>
          <w:rFonts w:ascii="Book Antiqua" w:hAnsi="Book Antiqua"/>
          <w:sz w:val="20"/>
          <w:szCs w:val="20"/>
          <w:lang w:val="en"/>
        </w:rPr>
      </w:pPr>
      <w:r w:rsidRPr="006810DB">
        <w:rPr>
          <w:rFonts w:ascii="Book Antiqua" w:hAnsi="Book Antiqua"/>
          <w:sz w:val="20"/>
          <w:szCs w:val="20"/>
          <w:lang w:val="en"/>
        </w:rPr>
        <w:t xml:space="preserve">Jalur signaling NF-κB, khususnya dimer p50/p65, merupakan mekanisme sentral yang menerjemahkan stres akibat cisplatin menjadi badai inflamasi pada mukosa oral. Melalui jalur kanonik yang melibatkan kompleks IKK dan degradasi inhibitor IκB, NF-κB bertranslokasi ke nukleus dan mengaktifkan program genetik yang mencakup sitokin pro-inflamasi, kemokin, dan enzim destruktif. Pemahaman rinci mengenai kaskade molekuler ini menegaskan bahwa intervensi terapeutik yang efektif, seperti penggunaan </w:t>
      </w:r>
      <w:r w:rsidRPr="006810DB">
        <w:rPr>
          <w:rFonts w:ascii="Book Antiqua" w:hAnsi="Book Antiqua"/>
          <w:i/>
          <w:iCs/>
          <w:sz w:val="20"/>
          <w:szCs w:val="20"/>
          <w:lang w:val="en"/>
        </w:rPr>
        <w:t>Nigella sativa</w:t>
      </w:r>
      <w:r w:rsidRPr="006810DB">
        <w:rPr>
          <w:rFonts w:ascii="Book Antiqua" w:hAnsi="Book Antiqua"/>
          <w:sz w:val="20"/>
          <w:szCs w:val="20"/>
          <w:lang w:val="en"/>
        </w:rPr>
        <w:t>, harus mampu menghambat satu atau lebih langkah dalam jalur ini, baik dengan mencegah degradasi IκB, menghambat translokasi nuklear, atau mengganggu pengikatan DNA, untuk memutus siklus peradangan dan melindungi jaringan.</w:t>
      </w:r>
    </w:p>
    <w:p w14:paraId="12200DE1" w14:textId="77777777" w:rsidR="002E5D2A" w:rsidRPr="006810DB" w:rsidRDefault="002E5D2A" w:rsidP="006810DB">
      <w:pPr>
        <w:spacing w:line="276" w:lineRule="auto"/>
        <w:rPr>
          <w:rFonts w:ascii="Book Antiqua" w:hAnsi="Book Antiqua"/>
          <w:b/>
          <w:bCs/>
          <w:sz w:val="20"/>
          <w:szCs w:val="20"/>
          <w:lang w:val="en"/>
        </w:rPr>
      </w:pPr>
      <w:bookmarkStart w:id="309" w:name="_79t5zu8cdzs" w:colFirst="0" w:colLast="0"/>
      <w:bookmarkEnd w:id="309"/>
      <w:r w:rsidRPr="006810DB">
        <w:rPr>
          <w:rFonts w:ascii="Book Antiqua" w:hAnsi="Book Antiqua"/>
          <w:b/>
          <w:bCs/>
          <w:sz w:val="20"/>
          <w:szCs w:val="20"/>
          <w:lang w:val="en"/>
        </w:rPr>
        <w:br w:type="page"/>
      </w:r>
    </w:p>
    <w:p w14:paraId="07B6EDFF" w14:textId="77777777" w:rsidR="00824155" w:rsidRPr="006810DB" w:rsidRDefault="00824155" w:rsidP="00824155">
      <w:pPr>
        <w:pStyle w:val="Heading2"/>
        <w:jc w:val="center"/>
      </w:pPr>
      <w:bookmarkStart w:id="310" w:name="_Toc223088953"/>
      <w:r w:rsidRPr="006810DB">
        <w:lastRenderedPageBreak/>
        <w:t>GLOSARIUM</w:t>
      </w:r>
      <w:bookmarkEnd w:id="310"/>
    </w:p>
    <w:p w14:paraId="0FD50ECE" w14:textId="77777777" w:rsidR="00824155" w:rsidRPr="006810DB" w:rsidRDefault="00824155" w:rsidP="00824155">
      <w:pPr>
        <w:spacing w:after="0" w:line="276" w:lineRule="auto"/>
        <w:jc w:val="both"/>
        <w:rPr>
          <w:rFonts w:ascii="Book Antiqua" w:hAnsi="Book Antiqua"/>
          <w:b/>
          <w:bCs/>
          <w:sz w:val="20"/>
          <w:szCs w:val="20"/>
          <w:lang w:val="en"/>
        </w:rPr>
      </w:pPr>
    </w:p>
    <w:p w14:paraId="7BA5AD07"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IKK Complex (</w:t>
      </w:r>
      <w:r w:rsidRPr="006810DB">
        <w:rPr>
          <w:rFonts w:ascii="Book Antiqua" w:hAnsi="Book Antiqua"/>
          <w:b/>
          <w:bCs/>
          <w:i/>
          <w:iCs/>
          <w:sz w:val="20"/>
          <w:szCs w:val="20"/>
          <w:lang w:val="en"/>
        </w:rPr>
        <w:t>IκB Kinase</w:t>
      </w:r>
      <w:r w:rsidRPr="006810DB">
        <w:rPr>
          <w:rFonts w:ascii="Book Antiqua" w:hAnsi="Book Antiqua"/>
          <w:b/>
          <w:bCs/>
          <w:sz w:val="20"/>
          <w:szCs w:val="20"/>
          <w:lang w:val="en"/>
        </w:rPr>
        <w:t>)</w:t>
      </w:r>
      <w:r w:rsidRPr="006810DB">
        <w:rPr>
          <w:rFonts w:ascii="Book Antiqua" w:hAnsi="Book Antiqua"/>
          <w:sz w:val="20"/>
          <w:szCs w:val="20"/>
          <w:lang w:val="en"/>
        </w:rPr>
        <w:t>: Kompleks enzim yang memfosforilasi IκB, menandainya untuk degradasi, sehingga mengaktifkan NF-κB.</w:t>
      </w:r>
    </w:p>
    <w:p w14:paraId="1DEBEE97"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IκB (</w:t>
      </w:r>
      <w:r w:rsidRPr="006810DB">
        <w:rPr>
          <w:rFonts w:ascii="Book Antiqua" w:hAnsi="Book Antiqua"/>
          <w:b/>
          <w:bCs/>
          <w:i/>
          <w:iCs/>
          <w:sz w:val="20"/>
          <w:szCs w:val="20"/>
          <w:lang w:val="en"/>
        </w:rPr>
        <w:t>Inhibitor of κB</w:t>
      </w:r>
      <w:r w:rsidRPr="006810DB">
        <w:rPr>
          <w:rFonts w:ascii="Book Antiqua" w:hAnsi="Book Antiqua"/>
          <w:b/>
          <w:bCs/>
          <w:sz w:val="20"/>
          <w:szCs w:val="20"/>
          <w:lang w:val="en"/>
        </w:rPr>
        <w:t>)</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Protein yang menghambat aktivitas NF-κB dengan mengikatnya di sitoplasma dan menutupi sinyal lokalisasi nuklearnya.</w:t>
      </w:r>
    </w:p>
    <w:p w14:paraId="7F2CD2DF"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Jalur Kanonik</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Jalur aktivasi NF-κB yang paling umum dan cepat, dipicu oleh sitokin pro-inflamasi, melibatkan degradasi IκBα yang dimediasi oleh kompleks IKK.</w:t>
      </w:r>
    </w:p>
    <w:p w14:paraId="75A2A1CE"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NF-κB (</w:t>
      </w:r>
      <w:r w:rsidRPr="006810DB">
        <w:rPr>
          <w:rFonts w:ascii="Book Antiqua" w:hAnsi="Book Antiqua"/>
          <w:b/>
          <w:bCs/>
          <w:i/>
          <w:iCs/>
          <w:sz w:val="20"/>
          <w:szCs w:val="20"/>
          <w:lang w:val="en"/>
        </w:rPr>
        <w:t>Nuclear Factor-kappa B</w:t>
      </w:r>
      <w:r w:rsidRPr="006810DB">
        <w:rPr>
          <w:rFonts w:ascii="Book Antiqua" w:hAnsi="Book Antiqua"/>
          <w:b/>
          <w:bCs/>
          <w:sz w:val="20"/>
          <w:szCs w:val="20"/>
          <w:lang w:val="en"/>
        </w:rPr>
        <w:t>)</w:t>
      </w:r>
      <w:r w:rsidRPr="006810DB">
        <w:rPr>
          <w:rFonts w:ascii="Book Antiqua" w:hAnsi="Book Antiqua"/>
          <w:sz w:val="20"/>
          <w:szCs w:val="20"/>
          <w:lang w:val="en"/>
        </w:rPr>
        <w:t>: Kompleks protein faktor transkripsi yang mengontrol transkripsi DNA, produksi sitokin, dan kelangsungan hidup sel; memainkan peran kunci dalam mengatur respons imun terhadap infeksi dan stres.</w:t>
      </w:r>
    </w:p>
    <w:p w14:paraId="7B265225"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Translokasi Nuklear</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Proses perpindahan protein (seperti NF-κB) dari sitoplasma ke dalam inti sel (nukleus) untuk menjalankan fungsinya mengatur ekspresi gen.</w:t>
      </w:r>
    </w:p>
    <w:p w14:paraId="082A4E74" w14:textId="77777777" w:rsidR="00824155" w:rsidRPr="006810DB" w:rsidRDefault="00824155" w:rsidP="00824155">
      <w:pPr>
        <w:spacing w:line="276" w:lineRule="auto"/>
        <w:rPr>
          <w:rFonts w:ascii="Book Antiqua" w:hAnsi="Book Antiqua"/>
          <w:b/>
          <w:bCs/>
          <w:sz w:val="20"/>
          <w:szCs w:val="20"/>
          <w:lang w:val="en"/>
        </w:rPr>
      </w:pPr>
      <w:bookmarkStart w:id="311" w:name="_qy2u00srcc14" w:colFirst="0" w:colLast="0"/>
      <w:bookmarkEnd w:id="311"/>
      <w:r w:rsidRPr="006810DB">
        <w:rPr>
          <w:rFonts w:ascii="Book Antiqua" w:hAnsi="Book Antiqua"/>
          <w:b/>
          <w:bCs/>
          <w:sz w:val="20"/>
          <w:szCs w:val="20"/>
          <w:lang w:val="en"/>
        </w:rPr>
        <w:br w:type="page"/>
      </w:r>
    </w:p>
    <w:p w14:paraId="6F6EEBAD" w14:textId="77777777" w:rsidR="001C793B" w:rsidRPr="006810DB" w:rsidRDefault="001C793B" w:rsidP="006810DB">
      <w:pPr>
        <w:pStyle w:val="Heading2"/>
        <w:jc w:val="center"/>
      </w:pPr>
      <w:bookmarkStart w:id="312" w:name="_Toc223088954"/>
      <w:r w:rsidRPr="006810DB">
        <w:lastRenderedPageBreak/>
        <w:t>DAFTAR PUSTAKA</w:t>
      </w:r>
      <w:bookmarkEnd w:id="312"/>
    </w:p>
    <w:p w14:paraId="0D5433C7" w14:textId="77777777" w:rsidR="001C793B" w:rsidRPr="006810DB" w:rsidRDefault="001C793B" w:rsidP="006810DB">
      <w:pPr>
        <w:spacing w:after="0" w:line="276" w:lineRule="auto"/>
        <w:jc w:val="both"/>
        <w:rPr>
          <w:rFonts w:ascii="Book Antiqua" w:hAnsi="Book Antiqua"/>
          <w:b/>
          <w:bCs/>
          <w:sz w:val="20"/>
          <w:szCs w:val="20"/>
          <w:lang w:val="en"/>
        </w:rPr>
      </w:pPr>
    </w:p>
    <w:p w14:paraId="72530A5E"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Hayden, M. S., &amp; Ghosh, S. (2012). NF-κB, the first quarter-century: remarkable progress and outstanding questions. </w:t>
      </w:r>
      <w:r w:rsidRPr="006810DB">
        <w:rPr>
          <w:rFonts w:ascii="Book Antiqua" w:hAnsi="Book Antiqua"/>
          <w:i/>
          <w:iCs/>
          <w:color w:val="000000" w:themeColor="text1"/>
          <w:sz w:val="20"/>
          <w:szCs w:val="20"/>
          <w:lang w:val="en"/>
        </w:rPr>
        <w:t>Genes &amp; Development</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26</w:t>
      </w:r>
      <w:r w:rsidRPr="006810DB">
        <w:rPr>
          <w:rFonts w:ascii="Book Antiqua" w:hAnsi="Book Antiqua"/>
          <w:color w:val="000000" w:themeColor="text1"/>
          <w:sz w:val="20"/>
          <w:szCs w:val="20"/>
          <w:lang w:val="en"/>
        </w:rPr>
        <w:t>(3), 203-234.</w:t>
      </w:r>
      <w:hyperlink r:id="rId243">
        <w:r w:rsidRPr="006810DB">
          <w:rPr>
            <w:rStyle w:val="Hyperlink"/>
            <w:rFonts w:ascii="Book Antiqua" w:hAnsi="Book Antiqua"/>
            <w:color w:val="000000" w:themeColor="text1"/>
            <w:sz w:val="20"/>
            <w:szCs w:val="20"/>
            <w:u w:val="none"/>
            <w:lang w:val="en"/>
          </w:rPr>
          <w:t xml:space="preserve"> </w:t>
        </w:r>
      </w:hyperlink>
      <w:hyperlink r:id="rId244">
        <w:r w:rsidRPr="006810DB">
          <w:rPr>
            <w:rStyle w:val="Hyperlink"/>
            <w:rFonts w:ascii="Book Antiqua" w:hAnsi="Book Antiqua"/>
            <w:color w:val="000000" w:themeColor="text1"/>
            <w:sz w:val="20"/>
            <w:szCs w:val="20"/>
            <w:u w:val="none"/>
            <w:lang w:val="en"/>
          </w:rPr>
          <w:t>https://doi.org/10.1101/gad.183434.111</w:t>
        </w:r>
      </w:hyperlink>
    </w:p>
    <w:p w14:paraId="76C1B760"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Kadarullah, O., Tamtomo, D., Wasita, B., Setiamika, M., Prayitno, A., Widyaningsih, V., &amp; Soetrisno, S. (2024). Cisplatin-Induced Oral Mucositis Prevention: Nigella sativa’s Anti-Inflammatory Role through NFκB Pathway. </w:t>
      </w:r>
      <w:r w:rsidRPr="006810DB">
        <w:rPr>
          <w:rFonts w:ascii="Book Antiqua" w:hAnsi="Book Antiqua"/>
          <w:i/>
          <w:iCs/>
          <w:color w:val="000000" w:themeColor="text1"/>
          <w:sz w:val="20"/>
          <w:szCs w:val="20"/>
          <w:lang w:val="en"/>
        </w:rPr>
        <w:t>Trends in Sciences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21</w:t>
      </w:r>
      <w:r w:rsidRPr="006810DB">
        <w:rPr>
          <w:rFonts w:ascii="Book Antiqua" w:hAnsi="Book Antiqua"/>
          <w:color w:val="000000" w:themeColor="text1"/>
          <w:sz w:val="20"/>
          <w:szCs w:val="20"/>
          <w:lang w:val="en"/>
        </w:rPr>
        <w:t>(1), 8105.</w:t>
      </w:r>
      <w:hyperlink r:id="rId245">
        <w:r w:rsidRPr="006810DB">
          <w:rPr>
            <w:rStyle w:val="Hyperlink"/>
            <w:rFonts w:ascii="Book Antiqua" w:hAnsi="Book Antiqua"/>
            <w:color w:val="000000" w:themeColor="text1"/>
            <w:sz w:val="20"/>
            <w:szCs w:val="20"/>
            <w:u w:val="none"/>
            <w:lang w:val="en"/>
          </w:rPr>
          <w:t xml:space="preserve"> </w:t>
        </w:r>
      </w:hyperlink>
      <w:hyperlink r:id="rId246">
        <w:r w:rsidRPr="006810DB">
          <w:rPr>
            <w:rStyle w:val="Hyperlink"/>
            <w:rFonts w:ascii="Book Antiqua" w:hAnsi="Book Antiqua"/>
            <w:color w:val="000000" w:themeColor="text1"/>
            <w:sz w:val="20"/>
            <w:szCs w:val="20"/>
            <w:u w:val="none"/>
            <w:lang w:val="en"/>
          </w:rPr>
          <w:t>https://doi.org/10.48048/tis.2024.8105</w:t>
        </w:r>
      </w:hyperlink>
    </w:p>
    <w:p w14:paraId="00A4C834"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Liu, T., Zhang, L., Joo, D., &amp; Sun, S. C. (2017). NF-κB signaling in inflammation. </w:t>
      </w:r>
      <w:r w:rsidRPr="006810DB">
        <w:rPr>
          <w:rFonts w:ascii="Book Antiqua" w:hAnsi="Book Antiqua"/>
          <w:i/>
          <w:iCs/>
          <w:color w:val="000000" w:themeColor="text1"/>
          <w:sz w:val="20"/>
          <w:szCs w:val="20"/>
          <w:lang w:val="en"/>
        </w:rPr>
        <w:t>Signal Transduction and Targeted Therapy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w:t>
      </w:r>
      <w:r w:rsidRPr="006810DB">
        <w:rPr>
          <w:rFonts w:ascii="Book Antiqua" w:hAnsi="Book Antiqua"/>
          <w:color w:val="000000" w:themeColor="text1"/>
          <w:sz w:val="20"/>
          <w:szCs w:val="20"/>
          <w:lang w:val="en"/>
        </w:rPr>
        <w:t>, 17023.</w:t>
      </w:r>
      <w:hyperlink r:id="rId247">
        <w:r w:rsidRPr="006810DB">
          <w:rPr>
            <w:rStyle w:val="Hyperlink"/>
            <w:rFonts w:ascii="Book Antiqua" w:hAnsi="Book Antiqua"/>
            <w:color w:val="000000" w:themeColor="text1"/>
            <w:sz w:val="20"/>
            <w:szCs w:val="20"/>
            <w:u w:val="none"/>
            <w:lang w:val="en"/>
          </w:rPr>
          <w:t xml:space="preserve"> </w:t>
        </w:r>
      </w:hyperlink>
      <w:hyperlink r:id="rId248">
        <w:r w:rsidRPr="006810DB">
          <w:rPr>
            <w:rStyle w:val="Hyperlink"/>
            <w:rFonts w:ascii="Book Antiqua" w:hAnsi="Book Antiqua"/>
            <w:color w:val="000000" w:themeColor="text1"/>
            <w:sz w:val="20"/>
            <w:szCs w:val="20"/>
            <w:u w:val="none"/>
            <w:lang w:val="en"/>
          </w:rPr>
          <w:t>https://doi.org/10.1038/sigtrans.2017.23</w:t>
        </w:r>
      </w:hyperlink>
    </w:p>
    <w:p w14:paraId="4CA11CC6"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Logan, R. M., Gibson, R. J., Sonis, S. T., &amp; Keefe, D. M. (2008). Nuclear factor-kappaB (NF-κB) and cyclooxygenase-2 (COX-2) in the pathobiology of cancer therapy-induced oral mucositis. </w:t>
      </w:r>
      <w:r w:rsidRPr="006810DB">
        <w:rPr>
          <w:rFonts w:ascii="Book Antiqua" w:hAnsi="Book Antiqua"/>
          <w:i/>
          <w:iCs/>
          <w:color w:val="000000" w:themeColor="text1"/>
          <w:sz w:val="20"/>
          <w:szCs w:val="20"/>
          <w:lang w:val="en"/>
        </w:rPr>
        <w:t>Oral Oncology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44</w:t>
      </w:r>
      <w:r w:rsidRPr="006810DB">
        <w:rPr>
          <w:rFonts w:ascii="Book Antiqua" w:hAnsi="Book Antiqua"/>
          <w:color w:val="000000" w:themeColor="text1"/>
          <w:sz w:val="20"/>
          <w:szCs w:val="20"/>
          <w:lang w:val="en"/>
        </w:rPr>
        <w:t>(1), 1-8.</w:t>
      </w:r>
      <w:hyperlink r:id="rId249">
        <w:r w:rsidRPr="006810DB">
          <w:rPr>
            <w:rStyle w:val="Hyperlink"/>
            <w:rFonts w:ascii="Book Antiqua" w:hAnsi="Book Antiqua"/>
            <w:color w:val="000000" w:themeColor="text1"/>
            <w:sz w:val="20"/>
            <w:szCs w:val="20"/>
            <w:u w:val="none"/>
            <w:lang w:val="en"/>
          </w:rPr>
          <w:t xml:space="preserve"> </w:t>
        </w:r>
      </w:hyperlink>
      <w:hyperlink r:id="rId250">
        <w:r w:rsidRPr="006810DB">
          <w:rPr>
            <w:rStyle w:val="Hyperlink"/>
            <w:rFonts w:ascii="Book Antiqua" w:hAnsi="Book Antiqua"/>
            <w:color w:val="000000" w:themeColor="text1"/>
            <w:sz w:val="20"/>
            <w:szCs w:val="20"/>
            <w:u w:val="none"/>
            <w:lang w:val="en"/>
          </w:rPr>
          <w:t>https://doi.org/10.1016/j.oraloncology.2007.03.007</w:t>
        </w:r>
      </w:hyperlink>
    </w:p>
    <w:p w14:paraId="5BD9C660"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Madani, F., Kazemi, S., Shirafkan, F., Lotfi, M., Hosseini, S., &amp; Moghadamnia, A. (2023). Thymoquinone protects against 5</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Fluorouracil</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induced mucositis by NF</w:t>
      </w:r>
      <w:r w:rsidRPr="006810DB">
        <w:rPr>
          <w:rFonts w:ascii="Times New Roman" w:hAnsi="Times New Roman" w:cs="Times New Roman"/>
          <w:color w:val="000000" w:themeColor="text1"/>
          <w:sz w:val="20"/>
          <w:szCs w:val="20"/>
          <w:lang w:val="en"/>
        </w:rPr>
        <w:t>‐</w:t>
      </w:r>
      <w:r w:rsidRPr="006810DB">
        <w:rPr>
          <w:rFonts w:ascii="Book Antiqua" w:hAnsi="Book Antiqua" w:cs="Book Antiqua"/>
          <w:color w:val="000000" w:themeColor="text1"/>
          <w:sz w:val="20"/>
          <w:szCs w:val="20"/>
          <w:lang w:val="en"/>
        </w:rPr>
        <w:t>κβ</w:t>
      </w:r>
      <w:r w:rsidRPr="006810DB">
        <w:rPr>
          <w:rFonts w:ascii="Book Antiqua" w:hAnsi="Book Antiqua"/>
          <w:color w:val="000000" w:themeColor="text1"/>
          <w:sz w:val="20"/>
          <w:szCs w:val="20"/>
          <w:lang w:val="en"/>
        </w:rPr>
        <w:t xml:space="preserve"> and HIF</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 xml:space="preserve">1 mechanisms in mice. </w:t>
      </w:r>
      <w:r w:rsidRPr="006810DB">
        <w:rPr>
          <w:rFonts w:ascii="Book Antiqua" w:hAnsi="Book Antiqua"/>
          <w:i/>
          <w:iCs/>
          <w:color w:val="000000" w:themeColor="text1"/>
          <w:sz w:val="20"/>
          <w:szCs w:val="20"/>
          <w:lang w:val="en"/>
        </w:rPr>
        <w:t>Journal of Biochemical and Molecular Toxicology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37</w:t>
      </w:r>
      <w:r w:rsidRPr="006810DB">
        <w:rPr>
          <w:rFonts w:ascii="Book Antiqua" w:hAnsi="Book Antiqua"/>
          <w:color w:val="000000" w:themeColor="text1"/>
          <w:sz w:val="20"/>
          <w:szCs w:val="20"/>
          <w:lang w:val="en"/>
        </w:rPr>
        <w:t>(6), e23405.</w:t>
      </w:r>
      <w:hyperlink r:id="rId251">
        <w:r w:rsidRPr="006810DB">
          <w:rPr>
            <w:rStyle w:val="Hyperlink"/>
            <w:rFonts w:ascii="Book Antiqua" w:hAnsi="Book Antiqua"/>
            <w:color w:val="000000" w:themeColor="text1"/>
            <w:sz w:val="20"/>
            <w:szCs w:val="20"/>
            <w:u w:val="none"/>
            <w:lang w:val="en"/>
          </w:rPr>
          <w:t xml:space="preserve"> </w:t>
        </w:r>
      </w:hyperlink>
      <w:hyperlink r:id="rId252">
        <w:r w:rsidRPr="006810DB">
          <w:rPr>
            <w:rStyle w:val="Hyperlink"/>
            <w:rFonts w:ascii="Book Antiqua" w:hAnsi="Book Antiqua"/>
            <w:color w:val="000000" w:themeColor="text1"/>
            <w:sz w:val="20"/>
            <w:szCs w:val="20"/>
            <w:u w:val="none"/>
            <w:lang w:val="en"/>
          </w:rPr>
          <w:t>https://doi.org/10.1002/jbt.23405</w:t>
        </w:r>
      </w:hyperlink>
    </w:p>
    <w:p w14:paraId="4C9C2C23" w14:textId="77777777" w:rsidR="001C793B" w:rsidRPr="006810DB" w:rsidRDefault="001C793B"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Oeckinghaus, A., &amp; Ghosh, S. (2009). The NF-kappaB family of transcription factors and its regulation. </w:t>
      </w:r>
      <w:r w:rsidRPr="006810DB">
        <w:rPr>
          <w:rFonts w:ascii="Book Antiqua" w:hAnsi="Book Antiqua"/>
          <w:i/>
          <w:iCs/>
          <w:color w:val="000000" w:themeColor="text1"/>
          <w:sz w:val="20"/>
          <w:szCs w:val="20"/>
          <w:lang w:val="en"/>
        </w:rPr>
        <w:t>Cold Spring Harbor Perspectives in Biology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w:t>
      </w:r>
      <w:r w:rsidRPr="006810DB">
        <w:rPr>
          <w:rFonts w:ascii="Book Antiqua" w:hAnsi="Book Antiqua"/>
          <w:color w:val="000000" w:themeColor="text1"/>
          <w:sz w:val="20"/>
          <w:szCs w:val="20"/>
          <w:lang w:val="en"/>
        </w:rPr>
        <w:t>(4), a000034.</w:t>
      </w:r>
      <w:hyperlink r:id="rId253">
        <w:r w:rsidRPr="006810DB">
          <w:rPr>
            <w:rStyle w:val="Hyperlink"/>
            <w:rFonts w:ascii="Book Antiqua" w:hAnsi="Book Antiqua"/>
            <w:color w:val="000000" w:themeColor="text1"/>
            <w:sz w:val="20"/>
            <w:szCs w:val="20"/>
            <w:u w:val="none"/>
            <w:lang w:val="en"/>
          </w:rPr>
          <w:t xml:space="preserve"> </w:t>
        </w:r>
      </w:hyperlink>
      <w:hyperlink r:id="rId254">
        <w:r w:rsidRPr="006810DB">
          <w:rPr>
            <w:rStyle w:val="Hyperlink"/>
            <w:rFonts w:ascii="Book Antiqua" w:hAnsi="Book Antiqua"/>
            <w:color w:val="000000" w:themeColor="text1"/>
            <w:sz w:val="20"/>
            <w:szCs w:val="20"/>
            <w:u w:val="none"/>
            <w:lang w:val="en"/>
          </w:rPr>
          <w:t>https://doi.org/10.1101/cshperspect.a000034</w:t>
        </w:r>
      </w:hyperlink>
    </w:p>
    <w:p w14:paraId="1E561DB3" w14:textId="77777777" w:rsidR="001C793B" w:rsidRPr="006810DB" w:rsidRDefault="001C793B" w:rsidP="006810DB">
      <w:pPr>
        <w:spacing w:after="120" w:line="276" w:lineRule="auto"/>
        <w:ind w:left="567" w:hanging="567"/>
        <w:jc w:val="both"/>
        <w:rPr>
          <w:rFonts w:ascii="Book Antiqua" w:hAnsi="Book Antiqua"/>
          <w:sz w:val="20"/>
          <w:szCs w:val="20"/>
          <w:lang w:val="en"/>
        </w:rPr>
      </w:pPr>
      <w:r w:rsidRPr="006810DB">
        <w:rPr>
          <w:rFonts w:ascii="Book Antiqua" w:hAnsi="Book Antiqua"/>
          <w:color w:val="000000" w:themeColor="text1"/>
          <w:sz w:val="20"/>
          <w:szCs w:val="20"/>
          <w:lang w:val="en"/>
        </w:rPr>
        <w:t xml:space="preserve">Sonis, S. T. (2010). The pathobiology of mucositis. </w:t>
      </w:r>
      <w:r w:rsidRPr="006810DB">
        <w:rPr>
          <w:rFonts w:ascii="Book Antiqua" w:hAnsi="Book Antiqua"/>
          <w:i/>
          <w:iCs/>
          <w:color w:val="000000" w:themeColor="text1"/>
          <w:sz w:val="20"/>
          <w:szCs w:val="20"/>
          <w:lang w:val="en"/>
        </w:rPr>
        <w:t>Nature Reviews 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w:t>
      </w:r>
      <w:r w:rsidRPr="006810DB">
        <w:rPr>
          <w:rFonts w:ascii="Book Antiqua" w:hAnsi="Book Antiqua"/>
          <w:color w:val="000000" w:themeColor="text1"/>
          <w:sz w:val="20"/>
          <w:szCs w:val="20"/>
          <w:lang w:val="en"/>
        </w:rPr>
        <w:t>(4), 277-284.</w:t>
      </w:r>
      <w:hyperlink r:id="rId255">
        <w:r w:rsidRPr="006810DB">
          <w:rPr>
            <w:rStyle w:val="Hyperlink"/>
            <w:rFonts w:ascii="Book Antiqua" w:hAnsi="Book Antiqua"/>
            <w:color w:val="000000" w:themeColor="text1"/>
            <w:sz w:val="20"/>
            <w:szCs w:val="20"/>
            <w:u w:val="none"/>
            <w:lang w:val="en"/>
          </w:rPr>
          <w:t xml:space="preserve"> </w:t>
        </w:r>
      </w:hyperlink>
      <w:hyperlink r:id="rId256">
        <w:r w:rsidRPr="006810DB">
          <w:rPr>
            <w:rStyle w:val="Hyperlink"/>
            <w:rFonts w:ascii="Book Antiqua" w:hAnsi="Book Antiqua"/>
            <w:color w:val="000000" w:themeColor="text1"/>
            <w:sz w:val="20"/>
            <w:szCs w:val="20"/>
            <w:u w:val="none"/>
            <w:lang w:val="en"/>
          </w:rPr>
          <w:t>https://doi.org/10.1038/nrc2812</w:t>
        </w:r>
      </w:hyperlink>
    </w:p>
    <w:p w14:paraId="68BE0D7A" w14:textId="77777777" w:rsidR="001C793B" w:rsidRPr="006810DB" w:rsidRDefault="001C793B" w:rsidP="006810DB">
      <w:pPr>
        <w:spacing w:after="0" w:line="276" w:lineRule="auto"/>
        <w:jc w:val="both"/>
        <w:rPr>
          <w:rFonts w:ascii="Book Antiqua" w:hAnsi="Book Antiqua"/>
          <w:b/>
          <w:bCs/>
          <w:sz w:val="20"/>
          <w:szCs w:val="20"/>
          <w:lang w:val="en"/>
        </w:rPr>
      </w:pPr>
      <w:bookmarkStart w:id="313" w:name="_yrw3hbunh7ha" w:colFirst="0" w:colLast="0"/>
      <w:bookmarkEnd w:id="313"/>
    </w:p>
    <w:p w14:paraId="5E17FD07" w14:textId="77777777" w:rsidR="001C793B" w:rsidRPr="006810DB" w:rsidRDefault="001C793B"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6EFCE43E" w14:textId="739D49DF" w:rsidR="00D0395B" w:rsidRPr="006810DB" w:rsidRDefault="00D0395B" w:rsidP="006810DB">
      <w:pPr>
        <w:pStyle w:val="Heading1"/>
        <w:spacing w:before="0" w:line="276" w:lineRule="auto"/>
        <w:ind w:firstLine="142"/>
        <w:rPr>
          <w:szCs w:val="20"/>
          <w:lang w:val="en"/>
        </w:rPr>
      </w:pPr>
      <w:bookmarkStart w:id="314" w:name="_Toc223088955"/>
      <w:r w:rsidRPr="006810DB">
        <w:rPr>
          <w:b/>
          <w:noProof/>
          <w:sz w:val="48"/>
          <w:szCs w:val="20"/>
          <w:lang w:val="en-US"/>
        </w:rPr>
        <w:lastRenderedPageBreak/>
        <mc:AlternateContent>
          <mc:Choice Requires="wps">
            <w:drawing>
              <wp:anchor distT="0" distB="0" distL="114300" distR="114300" simplePos="0" relativeHeight="251703296" behindDoc="0" locked="0" layoutInCell="1" allowOverlap="1" wp14:anchorId="6D54DAE6" wp14:editId="6B5E8AE2">
                <wp:simplePos x="0" y="0"/>
                <wp:positionH relativeFrom="column">
                  <wp:posOffset>910590</wp:posOffset>
                </wp:positionH>
                <wp:positionV relativeFrom="paragraph">
                  <wp:posOffset>133350</wp:posOffset>
                </wp:positionV>
                <wp:extent cx="2820035" cy="1066800"/>
                <wp:effectExtent l="0" t="0" r="0" b="0"/>
                <wp:wrapNone/>
                <wp:docPr id="28" name="Rectangle 28"/>
                <wp:cNvGraphicFramePr/>
                <a:graphic xmlns:a="http://schemas.openxmlformats.org/drawingml/2006/main">
                  <a:graphicData uri="http://schemas.microsoft.com/office/word/2010/wordprocessingShape">
                    <wps:wsp>
                      <wps:cNvSpPr/>
                      <wps:spPr>
                        <a:xfrm>
                          <a:off x="0" y="0"/>
                          <a:ext cx="2820035" cy="1066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EE1BE8F" w14:textId="0A6CCACE" w:rsidR="00D0395B" w:rsidRPr="00657FDD" w:rsidRDefault="00D0395B" w:rsidP="00D0395B">
                            <w:pPr>
                              <w:spacing w:after="0" w:line="276" w:lineRule="auto"/>
                              <w:jc w:val="center"/>
                              <w:rPr>
                                <w:rFonts w:ascii="Book Antiqua" w:hAnsi="Book Antiqua"/>
                                <w:b/>
                                <w:bCs/>
                                <w:sz w:val="36"/>
                                <w:szCs w:val="40"/>
                                <w:lang w:val="en"/>
                              </w:rPr>
                            </w:pPr>
                            <w:r w:rsidRPr="00657FDD">
                              <w:rPr>
                                <w:rFonts w:ascii="Book Antiqua" w:hAnsi="Book Antiqua"/>
                                <w:b/>
                                <w:bCs/>
                                <w:sz w:val="36"/>
                                <w:szCs w:val="40"/>
                                <w:lang w:val="en"/>
                              </w:rPr>
                              <w:t xml:space="preserve">MEKANISME </w:t>
                            </w:r>
                            <w:r w:rsidR="004C3372" w:rsidRPr="00657FDD">
                              <w:rPr>
                                <w:rFonts w:ascii="Book Antiqua" w:hAnsi="Book Antiqua"/>
                                <w:b/>
                                <w:bCs/>
                                <w:sz w:val="36"/>
                                <w:szCs w:val="40"/>
                                <w:lang w:val="en"/>
                              </w:rPr>
                              <w:br/>
                            </w:r>
                            <w:r w:rsidRPr="00657FDD">
                              <w:rPr>
                                <w:rFonts w:ascii="Book Antiqua" w:hAnsi="Book Antiqua"/>
                                <w:b/>
                                <w:bCs/>
                                <w:sz w:val="36"/>
                                <w:szCs w:val="40"/>
                                <w:lang w:val="en"/>
                              </w:rPr>
                              <w:t xml:space="preserve">ANTI-INFLAMASI </w:t>
                            </w:r>
                            <w:r w:rsidR="004C3372" w:rsidRPr="00657FDD">
                              <w:rPr>
                                <w:rFonts w:ascii="Book Antiqua" w:hAnsi="Book Antiqua"/>
                                <w:b/>
                                <w:bCs/>
                                <w:sz w:val="36"/>
                                <w:szCs w:val="40"/>
                                <w:lang w:val="en"/>
                              </w:rPr>
                              <w:br/>
                            </w:r>
                            <w:r w:rsidR="001C793B" w:rsidRPr="00657FDD">
                              <w:rPr>
                                <w:rFonts w:ascii="Book Antiqua" w:hAnsi="Book Antiqua"/>
                                <w:b/>
                                <w:bCs/>
                                <w:i/>
                                <w:iCs/>
                                <w:sz w:val="36"/>
                                <w:szCs w:val="40"/>
                                <w:lang w:val="en"/>
                              </w:rPr>
                              <w:t>Nigella sativa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D54DAE6" id="Rectangle 28" o:spid="_x0000_s1038" style="position:absolute;left:0;text-align:left;margin-left:71.7pt;margin-top:10.5pt;width:222.05pt;height:8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rfQZgIAABEFAAAOAAAAZHJzL2Uyb0RvYy54bWysVN1v0zAQf0fif7D8zpKUrYxq6VRtGkKa&#10;WLWBeHYdu42wfebsNi1/PWcnzTboE+Ilue+P39356npvDdspDC24mldnJWfKSWhat675t6937y45&#10;C1G4RhhwquYHFfj1/O2bq87P1AQ2YBqFjIK4MOt8zTcx+llRBLlRVoQz8MqRUgNaEYnFddGg6Ci6&#10;NcWkLKdFB9h4BKlCIOltr+TzHF9rJeOD1kFFZmpOtcX8xfxdpW8xvxKzNQq/aeVQhviHKqxoHSUd&#10;Q92KKNgW279C2VYiBNDxTIItQOtWqtwDdVOVf3TztBFe5V4InOBHmML/Cyu/7JbI2qbmE5qUE5Zm&#10;9EioCbc2ipGMAOp8mJHdk1/iwAUiU7d7jTb9qQ+2z6AeRlDVPjJJwsklzen9BWeSdFU5nV6WGfbi&#10;2d1jiJ8UWJaImiPlz2CK3X2IlJJMjyYpm4O71pg8OeNeCcgwSYpUcV9jpuLBqGRn3KPS1GyqKifI&#10;a6ZuDLKdoAURUioXp6nnHImsk5umbKNjdcrRxGpwGmyTm8rrNzqWpxxfZxw9clZwcXS2rQM8FaD5&#10;MWbu7Y/d9z2n9uN+tc8TribHaa6gOdDYEfp7CF7etQT9vQhxKZAOgE6Fjjo+0Ecb6GoOA8XZBvDX&#10;KXmyp70kLWcdHVTNw8+tQMWZ+exoYz9W5+fpAjNzfvFhQgy+1KxeatzW3gCNpKLnw8tMJvtojqRG&#10;sN/p9hcpK6mEk5S75jLikbmJ/aHT6yHVYpHN6Oq8iPfuycsUPAHtYLGNoNu8aQmwHp0BSLq7vA3D&#10;G5EO+yWfrZ5fsvlvAAAA//8DAFBLAwQUAAYACAAAACEA+saja94AAAAKAQAADwAAAGRycy9kb3du&#10;cmV2LnhtbEyPzU7DMBCE70i8g7VI3KjT0kIIcSpAQgj1gCjt3XG2SUS8jmznp2/PcoLjaEYz3+Tb&#10;2XZiRB9aRwqWiwQEknFVS7WCw9frTQoiRE2V7hyhgjMG2BaXF7nOKjfRJ477WAsuoZBpBU2MfSZl&#10;MA1aHRauR2Lv5LzVkaWvZeX1xOW2k6skuZNWt8QLje7xpUHzvR+sgqM7PU/WlPQ+nj/a4W3njUl3&#10;Sl1fzU+PICLO8S8Mv/iMDgUzlW6gKoiO9fp2zVEFqyV/4sAmvd+AKNlJHxKQRS7/Xyh+AAAA//8D&#10;AFBLAQItABQABgAIAAAAIQC2gziS/gAAAOEBAAATAAAAAAAAAAAAAAAAAAAAAABbQ29udGVudF9U&#10;eXBlc10ueG1sUEsBAi0AFAAGAAgAAAAhADj9If/WAAAAlAEAAAsAAAAAAAAAAAAAAAAALwEAAF9y&#10;ZWxzLy5yZWxzUEsBAi0AFAAGAAgAAAAhAN5it9BmAgAAEQUAAA4AAAAAAAAAAAAAAAAALgIAAGRy&#10;cy9lMm9Eb2MueG1sUEsBAi0AFAAGAAgAAAAhAPrGo2veAAAACgEAAA8AAAAAAAAAAAAAAAAAwAQA&#10;AGRycy9kb3ducmV2LnhtbFBLBQYAAAAABAAEAPMAAADLBQAAAAA=&#10;" filled="f" stroked="f" strokeweight="1pt">
                <v:textbox>
                  <w:txbxContent>
                    <w:p w14:paraId="4EE1BE8F" w14:textId="0A6CCACE" w:rsidR="00D0395B" w:rsidRPr="00657FDD" w:rsidRDefault="00D0395B" w:rsidP="00D0395B">
                      <w:pPr>
                        <w:spacing w:after="0" w:line="276" w:lineRule="auto"/>
                        <w:jc w:val="center"/>
                        <w:rPr>
                          <w:rFonts w:ascii="Book Antiqua" w:hAnsi="Book Antiqua"/>
                          <w:b/>
                          <w:bCs/>
                          <w:sz w:val="36"/>
                          <w:szCs w:val="40"/>
                          <w:lang w:val="en"/>
                        </w:rPr>
                      </w:pPr>
                      <w:r w:rsidRPr="00657FDD">
                        <w:rPr>
                          <w:rFonts w:ascii="Book Antiqua" w:hAnsi="Book Antiqua"/>
                          <w:b/>
                          <w:bCs/>
                          <w:sz w:val="36"/>
                          <w:szCs w:val="40"/>
                          <w:lang w:val="en"/>
                        </w:rPr>
                        <w:t xml:space="preserve">MEKANISME </w:t>
                      </w:r>
                      <w:r w:rsidR="004C3372" w:rsidRPr="00657FDD">
                        <w:rPr>
                          <w:rFonts w:ascii="Book Antiqua" w:hAnsi="Book Antiqua"/>
                          <w:b/>
                          <w:bCs/>
                          <w:sz w:val="36"/>
                          <w:szCs w:val="40"/>
                          <w:lang w:val="en"/>
                        </w:rPr>
                        <w:br/>
                      </w:r>
                      <w:r w:rsidRPr="00657FDD">
                        <w:rPr>
                          <w:rFonts w:ascii="Book Antiqua" w:hAnsi="Book Antiqua"/>
                          <w:b/>
                          <w:bCs/>
                          <w:sz w:val="36"/>
                          <w:szCs w:val="40"/>
                          <w:lang w:val="en"/>
                        </w:rPr>
                        <w:t xml:space="preserve">ANTI-INFLAMASI </w:t>
                      </w:r>
                      <w:r w:rsidR="004C3372" w:rsidRPr="00657FDD">
                        <w:rPr>
                          <w:rFonts w:ascii="Book Antiqua" w:hAnsi="Book Antiqua"/>
                          <w:b/>
                          <w:bCs/>
                          <w:sz w:val="36"/>
                          <w:szCs w:val="40"/>
                          <w:lang w:val="en"/>
                        </w:rPr>
                        <w:br/>
                      </w:r>
                      <w:r w:rsidR="001C793B" w:rsidRPr="00657FDD">
                        <w:rPr>
                          <w:rFonts w:ascii="Book Antiqua" w:hAnsi="Book Antiqua"/>
                          <w:b/>
                          <w:bCs/>
                          <w:i/>
                          <w:iCs/>
                          <w:sz w:val="36"/>
                          <w:szCs w:val="40"/>
                          <w:lang w:val="en"/>
                        </w:rPr>
                        <w:t>Nigella sativa</w:t>
                      </w:r>
                    </w:p>
                  </w:txbxContent>
                </v:textbox>
              </v:rect>
            </w:pict>
          </mc:Fallback>
        </mc:AlternateContent>
      </w:r>
      <w:r w:rsidRPr="006810DB">
        <w:rPr>
          <w:b/>
          <w:noProof/>
          <w:sz w:val="48"/>
          <w:szCs w:val="20"/>
          <w:lang w:val="en-US"/>
        </w:rPr>
        <mc:AlternateContent>
          <mc:Choice Requires="wps">
            <w:drawing>
              <wp:anchor distT="0" distB="0" distL="114300" distR="114300" simplePos="0" relativeHeight="251702272" behindDoc="0" locked="0" layoutInCell="1" allowOverlap="1" wp14:anchorId="2502FE82" wp14:editId="7EEA852F">
                <wp:simplePos x="0" y="0"/>
                <wp:positionH relativeFrom="column">
                  <wp:posOffset>884555</wp:posOffset>
                </wp:positionH>
                <wp:positionV relativeFrom="paragraph">
                  <wp:posOffset>76835</wp:posOffset>
                </wp:positionV>
                <wp:extent cx="0" cy="1152000"/>
                <wp:effectExtent l="19050" t="0" r="38100" b="48260"/>
                <wp:wrapNone/>
                <wp:docPr id="29" name="Straight Connector 29"/>
                <wp:cNvGraphicFramePr/>
                <a:graphic xmlns:a="http://schemas.openxmlformats.org/drawingml/2006/main">
                  <a:graphicData uri="http://schemas.microsoft.com/office/word/2010/wordprocessingShape">
                    <wps:wsp>
                      <wps:cNvCnPr/>
                      <wps:spPr>
                        <a:xfrm>
                          <a:off x="0" y="0"/>
                          <a:ext cx="0" cy="1152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6DD4F4D" id="Straight Connector 29" o:spid="_x0000_s1026" style="position:absolute;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xHI2AEAAA8EAAAOAAAAZHJzL2Uyb0RvYy54bWysU02P2yAQvVfqf0DcG8eR0g8rzh6y2l6q&#10;Nup2fwCLhxgJGAQ0dv59B+w4q7aq1KoX7BnmPeY9ht3daA07Q4gaXcvr1ZozcBI77U4tf/r28OY9&#10;ZzEJ1wmDDlp+gcjv9q9f7QbfwAZ7NB0ERiQuNoNveZ+Sb6oqyh6siCv04GhTYbAiURhOVRfEQOzW&#10;VJv1+m01YOh8QAkxUvZ+2uT7wq8UyPRFqQiJmZZTb6msoazPea32O9GcgvC9lnMb4h+6sEI7OnSh&#10;uhdJsO9B/0JltQwYUaWVRFuhUlpC0UBq6vVPah574aFoIXOiX2yK/49Wfj4fA9NdyzcfOHPC0h09&#10;piD0qU/sgM6RgxgYbZJTg48NAQ7uGOYo+mPIskcVbP6SIDYWdy+LuzAmJqekpGxdb+niivPVDehD&#10;TB8BLcs/LTfaZeGiEedPMdFhVHotyWnj2NDy7bt6uy5lEY3uHrQxebMMDxxMYGdB157GOjdPDC+q&#10;KDKOklnSJKL8pYuBif8rKLKF2q6nA/JA3jiFlODSldc4qs4wRR0swLmzPwHn+gyFMqx/A14Q5WR0&#10;aQFb7TD8ru2bFWqqvzow6c4WPGN3KddbrKGpK87NLySP9cu4wG/veP8DAAD//wMAUEsDBBQABgAI&#10;AAAAIQBHaIbM2gAAAAoBAAAPAAAAZHJzL2Rvd25yZXYueG1sTE9NS8NAEL0L/odlBG9204aIidmU&#10;IhTpRWgreN1kx2QxOxuy2zT++0691Nt7M4/3Ua5n14sJx2A9KVguEhBIjTeWWgWfx+3TC4gQNRnd&#10;e0IFvxhgXd3flbow/kx7nA6xFWxCodAKuhiHQsrQdOh0WPgBiX/ffnQ6Mh1baUZ9ZnPXy1WSPEun&#10;LXFCpwd867D5OZwch2RfzTsGuzPbTVZnU27r5MMq9fgwb15BRJzjTQzX+lwdKu5U+xOZIHrmaZ6y&#10;lMFqCeIq+DvUDPI0A1mV8v+E6gIAAP//AwBQSwECLQAUAAYACAAAACEAtoM4kv4AAADhAQAAEwAA&#10;AAAAAAAAAAAAAAAAAAAAW0NvbnRlbnRfVHlwZXNdLnhtbFBLAQItABQABgAIAAAAIQA4/SH/1gAA&#10;AJQBAAALAAAAAAAAAAAAAAAAAC8BAABfcmVscy8ucmVsc1BLAQItABQABgAIAAAAIQBaoxHI2AEA&#10;AA8EAAAOAAAAAAAAAAAAAAAAAC4CAABkcnMvZTJvRG9jLnhtbFBLAQItABQABgAIAAAAIQBHaIbM&#10;2gAAAAoBAAAPAAAAAAAAAAAAAAAAADIEAABkcnMvZG93bnJldi54bWxQSwUGAAAAAAQABADzAAAA&#10;OQU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30"/>
          <w:szCs w:val="130"/>
          <w:lang w:val="en-US"/>
        </w:rPr>
        <w:t>13</w:t>
      </w:r>
      <w:r w:rsidRPr="006810DB">
        <w:rPr>
          <w:b/>
          <w:szCs w:val="20"/>
          <w:lang w:val="en-US"/>
        </w:rPr>
        <w:t xml:space="preserve"> </w:t>
      </w:r>
      <w:r w:rsidRPr="006810DB">
        <w:rPr>
          <w:b/>
          <w:szCs w:val="20"/>
          <w:lang w:val="en-US"/>
        </w:rPr>
        <w:tab/>
      </w:r>
      <w:r w:rsidRPr="006810DB">
        <w:rPr>
          <w:b/>
          <w:color w:val="FFFFFF" w:themeColor="background1"/>
          <w:sz w:val="14"/>
          <w:szCs w:val="14"/>
          <w:lang w:val="en-US"/>
        </w:rPr>
        <w:t xml:space="preserve">MEKANISME ANTI-INFLAMASI </w:t>
      </w:r>
      <w:r w:rsidR="001C793B" w:rsidRPr="006810DB">
        <w:rPr>
          <w:b/>
          <w:i/>
          <w:iCs/>
          <w:color w:val="FFFFFF" w:themeColor="background1"/>
          <w:sz w:val="14"/>
          <w:szCs w:val="14"/>
          <w:lang w:val="en-US"/>
        </w:rPr>
        <w:t>Nigella sativa</w:t>
      </w:r>
      <w:bookmarkEnd w:id="314"/>
    </w:p>
    <w:p w14:paraId="2E6E2311" w14:textId="7427F0A9" w:rsidR="00954AE6" w:rsidRPr="006810DB" w:rsidRDefault="00954AE6" w:rsidP="006810DB">
      <w:pPr>
        <w:spacing w:after="0" w:line="276" w:lineRule="auto"/>
        <w:jc w:val="both"/>
        <w:rPr>
          <w:rFonts w:ascii="Book Antiqua" w:hAnsi="Book Antiqua"/>
          <w:sz w:val="20"/>
          <w:szCs w:val="20"/>
          <w:lang w:val="en"/>
        </w:rPr>
      </w:pPr>
    </w:p>
    <w:p w14:paraId="3B487EF4" w14:textId="77777777" w:rsidR="001C793B" w:rsidRPr="006810DB" w:rsidRDefault="001C793B" w:rsidP="006810DB">
      <w:pPr>
        <w:spacing w:after="0" w:line="276" w:lineRule="auto"/>
        <w:jc w:val="both"/>
        <w:rPr>
          <w:rFonts w:ascii="Book Antiqua" w:hAnsi="Book Antiqua"/>
          <w:sz w:val="20"/>
          <w:szCs w:val="20"/>
          <w:lang w:val="en"/>
        </w:rPr>
      </w:pPr>
    </w:p>
    <w:p w14:paraId="7326F946" w14:textId="6C78520E" w:rsidR="00B258B7" w:rsidRPr="006810DB" w:rsidRDefault="00657FDD" w:rsidP="00B9360C">
      <w:pPr>
        <w:pStyle w:val="Heading2"/>
        <w:numPr>
          <w:ilvl w:val="0"/>
          <w:numId w:val="28"/>
        </w:numPr>
        <w:ind w:left="284" w:hanging="284"/>
      </w:pPr>
      <w:bookmarkStart w:id="315" w:name="_b4mhem8pjgdp" w:colFirst="0" w:colLast="0"/>
      <w:bookmarkStart w:id="316" w:name="_Toc223088956"/>
      <w:bookmarkEnd w:id="315"/>
      <w:r w:rsidRPr="006810DB">
        <w:t>Pendahuluan</w:t>
      </w:r>
      <w:bookmarkEnd w:id="316"/>
    </w:p>
    <w:p w14:paraId="3935EB84"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Setelah memahami peran sentral jalur sinyal NF-κB dalam memicu badai sitokin dan kerusakan jaringan mukosa pada Bab 12, pertanyaan kritis selanjutnya adalah bagaimana kita dapat memutus siklus destruktif ini.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dan konstituen utamanya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(TQ), muncul sebagai kandidat terapi yang sangat menjanjikan bukan hanya karena sifat antioksidannya, tetapi juga karena kemampuannya yang spesifik sebagai modulator inflamasi. Jika cisplatin menekan "pedal gas" peradangan melalui aktivasi NF-κB, maka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bertindak sebagai "rem" molekuler yang canggih, bekerja di berbagai titik kontrol untuk menghentikan laju kerusakan jaringan. Mekanisme ini melampaui sekadar penetralan radikal bebas; ia melibatkan interaksi langsung dengan protein-protein sinyal intraseluler yang mengatur ekspresi gen.</w:t>
      </w:r>
    </w:p>
    <w:p w14:paraId="6498EECF"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Kemampuan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untuk meredam peradangan telah dibuktikan dalam berbagai model penyakit, mulai dari asma hingga artritis, dan kini semakin banyak bukti yang mendukung efektivitasnya dalam konteks mukositis oral. Inti dari aktivitas ini terletak pada penghambatan kaskade NF-κB. Secara spesifik, senyawa bioaktif dalam jintan hitam mampu mengintervensi langkah-langkah kritis aktivasi jalur ini, mulai dari hulu di sitoplasma hingga ke hilir di dalam nukleus. Dengan menghambat degradasi protein inhibitor IκBα, TQ mencegah pembebasan dimer p50/p65, sehingga mengunci potensi destruktif faktor transkripsi ini dalam keadaan inaktif.</w:t>
      </w:r>
    </w:p>
    <w:p w14:paraId="5A0E5C74"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lastRenderedPageBreak/>
        <w:t xml:space="preserve">Selain memblokir translokasi nuklear,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juga memengaruhi modifikasi pasca-translasi dari subunit NF-κB itu sendiri. Fosforilasi subunit p65, yang merupakan prasyarat untuk aktivitas transkripsinya yang optimal, dihambat secara signifikan oleh TQ. Tanpa fosforilasi ini, bahkan jika NF-κB berhasil masuk ke dalam inti sel, kemampuannya untuk merekrut kofaktor transkripsi dan membuka struktur kromatin akan sangat berkurang. Ini menunjukkan bahwa TQ bekerja melalui mekanisme lapis ganda untuk memastikan pembungkaman gen-gen pro-inflamasi.</w:t>
      </w:r>
    </w:p>
    <w:p w14:paraId="73FDC580"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Dampak dari blokade NF-κB ini sangat luas dan sistemik pada tingkat jaringan mikro. Penurunan drastis dalam produksi sitokin utama seperti TNF-α dan IL-1β adalah konsekuensi langsung yang paling terlihat. Penurunan sitokin ini memutus sinyal parakrin yang biasanya merekrut lebih banyak sel imun ke lokasi cedera, sehingga mencegah terjadinya infiltrasi neutrofil yang berlebihan. Dengan demikian,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tidak hanya melindungi sel epitel dari sinyal kematian, tetapi juga menenangkan lingkungan imun di sekitarnya.</w:t>
      </w:r>
    </w:p>
    <w:p w14:paraId="698EA6E6"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Lebih jauh lagi, mekanisme anti-inflamasi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juga mencakup penghambatan enzim-enzim sintase yang diinduksi oleh peradangan, seperti COX-2 dan iNOS. Kedua enzim ini bertanggung jawab atas produksi mediator nyeri (prostaglandin) dan radikal bebas sekunder (nitrat oksida). Dengan menekan ekspresi enzim-enzim ini, ekstrak jintan hitam memberikan efek analgesik yang signifikan dan mencegah pembentukan peroksinitrit yang merusak, memberikan perlindungan ganda terhadap struktur mukosa.</w:t>
      </w:r>
    </w:p>
    <w:p w14:paraId="20A5B8DF"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Modulasi respon imun seluler juga menjadi aspek penting dari mekanisme kerja </w:t>
      </w:r>
      <w:r w:rsidRPr="006810DB">
        <w:rPr>
          <w:rFonts w:ascii="Book Antiqua" w:hAnsi="Book Antiqua"/>
          <w:i/>
          <w:iCs/>
          <w:sz w:val="20"/>
          <w:szCs w:val="20"/>
          <w:lang w:val="en"/>
        </w:rPr>
        <w:t>Nigella sativa</w:t>
      </w:r>
      <w:r w:rsidRPr="006810DB">
        <w:rPr>
          <w:rFonts w:ascii="Book Antiqua" w:hAnsi="Book Antiqua"/>
          <w:sz w:val="20"/>
          <w:szCs w:val="20"/>
          <w:lang w:val="en"/>
        </w:rPr>
        <w:t>. Ekstrak ini diketahui dapat mempengaruhi polarisasi makrofag, mendorong pergeseran dari fenotipe M1 yang pro-inflamasi dan destruktif menuju fenotipe M2 yang mendukung perbaikan jaringan dan resolusi peradangan. Selain itu, efek stabilisasi pada membran sel mast mencegah pelepasan histamin, yang berperan dalam vasodilatasi dan edema pada fase awal mukositis.</w:t>
      </w:r>
    </w:p>
    <w:p w14:paraId="10B20B65"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lastRenderedPageBreak/>
        <w:t xml:space="preserve">Bab ini akan menguraikan secara rinci mekanisme molekuler tersebut, memberikan bukti ilmiah tentang bagaimana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mengintervensi jalur sinyal yang rumit ini. Melalui analisis mendalam terhadap interaksi protein-ligan dan regulasi ekspresi gen, kita akan membangun pemahaman yang kokoh tentang mengapa herbal ini sangat efektif dalam meredakan gejala klinis mukositis.</w:t>
      </w:r>
    </w:p>
    <w:p w14:paraId="196BE701" w14:textId="0FA4B825"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Tujuan dari bab ini adalah untuk memberikan rasionalitas farmakologis yang kuat bagi penggunaan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sebagai agen anti-inflamasi target-spesifik. Pemahaman ini melengkapi pembahasan mengenai aktivitas antioksidan di bab sebelumnya dan menjadi jembatan menuju bukti histopatologis perbaikan jaringan yang akan dibahas di bab-bab selanjutnya, menegaskan posisi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sebagai terapi ajuvan yang komprehensif.</w:t>
      </w:r>
    </w:p>
    <w:p w14:paraId="3D3919EA" w14:textId="77777777" w:rsidR="00D0395B" w:rsidRPr="006810DB" w:rsidRDefault="00D0395B" w:rsidP="006810DB">
      <w:pPr>
        <w:spacing w:after="0" w:line="276" w:lineRule="auto"/>
        <w:jc w:val="both"/>
        <w:rPr>
          <w:rFonts w:ascii="Book Antiqua" w:hAnsi="Book Antiqua"/>
          <w:sz w:val="20"/>
          <w:szCs w:val="20"/>
          <w:lang w:val="en"/>
        </w:rPr>
      </w:pPr>
    </w:p>
    <w:p w14:paraId="5B89C583" w14:textId="2EE468DD" w:rsidR="00B258B7" w:rsidRPr="006810DB" w:rsidRDefault="00B258B7" w:rsidP="006810DB">
      <w:pPr>
        <w:pStyle w:val="Heading2"/>
        <w:numPr>
          <w:ilvl w:val="0"/>
          <w:numId w:val="28"/>
        </w:numPr>
        <w:ind w:left="284" w:hanging="284"/>
      </w:pPr>
      <w:bookmarkStart w:id="317" w:name="_gnq615fhx7gb" w:colFirst="0" w:colLast="0"/>
      <w:bookmarkStart w:id="318" w:name="_Toc223088957"/>
      <w:bookmarkEnd w:id="317"/>
      <w:r w:rsidRPr="006810DB">
        <w:t xml:space="preserve">Inhibisi Aktivasi NF-kB oleh </w:t>
      </w:r>
      <w:r w:rsidRPr="006810DB">
        <w:rPr>
          <w:i/>
          <w:iCs/>
        </w:rPr>
        <w:t>Thymoquinone</w:t>
      </w:r>
      <w:bookmarkEnd w:id="318"/>
    </w:p>
    <w:p w14:paraId="4F6B1C9D"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Mekanisme utama di mana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memberikan efek anti-inflamasi adalah melalui penghambatan jalur sinyal NF-κB.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(TQ), sebagai senyawa bioaktif utama, telah terbukti bertindak sebagai inhibitor poten pada beberapa titik kontrol dalam kaskade ini. Intervensi ini sangat krusial karena NF-κB adalah pusat komando yang menerjemahkan stres oksidatif cisplatin menjadi respons peradangan masif. Dengan mematikan atau meredupkan "saklar" ini, TQ secara efektif mencegah sel untuk melakukan program bunuh diri dan perusakan jaringan sekitarnya.</w:t>
      </w:r>
    </w:p>
    <w:p w14:paraId="5B358DB2"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Bayangkan sebuah stasiun pemancar radio (NF-κB) yang bersiap menyiarkan pesan darurat berisi perintah kerusuhan (sinyal inflamasi) ke seluruh kota (jaringan mukosa). Agar siaran ini terjadi, operator (p65) harus mendapatkan kode sandi khusus (fosforilasi) dan masuk ke ruang siaran utama yang terkunci (nukleus).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bertindak seperti agen rahasia yang melakukan sabotase ganda: pertama, ia mengacak kode sandi sehingga operator bingung, dan kedua, ia mengganti kunci pintu ruang siaran sehingga operator tidak bisa masuk. Akibatnya, meskipun situasi di luar </w:t>
      </w:r>
      <w:r w:rsidRPr="006810DB">
        <w:rPr>
          <w:rFonts w:ascii="Book Antiqua" w:hAnsi="Book Antiqua"/>
          <w:sz w:val="20"/>
          <w:szCs w:val="20"/>
          <w:lang w:val="en"/>
        </w:rPr>
        <w:lastRenderedPageBreak/>
        <w:t>genting, perintah kerusuhan tidak pernah disiarkan, dan kota tetap relatif tenang.</w:t>
      </w:r>
    </w:p>
    <w:p w14:paraId="3089DDA0" w14:textId="52302138" w:rsidR="00B258B7" w:rsidRPr="006810DB" w:rsidRDefault="00B258B7" w:rsidP="006810DB">
      <w:pPr>
        <w:pStyle w:val="ListParagraph"/>
        <w:numPr>
          <w:ilvl w:val="0"/>
          <w:numId w:val="72"/>
        </w:numPr>
        <w:spacing w:after="0" w:line="276" w:lineRule="auto"/>
        <w:ind w:left="567" w:hanging="283"/>
        <w:contextualSpacing w:val="0"/>
        <w:jc w:val="both"/>
        <w:rPr>
          <w:rFonts w:ascii="Book Antiqua" w:hAnsi="Book Antiqua"/>
          <w:b/>
          <w:bCs/>
          <w:sz w:val="20"/>
          <w:szCs w:val="20"/>
          <w:lang w:val="en"/>
        </w:rPr>
      </w:pPr>
      <w:bookmarkStart w:id="319" w:name="_ixcp5p9usudr" w:colFirst="0" w:colLast="0"/>
      <w:bookmarkEnd w:id="319"/>
      <w:r w:rsidRPr="006810DB">
        <w:rPr>
          <w:rFonts w:ascii="Book Antiqua" w:hAnsi="Book Antiqua"/>
          <w:b/>
          <w:bCs/>
          <w:sz w:val="20"/>
          <w:szCs w:val="20"/>
          <w:lang w:val="en"/>
        </w:rPr>
        <w:t>Pencegahan Fosforilasi Subunit p65</w:t>
      </w:r>
    </w:p>
    <w:p w14:paraId="3408158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Fosforilasi subunit p65 pada residu serin tertentu, khususnya Ser536, adalah langkah kritis yang menentukan kekuatan aktivitas transkripsi NF-κB. Proses ini biasanya dimediasi oleh enzim IKK (</w:t>
      </w:r>
      <w:r w:rsidRPr="006810DB">
        <w:rPr>
          <w:rFonts w:ascii="Book Antiqua" w:hAnsi="Book Antiqua"/>
          <w:i/>
          <w:iCs/>
          <w:sz w:val="20"/>
          <w:szCs w:val="20"/>
          <w:lang w:val="en"/>
        </w:rPr>
        <w:t>IκB Kinase</w:t>
      </w:r>
      <w:r w:rsidRPr="006810DB">
        <w:rPr>
          <w:rFonts w:ascii="Book Antiqua" w:hAnsi="Book Antiqua"/>
          <w:sz w:val="20"/>
          <w:szCs w:val="20"/>
          <w:lang w:val="en"/>
        </w:rPr>
        <w:t>). Penelitian menunjukkan bahwa TQ memiliki kemampuan untuk menghambat aktivitas kinase dari kompleks IKK, baik secara langsung maupun tidak langsung melalui modulasi regulator hulu. Dengan menghambat IKK, TQ mencegah penambahan gugus fosfat pada p65 (Kadarullah et al., 2024).</w:t>
      </w:r>
    </w:p>
    <w:p w14:paraId="352F6E35"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Tanpa fosforilasi yang tepat, p65 mengalami kesulitan untuk berinteraksi dengan kofaktor transkripsi seperti p300/CBP di dalam nukleus. Interaksi ini diperlukan untuk membuka struktur kromatin dan memulai pembacaan gen. Akibatnya, meskipun beberapa kompleks NF-κB mungkin masih berhasil masuk ke inti sel, mereka "lumpuh" secara fungsional dan gagal memicu ekspresi gen sitokin pro-inflamasi secara maksimal. Ini adalah mekanisme pembungkaman yang halus namun sangat efektif (Hannan et al., 2021).</w:t>
      </w:r>
    </w:p>
    <w:p w14:paraId="77A3B2A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Selain itu, penghambatan fosforilasi ini juga memengaruhi stabilitas protein p65 itu sendiri. P65 yang tidak terfosforilasi lebih rentan terhadap degradasi atau ekspor kembali ke sitoplasma. Oleh karena itu, TQ tidak hanya mengurangi aktivitas NF-κB tetapi juga mempercepat penghentian sinyal peradangan, membantu jaringan untuk kembali ke keadaan homeostasis lebih cepat setelah paparan kemoterapi (Madani et al., 2023).</w:t>
      </w:r>
    </w:p>
    <w:p w14:paraId="5E08C059" w14:textId="03AB70F5" w:rsidR="00B258B7" w:rsidRPr="006810DB" w:rsidRDefault="00B258B7" w:rsidP="006810DB">
      <w:pPr>
        <w:pStyle w:val="ListParagraph"/>
        <w:numPr>
          <w:ilvl w:val="0"/>
          <w:numId w:val="72"/>
        </w:numPr>
        <w:spacing w:after="0" w:line="276" w:lineRule="auto"/>
        <w:ind w:left="567" w:hanging="283"/>
        <w:contextualSpacing w:val="0"/>
        <w:jc w:val="both"/>
        <w:rPr>
          <w:rFonts w:ascii="Book Antiqua" w:hAnsi="Book Antiqua"/>
          <w:b/>
          <w:bCs/>
          <w:sz w:val="20"/>
          <w:szCs w:val="20"/>
          <w:lang w:val="en"/>
        </w:rPr>
      </w:pPr>
      <w:bookmarkStart w:id="320" w:name="_oxy1l6jvmnhe" w:colFirst="0" w:colLast="0"/>
      <w:bookmarkEnd w:id="320"/>
      <w:r w:rsidRPr="006810DB">
        <w:rPr>
          <w:rFonts w:ascii="Book Antiqua" w:hAnsi="Book Antiqua"/>
          <w:b/>
          <w:bCs/>
          <w:sz w:val="20"/>
          <w:szCs w:val="20"/>
          <w:lang w:val="en"/>
        </w:rPr>
        <w:t>Blokade Translokasi Subunit ke dalam Nukleus</w:t>
      </w:r>
    </w:p>
    <w:p w14:paraId="10C80BE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Langkah kunci dalam aktivasi NF-κB adalah perpindahan (translokasi) dimer p50/p65 dari sitoplasma ke nukleus. Proses ini terjadi setelah protein inhibitor IκBα didegradasi. TQ telah terbukti mampu mempertahankan kadar IκBα di dalam sitoplasma dengan cara menghambat </w:t>
      </w:r>
      <w:r w:rsidRPr="006810DB">
        <w:rPr>
          <w:rFonts w:ascii="Book Antiqua" w:hAnsi="Book Antiqua"/>
          <w:sz w:val="20"/>
          <w:szCs w:val="20"/>
          <w:lang w:val="en"/>
        </w:rPr>
        <w:lastRenderedPageBreak/>
        <w:t xml:space="preserve">fosforilasi dan degradasi protein inhibitor tersebut. Dengan menjaga IκBα tetap utuh, TQ memastikan bahwa </w:t>
      </w:r>
      <w:r w:rsidRPr="006810DB">
        <w:rPr>
          <w:rFonts w:ascii="Book Antiqua" w:hAnsi="Book Antiqua"/>
          <w:i/>
          <w:iCs/>
          <w:sz w:val="20"/>
          <w:szCs w:val="20"/>
          <w:lang w:val="en"/>
        </w:rPr>
        <w:t>Nuclear Localization Signal</w:t>
      </w:r>
      <w:r w:rsidRPr="006810DB">
        <w:rPr>
          <w:rFonts w:ascii="Book Antiqua" w:hAnsi="Book Antiqua"/>
          <w:sz w:val="20"/>
          <w:szCs w:val="20"/>
          <w:lang w:val="en"/>
        </w:rPr>
        <w:t xml:space="preserve"> (NLS) pada NF-κB tetap tertutup (Hannan et al., 2021).</w:t>
      </w:r>
    </w:p>
    <w:p w14:paraId="657D29C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Mekanisme ini secara fisik menahan kompleks NF-κB di dalam sitoplasma, mencegahnya mengakses DNA target di dalam inti sel. Studi imunofluoresensi pada sel yang diberi perlakuan TQ menunjukkan bahwa p65 tetap terkonsentrasi di sitoplasma meskipun ada stimulasi inflamasi, berbeda dengan sel kontrol di mana p65 berpindah hampir seluruhnya ke nukleus. Ini membuktikan bahwa TQ bertindak sebagai penghalang fisik molekuler bagi penyebaran sinyal inflamasi (Kadarullah et al., 2024).</w:t>
      </w:r>
    </w:p>
    <w:p w14:paraId="0DB9A6F8"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Selain preservasi IκBα, beberapa bukti menunjukkan bahwa TQ mungkin juga berinteraksi langsung dengan protein transpor nuklear (karyopherin/importin) yang bertugas membawa NF-κB masuk ke nukleus. Dengan mengganggu mesin transportasi ini, TQ memberikan lapisan perlindungan tambahan, memastikan bahwa "pesan perang" tidak pernah mencapai pusat komando genetik sel.</w:t>
      </w:r>
    </w:p>
    <w:p w14:paraId="2647377C" w14:textId="0FB9700E" w:rsidR="00B258B7" w:rsidRPr="006810DB" w:rsidRDefault="00B258B7" w:rsidP="006810DB">
      <w:pPr>
        <w:pStyle w:val="ListParagraph"/>
        <w:numPr>
          <w:ilvl w:val="0"/>
          <w:numId w:val="72"/>
        </w:numPr>
        <w:spacing w:after="0" w:line="276" w:lineRule="auto"/>
        <w:ind w:left="567" w:hanging="283"/>
        <w:contextualSpacing w:val="0"/>
        <w:jc w:val="both"/>
        <w:rPr>
          <w:rFonts w:ascii="Book Antiqua" w:hAnsi="Book Antiqua"/>
          <w:b/>
          <w:bCs/>
          <w:sz w:val="20"/>
          <w:szCs w:val="20"/>
          <w:lang w:val="en"/>
        </w:rPr>
      </w:pPr>
      <w:bookmarkStart w:id="321" w:name="_lhgapc9y8gvz" w:colFirst="0" w:colLast="0"/>
      <w:bookmarkEnd w:id="321"/>
      <w:r w:rsidRPr="006810DB">
        <w:rPr>
          <w:rFonts w:ascii="Book Antiqua" w:hAnsi="Book Antiqua"/>
          <w:b/>
          <w:bCs/>
          <w:sz w:val="20"/>
          <w:szCs w:val="20"/>
          <w:lang w:val="en"/>
        </w:rPr>
        <w:t>Gangguan pada Ikatan NF-kB dengan Promotor Gen</w:t>
      </w:r>
    </w:p>
    <w:p w14:paraId="15285D2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Bahkan jika NF-κB berhasil lolos dari blokade sitoplasma dan masuk ke nukleus, TQ masih memiliki mekanisme pertahanan terakhir: mengganggu pengikatan faktor transkripsi ini ke DNA. TQ diketahui dapat memodifikasi residu sistein pada domain pengikatan DNA dari subunit p65 melalui reaksi alkilasi. Modifikasi kimia ini mengubah konformasi protein sehingga tidak lagi cocok atau pas dengan urutan basa DNA pada promotor gen target (Majdalawieh &amp; Fayyad, 2015).</w:t>
      </w:r>
    </w:p>
    <w:p w14:paraId="488A511F"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Penghambatan pengikatan DNA ini bersifat spesifik dan efektif dalam membungkam ekspresi gen. Tanpa ikatan yang stabil antara p65 dan DNA, mesin transkripsi RNA polimerase II tidak dapat direkrut, dan mRNA untuk sitokin pro-inflamasi tidak dapat diproduksi. Ini adalah bentuk </w:t>
      </w:r>
      <w:r w:rsidRPr="006810DB">
        <w:rPr>
          <w:rFonts w:ascii="Book Antiqua" w:hAnsi="Book Antiqua"/>
          <w:sz w:val="20"/>
          <w:szCs w:val="20"/>
          <w:lang w:val="en"/>
        </w:rPr>
        <w:lastRenderedPageBreak/>
        <w:t>inhibisi langsung yang memotong jalur inflamasi tepat di ujung eksekusinya.</w:t>
      </w:r>
    </w:p>
    <w:p w14:paraId="7D56F5B0" w14:textId="13BB1C1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Studi menggunakan </w:t>
      </w:r>
      <w:r w:rsidRPr="006810DB">
        <w:rPr>
          <w:rFonts w:ascii="Book Antiqua" w:hAnsi="Book Antiqua"/>
          <w:i/>
          <w:iCs/>
          <w:sz w:val="20"/>
          <w:szCs w:val="20"/>
          <w:lang w:val="en"/>
        </w:rPr>
        <w:t>Electrophoretic Mobility Shift Assay</w:t>
      </w:r>
      <w:r w:rsidRPr="006810DB">
        <w:rPr>
          <w:rFonts w:ascii="Book Antiqua" w:hAnsi="Book Antiqua"/>
          <w:sz w:val="20"/>
          <w:szCs w:val="20"/>
          <w:lang w:val="en"/>
        </w:rPr>
        <w:t xml:space="preserve"> (EMSA) sering menunjukkan penurunan drastis dalam pembentukan kompleks DNA-protein pada sampel inti sel yang diberi perlakuan TQ. Hal ini menegaskan bahwa TQ tidak hanya mencegah NF-κB sampai ke nukleus, tetapi juga melucuti senjatanya jika ia berhasil sampai di sana, memberikan perlindungan transkripsi yang komprehensif (Madani et al., 2023).</w:t>
      </w:r>
    </w:p>
    <w:p w14:paraId="0C31537C" w14:textId="77777777" w:rsidR="002E5D2A" w:rsidRPr="006810DB" w:rsidRDefault="002E5D2A" w:rsidP="006810DB">
      <w:pPr>
        <w:spacing w:after="0" w:line="276" w:lineRule="auto"/>
        <w:jc w:val="both"/>
        <w:rPr>
          <w:rFonts w:ascii="Book Antiqua" w:hAnsi="Book Antiqua"/>
          <w:sz w:val="20"/>
          <w:szCs w:val="20"/>
          <w:lang w:val="en"/>
        </w:rPr>
      </w:pPr>
    </w:p>
    <w:p w14:paraId="0C1C6291" w14:textId="7DD34271" w:rsidR="00B258B7" w:rsidRPr="006810DB" w:rsidRDefault="00B258B7" w:rsidP="006810DB">
      <w:pPr>
        <w:pStyle w:val="Heading2"/>
        <w:numPr>
          <w:ilvl w:val="0"/>
          <w:numId w:val="28"/>
        </w:numPr>
        <w:ind w:left="284" w:hanging="284"/>
        <w:rPr>
          <w:bCs/>
          <w:szCs w:val="20"/>
          <w:lang w:val="en"/>
        </w:rPr>
      </w:pPr>
      <w:bookmarkStart w:id="322" w:name="_u2eqwju4hgi4" w:colFirst="0" w:colLast="0"/>
      <w:bookmarkStart w:id="323" w:name="_Toc223088958"/>
      <w:bookmarkEnd w:id="322"/>
      <w:r w:rsidRPr="006810DB">
        <w:rPr>
          <w:bCs/>
          <w:szCs w:val="20"/>
          <w:lang w:val="en"/>
        </w:rPr>
        <w:t>Supresi Mediator Inflamasi Hilir</w:t>
      </w:r>
      <w:bookmarkEnd w:id="323"/>
    </w:p>
    <w:p w14:paraId="37FE1172"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Konsekuensi logis dan terukur dari penghambatan jalur NF-κB oleh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adalah penurunan produksi berbagai mediator inflamasi di tingkat hilir. Penurunan ini bukan sekadar statistik biokimia, melainkan faktor yang secara langsung berkorelasi dengan perbaikan gejala klinis seperti nyeri, bengkak, dan kemerahan pada mukositis. TQ secara efektif mematikan "pabrik" yang memproduksi molekul-molekul perusak jaringan, mengubah lingkungan mikro mukosa dari yang bersifat katabolik (menghancurkan) menjadi anabolik (memperbaiki).</w:t>
      </w:r>
    </w:p>
    <w:p w14:paraId="28F001CE"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Bayangkan sebuah pabrik amunisi (sel mukosa yang meradang) yang menerima perintah untuk memproduksi peluru (TNF-α), granat (NO), dan ranjau darat (Prostaglandin). TQ bertindak seperti pemutusan aliran listrik ke pabrik tersebut. Meskipun bahan bakunya ada dan pekerjanya siap, mesin-mesin produksi (enzim sintetase dan ribosom) mati. Akibatnya, gudang senjata menjadi kosong. Tanpa peluru dan granat, pertempuran di luar pabrik (peradangan jaringan) mereda dengan cepat karena para prajurit (sel imun) kehabisan amunisi untuk saling menyerang.</w:t>
      </w:r>
    </w:p>
    <w:p w14:paraId="1A8208F1" w14:textId="48384531" w:rsidR="00B258B7" w:rsidRPr="006810DB" w:rsidRDefault="00B258B7" w:rsidP="006810DB">
      <w:pPr>
        <w:pStyle w:val="ListParagraph"/>
        <w:numPr>
          <w:ilvl w:val="0"/>
          <w:numId w:val="73"/>
        </w:numPr>
        <w:spacing w:after="0" w:line="276" w:lineRule="auto"/>
        <w:ind w:left="567" w:hanging="283"/>
        <w:contextualSpacing w:val="0"/>
        <w:jc w:val="both"/>
        <w:rPr>
          <w:rFonts w:ascii="Book Antiqua" w:hAnsi="Book Antiqua"/>
          <w:b/>
          <w:bCs/>
          <w:sz w:val="20"/>
          <w:szCs w:val="20"/>
          <w:lang w:val="en"/>
        </w:rPr>
      </w:pPr>
      <w:bookmarkStart w:id="324" w:name="_r2xwu4bqcv6p" w:colFirst="0" w:colLast="0"/>
      <w:bookmarkEnd w:id="324"/>
      <w:r w:rsidRPr="006810DB">
        <w:rPr>
          <w:rFonts w:ascii="Book Antiqua" w:hAnsi="Book Antiqua"/>
          <w:b/>
          <w:bCs/>
          <w:sz w:val="20"/>
          <w:szCs w:val="20"/>
          <w:lang w:val="en"/>
        </w:rPr>
        <w:t>Penurunan Ekspresi Protein TNF-a</w:t>
      </w:r>
    </w:p>
    <w:p w14:paraId="099DB582"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i/>
          <w:iCs/>
          <w:sz w:val="20"/>
          <w:szCs w:val="20"/>
          <w:lang w:val="en"/>
        </w:rPr>
        <w:t>Tumor Necrosis Factor-alpha</w:t>
      </w:r>
      <w:r w:rsidRPr="006810DB">
        <w:rPr>
          <w:rFonts w:ascii="Book Antiqua" w:hAnsi="Book Antiqua"/>
          <w:sz w:val="20"/>
          <w:szCs w:val="20"/>
          <w:lang w:val="en"/>
        </w:rPr>
        <w:t xml:space="preserve"> (TNF-α) adalah sitokin pleiotropik yang memainkan peran sentral dalam inisiasi apoptosis dan kerusakan jaringan pada mukositis. Ekspresi </w:t>
      </w:r>
      <w:r w:rsidRPr="006810DB">
        <w:rPr>
          <w:rFonts w:ascii="Book Antiqua" w:hAnsi="Book Antiqua"/>
          <w:sz w:val="20"/>
          <w:szCs w:val="20"/>
          <w:lang w:val="en"/>
        </w:rPr>
        <w:lastRenderedPageBreak/>
        <w:t xml:space="preserve">gen TNF-α sangat bergantung pada aktivasi NF-κB. Dengan memblokir NF-κB, TQ secara langsung menekan transkripsi gen TNF-α. Hasil studi ELISA dan analisis mRNA secara konsisten menunjukkan penurunan kadar TNF-α yang signifikan pada jaringan mukosa hewan coba yang diberi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dibandingkan dengan kontrol yang hanya diberi cisplatin (Kadarullah et al., 2024).</w:t>
      </w:r>
    </w:p>
    <w:p w14:paraId="0248F94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Penurunan kadar TNF-α ini memiliki efek domino yang menguntungkan. TNF-α sendiri adalah aktivator NF-κB, sehingga penurunannya memutus loop umpan balik positif yang biasanya memperpanjang durasi peradangan. Selain itu, berkurangnya TNF-α berarti berkurangnya sinyal kematian yang dikirim ke sel epitel basal, memungkinkan sel-sel tersebut untuk bertahan hidup dan berproliferasi kembali untuk menutup luka ulkus.</w:t>
      </w:r>
    </w:p>
    <w:p w14:paraId="44908D82"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Secara klinis, penurunan TNF-α berkorelasi dengan pengurangan edema dan eritema. Hal ini karena TNF-α adalah mediator utama yang meningkatkan permeabilitas pembuluh darah. Dengan menekan sitokin ini, TQ membantu memulihkan integritas barier vaskular, mengurangi kebocoran cairan ke jaringan, dan meredakan pembengkakan yang menyakitkan (Belfiore et al., 2024).</w:t>
      </w:r>
    </w:p>
    <w:p w14:paraId="78919735" w14:textId="10406AE2" w:rsidR="00B258B7" w:rsidRPr="006810DB" w:rsidRDefault="00B258B7" w:rsidP="006810DB">
      <w:pPr>
        <w:pStyle w:val="ListParagraph"/>
        <w:numPr>
          <w:ilvl w:val="0"/>
          <w:numId w:val="73"/>
        </w:numPr>
        <w:spacing w:after="0" w:line="276" w:lineRule="auto"/>
        <w:ind w:left="567" w:hanging="283"/>
        <w:contextualSpacing w:val="0"/>
        <w:jc w:val="both"/>
        <w:rPr>
          <w:rFonts w:ascii="Book Antiqua" w:hAnsi="Book Antiqua"/>
          <w:b/>
          <w:bCs/>
          <w:sz w:val="20"/>
          <w:szCs w:val="20"/>
          <w:lang w:val="en"/>
        </w:rPr>
      </w:pPr>
      <w:bookmarkStart w:id="325" w:name="_d2j6nv1tx3mj" w:colFirst="0" w:colLast="0"/>
      <w:bookmarkEnd w:id="325"/>
      <w:r w:rsidRPr="006810DB">
        <w:rPr>
          <w:rFonts w:ascii="Book Antiqua" w:hAnsi="Book Antiqua"/>
          <w:b/>
          <w:bCs/>
          <w:sz w:val="20"/>
          <w:szCs w:val="20"/>
          <w:lang w:val="en"/>
        </w:rPr>
        <w:t>Reduksi Produksi Nitrat Oksida (NO)</w:t>
      </w:r>
    </w:p>
    <w:p w14:paraId="0D635CBD" w14:textId="4D9A6C9E"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Nitrat oksida (NO) dalam jumlah fisiologis penting untuk vasodilatasi, namun produksi berlebih oleh enzim </w:t>
      </w:r>
      <w:r w:rsidRPr="006810DB">
        <w:rPr>
          <w:rFonts w:ascii="Book Antiqua" w:hAnsi="Book Antiqua"/>
          <w:i/>
          <w:iCs/>
          <w:sz w:val="20"/>
          <w:szCs w:val="20"/>
          <w:lang w:val="en"/>
        </w:rPr>
        <w:t>inducible Nitric Oxide Synthase</w:t>
      </w:r>
      <w:r w:rsidRPr="006810DB">
        <w:rPr>
          <w:rFonts w:ascii="Book Antiqua" w:hAnsi="Book Antiqua"/>
          <w:sz w:val="20"/>
          <w:szCs w:val="20"/>
          <w:lang w:val="en"/>
        </w:rPr>
        <w:t xml:space="preserve"> (iNOS) bersifat sitotoksik. iNOS adalah gen target langsung dari NF-κB. TQ telah terbukti secara efektif menurunkan ekspresi protein iNOS dan, sebagai akibatnya, mengurangi produksi NO di jaringan yang meradang. Penurunan NO ini mencegah pembentukan peroksinitrit (ONOO−ONOO^-ONOO−), sebuah radikal bebas sangat reaktif yang terbentuk dari reaksi NO dengan superoksida (Hannan et al., 2021).</w:t>
      </w:r>
    </w:p>
    <w:p w14:paraId="37E96FD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Penghambatan jalur iNOS/NO oleh TQ melindungi sel dari stres nitrosatif. Stres nitrosatif diketahui dapat menyebabkan kerusakan DNA untai ganda dan nitrasi </w:t>
      </w:r>
      <w:r w:rsidRPr="006810DB">
        <w:rPr>
          <w:rFonts w:ascii="Book Antiqua" w:hAnsi="Book Antiqua"/>
          <w:sz w:val="20"/>
          <w:szCs w:val="20"/>
          <w:lang w:val="en"/>
        </w:rPr>
        <w:lastRenderedPageBreak/>
        <w:t>protein, yang mengganggu fungsi enzim-enzim vital. Dengan mengurangi beban nitrosatif ini, TQ melengkapi efek antioksidannya, memberikan perlindungan menyeluruh terhadap makromolekul seluler.</w:t>
      </w:r>
    </w:p>
    <w:p w14:paraId="11735E6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Selain itu, NO yang berlebihan juga berperan dalam vasodilatasi patologis yang memperburuk peradangan. Dengan menormalkan kadar NO, TQ membantu mengembalikan tonus pembuluh darah yang normal, mengurangi hiperemia (kemerahan berlebih) pada mukosa yang meradang, dan memfasilitasi aliran darah yang sehat untuk mendukung penyembuhan (Kazemi et al., 2022).</w:t>
      </w:r>
    </w:p>
    <w:p w14:paraId="11F92EBF" w14:textId="2DBA0556" w:rsidR="00B258B7" w:rsidRPr="006810DB" w:rsidRDefault="00B258B7" w:rsidP="006810DB">
      <w:pPr>
        <w:pStyle w:val="ListParagraph"/>
        <w:numPr>
          <w:ilvl w:val="0"/>
          <w:numId w:val="73"/>
        </w:numPr>
        <w:spacing w:after="0" w:line="276" w:lineRule="auto"/>
        <w:ind w:left="567" w:hanging="283"/>
        <w:contextualSpacing w:val="0"/>
        <w:jc w:val="both"/>
        <w:rPr>
          <w:rFonts w:ascii="Book Antiqua" w:hAnsi="Book Antiqua"/>
          <w:b/>
          <w:bCs/>
          <w:sz w:val="20"/>
          <w:szCs w:val="20"/>
          <w:lang w:val="en"/>
        </w:rPr>
      </w:pPr>
      <w:bookmarkStart w:id="326" w:name="_24ah7515oks2" w:colFirst="0" w:colLast="0"/>
      <w:bookmarkEnd w:id="326"/>
      <w:r w:rsidRPr="006810DB">
        <w:rPr>
          <w:rFonts w:ascii="Book Antiqua" w:hAnsi="Book Antiqua"/>
          <w:b/>
          <w:bCs/>
          <w:sz w:val="20"/>
          <w:szCs w:val="20"/>
          <w:lang w:val="en"/>
        </w:rPr>
        <w:t>Hambatan pada Jalur Siklooksigenase (COX)</w:t>
      </w:r>
    </w:p>
    <w:p w14:paraId="1F83180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Enzim </w:t>
      </w:r>
      <w:r w:rsidRPr="006810DB">
        <w:rPr>
          <w:rFonts w:ascii="Book Antiqua" w:hAnsi="Book Antiqua"/>
          <w:i/>
          <w:iCs/>
          <w:sz w:val="20"/>
          <w:szCs w:val="20"/>
          <w:lang w:val="en"/>
        </w:rPr>
        <w:t>Cyclooxygenase-2</w:t>
      </w:r>
      <w:r w:rsidRPr="006810DB">
        <w:rPr>
          <w:rFonts w:ascii="Book Antiqua" w:hAnsi="Book Antiqua"/>
          <w:sz w:val="20"/>
          <w:szCs w:val="20"/>
          <w:lang w:val="en"/>
        </w:rPr>
        <w:t xml:space="preserve"> (COX-2) adalah pemain kunci dalam sintesis prostaglandin, lipid mediator yang menyebabkan nyeri dan demam. Seperti iNOS, ekspresi COX-2 juga diatur oleh NF-κB.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dan TQ menunjukkan aktivitas penghambatan ganda: mereka menekan ekspresi gen COX-2 (melalui jalur NF-κB) dan juga dapat menghambat aktivitas katalitik enzim COX-2 secara langsung (mirip dengan obat anti-inflamasi non-steroid/OAINS) (Amin &amp; Hosseinzadeh, 2016).</w:t>
      </w:r>
    </w:p>
    <w:p w14:paraId="033C7DD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Penurunan produksi prostaglandin, terutama PGE2, memiliki implikasi klinis yang sangat penting bagi pasien mukositis: pengurangan nyeri. Nyeri mukositis sering kali bersifat intens dan membatasi asupan makan. Efek analgesik perifer dari TQ melalui penghambatan COX-2 membantu mengurangi sensitisasi ujung saraf, membuat pasien lebih nyaman dan mampu mempertahankan nutrisi oral.</w:t>
      </w:r>
    </w:p>
    <w:p w14:paraId="42B4394F" w14:textId="5FDCF29A"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Berbeda dengan beberapa obat OAINS sintetis yang dapat menyebabkan iritasi lambung,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justru memiliki efek gastroprotektif. Ini menjadikan penghambatan COX-2 oleh herbal ini lebih aman dan menguntungkan, karena ia menargetkan peradangan tanpa mengorbankan integritas mukosa saluran pencernaan lainnya, sebuah fitur yang sangat berharga dalam perawatan suportif kanker (Hannan et al., 2021).</w:t>
      </w:r>
    </w:p>
    <w:p w14:paraId="170758E1" w14:textId="329E73C7" w:rsidR="00B258B7" w:rsidRPr="006810DB" w:rsidRDefault="00B258B7" w:rsidP="006810DB">
      <w:pPr>
        <w:pStyle w:val="Heading2"/>
        <w:numPr>
          <w:ilvl w:val="0"/>
          <w:numId w:val="28"/>
        </w:numPr>
        <w:ind w:left="284" w:hanging="284"/>
        <w:rPr>
          <w:bCs/>
          <w:szCs w:val="20"/>
          <w:lang w:val="en"/>
        </w:rPr>
      </w:pPr>
      <w:bookmarkStart w:id="327" w:name="_vjwrg64vc7jx" w:colFirst="0" w:colLast="0"/>
      <w:bookmarkStart w:id="328" w:name="_Toc223088959"/>
      <w:bookmarkEnd w:id="327"/>
      <w:r w:rsidRPr="006810DB">
        <w:rPr>
          <w:bCs/>
          <w:szCs w:val="20"/>
          <w:lang w:val="en"/>
        </w:rPr>
        <w:lastRenderedPageBreak/>
        <w:t>Modulasi Respon Imun Seluler</w:t>
      </w:r>
      <w:bookmarkEnd w:id="328"/>
    </w:p>
    <w:p w14:paraId="0FE97DAB"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Selain menargetkan jalur sinyal molekuler,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juga memengaruhi perilaku sel-sel imun yang terlibat dalam respon inflamasi. Sistem imun tidaklah statis; sel-sel seperti makrofag dan limfosit memiliki plastisitas tinggi dan dapat berubah fungsi tergantung pada sinyal lingkungan. TQ bertindak sebagai imunomodulator yang "mendidik" sel-sel imun ini untuk beralih dari mode serangan ke mode penyembuhan, menyeimbangkan kembali respons imun yang disregulasi akibat kemoterapi.</w:t>
      </w:r>
    </w:p>
    <w:p w14:paraId="0B86B901"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Sistem imun yang meradang ibarat pasukan tentara yang sedang mengamuk di zona perang, menembak segala arah dan menghancurkan infrastruktur sipil (fenotipe pro-inflamasi).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bertindak seperti komandan baru yang bijaksana atau mediator perdamaian. Ia tidak membubarkan tentara tersebut, tetapi mengubah instruksi mereka: dari "cari dan hancurkan" menjadi "bangun dan pulihkan" (fenotipe anti-inflamasi/penyembuhan). Tentara yang tadinya agresif kini meletakkan senjata dan mulai mengangkat puing-puing serta mendistribusikan bantuan medis.</w:t>
      </w:r>
    </w:p>
    <w:p w14:paraId="4A741176" w14:textId="0342E26A" w:rsidR="00B258B7" w:rsidRPr="006810DB" w:rsidRDefault="00B258B7" w:rsidP="006810DB">
      <w:pPr>
        <w:pStyle w:val="ListParagraph"/>
        <w:numPr>
          <w:ilvl w:val="0"/>
          <w:numId w:val="74"/>
        </w:numPr>
        <w:spacing w:after="0" w:line="276" w:lineRule="auto"/>
        <w:ind w:left="567" w:hanging="283"/>
        <w:contextualSpacing w:val="0"/>
        <w:jc w:val="both"/>
        <w:rPr>
          <w:rFonts w:ascii="Book Antiqua" w:hAnsi="Book Antiqua"/>
          <w:b/>
          <w:bCs/>
          <w:sz w:val="20"/>
          <w:szCs w:val="20"/>
          <w:lang w:val="en"/>
        </w:rPr>
      </w:pPr>
      <w:bookmarkStart w:id="329" w:name="_p5nr92v7zykm" w:colFirst="0" w:colLast="0"/>
      <w:bookmarkEnd w:id="329"/>
      <w:r w:rsidRPr="006810DB">
        <w:rPr>
          <w:rFonts w:ascii="Book Antiqua" w:hAnsi="Book Antiqua"/>
          <w:b/>
          <w:bCs/>
          <w:sz w:val="20"/>
          <w:szCs w:val="20"/>
          <w:lang w:val="en"/>
        </w:rPr>
        <w:t>Pengaruh terhadap Aktivitas Makrofag</w:t>
      </w:r>
    </w:p>
    <w:p w14:paraId="61CEBB4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Makrofag adalah sel imun residen yang memainkan peran ganda. Dalam fase awal peradangan, mereka mengadopsi fenotipe M1 (klasik) yang memproduksi sitokin pro-inflamasi dan ROS untuk membunuh patogen. Namun, untuk penyembuhan jaringan, mereka harus beralih ke fenotipe M2 (alternatif) yang memproduksi sitokin anti-inflamasi (seperti IL-10) dan faktor pertumbuhan. Cisplatin cenderung menahan makrofag dalam keadaan M1 yang destruktif. TQ telah terbukti mempromosikan polarisasi makrofag dari fenotipe M1 menuju M2 (Hannan et al., 2021).</w:t>
      </w:r>
    </w:p>
    <w:p w14:paraId="52F268DB"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Pergeseran fenotipe ini sangat penting untuk resolusi mukositis. Makrofag M2 mensekresi faktor pertumbuhan seperti TGF-β dan VEGF yang merangsang proliferasi sel epitel dan pembentukan pembuluh darah baru </w:t>
      </w:r>
      <w:r w:rsidRPr="006810DB">
        <w:rPr>
          <w:rFonts w:ascii="Book Antiqua" w:hAnsi="Book Antiqua"/>
          <w:sz w:val="20"/>
          <w:szCs w:val="20"/>
          <w:lang w:val="en"/>
        </w:rPr>
        <w:lastRenderedPageBreak/>
        <w:t>(angiogenesis) yang sehat. Dengan mendorong transisi ini, TQ tidak hanya menghentikan kerusakan tetapi secara aktif mempercepat fase regenerasi jaringan mukosa.</w:t>
      </w:r>
    </w:p>
    <w:p w14:paraId="38AD74E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Selain itu, TQ juga menghambat kemampuan fagositosis berlebihan dan pelepasan enzim lisosom dari makrofag yang teraktivasi. Hal ini mencegah kerusakan kolateral pada jaringan sehat di sekitar area ulkus, membatasi ukuran lesi agar tidak semakin meluas (Majdalawieh &amp; Fayyad, 2015).</w:t>
      </w:r>
    </w:p>
    <w:p w14:paraId="716A5F23" w14:textId="696A60D1" w:rsidR="00B258B7" w:rsidRPr="006810DB" w:rsidRDefault="00B258B7" w:rsidP="006810DB">
      <w:pPr>
        <w:pStyle w:val="ListParagraph"/>
        <w:numPr>
          <w:ilvl w:val="0"/>
          <w:numId w:val="74"/>
        </w:numPr>
        <w:spacing w:after="0" w:line="276" w:lineRule="auto"/>
        <w:ind w:left="567" w:hanging="283"/>
        <w:contextualSpacing w:val="0"/>
        <w:jc w:val="both"/>
        <w:rPr>
          <w:rFonts w:ascii="Book Antiqua" w:hAnsi="Book Antiqua"/>
          <w:b/>
          <w:bCs/>
          <w:sz w:val="20"/>
          <w:szCs w:val="20"/>
          <w:lang w:val="en"/>
        </w:rPr>
      </w:pPr>
      <w:bookmarkStart w:id="330" w:name="_2jpe211vll9p" w:colFirst="0" w:colLast="0"/>
      <w:bookmarkEnd w:id="330"/>
      <w:r w:rsidRPr="006810DB">
        <w:rPr>
          <w:rFonts w:ascii="Book Antiqua" w:hAnsi="Book Antiqua"/>
          <w:b/>
          <w:bCs/>
          <w:sz w:val="20"/>
          <w:szCs w:val="20"/>
          <w:lang w:val="en"/>
        </w:rPr>
        <w:t>Regulasi Keseimbangan Th1/Th2</w:t>
      </w:r>
    </w:p>
    <w:p w14:paraId="18D0BBC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Keseimbangan antara sel T helper tipe 1 (Th1) dan tipe 2 (Th2) menentukan jenis respons imun yang dominan. Th1 umumnya terkait dengan peradangan seluler dan produksi IFN-γ, sedangkan Th2 terkait dengan respons humoral dan alergi. Dalam kondisi patologis tertentu, keseimbangan ini terganggu.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bertindak sebagai imunomodulator yang mengembalikan homeostasis sitokin Th1/Th2.</w:t>
      </w:r>
    </w:p>
    <w:p w14:paraId="1AC070BA"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Dalam konteks peradangan kronis atau berlebihan, TQ dapat menekan respon Th1 yang hiperaktif, mengurangi produksi sitokin pro-inflamasi seperti interferon-gamma (IFN-γ). Pada saat yang sama, ia tidak sepenuhnya menekan sistem imun (imunosupresi total), tetapi menyeimbangkannya. Hal ini penting bagi pasien kanker yang membutuhkan sistem imun yang kompeten untuk melawan infeksi sekunder, namun tidak hiper-reaktif hingga merusak jaringan sendiri (Goyal et al., 2017).</w:t>
      </w:r>
    </w:p>
    <w:p w14:paraId="63B14238"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Regulasi ini juga melibatkan peningkatan produksi IL-10, sebuah sitokin anti-inflamasi poten. IL-10 bekerja dengan menghambat sintesis sitokin pro-inflamasi oleh sel T dan makrofag. Kemampuan TQ untuk meningkatkan IL-10 merupakan salah satu mekanisme kunci dalam membatasi durasi dan keparahan mukositis oral.</w:t>
      </w:r>
    </w:p>
    <w:p w14:paraId="22465675" w14:textId="329F9B95" w:rsidR="00B258B7" w:rsidRPr="006810DB" w:rsidRDefault="00B258B7" w:rsidP="006810DB">
      <w:pPr>
        <w:pStyle w:val="ListParagraph"/>
        <w:numPr>
          <w:ilvl w:val="0"/>
          <w:numId w:val="74"/>
        </w:numPr>
        <w:spacing w:after="0" w:line="276" w:lineRule="auto"/>
        <w:ind w:left="567" w:hanging="283"/>
        <w:contextualSpacing w:val="0"/>
        <w:jc w:val="both"/>
        <w:rPr>
          <w:rFonts w:ascii="Book Antiqua" w:hAnsi="Book Antiqua"/>
          <w:b/>
          <w:bCs/>
          <w:sz w:val="20"/>
          <w:szCs w:val="20"/>
          <w:lang w:val="en"/>
        </w:rPr>
      </w:pPr>
      <w:bookmarkStart w:id="331" w:name="_t8d53rtkdeps" w:colFirst="0" w:colLast="0"/>
      <w:bookmarkEnd w:id="331"/>
      <w:r w:rsidRPr="006810DB">
        <w:rPr>
          <w:rFonts w:ascii="Book Antiqua" w:hAnsi="Book Antiqua"/>
          <w:b/>
          <w:bCs/>
          <w:sz w:val="20"/>
          <w:szCs w:val="20"/>
          <w:lang w:val="en"/>
        </w:rPr>
        <w:t>Dampak pada Stabilitas Membran Sel Mast</w:t>
      </w:r>
    </w:p>
    <w:p w14:paraId="7F6F807F"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Sel mast adalah sel imun yang berisi granula yang kaya akan histamin dan mediator inflamasi lainnya. Aktivasi sel mast menyebabkan degranulasi, melepaskan histamin yang </w:t>
      </w:r>
      <w:r w:rsidRPr="006810DB">
        <w:rPr>
          <w:rFonts w:ascii="Book Antiqua" w:hAnsi="Book Antiqua"/>
          <w:sz w:val="20"/>
          <w:szCs w:val="20"/>
          <w:lang w:val="en"/>
        </w:rPr>
        <w:lastRenderedPageBreak/>
        <w:t xml:space="preserve">memicu vasodilatasi instan, gatal, dan pembengkakan.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memiliki efek stabilisasi pada membran sel mast, mencegah degranulasi bahkan ketika ada pemicu (stimulus) (Amin &amp; Hosseinzadeh, 2016).</w:t>
      </w:r>
    </w:p>
    <w:p w14:paraId="73A1789A"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Mekanisme ini mirip dengan obat antialergi </w:t>
      </w:r>
      <w:r w:rsidRPr="006810DB">
        <w:rPr>
          <w:rFonts w:ascii="Book Antiqua" w:hAnsi="Book Antiqua"/>
          <w:i/>
          <w:iCs/>
          <w:sz w:val="20"/>
          <w:szCs w:val="20"/>
          <w:lang w:val="en"/>
        </w:rPr>
        <w:t>sodium cromoglycate</w:t>
      </w:r>
      <w:r w:rsidRPr="006810DB">
        <w:rPr>
          <w:rFonts w:ascii="Book Antiqua" w:hAnsi="Book Antiqua"/>
          <w:sz w:val="20"/>
          <w:szCs w:val="20"/>
          <w:lang w:val="en"/>
        </w:rPr>
        <w:t>, namun berasal dari bahan alam. Dengan mencegah pelepasan histamin, TQ secara efektif mengurangi edema mukosa dan rasa tidak nyaman pada tahap awal mukositis. Efek ini juga berkontribusi pada pengurangan rekrutmen sel imun lain, karena histamin juga bertindak sebagai kemoatraktan.</w:t>
      </w:r>
    </w:p>
    <w:p w14:paraId="149C9E83"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Penstabilan sel mast juga relevan dalam mengurangi sensasi nyeri dan gatal yang sering menyertai proses penyembuhan luka. Dengan menjaga sel mast tetap "tenang",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menciptakan lingkungan jaringan yang lebih kondusif untuk perbaikan struktur tanpa gangguan peradangan alergi atau neurogenik.</w:t>
      </w:r>
    </w:p>
    <w:p w14:paraId="675BDF4D" w14:textId="77777777" w:rsidR="002E5D2A" w:rsidRPr="006810DB" w:rsidRDefault="002E5D2A" w:rsidP="006810DB">
      <w:pPr>
        <w:spacing w:after="0" w:line="276" w:lineRule="auto"/>
        <w:jc w:val="both"/>
        <w:rPr>
          <w:rFonts w:ascii="Book Antiqua" w:hAnsi="Book Antiqua"/>
          <w:b/>
          <w:bCs/>
          <w:sz w:val="20"/>
          <w:szCs w:val="20"/>
          <w:lang w:val="en"/>
        </w:rPr>
      </w:pPr>
      <w:bookmarkStart w:id="332" w:name="_o587h89sd3gi" w:colFirst="0" w:colLast="0"/>
      <w:bookmarkEnd w:id="332"/>
    </w:p>
    <w:p w14:paraId="272A7AF8" w14:textId="77777777" w:rsidR="00564DC0" w:rsidRPr="006810DB" w:rsidRDefault="00564DC0" w:rsidP="006810DB">
      <w:pPr>
        <w:spacing w:line="276" w:lineRule="auto"/>
        <w:rPr>
          <w:rFonts w:ascii="Book Antiqua" w:eastAsiaTheme="majorEastAsia" w:hAnsi="Book Antiqua" w:cstheme="majorBidi"/>
          <w:b/>
          <w:bCs/>
          <w:color w:val="000000" w:themeColor="text1"/>
          <w:sz w:val="20"/>
          <w:szCs w:val="20"/>
          <w:lang w:val="en"/>
        </w:rPr>
      </w:pPr>
      <w:r w:rsidRPr="006810DB">
        <w:rPr>
          <w:rFonts w:ascii="Book Antiqua" w:hAnsi="Book Antiqua"/>
          <w:bCs/>
          <w:szCs w:val="20"/>
          <w:lang w:val="en"/>
        </w:rPr>
        <w:br w:type="page"/>
      </w:r>
    </w:p>
    <w:p w14:paraId="5779D716" w14:textId="58D965FD" w:rsidR="00B258B7" w:rsidRPr="006810DB" w:rsidRDefault="00B258B7" w:rsidP="006810DB">
      <w:pPr>
        <w:pStyle w:val="Heading2"/>
        <w:jc w:val="center"/>
        <w:rPr>
          <w:b w:val="0"/>
          <w:bCs/>
          <w:szCs w:val="20"/>
          <w:lang w:val="en"/>
        </w:rPr>
      </w:pPr>
      <w:bookmarkStart w:id="333" w:name="_Toc223088960"/>
      <w:r w:rsidRPr="006810DB">
        <w:rPr>
          <w:bCs/>
          <w:szCs w:val="20"/>
          <w:lang w:val="en"/>
        </w:rPr>
        <w:lastRenderedPageBreak/>
        <w:t>KESIMPULAN</w:t>
      </w:r>
      <w:bookmarkEnd w:id="333"/>
    </w:p>
    <w:p w14:paraId="7098678A" w14:textId="77777777" w:rsidR="002E5D2A" w:rsidRPr="006810DB" w:rsidRDefault="002E5D2A" w:rsidP="006810DB">
      <w:pPr>
        <w:spacing w:after="0" w:line="276" w:lineRule="auto"/>
        <w:jc w:val="both"/>
        <w:rPr>
          <w:rFonts w:ascii="Book Antiqua" w:hAnsi="Book Antiqua"/>
          <w:sz w:val="20"/>
          <w:szCs w:val="20"/>
          <w:lang w:val="en"/>
        </w:rPr>
      </w:pPr>
    </w:p>
    <w:p w14:paraId="024E7C56" w14:textId="77777777" w:rsidR="004C3372" w:rsidRPr="006810DB" w:rsidRDefault="00B258B7" w:rsidP="006810DB">
      <w:pPr>
        <w:spacing w:after="0" w:line="276" w:lineRule="auto"/>
        <w:ind w:firstLine="567"/>
        <w:jc w:val="both"/>
        <w:rPr>
          <w:rFonts w:ascii="Book Antiqua" w:hAnsi="Book Antiqua"/>
          <w:sz w:val="20"/>
          <w:szCs w:val="20"/>
          <w:lang w:val="en"/>
        </w:rPr>
      </w:pPr>
      <w:r w:rsidRPr="006810DB">
        <w:rPr>
          <w:rFonts w:ascii="Book Antiqua" w:hAnsi="Book Antiqua"/>
          <w:sz w:val="20"/>
          <w:szCs w:val="20"/>
          <w:lang w:val="en"/>
        </w:rPr>
        <w:t xml:space="preserve">Mekanisme anti-inflamasi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yang dimediasi utama oleh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bekerja secara presisi melalui penghambatan jalur sinyal NF-κB. Senyawa ini memblokir fosforilasi IKK, mencegah degradasi IκBα, dan menghambat translokasi nuklear subunit p65, yang secara efektif membungkam ekspresi gen-gen pro-inflamasi. Konsekuensi hilir dari blokade ini adalah penurunan signifikan produksi sitokin (TNF-α, IL-1β), radikal bebas (NO), dan mediator nyeri (prostaglandin). Selain itu,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memodulasi respons imun seluler dengan mempromosikan fenotipe makrofag M2 yang reparatif dan menstabilkan sel mast, menegaskan perannya sebagai agen terapeutik multi-target yang komprehensif untuk mukositis oral.</w:t>
      </w:r>
      <w:bookmarkStart w:id="334" w:name="_h9qqy567u5ev" w:colFirst="0" w:colLast="0"/>
      <w:bookmarkEnd w:id="334"/>
    </w:p>
    <w:p w14:paraId="06D1A847" w14:textId="77777777" w:rsidR="004C3372" w:rsidRPr="006810DB" w:rsidRDefault="004C3372" w:rsidP="006810DB">
      <w:pPr>
        <w:spacing w:after="0" w:line="276" w:lineRule="auto"/>
        <w:jc w:val="both"/>
        <w:rPr>
          <w:rFonts w:ascii="Book Antiqua" w:hAnsi="Book Antiqua"/>
          <w:sz w:val="20"/>
          <w:szCs w:val="20"/>
          <w:lang w:val="en"/>
        </w:rPr>
      </w:pPr>
    </w:p>
    <w:p w14:paraId="1F2F9496" w14:textId="1804AF9C" w:rsidR="002E5D2A" w:rsidRPr="006810DB" w:rsidRDefault="002E5D2A" w:rsidP="006810DB">
      <w:pPr>
        <w:spacing w:after="0" w:line="276" w:lineRule="auto"/>
        <w:ind w:firstLine="567"/>
        <w:jc w:val="both"/>
        <w:rPr>
          <w:rFonts w:ascii="Book Antiqua" w:hAnsi="Book Antiqua"/>
          <w:b/>
          <w:bCs/>
          <w:sz w:val="20"/>
          <w:szCs w:val="20"/>
          <w:lang w:val="en"/>
        </w:rPr>
      </w:pPr>
      <w:r w:rsidRPr="006810DB">
        <w:rPr>
          <w:rFonts w:ascii="Book Antiqua" w:hAnsi="Book Antiqua"/>
          <w:b/>
          <w:bCs/>
          <w:sz w:val="20"/>
          <w:szCs w:val="20"/>
          <w:lang w:val="en"/>
        </w:rPr>
        <w:br w:type="page"/>
      </w:r>
    </w:p>
    <w:p w14:paraId="6467B4FC" w14:textId="77777777" w:rsidR="00824155" w:rsidRPr="006810DB" w:rsidRDefault="00824155" w:rsidP="00824155">
      <w:pPr>
        <w:pStyle w:val="Heading2"/>
        <w:jc w:val="center"/>
      </w:pPr>
      <w:bookmarkStart w:id="335" w:name="_Toc223088961"/>
      <w:r w:rsidRPr="006810DB">
        <w:lastRenderedPageBreak/>
        <w:t>GLOSARIUM</w:t>
      </w:r>
      <w:bookmarkEnd w:id="335"/>
    </w:p>
    <w:p w14:paraId="799701D5" w14:textId="77777777" w:rsidR="00824155" w:rsidRPr="006810DB" w:rsidRDefault="00824155" w:rsidP="00824155">
      <w:pPr>
        <w:spacing w:after="0" w:line="276" w:lineRule="auto"/>
        <w:jc w:val="both"/>
        <w:rPr>
          <w:rFonts w:ascii="Book Antiqua" w:hAnsi="Book Antiqua"/>
          <w:b/>
          <w:bCs/>
          <w:sz w:val="20"/>
          <w:szCs w:val="20"/>
          <w:lang w:val="en"/>
        </w:rPr>
      </w:pPr>
    </w:p>
    <w:p w14:paraId="312E43DD"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Fenotipe M1/M2</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Klasifikasi status aktivasi makrofag; M1 bersifat pro-inflamasi dan membunuh patogen, sedangkan M2 bersifat anti-inflamasi dan mendukung perbaikan jaringan.</w:t>
      </w:r>
    </w:p>
    <w:p w14:paraId="56EE35F2"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Fosforilasi</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Penambahan gugus fosfat pada molekul protein (seperti p65 atau IκB) yang sering kali mengubah aktivitas atau stabilitas protein tersebut, bertindak sebagai saklar on/off sinyal seluler.</w:t>
      </w:r>
    </w:p>
    <w:p w14:paraId="0B987BC1"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iNOS (</w:t>
      </w:r>
      <w:r w:rsidRPr="006810DB">
        <w:rPr>
          <w:rFonts w:ascii="Book Antiqua" w:hAnsi="Book Antiqua"/>
          <w:b/>
          <w:bCs/>
          <w:i/>
          <w:iCs/>
          <w:sz w:val="20"/>
          <w:szCs w:val="20"/>
          <w:lang w:val="en"/>
        </w:rPr>
        <w:t>inducible Nitric Oxide Synthase</w:t>
      </w:r>
      <w:r w:rsidRPr="006810DB">
        <w:rPr>
          <w:rFonts w:ascii="Book Antiqua" w:hAnsi="Book Antiqua"/>
          <w:b/>
          <w:bCs/>
          <w:sz w:val="20"/>
          <w:szCs w:val="20"/>
          <w:lang w:val="en"/>
        </w:rPr>
        <w:t>):</w:t>
      </w:r>
      <w:r w:rsidRPr="006810DB">
        <w:rPr>
          <w:rFonts w:ascii="Book Antiqua" w:hAnsi="Book Antiqua"/>
          <w:sz w:val="20"/>
          <w:szCs w:val="20"/>
          <w:lang w:val="en"/>
        </w:rPr>
        <w:t xml:space="preserve"> Enzim yang diekspresikan saat terjadi peradangan untuk memproduksi nitrat oksida (NO) dalam jumlah besar, berkontribusi pada kerusakan jaringan dan stres oksidatif.</w:t>
      </w:r>
    </w:p>
    <w:p w14:paraId="73D051BC"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Polarisasi Makrofag</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Proses diferensiasi makrofag menjadi fenotipe fungsional tertentu (M1 atau M2) sebagai respons terhadap sinyal lingkungan mikro.</w:t>
      </w:r>
    </w:p>
    <w:p w14:paraId="19DC8319"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Sel Mast</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Sel imun jaringan yang mengandung granula kaya histamin dan heparin; berperan penting dalam reaksi alergi dan inisiasi peradangan akut melalui proses degranulasi.</w:t>
      </w:r>
    </w:p>
    <w:p w14:paraId="3B9E1BD7" w14:textId="77777777" w:rsidR="00824155" w:rsidRPr="006810DB" w:rsidRDefault="00824155" w:rsidP="00824155">
      <w:pPr>
        <w:spacing w:line="276" w:lineRule="auto"/>
        <w:rPr>
          <w:rFonts w:ascii="Book Antiqua" w:hAnsi="Book Antiqua"/>
          <w:b/>
          <w:bCs/>
          <w:sz w:val="20"/>
          <w:szCs w:val="20"/>
          <w:lang w:val="en"/>
        </w:rPr>
      </w:pPr>
      <w:bookmarkStart w:id="336" w:name="_yy6eq5ctyrow" w:colFirst="0" w:colLast="0"/>
      <w:bookmarkEnd w:id="336"/>
      <w:r w:rsidRPr="006810DB">
        <w:rPr>
          <w:rFonts w:ascii="Book Antiqua" w:hAnsi="Book Antiqua"/>
          <w:b/>
          <w:bCs/>
          <w:sz w:val="20"/>
          <w:szCs w:val="20"/>
          <w:lang w:val="en"/>
        </w:rPr>
        <w:br w:type="page"/>
      </w:r>
    </w:p>
    <w:p w14:paraId="013DD286" w14:textId="77777777" w:rsidR="004C3372" w:rsidRPr="006810DB" w:rsidRDefault="004C3372" w:rsidP="006810DB">
      <w:pPr>
        <w:pStyle w:val="Heading2"/>
        <w:jc w:val="center"/>
      </w:pPr>
      <w:bookmarkStart w:id="337" w:name="_Toc223088962"/>
      <w:r w:rsidRPr="006810DB">
        <w:lastRenderedPageBreak/>
        <w:t>DAFTAR PUSTAKA</w:t>
      </w:r>
      <w:bookmarkEnd w:id="337"/>
    </w:p>
    <w:p w14:paraId="3BC1FE9A" w14:textId="77777777" w:rsidR="004C3372" w:rsidRPr="006810DB" w:rsidRDefault="004C3372" w:rsidP="006810DB">
      <w:pPr>
        <w:spacing w:after="0" w:line="276" w:lineRule="auto"/>
        <w:jc w:val="both"/>
        <w:rPr>
          <w:rFonts w:ascii="Book Antiqua" w:hAnsi="Book Antiqua"/>
          <w:b/>
          <w:bCs/>
          <w:sz w:val="20"/>
          <w:szCs w:val="20"/>
          <w:lang w:val="en"/>
        </w:rPr>
      </w:pPr>
    </w:p>
    <w:p w14:paraId="1C511BF6" w14:textId="77777777" w:rsidR="004C3372" w:rsidRPr="006810DB" w:rsidRDefault="004C3372"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Amin, B., &amp; Hosseinzadeh, H. (2016). Black Cumin (Nigella sativa) and its active constituent, thymoquinone: an overview on the analgesic and anti-inflammatory effects. </w:t>
      </w:r>
      <w:r w:rsidRPr="006810DB">
        <w:rPr>
          <w:rFonts w:ascii="Book Antiqua" w:hAnsi="Book Antiqua"/>
          <w:i/>
          <w:iCs/>
          <w:color w:val="000000" w:themeColor="text1"/>
          <w:sz w:val="20"/>
          <w:szCs w:val="20"/>
          <w:lang w:val="en"/>
        </w:rPr>
        <w:t>Planta Medica</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82</w:t>
      </w:r>
      <w:r w:rsidRPr="006810DB">
        <w:rPr>
          <w:rFonts w:ascii="Book Antiqua" w:hAnsi="Book Antiqua"/>
          <w:color w:val="000000" w:themeColor="text1"/>
          <w:sz w:val="20"/>
          <w:szCs w:val="20"/>
          <w:lang w:val="en"/>
        </w:rPr>
        <w:t>(1-2), 8–16.</w:t>
      </w:r>
      <w:hyperlink r:id="rId257">
        <w:r w:rsidRPr="006810DB">
          <w:rPr>
            <w:rStyle w:val="Hyperlink"/>
            <w:rFonts w:ascii="Book Antiqua" w:hAnsi="Book Antiqua"/>
            <w:color w:val="000000" w:themeColor="text1"/>
            <w:sz w:val="20"/>
            <w:szCs w:val="20"/>
            <w:u w:val="none"/>
            <w:lang w:val="en"/>
          </w:rPr>
          <w:t xml:space="preserve"> </w:t>
        </w:r>
      </w:hyperlink>
      <w:hyperlink r:id="rId258">
        <w:r w:rsidRPr="006810DB">
          <w:rPr>
            <w:rStyle w:val="Hyperlink"/>
            <w:rFonts w:ascii="Book Antiqua" w:hAnsi="Book Antiqua"/>
            <w:color w:val="000000" w:themeColor="text1"/>
            <w:sz w:val="20"/>
            <w:szCs w:val="20"/>
            <w:u w:val="none"/>
            <w:lang w:val="en"/>
          </w:rPr>
          <w:t>https://doi.org/10.1055/s-0035-1557838</w:t>
        </w:r>
      </w:hyperlink>
    </w:p>
    <w:p w14:paraId="6EAA6C47" w14:textId="77777777" w:rsidR="004C3372" w:rsidRPr="006810DB" w:rsidRDefault="004C3372"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Belfiore, E., Di Prima, G., Angellotti, G., Panzarella, V., &amp; De Caro, V. (2024). Plant-Derived Polyphenols to Prevent and Treat Oral Mucositis Induced by Chemo- and Radiotherapy in Head and Neck Cancers Management. </w:t>
      </w:r>
      <w:r w:rsidRPr="006810DB">
        <w:rPr>
          <w:rFonts w:ascii="Book Antiqua" w:hAnsi="Book Antiqua"/>
          <w:i/>
          <w:iCs/>
          <w:color w:val="000000" w:themeColor="text1"/>
          <w:sz w:val="20"/>
          <w:szCs w:val="20"/>
          <w:lang w:val="en"/>
        </w:rPr>
        <w:t>Cancers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16</w:t>
      </w:r>
      <w:r w:rsidRPr="006810DB">
        <w:rPr>
          <w:rFonts w:ascii="Book Antiqua" w:hAnsi="Book Antiqua"/>
          <w:color w:val="000000" w:themeColor="text1"/>
          <w:sz w:val="20"/>
          <w:szCs w:val="20"/>
          <w:lang w:val="en"/>
        </w:rPr>
        <w:t>(2), 260.</w:t>
      </w:r>
      <w:hyperlink r:id="rId259">
        <w:r w:rsidRPr="006810DB">
          <w:rPr>
            <w:rStyle w:val="Hyperlink"/>
            <w:rFonts w:ascii="Book Antiqua" w:hAnsi="Book Antiqua"/>
            <w:color w:val="000000" w:themeColor="text1"/>
            <w:sz w:val="20"/>
            <w:szCs w:val="20"/>
            <w:u w:val="none"/>
            <w:lang w:val="en"/>
          </w:rPr>
          <w:t xml:space="preserve"> </w:t>
        </w:r>
      </w:hyperlink>
      <w:hyperlink r:id="rId260">
        <w:r w:rsidRPr="006810DB">
          <w:rPr>
            <w:rStyle w:val="Hyperlink"/>
            <w:rFonts w:ascii="Book Antiqua" w:hAnsi="Book Antiqua"/>
            <w:color w:val="000000" w:themeColor="text1"/>
            <w:sz w:val="20"/>
            <w:szCs w:val="20"/>
            <w:u w:val="none"/>
            <w:lang w:val="en"/>
          </w:rPr>
          <w:t>https://doi.org/10.3390/cancers16020260</w:t>
        </w:r>
      </w:hyperlink>
    </w:p>
    <w:p w14:paraId="1B08DDAD" w14:textId="77777777" w:rsidR="004C3372" w:rsidRPr="006810DB" w:rsidRDefault="004C3372"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Goyal, S. N., Prajapati, C. P., Gore, P. R., &amp; Patil, C. R. (2017). Therapeutic potential and pharmaceutical development of thymoquinone: a multitargeted molecule of natural origin. </w:t>
      </w:r>
      <w:r w:rsidRPr="006810DB">
        <w:rPr>
          <w:rFonts w:ascii="Book Antiqua" w:hAnsi="Book Antiqua"/>
          <w:i/>
          <w:iCs/>
          <w:color w:val="000000" w:themeColor="text1"/>
          <w:sz w:val="20"/>
          <w:szCs w:val="20"/>
          <w:lang w:val="en"/>
        </w:rPr>
        <w:t>Frontiers in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w:t>
      </w:r>
      <w:r w:rsidRPr="006810DB">
        <w:rPr>
          <w:rFonts w:ascii="Book Antiqua" w:hAnsi="Book Antiqua"/>
          <w:color w:val="000000" w:themeColor="text1"/>
          <w:sz w:val="20"/>
          <w:szCs w:val="20"/>
          <w:lang w:val="en"/>
        </w:rPr>
        <w:t>, 656.</w:t>
      </w:r>
      <w:hyperlink r:id="rId261">
        <w:r w:rsidRPr="006810DB">
          <w:rPr>
            <w:rStyle w:val="Hyperlink"/>
            <w:rFonts w:ascii="Book Antiqua" w:hAnsi="Book Antiqua"/>
            <w:color w:val="000000" w:themeColor="text1"/>
            <w:sz w:val="20"/>
            <w:szCs w:val="20"/>
            <w:u w:val="none"/>
            <w:lang w:val="en"/>
          </w:rPr>
          <w:t xml:space="preserve"> </w:t>
        </w:r>
      </w:hyperlink>
      <w:hyperlink r:id="rId262">
        <w:r w:rsidRPr="006810DB">
          <w:rPr>
            <w:rStyle w:val="Hyperlink"/>
            <w:rFonts w:ascii="Book Antiqua" w:hAnsi="Book Antiqua"/>
            <w:color w:val="000000" w:themeColor="text1"/>
            <w:sz w:val="20"/>
            <w:szCs w:val="20"/>
            <w:u w:val="none"/>
            <w:lang w:val="en"/>
          </w:rPr>
          <w:t>https://doi.org/10.3389/fphar.2017.00656</w:t>
        </w:r>
      </w:hyperlink>
    </w:p>
    <w:p w14:paraId="3E2CEF51" w14:textId="77777777" w:rsidR="004C3372" w:rsidRPr="006810DB" w:rsidRDefault="004C3372"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Hannan, M. A., Sohag, A. A. M., Uddin, M. J., Dash, R., Sikder, M. H., Rahman, M. S., ... &amp; Kim, B. (2021). Black Cumin (Nigella sativa L.): A Comprehensive Review on Phytochemistry, Health Benefits, Molecular Pharmacology, and Safety. </w:t>
      </w:r>
      <w:r w:rsidRPr="006810DB">
        <w:rPr>
          <w:rFonts w:ascii="Book Antiqua" w:hAnsi="Book Antiqua"/>
          <w:i/>
          <w:iCs/>
          <w:color w:val="000000" w:themeColor="text1"/>
          <w:sz w:val="20"/>
          <w:szCs w:val="20"/>
          <w:lang w:val="en"/>
        </w:rPr>
        <w:t>Nutrients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13</w:t>
      </w:r>
      <w:r w:rsidRPr="006810DB">
        <w:rPr>
          <w:rFonts w:ascii="Book Antiqua" w:hAnsi="Book Antiqua"/>
          <w:color w:val="000000" w:themeColor="text1"/>
          <w:sz w:val="20"/>
          <w:szCs w:val="20"/>
          <w:lang w:val="en"/>
        </w:rPr>
        <w:t>(6), 1784.</w:t>
      </w:r>
      <w:hyperlink r:id="rId263">
        <w:r w:rsidRPr="006810DB">
          <w:rPr>
            <w:rStyle w:val="Hyperlink"/>
            <w:rFonts w:ascii="Book Antiqua" w:hAnsi="Book Antiqua"/>
            <w:color w:val="000000" w:themeColor="text1"/>
            <w:sz w:val="20"/>
            <w:szCs w:val="20"/>
            <w:u w:val="none"/>
            <w:lang w:val="en"/>
          </w:rPr>
          <w:t xml:space="preserve"> </w:t>
        </w:r>
      </w:hyperlink>
      <w:hyperlink r:id="rId264">
        <w:r w:rsidRPr="006810DB">
          <w:rPr>
            <w:rStyle w:val="Hyperlink"/>
            <w:rFonts w:ascii="Book Antiqua" w:hAnsi="Book Antiqua"/>
            <w:color w:val="000000" w:themeColor="text1"/>
            <w:sz w:val="20"/>
            <w:szCs w:val="20"/>
            <w:u w:val="none"/>
            <w:lang w:val="en"/>
          </w:rPr>
          <w:t>https://doi.org/10.3390/nu13061784</w:t>
        </w:r>
      </w:hyperlink>
    </w:p>
    <w:p w14:paraId="5CE5DC7A" w14:textId="77777777" w:rsidR="004C3372" w:rsidRPr="006810DB" w:rsidRDefault="004C3372"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Kadarullah, O., Tamtomo, D., Wasita, B., Setiamika, M., Prayitno, A., Widyaningsih, V., &amp; Soetrisno, S. (2024). Cisplatin-Induced Oral Mucositis Prevention: Nigella sativa’s Anti-Inflammatory Role through NFκB Pathway. </w:t>
      </w:r>
      <w:r w:rsidRPr="006810DB">
        <w:rPr>
          <w:rFonts w:ascii="Book Antiqua" w:hAnsi="Book Antiqua"/>
          <w:i/>
          <w:iCs/>
          <w:color w:val="000000" w:themeColor="text1"/>
          <w:sz w:val="20"/>
          <w:szCs w:val="20"/>
          <w:lang w:val="en"/>
        </w:rPr>
        <w:t>Trends in Sciences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21</w:t>
      </w:r>
      <w:r w:rsidRPr="006810DB">
        <w:rPr>
          <w:rFonts w:ascii="Book Antiqua" w:hAnsi="Book Antiqua"/>
          <w:color w:val="000000" w:themeColor="text1"/>
          <w:sz w:val="20"/>
          <w:szCs w:val="20"/>
          <w:lang w:val="en"/>
        </w:rPr>
        <w:t>(1), 8105.</w:t>
      </w:r>
      <w:hyperlink r:id="rId265">
        <w:r w:rsidRPr="006810DB">
          <w:rPr>
            <w:rStyle w:val="Hyperlink"/>
            <w:rFonts w:ascii="Book Antiqua" w:hAnsi="Book Antiqua"/>
            <w:color w:val="000000" w:themeColor="text1"/>
            <w:sz w:val="20"/>
            <w:szCs w:val="20"/>
            <w:u w:val="none"/>
            <w:lang w:val="en"/>
          </w:rPr>
          <w:t xml:space="preserve"> </w:t>
        </w:r>
      </w:hyperlink>
      <w:hyperlink r:id="rId266">
        <w:r w:rsidRPr="006810DB">
          <w:rPr>
            <w:rStyle w:val="Hyperlink"/>
            <w:rFonts w:ascii="Book Antiqua" w:hAnsi="Book Antiqua"/>
            <w:color w:val="000000" w:themeColor="text1"/>
            <w:sz w:val="20"/>
            <w:szCs w:val="20"/>
            <w:u w:val="none"/>
            <w:lang w:val="en"/>
          </w:rPr>
          <w:t>https://doi.org/10.48048/tis.2024.8105</w:t>
        </w:r>
      </w:hyperlink>
    </w:p>
    <w:p w14:paraId="79481D4B" w14:textId="77777777" w:rsidR="004C3372" w:rsidRPr="006810DB" w:rsidRDefault="004C3372"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Kazemi, S., Moghadamnia, A., Saebnouri, H., Roudsari, S., &amp; Afraz, E. (2022). Effect of intraperitoneal injection of Nigella sativa oil on 5-fluorouracil-induced oral mucositis in rats. </w:t>
      </w:r>
      <w:r w:rsidRPr="006810DB">
        <w:rPr>
          <w:rFonts w:ascii="Book Antiqua" w:hAnsi="Book Antiqua"/>
          <w:i/>
          <w:iCs/>
          <w:color w:val="000000" w:themeColor="text1"/>
          <w:sz w:val="20"/>
          <w:szCs w:val="20"/>
          <w:lang w:val="en"/>
        </w:rPr>
        <w:t>Journal of Biological Studies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w:t>
      </w:r>
      <w:r w:rsidRPr="006810DB">
        <w:rPr>
          <w:rFonts w:ascii="Book Antiqua" w:hAnsi="Book Antiqua"/>
          <w:color w:val="000000" w:themeColor="text1"/>
          <w:sz w:val="20"/>
          <w:szCs w:val="20"/>
          <w:lang w:val="en"/>
        </w:rPr>
        <w:t>(1), 6365.</w:t>
      </w:r>
      <w:hyperlink r:id="rId267">
        <w:r w:rsidRPr="006810DB">
          <w:rPr>
            <w:rStyle w:val="Hyperlink"/>
            <w:rFonts w:ascii="Book Antiqua" w:hAnsi="Book Antiqua"/>
            <w:color w:val="000000" w:themeColor="text1"/>
            <w:sz w:val="20"/>
            <w:szCs w:val="20"/>
            <w:u w:val="none"/>
            <w:lang w:val="en"/>
          </w:rPr>
          <w:t xml:space="preserve"> </w:t>
        </w:r>
      </w:hyperlink>
      <w:hyperlink r:id="rId268">
        <w:r w:rsidRPr="006810DB">
          <w:rPr>
            <w:rStyle w:val="Hyperlink"/>
            <w:rFonts w:ascii="Book Antiqua" w:hAnsi="Book Antiqua"/>
            <w:color w:val="000000" w:themeColor="text1"/>
            <w:sz w:val="20"/>
            <w:szCs w:val="20"/>
            <w:u w:val="none"/>
            <w:lang w:val="en"/>
          </w:rPr>
          <w:t>https://doi.org/10.62400/jbs.v5i1.6365</w:t>
        </w:r>
      </w:hyperlink>
    </w:p>
    <w:p w14:paraId="5E98B271" w14:textId="77777777" w:rsidR="004C3372" w:rsidRPr="006810DB" w:rsidRDefault="004C3372"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Madani, F., Kazemi, S., Shirafkan, F., Lotfi, M., Hosseini, S., &amp; Moghadamnia, A. (2023). Thymoquinone protects against 5</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Fluorouracil</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induced mucositis by NF</w:t>
      </w:r>
      <w:r w:rsidRPr="006810DB">
        <w:rPr>
          <w:rFonts w:ascii="Times New Roman" w:hAnsi="Times New Roman" w:cs="Times New Roman"/>
          <w:color w:val="000000" w:themeColor="text1"/>
          <w:sz w:val="20"/>
          <w:szCs w:val="20"/>
          <w:lang w:val="en"/>
        </w:rPr>
        <w:t>‐</w:t>
      </w:r>
      <w:r w:rsidRPr="006810DB">
        <w:rPr>
          <w:rFonts w:ascii="Book Antiqua" w:hAnsi="Book Antiqua" w:cs="Book Antiqua"/>
          <w:color w:val="000000" w:themeColor="text1"/>
          <w:sz w:val="20"/>
          <w:szCs w:val="20"/>
          <w:lang w:val="en"/>
        </w:rPr>
        <w:t>κβ</w:t>
      </w:r>
      <w:r w:rsidRPr="006810DB">
        <w:rPr>
          <w:rFonts w:ascii="Book Antiqua" w:hAnsi="Book Antiqua"/>
          <w:color w:val="000000" w:themeColor="text1"/>
          <w:sz w:val="20"/>
          <w:szCs w:val="20"/>
          <w:lang w:val="en"/>
        </w:rPr>
        <w:t xml:space="preserve"> and HIF</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 xml:space="preserve">1 </w:t>
      </w:r>
      <w:r w:rsidRPr="006810DB">
        <w:rPr>
          <w:rFonts w:ascii="Book Antiqua" w:hAnsi="Book Antiqua"/>
          <w:color w:val="000000" w:themeColor="text1"/>
          <w:sz w:val="20"/>
          <w:szCs w:val="20"/>
          <w:lang w:val="en"/>
        </w:rPr>
        <w:lastRenderedPageBreak/>
        <w:t xml:space="preserve">mechanisms in mice. </w:t>
      </w:r>
      <w:r w:rsidRPr="006810DB">
        <w:rPr>
          <w:rFonts w:ascii="Book Antiqua" w:hAnsi="Book Antiqua"/>
          <w:i/>
          <w:iCs/>
          <w:color w:val="000000" w:themeColor="text1"/>
          <w:sz w:val="20"/>
          <w:szCs w:val="20"/>
          <w:lang w:val="en"/>
        </w:rPr>
        <w:t>Journal of Biochemical and Molecular Toxicology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37</w:t>
      </w:r>
      <w:r w:rsidRPr="006810DB">
        <w:rPr>
          <w:rFonts w:ascii="Book Antiqua" w:hAnsi="Book Antiqua"/>
          <w:color w:val="000000" w:themeColor="text1"/>
          <w:sz w:val="20"/>
          <w:szCs w:val="20"/>
          <w:lang w:val="en"/>
        </w:rPr>
        <w:t>(6), e23405.</w:t>
      </w:r>
      <w:hyperlink r:id="rId269">
        <w:r w:rsidRPr="006810DB">
          <w:rPr>
            <w:rStyle w:val="Hyperlink"/>
            <w:rFonts w:ascii="Book Antiqua" w:hAnsi="Book Antiqua"/>
            <w:color w:val="000000" w:themeColor="text1"/>
            <w:sz w:val="20"/>
            <w:szCs w:val="20"/>
            <w:u w:val="none"/>
            <w:lang w:val="en"/>
          </w:rPr>
          <w:t xml:space="preserve"> </w:t>
        </w:r>
      </w:hyperlink>
      <w:hyperlink r:id="rId270">
        <w:r w:rsidRPr="006810DB">
          <w:rPr>
            <w:rStyle w:val="Hyperlink"/>
            <w:rFonts w:ascii="Book Antiqua" w:hAnsi="Book Antiqua"/>
            <w:color w:val="000000" w:themeColor="text1"/>
            <w:sz w:val="20"/>
            <w:szCs w:val="20"/>
            <w:u w:val="none"/>
            <w:lang w:val="en"/>
          </w:rPr>
          <w:t>https://doi.org/10.1002/jbt.23405</w:t>
        </w:r>
      </w:hyperlink>
    </w:p>
    <w:p w14:paraId="23027DFB" w14:textId="77777777" w:rsidR="004C3372" w:rsidRPr="006810DB" w:rsidRDefault="004C3372" w:rsidP="006810DB">
      <w:pPr>
        <w:spacing w:after="120" w:line="276" w:lineRule="auto"/>
        <w:ind w:left="567" w:hanging="567"/>
        <w:jc w:val="both"/>
        <w:rPr>
          <w:rFonts w:ascii="Book Antiqua" w:hAnsi="Book Antiqua"/>
          <w:sz w:val="20"/>
          <w:szCs w:val="20"/>
          <w:lang w:val="en"/>
        </w:rPr>
      </w:pPr>
      <w:r w:rsidRPr="006810DB">
        <w:rPr>
          <w:rFonts w:ascii="Book Antiqua" w:hAnsi="Book Antiqua"/>
          <w:color w:val="000000" w:themeColor="text1"/>
          <w:sz w:val="20"/>
          <w:szCs w:val="20"/>
          <w:lang w:val="en"/>
        </w:rPr>
        <w:t xml:space="preserve">Majdalawieh, A. F., &amp; Fayyad, M. W. (2015). Immunomodulatory and anti-inflammatory action of Nigella sativa and thymoquinone: A comprehensive review. </w:t>
      </w:r>
      <w:r w:rsidRPr="006810DB">
        <w:rPr>
          <w:rFonts w:ascii="Book Antiqua" w:hAnsi="Book Antiqua"/>
          <w:i/>
          <w:iCs/>
          <w:color w:val="000000" w:themeColor="text1"/>
          <w:sz w:val="20"/>
          <w:szCs w:val="20"/>
          <w:lang w:val="en"/>
        </w:rPr>
        <w:t>International Immunopharmacology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28</w:t>
      </w:r>
      <w:r w:rsidRPr="006810DB">
        <w:rPr>
          <w:rFonts w:ascii="Book Antiqua" w:hAnsi="Book Antiqua"/>
          <w:color w:val="000000" w:themeColor="text1"/>
          <w:sz w:val="20"/>
          <w:szCs w:val="20"/>
          <w:lang w:val="en"/>
        </w:rPr>
        <w:t>(1), 295-304.</w:t>
      </w:r>
      <w:hyperlink r:id="rId271">
        <w:r w:rsidRPr="006810DB">
          <w:rPr>
            <w:rStyle w:val="Hyperlink"/>
            <w:rFonts w:ascii="Book Antiqua" w:hAnsi="Book Antiqua"/>
            <w:color w:val="000000" w:themeColor="text1"/>
            <w:sz w:val="20"/>
            <w:szCs w:val="20"/>
            <w:u w:val="none"/>
            <w:lang w:val="en"/>
          </w:rPr>
          <w:t xml:space="preserve"> </w:t>
        </w:r>
      </w:hyperlink>
      <w:hyperlink r:id="rId272">
        <w:r w:rsidRPr="006810DB">
          <w:rPr>
            <w:rStyle w:val="Hyperlink"/>
            <w:rFonts w:ascii="Book Antiqua" w:hAnsi="Book Antiqua"/>
            <w:color w:val="000000" w:themeColor="text1"/>
            <w:sz w:val="20"/>
            <w:szCs w:val="20"/>
            <w:u w:val="none"/>
            <w:lang w:val="en"/>
          </w:rPr>
          <w:t>https://doi.org/10.1016/j.intimp.2015.06.023</w:t>
        </w:r>
      </w:hyperlink>
    </w:p>
    <w:p w14:paraId="31A7D35C" w14:textId="77777777" w:rsidR="004C3372" w:rsidRPr="006810DB" w:rsidRDefault="004C3372" w:rsidP="006810DB">
      <w:pPr>
        <w:spacing w:after="0" w:line="276" w:lineRule="auto"/>
        <w:jc w:val="both"/>
        <w:rPr>
          <w:rFonts w:ascii="Book Antiqua" w:hAnsi="Book Antiqua"/>
          <w:b/>
          <w:bCs/>
          <w:sz w:val="20"/>
          <w:szCs w:val="20"/>
          <w:lang w:val="en"/>
        </w:rPr>
      </w:pPr>
      <w:bookmarkStart w:id="338" w:name="_ifnx3wmxd5x2" w:colFirst="0" w:colLast="0"/>
      <w:bookmarkEnd w:id="338"/>
    </w:p>
    <w:p w14:paraId="0E644DB6" w14:textId="77777777" w:rsidR="004C3372" w:rsidRPr="006810DB" w:rsidRDefault="004C3372"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2D1F0B52" w14:textId="38D88D0E" w:rsidR="00D0395B" w:rsidRPr="006810DB" w:rsidRDefault="00D0395B" w:rsidP="006810DB">
      <w:pPr>
        <w:pStyle w:val="Heading1"/>
        <w:spacing w:before="0" w:line="276" w:lineRule="auto"/>
        <w:ind w:firstLine="142"/>
        <w:rPr>
          <w:b/>
          <w:bCs/>
          <w:szCs w:val="20"/>
          <w:lang w:val="en"/>
        </w:rPr>
      </w:pPr>
      <w:bookmarkStart w:id="339" w:name="_Toc223088963"/>
      <w:r w:rsidRPr="006810DB">
        <w:rPr>
          <w:b/>
          <w:noProof/>
          <w:sz w:val="48"/>
          <w:szCs w:val="20"/>
          <w:lang w:val="en-US"/>
        </w:rPr>
        <w:lastRenderedPageBreak/>
        <mc:AlternateContent>
          <mc:Choice Requires="wps">
            <w:drawing>
              <wp:anchor distT="0" distB="0" distL="114300" distR="114300" simplePos="0" relativeHeight="251706368" behindDoc="0" locked="0" layoutInCell="1" allowOverlap="1" wp14:anchorId="1B020F86" wp14:editId="391A4D24">
                <wp:simplePos x="0" y="0"/>
                <wp:positionH relativeFrom="column">
                  <wp:posOffset>910590</wp:posOffset>
                </wp:positionH>
                <wp:positionV relativeFrom="paragraph">
                  <wp:posOffset>133350</wp:posOffset>
                </wp:positionV>
                <wp:extent cx="2820035" cy="1066800"/>
                <wp:effectExtent l="0" t="0" r="0" b="0"/>
                <wp:wrapNone/>
                <wp:docPr id="30" name="Rectangle 30"/>
                <wp:cNvGraphicFramePr/>
                <a:graphic xmlns:a="http://schemas.openxmlformats.org/drawingml/2006/main">
                  <a:graphicData uri="http://schemas.microsoft.com/office/word/2010/wordprocessingShape">
                    <wps:wsp>
                      <wps:cNvSpPr/>
                      <wps:spPr>
                        <a:xfrm>
                          <a:off x="0" y="0"/>
                          <a:ext cx="2820035" cy="1066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D7799B2" w14:textId="11D4A962" w:rsidR="00D0395B" w:rsidRPr="004C3372" w:rsidRDefault="00D0395B" w:rsidP="00D0395B">
                            <w:pPr>
                              <w:spacing w:after="0" w:line="276" w:lineRule="auto"/>
                              <w:jc w:val="center"/>
                              <w:rPr>
                                <w:rFonts w:ascii="Book Antiqua" w:hAnsi="Book Antiqua"/>
                                <w:b/>
                                <w:bCs/>
                                <w:sz w:val="32"/>
                                <w:szCs w:val="36"/>
                                <w:lang w:val="en"/>
                              </w:rPr>
                            </w:pPr>
                            <w:r w:rsidRPr="004C3372">
                              <w:rPr>
                                <w:rFonts w:ascii="Book Antiqua" w:hAnsi="Book Antiqua"/>
                                <w:b/>
                                <w:bCs/>
                                <w:sz w:val="32"/>
                                <w:szCs w:val="36"/>
                                <w:lang w:val="en"/>
                              </w:rPr>
                              <w:t>ANALISIS EKSPRESI PROTEIN P50 DAN P65 PADA MUKOSA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B020F86" id="Rectangle 30" o:spid="_x0000_s1039" style="position:absolute;left:0;text-align:left;margin-left:71.7pt;margin-top:10.5pt;width:222.05pt;height:8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Y3aZgIAABEFAAAOAAAAZHJzL2Uyb0RvYy54bWysVN1P2zAQf5+0/8Hy+0hSoGMVKapATJPQ&#10;QMC0Z9ex22i2zzu7Tbu/fmcnDbD1adpLct8fv7vz5dXOGrZVGFpwNa9OSs6Uk9C0blXzb8+3Hy44&#10;C1G4RhhwquZ7FfjV/P27y87P1ATWYBqFjIK4MOt8zdcx+llRBLlWVoQT8MqRUgNaEYnFVdGg6Ci6&#10;NcWkLKdFB9h4BKlCIOlNr+TzHF9rJeO91kFFZmpOtcX8xfxdpm8xvxSzFQq/buVQhviHKqxoHSUd&#10;Q92IKNgG279C2VYiBNDxRIItQOtWqtwDdVOVf3TztBZe5V4InOBHmML/Cyu/bh+QtU3NTwkeJyzN&#10;6JFQE25lFCMZAdT5MCO7J/+AAxeITN3uNNr0pz7YLoO6H0FVu8gkCScXNKfTc84k6apyOr0oc9Ti&#10;xd1jiJ8VWJaImiPlz2CK7V2IlJJMDyYpm4Pb1pg8OePeCMgwSYpUcV9jpuLeqGRn3KPS1GyqKifI&#10;a6auDbKtoAURUioXp6nnHImsk5umbKNjdczRxGpwGmyTm8rrNzqWxxzfZhw9clZwcXS2rQM8FqD5&#10;MWbu7Q/d9z2n9uNuucsTrk4P01xCs6exI/T3ELy8bQn6OxHig0A6ANoFOup4Tx9toKs5DBRna8Bf&#10;x+TJnvaStJx1dFA1Dz83AhVn5oujjf1UnZ2lC8zM2fnHCTH4WrN8rXEbew00koqeDy8zmeyjOZAa&#10;wX6n21+krKQSTlLumsuIB+Y69odOr4dUi0U2o6vzIt65Jy9T8AS0g8Umgm7zpiXAenQGIOnu8jYM&#10;b0Q67Nd8tnp5yea/AQAA//8DAFBLAwQUAAYACAAAACEA+saja94AAAAKAQAADwAAAGRycy9kb3du&#10;cmV2LnhtbEyPzU7DMBCE70i8g7VI3KjT0kIIcSpAQgj1gCjt3XG2SUS8jmznp2/PcoLjaEYz3+Tb&#10;2XZiRB9aRwqWiwQEknFVS7WCw9frTQoiRE2V7hyhgjMG2BaXF7nOKjfRJ477WAsuoZBpBU2MfSZl&#10;MA1aHRauR2Lv5LzVkaWvZeX1xOW2k6skuZNWt8QLje7xpUHzvR+sgqM7PU/WlPQ+nj/a4W3njUl3&#10;Sl1fzU+PICLO8S8Mv/iMDgUzlW6gKoiO9fp2zVEFqyV/4sAmvd+AKNlJHxKQRS7/Xyh+AAAA//8D&#10;AFBLAQItABQABgAIAAAAIQC2gziS/gAAAOEBAAATAAAAAAAAAAAAAAAAAAAAAABbQ29udGVudF9U&#10;eXBlc10ueG1sUEsBAi0AFAAGAAgAAAAhADj9If/WAAAAlAEAAAsAAAAAAAAAAAAAAAAALwEAAF9y&#10;ZWxzLy5yZWxzUEsBAi0AFAAGAAgAAAAhAKkhjdpmAgAAEQUAAA4AAAAAAAAAAAAAAAAALgIAAGRy&#10;cy9lMm9Eb2MueG1sUEsBAi0AFAAGAAgAAAAhAPrGo2veAAAACgEAAA8AAAAAAAAAAAAAAAAAwAQA&#10;AGRycy9kb3ducmV2LnhtbFBLBQYAAAAABAAEAPMAAADLBQAAAAA=&#10;" filled="f" stroked="f" strokeweight="1pt">
                <v:textbox>
                  <w:txbxContent>
                    <w:p w14:paraId="5D7799B2" w14:textId="11D4A962" w:rsidR="00D0395B" w:rsidRPr="004C3372" w:rsidRDefault="00D0395B" w:rsidP="00D0395B">
                      <w:pPr>
                        <w:spacing w:after="0" w:line="276" w:lineRule="auto"/>
                        <w:jc w:val="center"/>
                        <w:rPr>
                          <w:rFonts w:ascii="Book Antiqua" w:hAnsi="Book Antiqua"/>
                          <w:b/>
                          <w:bCs/>
                          <w:sz w:val="32"/>
                          <w:szCs w:val="36"/>
                          <w:lang w:val="en"/>
                        </w:rPr>
                      </w:pPr>
                      <w:r w:rsidRPr="004C3372">
                        <w:rPr>
                          <w:rFonts w:ascii="Book Antiqua" w:hAnsi="Book Antiqua"/>
                          <w:b/>
                          <w:bCs/>
                          <w:sz w:val="32"/>
                          <w:szCs w:val="36"/>
                          <w:lang w:val="en"/>
                        </w:rPr>
                        <w:t>ANALISIS EKSPRESI PROTEIN P50 DAN P65 PADA MUKOSA</w:t>
                      </w:r>
                    </w:p>
                  </w:txbxContent>
                </v:textbox>
              </v:rect>
            </w:pict>
          </mc:Fallback>
        </mc:AlternateContent>
      </w:r>
      <w:r w:rsidRPr="006810DB">
        <w:rPr>
          <w:b/>
          <w:noProof/>
          <w:sz w:val="48"/>
          <w:szCs w:val="20"/>
          <w:lang w:val="en-US"/>
        </w:rPr>
        <mc:AlternateContent>
          <mc:Choice Requires="wps">
            <w:drawing>
              <wp:anchor distT="0" distB="0" distL="114300" distR="114300" simplePos="0" relativeHeight="251705344" behindDoc="0" locked="0" layoutInCell="1" allowOverlap="1" wp14:anchorId="410E202A" wp14:editId="55F4CD0A">
                <wp:simplePos x="0" y="0"/>
                <wp:positionH relativeFrom="column">
                  <wp:posOffset>884555</wp:posOffset>
                </wp:positionH>
                <wp:positionV relativeFrom="paragraph">
                  <wp:posOffset>76835</wp:posOffset>
                </wp:positionV>
                <wp:extent cx="0" cy="1152000"/>
                <wp:effectExtent l="19050" t="0" r="38100" b="48260"/>
                <wp:wrapNone/>
                <wp:docPr id="31" name="Straight Connector 31"/>
                <wp:cNvGraphicFramePr/>
                <a:graphic xmlns:a="http://schemas.openxmlformats.org/drawingml/2006/main">
                  <a:graphicData uri="http://schemas.microsoft.com/office/word/2010/wordprocessingShape">
                    <wps:wsp>
                      <wps:cNvCnPr/>
                      <wps:spPr>
                        <a:xfrm>
                          <a:off x="0" y="0"/>
                          <a:ext cx="0" cy="1152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235425E" id="Straight Connector 31" o:spid="_x0000_s1026" style="position:absolute;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A/K2AEAAA8EAAAOAAAAZHJzL2Uyb0RvYy54bWysU8GO0zAQvSPxD5bvNM2iAoqa7qGr5YKg&#10;YtkP8Dp2Y8n2WGPTpH/P2EnTFSAkVntx4pl5z/Oex9vb0Vl2UhgN+JbXqzVnykvojD+2/PHH/btP&#10;nMUkfCcseNXys4r8dvf2zXYIjbqBHmynkBGJj80QWt6nFJqqirJXTsQVBOUpqQGdSLTFY9WhGIjd&#10;2epmvf5QDYBdQJAqRoreTUm+K/xaK5m+aR1VYrbl1FsqK5b1Ka/VbiuaI4rQGzm3IV7QhRPG06EL&#10;1Z1Igv1E8weVMxIhgk4rCa4CrY1URQOpqde/qXnoRVBFC5kTw2JTfD1a+fV0QGa6lr+vOfPC0R09&#10;JBTm2Ce2B+/JQUBGSXJqCLEhwN4fcN7FcMAse9To8pcEsbG4e17cVWNicgpKitb1hi6uOF9dgQFj&#10;+qzAsfzTcmt8Fi4acfoSEx1GpZeSHLaeDS3ffKw361IWwZru3libk2V41N4iOwm69jSW5onhWRXt&#10;rCfaLGkSUf7S2aqJ/7vSZAu1XU8H5IG8cgoplU8XXuupOsM0dbAA587+BZzrM1SVYf0f8IIoJ4NP&#10;C9gZD/i3tq9W6Kn+4sCkO1vwBN25XG+xhqaueD+/kDzWz/cFfn3Hu18AAAD//wMAUEsDBBQABgAI&#10;AAAAIQBHaIbM2gAAAAoBAAAPAAAAZHJzL2Rvd25yZXYueG1sTE9NS8NAEL0L/odlBG9204aIidmU&#10;IhTpRWgreN1kx2QxOxuy2zT++0691Nt7M4/3Ua5n14sJx2A9KVguEhBIjTeWWgWfx+3TC4gQNRnd&#10;e0IFvxhgXd3flbow/kx7nA6xFWxCodAKuhiHQsrQdOh0WPgBiX/ffnQ6Mh1baUZ9ZnPXy1WSPEun&#10;LXFCpwd867D5OZwch2RfzTsGuzPbTVZnU27r5MMq9fgwb15BRJzjTQzX+lwdKu5U+xOZIHrmaZ6y&#10;lMFqCeIq+DvUDPI0A1mV8v+E6gIAAP//AwBQSwECLQAUAAYACAAAACEAtoM4kv4AAADhAQAAEwAA&#10;AAAAAAAAAAAAAAAAAAAAW0NvbnRlbnRfVHlwZXNdLnhtbFBLAQItABQABgAIAAAAIQA4/SH/1gAA&#10;AJQBAAALAAAAAAAAAAAAAAAAAC8BAABfcmVscy8ucmVsc1BLAQItABQABgAIAAAAIQDn1A/K2AEA&#10;AA8EAAAOAAAAAAAAAAAAAAAAAC4CAABkcnMvZTJvRG9jLnhtbFBLAQItABQABgAIAAAAIQBHaIbM&#10;2gAAAAoBAAAPAAAAAAAAAAAAAAAAADIEAABkcnMvZG93bnJldi54bWxQSwUGAAAAAAQABADzAAAA&#10;OQU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30"/>
          <w:szCs w:val="130"/>
          <w:lang w:val="en-US"/>
        </w:rPr>
        <w:t>14</w:t>
      </w:r>
      <w:r w:rsidRPr="006810DB">
        <w:rPr>
          <w:b/>
          <w:szCs w:val="20"/>
          <w:lang w:val="en-US"/>
        </w:rPr>
        <w:t xml:space="preserve"> </w:t>
      </w:r>
      <w:r w:rsidRPr="006810DB">
        <w:rPr>
          <w:b/>
          <w:szCs w:val="20"/>
          <w:lang w:val="en-US"/>
        </w:rPr>
        <w:tab/>
      </w:r>
      <w:r w:rsidRPr="006810DB">
        <w:rPr>
          <w:b/>
          <w:color w:val="FFFFFF" w:themeColor="background1"/>
          <w:sz w:val="12"/>
          <w:szCs w:val="12"/>
          <w:lang w:val="en-US"/>
        </w:rPr>
        <w:t>ANALISIS EKSPRESI PROTEIN P50 DAN P65 PADA MUKOSA</w:t>
      </w:r>
      <w:bookmarkEnd w:id="339"/>
    </w:p>
    <w:p w14:paraId="56874DB1" w14:textId="77777777" w:rsidR="00D0395B" w:rsidRPr="006810DB" w:rsidRDefault="00D0395B" w:rsidP="006810DB">
      <w:pPr>
        <w:spacing w:after="0" w:line="276" w:lineRule="auto"/>
        <w:jc w:val="both"/>
        <w:rPr>
          <w:rFonts w:ascii="Book Antiqua" w:hAnsi="Book Antiqua"/>
          <w:sz w:val="20"/>
          <w:szCs w:val="20"/>
          <w:lang w:val="en"/>
        </w:rPr>
      </w:pPr>
    </w:p>
    <w:p w14:paraId="1A77ABF0" w14:textId="77777777" w:rsidR="00D0395B" w:rsidRPr="006810DB" w:rsidRDefault="00D0395B" w:rsidP="006810DB">
      <w:pPr>
        <w:spacing w:after="0" w:line="276" w:lineRule="auto"/>
        <w:jc w:val="both"/>
        <w:rPr>
          <w:rFonts w:ascii="Book Antiqua" w:hAnsi="Book Antiqua"/>
          <w:sz w:val="20"/>
          <w:szCs w:val="20"/>
          <w:lang w:val="en"/>
        </w:rPr>
      </w:pPr>
    </w:p>
    <w:p w14:paraId="3C385EED" w14:textId="5960AA3C" w:rsidR="00B258B7" w:rsidRPr="006810DB" w:rsidRDefault="00657FDD" w:rsidP="00B9360C">
      <w:pPr>
        <w:pStyle w:val="Heading2"/>
        <w:numPr>
          <w:ilvl w:val="0"/>
          <w:numId w:val="29"/>
        </w:numPr>
        <w:ind w:left="284" w:hanging="284"/>
      </w:pPr>
      <w:bookmarkStart w:id="340" w:name="_81e8vuxxipvi" w:colFirst="0" w:colLast="0"/>
      <w:bookmarkStart w:id="341" w:name="_Toc223088964"/>
      <w:bookmarkEnd w:id="340"/>
      <w:r w:rsidRPr="006810DB">
        <w:t>Pendahuluan</w:t>
      </w:r>
      <w:bookmarkEnd w:id="341"/>
    </w:p>
    <w:p w14:paraId="56992006" w14:textId="34655B3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eastAsia="zh-CN"/>
        </w:rPr>
        <w:t xml:space="preserve">Teori molekuler mengenai jalur inflamasi yang telah dibahas secara mendalam pada bab-bab sebelumnya memerlukan pembuktian empiris di tingkat jaringan untuk memvalidasi hipotesis terapeutik. </w:t>
      </w:r>
      <w:r w:rsidRPr="006810DB">
        <w:rPr>
          <w:rFonts w:ascii="Book Antiqua" w:hAnsi="Book Antiqua"/>
          <w:sz w:val="20"/>
          <w:szCs w:val="20"/>
          <w:lang w:val="en"/>
        </w:rPr>
        <w:t xml:space="preserve">Dalam konteks penelitian biomedis, keberadaan protein regulator seperti </w:t>
      </w:r>
      <w:r w:rsidRPr="006810DB">
        <w:rPr>
          <w:rFonts w:ascii="Book Antiqua" w:hAnsi="Book Antiqua"/>
          <w:sz w:val="20"/>
          <w:szCs w:val="20"/>
          <w:highlight w:val="yellow"/>
          <w:lang w:val="en"/>
        </w:rPr>
        <w:t>NF-κ\kappaκ</w:t>
      </w:r>
      <w:r w:rsidR="00B627C0"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tidak cukup hanya diasumsikan berdasarkan gejala klinis; ia harus divisualisasikan, dihitung, dan dipetakan lokasinya. Analisis ekspresi subunit protein </w:t>
      </w:r>
      <w:r w:rsidRPr="006810DB">
        <w:rPr>
          <w:rFonts w:ascii="Book Antiqua" w:hAnsi="Book Antiqua"/>
          <w:sz w:val="20"/>
          <w:szCs w:val="20"/>
          <w:highlight w:val="yellow"/>
          <w:lang w:val="en"/>
        </w:rPr>
        <w:t>NF-κ\kappaκ</w:t>
      </w:r>
      <w:r w:rsidR="00B627C0"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khususnya p50 dan p65, menjadi jembatan vital yang menghubungkan pengamatan makroskopis (seperti ulserasi) dengan mekanisme molekuler mikroskopis. Tanpa bukti visual ini, klaim bahwa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bekerja melalui jalur anti-inflamasi spesifik hanyalah spekulasi teoretis.</w:t>
      </w:r>
    </w:p>
    <w:p w14:paraId="6B8D3AD9" w14:textId="695C30B2"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Protein </w:t>
      </w:r>
      <w:r w:rsidRPr="006810DB">
        <w:rPr>
          <w:rFonts w:ascii="Book Antiqua" w:hAnsi="Book Antiqua"/>
          <w:sz w:val="20"/>
          <w:szCs w:val="20"/>
          <w:highlight w:val="yellow"/>
          <w:lang w:val="en"/>
        </w:rPr>
        <w:t>NF-κ\kappaκ</w:t>
      </w:r>
      <w:r w:rsidR="00954AE6"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dalam bentuk heterodimer p50/p65 adalah eksekutor utama dari sinyal peradangan. Dalam keadaan istirahat, kompleks ini terperangkap di sitoplasma. Namun, di bawah tekanan stres oksidatif akibat cisplatin, ia bermigrasi ke nukleus untuk menyalakan gen-gen perusak. Oleh karena itu, analisis ekspresi protein ini tidak hanya berfokus pada kuantitas total protein ("berapa banyak"), tetapi yang lebih krusial adalah distribusi subselulernya ("di mana"). Deteksi p65 yang melimpah di dalam inti sel merupakan "bukti tak terbantahkan" (</w:t>
      </w:r>
      <w:r w:rsidRPr="006810DB">
        <w:rPr>
          <w:rFonts w:ascii="Book Antiqua" w:hAnsi="Book Antiqua"/>
          <w:i/>
          <w:iCs/>
          <w:sz w:val="20"/>
          <w:szCs w:val="20"/>
          <w:lang w:val="en"/>
        </w:rPr>
        <w:t>smoking gun</w:t>
      </w:r>
      <w:r w:rsidRPr="006810DB">
        <w:rPr>
          <w:rFonts w:ascii="Book Antiqua" w:hAnsi="Book Antiqua"/>
          <w:sz w:val="20"/>
          <w:szCs w:val="20"/>
          <w:lang w:val="en"/>
        </w:rPr>
        <w:t>) bahwa aktivasi transkripsi gen pro-inflamasi sedang berlangsung secara aktif.</w:t>
      </w:r>
    </w:p>
    <w:p w14:paraId="24178A26"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lastRenderedPageBreak/>
        <w:t>Teknik standar emas untuk melakukan deteksi in situ ini adalah imunohistokimia (IHC). Metode ini menggabungkan prinsip imunologi (interaksi antigen-antibodi yang spesifik) dengan histologi (struktur jaringan mikroskopis). Dengan menggunakan antibodi yang dirancang khusus untuk menempel pada protein p50 atau p65, peneliti dapat mewarnai protein target tersebut di dalam potongan jaringan mukosa bukal tikus. Hasilnya adalah peta visual berwarna cokelat yang menunjukkan sel mana yang meradang, seberapa parah peradangannya, dan apakah terapi intervensi berhasil mencegah mobilisasi pasukan protein ini.</w:t>
      </w:r>
    </w:p>
    <w:p w14:paraId="361B9C43"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Bab ini akan menguraikan metodologi dan interpretasi hasil analisis ekspresi p50 dan p65. Pembahasan dimulai dengan detail teknis prosedur IHC, yang menuntut presisi tinggi mulai dari persiapan jaringan hingga penilaian skor. Validitas data sangat bergantung pada ketepatan teknik ini; kesalahan dalam pengambilan antigen (</w:t>
      </w:r>
      <w:r w:rsidRPr="006810DB">
        <w:rPr>
          <w:rFonts w:ascii="Book Antiqua" w:hAnsi="Book Antiqua"/>
          <w:i/>
          <w:iCs/>
          <w:sz w:val="20"/>
          <w:szCs w:val="20"/>
          <w:lang w:val="en"/>
        </w:rPr>
        <w:t>antigen retrieval</w:t>
      </w:r>
      <w:r w:rsidRPr="006810DB">
        <w:rPr>
          <w:rFonts w:ascii="Book Antiqua" w:hAnsi="Book Antiqua"/>
          <w:sz w:val="20"/>
          <w:szCs w:val="20"/>
          <w:lang w:val="en"/>
        </w:rPr>
        <w:t>) atau konsentrasi antibodi dapat menghasilkan positif palsu atau negatif palsu yang menyesatkan.</w:t>
      </w:r>
    </w:p>
    <w:p w14:paraId="6D2747CC" w14:textId="44780AAB"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Selanjutnya, fokus akan diarahkan pada dinamika subunit p50. Sebagai komponen pengikat DNA dari kompleks </w:t>
      </w:r>
      <w:r w:rsidRPr="006810DB">
        <w:rPr>
          <w:rFonts w:ascii="Book Antiqua" w:hAnsi="Book Antiqua"/>
          <w:sz w:val="20"/>
          <w:szCs w:val="20"/>
          <w:highlight w:val="yellow"/>
          <w:lang w:val="en"/>
        </w:rPr>
        <w:t>NF-κ\kappaκ</w:t>
      </w:r>
      <w:r w:rsidR="00B627C0"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peningkatan ekspresi p50 sering kali mendahului atau menyertai kerusakan jaringan yang parah. Kita akan menganalisis bagaimana pemberian cisplatin menyebabkan lonjakan ekspresi p50 dan bagaimana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berpotensi meredam lonjakan ini, mengembalikan profil ekspresi protein mendekati kondisi fisiologis normal.</w:t>
      </w:r>
    </w:p>
    <w:p w14:paraId="16FA4078"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Bagian terakhir dan paling kritis dari bab ini akan membahas subunit p65. Karena p65 mengandung domain aktivasi transkripsi, keberadaannya di nukleus adalah indikator paling sensitif dari efikasi terapi anti-inflamasi. Analisis komparatif antara kelompok yang diberi berbagai dosis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akan disajikan untuk menentukan dosis optimal yang mampu memblokir translokasi nuklear p65 secara efektif.</w:t>
      </w:r>
    </w:p>
    <w:p w14:paraId="6DB29043" w14:textId="77777777" w:rsidR="00A95863" w:rsidRDefault="00A95863">
      <w:pPr>
        <w:rPr>
          <w:rFonts w:ascii="Book Antiqua" w:hAnsi="Book Antiqua"/>
          <w:sz w:val="20"/>
          <w:szCs w:val="20"/>
          <w:lang w:val="en"/>
        </w:rPr>
      </w:pPr>
      <w:r>
        <w:rPr>
          <w:rFonts w:ascii="Book Antiqua" w:hAnsi="Book Antiqua"/>
          <w:sz w:val="20"/>
          <w:szCs w:val="20"/>
          <w:lang w:val="en"/>
        </w:rPr>
        <w:br w:type="page"/>
      </w:r>
    </w:p>
    <w:p w14:paraId="1987E9AD" w14:textId="16524876"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lastRenderedPageBreak/>
        <w:t xml:space="preserve">Melalui pendekatan analitis ini, bab ini bertujuan untuk menyajikan bukti molekuler yang kokoh. Data ekspresi protein ini tidak hanya mengkonfirmasi mekanisme kerja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yang telah dipostulasikan, tetapi juga memberikan ukuran kuantitatif tentang seberapa kuat ekstrak herbal ini dalam memodulasi mesin peradangan seluler.</w:t>
      </w:r>
    </w:p>
    <w:p w14:paraId="0E1C6087"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Ini adalah langkah verifikasi esensial yang mengubah pengobatan tradisional menjadi sains yang terukur.</w:t>
      </w:r>
    </w:p>
    <w:p w14:paraId="57DF0E9C" w14:textId="77777777" w:rsidR="00D0395B" w:rsidRPr="006810DB" w:rsidRDefault="00D0395B" w:rsidP="006810DB">
      <w:pPr>
        <w:spacing w:after="0" w:line="276" w:lineRule="auto"/>
        <w:jc w:val="both"/>
        <w:rPr>
          <w:rFonts w:ascii="Book Antiqua" w:hAnsi="Book Antiqua"/>
          <w:b/>
          <w:bCs/>
          <w:sz w:val="20"/>
          <w:szCs w:val="20"/>
          <w:lang w:val="en"/>
        </w:rPr>
      </w:pPr>
      <w:bookmarkStart w:id="342" w:name="_kw2oga8eegdr" w:colFirst="0" w:colLast="0"/>
      <w:bookmarkEnd w:id="342"/>
    </w:p>
    <w:p w14:paraId="71AFC3E0" w14:textId="02B9303E" w:rsidR="00B258B7" w:rsidRPr="006810DB" w:rsidRDefault="00B258B7" w:rsidP="006810DB">
      <w:pPr>
        <w:pStyle w:val="Heading2"/>
        <w:numPr>
          <w:ilvl w:val="0"/>
          <w:numId w:val="29"/>
        </w:numPr>
        <w:ind w:left="284" w:hanging="284"/>
      </w:pPr>
      <w:bookmarkStart w:id="343" w:name="_Toc223088965"/>
      <w:r w:rsidRPr="006810DB">
        <w:t>Teknik Immunohistokimia (IHC) untuk NF-kB</w:t>
      </w:r>
      <w:bookmarkEnd w:id="343"/>
    </w:p>
    <w:p w14:paraId="0ADED5C2" w14:textId="34B2260E"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Imunohistokimia (IHC) adalah teknik laboratorium yang ampuh yang memungkinkan visualisasi distribusi dan lokalisasi protein spesifik dalam konteks arsitektur jaringan yang utuh. Berbeda dengan teknik seperti </w:t>
      </w:r>
      <w:r w:rsidRPr="006810DB">
        <w:rPr>
          <w:rFonts w:ascii="Book Antiqua" w:hAnsi="Book Antiqua"/>
          <w:i/>
          <w:iCs/>
          <w:sz w:val="20"/>
          <w:szCs w:val="20"/>
          <w:lang w:val="en"/>
        </w:rPr>
        <w:t>Western Blot</w:t>
      </w:r>
      <w:r w:rsidRPr="006810DB">
        <w:rPr>
          <w:rFonts w:ascii="Book Antiqua" w:hAnsi="Book Antiqua"/>
          <w:sz w:val="20"/>
          <w:szCs w:val="20"/>
          <w:lang w:val="en"/>
        </w:rPr>
        <w:t xml:space="preserve"> yang menghancurkan struktur jaringan untuk mengukur jumlah total protein, IHC memberikan informasi spasial yang sangat berharga: sel tipe apa yang mengekspresikan protein tersebut dan di kompartemen sel mana (inti atau sitoplasma) protein itu berada. Dalam studi mukositis, kemampuan untuk melihat translokasi </w:t>
      </w:r>
      <w:r w:rsidRPr="006810DB">
        <w:rPr>
          <w:rFonts w:ascii="Book Antiqua" w:hAnsi="Book Antiqua"/>
          <w:sz w:val="20"/>
          <w:szCs w:val="20"/>
          <w:highlight w:val="yellow"/>
          <w:lang w:val="en"/>
        </w:rPr>
        <w:t>NF-κ\kappaκ</w:t>
      </w:r>
      <w:r w:rsidR="00954AE6"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dari sitoplasma ke nukleus secara langsung pada sel epitel basal adalah keunggulan utama IHC yang tidak tergantikan.</w:t>
      </w:r>
    </w:p>
    <w:p w14:paraId="72C22D96" w14:textId="7655396C" w:rsidR="00954AE6" w:rsidRPr="006810DB" w:rsidRDefault="00B258B7" w:rsidP="00A95863">
      <w:pPr>
        <w:spacing w:after="0" w:line="276" w:lineRule="auto"/>
        <w:ind w:left="284" w:firstLine="567"/>
        <w:jc w:val="both"/>
        <w:rPr>
          <w:rFonts w:ascii="Book Antiqua" w:hAnsi="Book Antiqua"/>
          <w:b/>
          <w:bCs/>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Menggunakan teknik </w:t>
      </w:r>
      <w:r w:rsidRPr="006810DB">
        <w:rPr>
          <w:rFonts w:ascii="Book Antiqua" w:hAnsi="Book Antiqua"/>
          <w:i/>
          <w:iCs/>
          <w:sz w:val="20"/>
          <w:szCs w:val="20"/>
          <w:lang w:val="en"/>
        </w:rPr>
        <w:t>Western Blot</w:t>
      </w:r>
      <w:r w:rsidRPr="006810DB">
        <w:rPr>
          <w:rFonts w:ascii="Book Antiqua" w:hAnsi="Book Antiqua"/>
          <w:sz w:val="20"/>
          <w:szCs w:val="20"/>
          <w:lang w:val="en"/>
        </w:rPr>
        <w:t xml:space="preserve"> untuk mencari protein </w:t>
      </w:r>
      <w:r w:rsidRPr="006810DB">
        <w:rPr>
          <w:rFonts w:ascii="Book Antiqua" w:hAnsi="Book Antiqua"/>
          <w:sz w:val="20"/>
          <w:szCs w:val="20"/>
          <w:highlight w:val="yellow"/>
          <w:lang w:val="en"/>
        </w:rPr>
        <w:t>NF-κ\kappaκ</w:t>
      </w:r>
      <w:r w:rsidR="00954AE6"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ibarat menghitung jumlah total penjahat di sebuah kota dengan memeriksa data sensus; Anda tahu ada berapa banyak, tapi tidak tahu di mana mereka berada. Sebaliknya, menggunakan teknik Immunohistokimia (IHC) ibarat menggunakan kamera</w:t>
      </w:r>
      <w:r w:rsidR="00954AE6" w:rsidRPr="006810DB">
        <w:rPr>
          <w:rFonts w:ascii="Book Antiqua" w:hAnsi="Book Antiqua"/>
          <w:sz w:val="20"/>
          <w:szCs w:val="20"/>
          <w:lang w:val="en"/>
        </w:rPr>
        <w:t xml:space="preserve"> </w:t>
      </w:r>
      <w:r w:rsidRPr="006810DB">
        <w:rPr>
          <w:rFonts w:ascii="Book Antiqua" w:hAnsi="Book Antiqua"/>
          <w:sz w:val="20"/>
          <w:szCs w:val="20"/>
          <w:lang w:val="en"/>
        </w:rPr>
        <w:t>pengawas (CCTV) canggih yang dilengkapi pengenalan wajah. Anda tidak hanya bisa menghitung jumlah penjahat (ekspresi protein), tetapi Anda bisa melihat secara pasti apakah mereka sedang tidur di rumah (inaktif di sitoplasma) atau sedang membobol bank sentral (aktif di nukleus). Dalam kasus mukositis, "membobol bank" adalah aktivitas yang menyebabkan kerusakan, dan IHC memberikan bukti foto kejadian tersebut.</w:t>
      </w:r>
      <w:bookmarkStart w:id="344" w:name="_9frljo1aplwo" w:colFirst="0" w:colLast="0"/>
      <w:bookmarkEnd w:id="344"/>
      <w:r w:rsidR="00954AE6" w:rsidRPr="006810DB">
        <w:rPr>
          <w:rFonts w:ascii="Book Antiqua" w:hAnsi="Book Antiqua"/>
          <w:b/>
          <w:bCs/>
          <w:sz w:val="20"/>
          <w:szCs w:val="20"/>
          <w:lang w:val="en"/>
        </w:rPr>
        <w:br w:type="page"/>
      </w:r>
    </w:p>
    <w:p w14:paraId="0B357844" w14:textId="650B04C0" w:rsidR="00B258B7" w:rsidRPr="006810DB" w:rsidRDefault="00B258B7" w:rsidP="006810DB">
      <w:pPr>
        <w:pStyle w:val="ListParagraph"/>
        <w:numPr>
          <w:ilvl w:val="0"/>
          <w:numId w:val="75"/>
        </w:numPr>
        <w:spacing w:after="0" w:line="276" w:lineRule="auto"/>
        <w:ind w:left="567" w:hanging="283"/>
        <w:contextualSpacing w:val="0"/>
        <w:jc w:val="both"/>
        <w:rPr>
          <w:rFonts w:ascii="Book Antiqua" w:hAnsi="Book Antiqua"/>
          <w:b/>
          <w:bCs/>
          <w:sz w:val="20"/>
          <w:szCs w:val="20"/>
          <w:lang w:val="en"/>
        </w:rPr>
      </w:pPr>
      <w:r w:rsidRPr="006810DB">
        <w:rPr>
          <w:rFonts w:ascii="Book Antiqua" w:hAnsi="Book Antiqua"/>
          <w:b/>
          <w:bCs/>
          <w:sz w:val="20"/>
          <w:szCs w:val="20"/>
          <w:lang w:val="en"/>
        </w:rPr>
        <w:lastRenderedPageBreak/>
        <w:t>Prosedur Pengecatan Jaringan Mukosa Bukal</w:t>
      </w:r>
    </w:p>
    <w:p w14:paraId="1D538C8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Proses IHC dimulai dengan pembuatan irisan tipis (biasanya 4-5 mikrometer) dari blok parafin jaringan mukosa bukal yang telah difiksasi formalin. Langkah krusial pertama adalah deparafinisasi dan rehidrasi, diikuti oleh pengambilan kembali antigen (</w:t>
      </w:r>
      <w:r w:rsidRPr="006810DB">
        <w:rPr>
          <w:rFonts w:ascii="Book Antiqua" w:hAnsi="Book Antiqua"/>
          <w:i/>
          <w:iCs/>
          <w:sz w:val="20"/>
          <w:szCs w:val="20"/>
          <w:lang w:val="en"/>
        </w:rPr>
        <w:t>antigen retrieval</w:t>
      </w:r>
      <w:r w:rsidRPr="006810DB">
        <w:rPr>
          <w:rFonts w:ascii="Book Antiqua" w:hAnsi="Book Antiqua"/>
          <w:sz w:val="20"/>
          <w:szCs w:val="20"/>
          <w:lang w:val="en"/>
        </w:rPr>
        <w:t>). Fiksasi formalin sering kali menutupi situs pengikatan antigen (epitop) pada protein target; pemanasan dalam bufer sitrat atau EDTA diperlukan untuk membuka kembali ikatan silang tersebut agar antibodi dapat mengenali targetnya (Kadarullah et al., 2024).</w:t>
      </w:r>
    </w:p>
    <w:p w14:paraId="2942663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Setelah persiapan, jaringan diinkubasi dengan antibodi primer monoklonal atau poliklonal yang spesifik terhadap subunit p50 atau p65 tikus. Spesifisitas antibodi ini mutlak; penggunaan antibodi yang tidak tervalidasi dapat menyebabkan pewarnaan non-spesifik (</w:t>
      </w:r>
      <w:r w:rsidRPr="006810DB">
        <w:rPr>
          <w:rFonts w:ascii="Book Antiqua" w:hAnsi="Book Antiqua"/>
          <w:i/>
          <w:iCs/>
          <w:sz w:val="20"/>
          <w:szCs w:val="20"/>
          <w:lang w:val="en"/>
        </w:rPr>
        <w:t>background noise</w:t>
      </w:r>
      <w:r w:rsidRPr="006810DB">
        <w:rPr>
          <w:rFonts w:ascii="Book Antiqua" w:hAnsi="Book Antiqua"/>
          <w:sz w:val="20"/>
          <w:szCs w:val="20"/>
          <w:lang w:val="en"/>
        </w:rPr>
        <w:t xml:space="preserve">). Setelah pencucian, antibodi sekunder yang terkonjugasi dengan enzim (biasanya </w:t>
      </w:r>
      <w:r w:rsidRPr="006810DB">
        <w:rPr>
          <w:rFonts w:ascii="Book Antiqua" w:hAnsi="Book Antiqua"/>
          <w:i/>
          <w:iCs/>
          <w:sz w:val="20"/>
          <w:szCs w:val="20"/>
          <w:lang w:val="en"/>
        </w:rPr>
        <w:t>Horseradish Peroxidase</w:t>
      </w:r>
      <w:r w:rsidRPr="006810DB">
        <w:rPr>
          <w:rFonts w:ascii="Book Antiqua" w:hAnsi="Book Antiqua"/>
          <w:sz w:val="20"/>
          <w:szCs w:val="20"/>
          <w:lang w:val="en"/>
        </w:rPr>
        <w:t>/HRP) ditambahkan. Langkah terakhir adalah penambahan substrat kromogen seperti DAB (</w:t>
      </w:r>
      <w:r w:rsidRPr="006810DB">
        <w:rPr>
          <w:rFonts w:ascii="Book Antiqua" w:hAnsi="Book Antiqua"/>
          <w:i/>
          <w:iCs/>
          <w:sz w:val="20"/>
          <w:szCs w:val="20"/>
          <w:lang w:val="en"/>
        </w:rPr>
        <w:t>3,3'-Diaminobenzidine</w:t>
      </w:r>
      <w:r w:rsidRPr="006810DB">
        <w:rPr>
          <w:rFonts w:ascii="Book Antiqua" w:hAnsi="Book Antiqua"/>
          <w:sz w:val="20"/>
          <w:szCs w:val="20"/>
          <w:lang w:val="en"/>
        </w:rPr>
        <w:t>) yang bereaksi dengan enzim untuk menghasilkan endapan berwarna cokelat permanen di lokasi keberadaan protein target. Seluruh prosedur ini memerlukan kontrol positif dan negatif yang ketat untuk memastikan validitas reaksi (Madani et al., 2023).</w:t>
      </w:r>
    </w:p>
    <w:p w14:paraId="73572F27" w14:textId="59FEFA79" w:rsidR="00B258B7" w:rsidRPr="006810DB" w:rsidRDefault="00B258B7" w:rsidP="006810DB">
      <w:pPr>
        <w:pStyle w:val="ListParagraph"/>
        <w:numPr>
          <w:ilvl w:val="0"/>
          <w:numId w:val="75"/>
        </w:numPr>
        <w:spacing w:after="0" w:line="276" w:lineRule="auto"/>
        <w:ind w:left="567" w:hanging="283"/>
        <w:contextualSpacing w:val="0"/>
        <w:jc w:val="both"/>
        <w:rPr>
          <w:rFonts w:ascii="Book Antiqua" w:hAnsi="Book Antiqua"/>
          <w:b/>
          <w:bCs/>
          <w:sz w:val="20"/>
          <w:szCs w:val="20"/>
          <w:lang w:val="en"/>
        </w:rPr>
      </w:pPr>
      <w:bookmarkStart w:id="345" w:name="_69w29xm6fk3q" w:colFirst="0" w:colLast="0"/>
      <w:bookmarkEnd w:id="345"/>
      <w:r w:rsidRPr="006810DB">
        <w:rPr>
          <w:rFonts w:ascii="Book Antiqua" w:hAnsi="Book Antiqua"/>
          <w:b/>
          <w:bCs/>
          <w:sz w:val="20"/>
          <w:szCs w:val="20"/>
          <w:lang w:val="en"/>
        </w:rPr>
        <w:t>Penentuan Skor Intensitas dan Persentase Sel Positif</w:t>
      </w:r>
    </w:p>
    <w:p w14:paraId="72B8E4B3"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Hasil pewarnaan IHC tidak bersifat biner (ya/tidak), melainkan spektrum intensitas dan distribusi. Untuk mengubah data visual kualitatif menjadi data kuantitatif yang dapat dianalisis secara statistik, digunakan sistem skoring semi-kuantitatif. Salah satu metode yang umum adalah </w:t>
      </w:r>
      <w:r w:rsidRPr="006810DB">
        <w:rPr>
          <w:rFonts w:ascii="Book Antiqua" w:hAnsi="Book Antiqua"/>
          <w:i/>
          <w:iCs/>
          <w:sz w:val="20"/>
          <w:szCs w:val="20"/>
          <w:lang w:val="en"/>
        </w:rPr>
        <w:t>H-Score</w:t>
      </w:r>
      <w:r w:rsidRPr="006810DB">
        <w:rPr>
          <w:rFonts w:ascii="Book Antiqua" w:hAnsi="Book Antiqua"/>
          <w:sz w:val="20"/>
          <w:szCs w:val="20"/>
          <w:lang w:val="en"/>
        </w:rPr>
        <w:t xml:space="preserve"> atau </w:t>
      </w:r>
      <w:r w:rsidRPr="006810DB">
        <w:rPr>
          <w:rFonts w:ascii="Book Antiqua" w:hAnsi="Book Antiqua"/>
          <w:i/>
          <w:iCs/>
          <w:sz w:val="20"/>
          <w:szCs w:val="20"/>
          <w:lang w:val="en"/>
        </w:rPr>
        <w:t>Allred Score</w:t>
      </w:r>
      <w:r w:rsidRPr="006810DB">
        <w:rPr>
          <w:rFonts w:ascii="Book Antiqua" w:hAnsi="Book Antiqua"/>
          <w:sz w:val="20"/>
          <w:szCs w:val="20"/>
          <w:lang w:val="en"/>
        </w:rPr>
        <w:t>, yang menggabungkan dua parameter: persentase sel yang positif dan intensitas pewarnaan. Intensitas biasanya dinilai dalam skala 0 (negatif), 1 (lemah), 2 (sedang), hingga 3 (kuat) (Salcan et al., 2025).</w:t>
      </w:r>
    </w:p>
    <w:p w14:paraId="3A2A98D8"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lastRenderedPageBreak/>
        <w:t>Penilaian dilakukan di bawah mikroskop cahaya pada beberapa lapang pandang acak (biasanya 5-10 lapang pandang) per sampel. Untuk menghindari bias subjektif, penilaian idealnya dilakukan oleh dua patolog independen yang "buta" (</w:t>
      </w:r>
      <w:r w:rsidRPr="006810DB">
        <w:rPr>
          <w:rFonts w:ascii="Book Antiqua" w:hAnsi="Book Antiqua"/>
          <w:i/>
          <w:iCs/>
          <w:sz w:val="20"/>
          <w:szCs w:val="20"/>
          <w:lang w:val="en"/>
        </w:rPr>
        <w:t>blinded</w:t>
      </w:r>
      <w:r w:rsidRPr="006810DB">
        <w:rPr>
          <w:rFonts w:ascii="Book Antiqua" w:hAnsi="Book Antiqua"/>
          <w:sz w:val="20"/>
          <w:szCs w:val="20"/>
          <w:lang w:val="en"/>
        </w:rPr>
        <w:t>) terhadap kelompok perlakuan hewan. Skor akhir sering kali merupakan hasil kali antara persentase sel positif dan skor intensitas, atau rata-rata dari kedua parameter tersebut. Data numerik ini memungkinkan peneliti untuk membandingkan secara objektif tingkat ekspresi protein antar kelompok kontrol, kelompok sakit, dan kelompok terapi.</w:t>
      </w:r>
    </w:p>
    <w:p w14:paraId="0F366D04" w14:textId="76F32BF4" w:rsidR="00B258B7" w:rsidRPr="006810DB" w:rsidRDefault="00B258B7" w:rsidP="006810DB">
      <w:pPr>
        <w:pStyle w:val="ListParagraph"/>
        <w:numPr>
          <w:ilvl w:val="0"/>
          <w:numId w:val="75"/>
        </w:numPr>
        <w:spacing w:after="0" w:line="276" w:lineRule="auto"/>
        <w:ind w:left="567" w:hanging="283"/>
        <w:contextualSpacing w:val="0"/>
        <w:jc w:val="both"/>
        <w:rPr>
          <w:rFonts w:ascii="Book Antiqua" w:hAnsi="Book Antiqua"/>
          <w:b/>
          <w:bCs/>
          <w:sz w:val="20"/>
          <w:szCs w:val="20"/>
          <w:lang w:val="en"/>
        </w:rPr>
      </w:pPr>
      <w:bookmarkStart w:id="346" w:name="_bn2qxbwoxfgb" w:colFirst="0" w:colLast="0"/>
      <w:bookmarkEnd w:id="346"/>
      <w:r w:rsidRPr="006810DB">
        <w:rPr>
          <w:rFonts w:ascii="Book Antiqua" w:hAnsi="Book Antiqua"/>
          <w:b/>
          <w:bCs/>
          <w:sz w:val="20"/>
          <w:szCs w:val="20"/>
          <w:lang w:val="en"/>
        </w:rPr>
        <w:t>Lokalisasi Subseluler (Sitoplasma vs Nukleus)</w:t>
      </w:r>
    </w:p>
    <w:p w14:paraId="4DDE0C45" w14:textId="3905F810"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Dalam konteks faktor transkripsi seperti </w:t>
      </w:r>
      <w:r w:rsidRPr="006810DB">
        <w:rPr>
          <w:rFonts w:ascii="Book Antiqua" w:hAnsi="Book Antiqua"/>
          <w:sz w:val="20"/>
          <w:szCs w:val="20"/>
          <w:highlight w:val="yellow"/>
          <w:lang w:val="en"/>
        </w:rPr>
        <w:t>NF-κ\kappaκ</w:t>
      </w:r>
      <w:r w:rsidR="00954AE6"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informasi paling kritis dari IHC adalah lokalisasi subseluler. Protein p50 dan p65 yang berada di sitoplasma dianggap dalam keadaan inaktif (terikat </w:t>
      </w:r>
      <w:r w:rsidRPr="006810DB">
        <w:rPr>
          <w:rFonts w:ascii="Book Antiqua" w:hAnsi="Book Antiqua"/>
          <w:sz w:val="20"/>
          <w:szCs w:val="20"/>
          <w:highlight w:val="yellow"/>
          <w:lang w:val="en"/>
        </w:rPr>
        <w:t>Iκ\kappaκB</w:t>
      </w:r>
      <w:r w:rsidRPr="006810DB">
        <w:rPr>
          <w:rFonts w:ascii="Book Antiqua" w:hAnsi="Book Antiqua"/>
          <w:sz w:val="20"/>
          <w:szCs w:val="20"/>
          <w:lang w:val="en"/>
        </w:rPr>
        <w:t>), sedangkan keberadaan mereka di dalam nukleus menandakan keadaan aktif transkripsi. Oleh karena itu, protokol penilaian harus membedakan antara pewarnaan sitoplasma dan pewarnaan nukleus (Kadarullah et al., 2024).</w:t>
      </w:r>
    </w:p>
    <w:p w14:paraId="5A898F01" w14:textId="592702A1"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Pada jaringan mukosa yang sehat, pewarnaan p65 mungkin terlihat samar dan terbatas pada sitoplasma. Sebaliknya, pada jaringan yang terpapar cisplatin, pewarnaan cokelat pekat akan terlihat jelas di dalam inti sel-sel epitel basal dan sel-sel radang di lamina propria. Efikasi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dinilai dari kemampuannya untuk mencegah "perpindahan warna" ini. Jika pada kelompok terapi terlihat pewarnaan p65 yang kuat namun tetap tertahan di sitoplasma, itu adalah bukti visual langsung bahwa terapi tersebut berhasil memblokir translokasi nuklear, mekanisme kunci aksi anti-inflamasinya.</w:t>
      </w:r>
    </w:p>
    <w:p w14:paraId="489CCDA7" w14:textId="77777777" w:rsidR="002E5D2A" w:rsidRPr="006810DB" w:rsidRDefault="002E5D2A" w:rsidP="006810DB">
      <w:pPr>
        <w:spacing w:after="0" w:line="276" w:lineRule="auto"/>
        <w:jc w:val="both"/>
        <w:rPr>
          <w:rFonts w:ascii="Book Antiqua" w:hAnsi="Book Antiqua"/>
          <w:sz w:val="20"/>
          <w:szCs w:val="20"/>
          <w:lang w:val="en"/>
        </w:rPr>
      </w:pPr>
    </w:p>
    <w:p w14:paraId="6A3FEE54" w14:textId="575E8647" w:rsidR="00B258B7" w:rsidRPr="006810DB" w:rsidRDefault="00B258B7" w:rsidP="006810DB">
      <w:pPr>
        <w:pStyle w:val="Heading2"/>
        <w:numPr>
          <w:ilvl w:val="0"/>
          <w:numId w:val="29"/>
        </w:numPr>
        <w:ind w:left="284" w:hanging="284"/>
        <w:rPr>
          <w:bCs/>
          <w:szCs w:val="20"/>
          <w:lang w:val="en"/>
        </w:rPr>
      </w:pPr>
      <w:bookmarkStart w:id="347" w:name="_xbidyi4ejpjt" w:colFirst="0" w:colLast="0"/>
      <w:bookmarkStart w:id="348" w:name="_Toc223088966"/>
      <w:bookmarkEnd w:id="347"/>
      <w:r w:rsidRPr="006810DB">
        <w:rPr>
          <w:bCs/>
          <w:szCs w:val="20"/>
          <w:lang w:val="en"/>
        </w:rPr>
        <w:t xml:space="preserve">Perubahan Ekspresi p50 Akibat Pemberian </w:t>
      </w:r>
      <w:r w:rsidRPr="006810DB">
        <w:rPr>
          <w:bCs/>
          <w:i/>
          <w:iCs/>
          <w:szCs w:val="20"/>
          <w:lang w:val="en"/>
        </w:rPr>
        <w:t>Nigella sativa</w:t>
      </w:r>
      <w:bookmarkEnd w:id="348"/>
    </w:p>
    <w:p w14:paraId="1DD3FEC4" w14:textId="55A7EEBA"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Subunit p50 (</w:t>
      </w:r>
      <w:r w:rsidRPr="006810DB">
        <w:rPr>
          <w:rFonts w:ascii="Book Antiqua" w:hAnsi="Book Antiqua"/>
          <w:sz w:val="20"/>
          <w:szCs w:val="20"/>
          <w:highlight w:val="yellow"/>
          <w:lang w:val="en"/>
        </w:rPr>
        <w:t>NF-κ\kappaκ</w:t>
      </w:r>
      <w:r w:rsidR="00954AE6"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B1</w:t>
      </w:r>
      <w:r w:rsidRPr="006810DB">
        <w:rPr>
          <w:rFonts w:ascii="Book Antiqua" w:hAnsi="Book Antiqua"/>
          <w:sz w:val="20"/>
          <w:szCs w:val="20"/>
          <w:lang w:val="en"/>
        </w:rPr>
        <w:t xml:space="preserve">) adalah komponen struktural penting dari dimer </w:t>
      </w:r>
      <w:r w:rsidRPr="006810DB">
        <w:rPr>
          <w:rFonts w:ascii="Book Antiqua" w:hAnsi="Book Antiqua"/>
          <w:sz w:val="20"/>
          <w:szCs w:val="20"/>
          <w:highlight w:val="yellow"/>
          <w:lang w:val="en"/>
        </w:rPr>
        <w:t>NF-κ\kappaκ</w:t>
      </w:r>
      <w:r w:rsidR="00954AE6"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yang paling umum. Meskipun tidak memiliki domain transaktivasi sendiri, </w:t>
      </w:r>
      <w:r w:rsidRPr="006810DB">
        <w:rPr>
          <w:rFonts w:ascii="Book Antiqua" w:hAnsi="Book Antiqua"/>
          <w:sz w:val="20"/>
          <w:szCs w:val="20"/>
          <w:lang w:val="en"/>
        </w:rPr>
        <w:lastRenderedPageBreak/>
        <w:t xml:space="preserve">p50 berfungsi sebagai jangkar yang memungkinkan kompleks protein mengikat DNA dengan afinitas tinggi. Dalam kondisi patologis seperti mukositis, ekspresi p50 sering kali mengalami </w:t>
      </w:r>
      <w:r w:rsidRPr="006810DB">
        <w:rPr>
          <w:rFonts w:ascii="Book Antiqua" w:hAnsi="Book Antiqua"/>
          <w:i/>
          <w:iCs/>
          <w:sz w:val="20"/>
          <w:szCs w:val="20"/>
          <w:lang w:val="en"/>
        </w:rPr>
        <w:t>upregulation</w:t>
      </w:r>
      <w:r w:rsidRPr="006810DB">
        <w:rPr>
          <w:rFonts w:ascii="Book Antiqua" w:hAnsi="Book Antiqua"/>
          <w:sz w:val="20"/>
          <w:szCs w:val="20"/>
          <w:lang w:val="en"/>
        </w:rPr>
        <w:t xml:space="preserve"> (peningkatan regulasi) sebagai respons terhadap sinyal stres. Peningkatan jumlah protein p50 yang tersedia meningkatkan kemungkinan pembentukan dimer p50/p65 yang aktif, sehingga memperkuat potensi respon inflamasi. Analisis ekspresi p50 memberikan gambaran tentang ketersediaan bahan baku molekuler untuk peradangan.</w:t>
      </w:r>
    </w:p>
    <w:p w14:paraId="68E166EA"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Bayangkan subunit p50 sebagai batu bata yang diperlukan untuk membangun benteng pertahanan (kompleks inflamasi). Di kota yang damai (kondisi normal), tumpukan batu bata ini sedikit dan tersimpan rapi di gudang. Namun, ketika sirine bahaya berbunyi (cisplatin), pabrik batu bata meningkatkan produksinya secara drastis, dan batu bata berserakan di mana-mana, siap disusun menjadi benteng perang.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bertindak sebagai pengendali produksi yang membatasi pasokan batu bata ini. Dengan mengurangi jumlah batu bata yang tersedia (menurunkan ekspresi p50), pembangunan benteng pertahanan yang merusak menjadi jauh lebih sulit, meskipun keinginan untuk membangunnya ada.</w:t>
      </w:r>
    </w:p>
    <w:p w14:paraId="2A360450" w14:textId="1C214B60" w:rsidR="00B258B7" w:rsidRPr="006810DB" w:rsidRDefault="00B258B7" w:rsidP="006810DB">
      <w:pPr>
        <w:pStyle w:val="ListParagraph"/>
        <w:numPr>
          <w:ilvl w:val="0"/>
          <w:numId w:val="76"/>
        </w:numPr>
        <w:spacing w:after="0" w:line="276" w:lineRule="auto"/>
        <w:ind w:left="567" w:hanging="283"/>
        <w:contextualSpacing w:val="0"/>
        <w:jc w:val="both"/>
        <w:rPr>
          <w:rFonts w:ascii="Book Antiqua" w:hAnsi="Book Antiqua"/>
          <w:b/>
          <w:bCs/>
          <w:sz w:val="20"/>
          <w:szCs w:val="20"/>
          <w:lang w:val="en"/>
        </w:rPr>
      </w:pPr>
      <w:bookmarkStart w:id="349" w:name="_vduwv8ufz48v" w:colFirst="0" w:colLast="0"/>
      <w:bookmarkEnd w:id="349"/>
      <w:r w:rsidRPr="006810DB">
        <w:rPr>
          <w:rFonts w:ascii="Book Antiqua" w:hAnsi="Book Antiqua"/>
          <w:b/>
          <w:bCs/>
          <w:sz w:val="20"/>
          <w:szCs w:val="20"/>
          <w:lang w:val="en"/>
        </w:rPr>
        <w:t>Dinamika p50 pada Kondisi Normal dan Sakit</w:t>
      </w:r>
    </w:p>
    <w:p w14:paraId="75503AB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Pada mukosa oral tikus normal (kelompok kontrol sehat), ekspresi protein p50 umumnya rendah dan terbatas pada tingkat basal untuk menjaga fungsi fisiologis sel. Pewarnaan imunohistokimia biasanya menunjukkan intensitas lemah dengan distribusi yang jarang. Namun, paparan cisplatin mengubah dinamika ini secara drastis. Dalam waktu 24 hingga 72 jam setelah injeksi cisplatin, terjadi peningkatan sintesis p50 yang signifikan, yang terlihat sebagai peningkatan densitas optik dan jumlah sel imunopositif pada sediaan jaringan (Kadarullah et al., 2024).</w:t>
      </w:r>
    </w:p>
    <w:p w14:paraId="21E96D8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Peningkatan ini terjadi baik pada sel epitel maupun pada sel-sel imun yang menginfiltrasi submukosa. Overekspresi p50 merupakan respons adaptif sel terhadap </w:t>
      </w:r>
      <w:r w:rsidRPr="006810DB">
        <w:rPr>
          <w:rFonts w:ascii="Book Antiqua" w:hAnsi="Book Antiqua"/>
          <w:sz w:val="20"/>
          <w:szCs w:val="20"/>
          <w:lang w:val="en"/>
        </w:rPr>
        <w:lastRenderedPageBreak/>
        <w:t>kerusakan DNA dan stres oksidatif, yang mempersiapkan sel untuk memproduksi sitokin. Studi menunjukkan bahwa pada puncak fase inflamasi mukositis, skor ekspresi p50 dapat meningkat hingga tiga sampai empat kali lipat dibandingkan kondisi normal, mencerminkan keadaan siaga tinggi dari sistem imun lokal.</w:t>
      </w:r>
    </w:p>
    <w:p w14:paraId="131B8F04" w14:textId="5F6F309B" w:rsidR="00B258B7" w:rsidRPr="006810DB" w:rsidRDefault="00B258B7" w:rsidP="006810DB">
      <w:pPr>
        <w:pStyle w:val="ListParagraph"/>
        <w:numPr>
          <w:ilvl w:val="0"/>
          <w:numId w:val="76"/>
        </w:numPr>
        <w:spacing w:after="0" w:line="276" w:lineRule="auto"/>
        <w:ind w:left="567" w:hanging="283"/>
        <w:contextualSpacing w:val="0"/>
        <w:jc w:val="both"/>
        <w:rPr>
          <w:rFonts w:ascii="Book Antiqua" w:hAnsi="Book Antiqua"/>
          <w:b/>
          <w:bCs/>
          <w:sz w:val="20"/>
          <w:szCs w:val="20"/>
          <w:lang w:val="en"/>
        </w:rPr>
      </w:pPr>
      <w:bookmarkStart w:id="350" w:name="_afzy0a8vs7sr" w:colFirst="0" w:colLast="0"/>
      <w:bookmarkEnd w:id="350"/>
      <w:r w:rsidRPr="006810DB">
        <w:rPr>
          <w:rFonts w:ascii="Book Antiqua" w:hAnsi="Book Antiqua"/>
          <w:b/>
          <w:bCs/>
          <w:sz w:val="20"/>
          <w:szCs w:val="20"/>
          <w:lang w:val="en"/>
        </w:rPr>
        <w:t>Efek Preventif terhadap Overekspresi p50</w:t>
      </w:r>
    </w:p>
    <w:p w14:paraId="234A3E0F"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Pemberian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atau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secara profilaksis (sebelum dan selama pemberian cisplatin) terbukti dapat menekan lonjakan ekspresi p50 ini. Hewan yang menerima terapi herbal menunjukkan intensitas pewarnaan p50 yang jauh lebih rendah dibandingkan kelompok yang hanya menerima cisplatin. Hal ini mengindikasikan bahwa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bekerja di hulu jalur sintesis protein ini atau mempercepat degradasinya (Madani et al., 2023).</w:t>
      </w:r>
    </w:p>
    <w:p w14:paraId="723B825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Penurunan ekspresi p50 ini krusial karena membatasi pembentukan heterodimer p50/p65. Dengan ketersediaan subunit p50 yang terbatas, kemampuan sel untuk merakit kompleks transkripsi fungsional menjadi berkurang. Efek supresi ini sering kali bergantung pada dosis; dosis yang lebih tinggi dari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cenderung menghasilkan penurunan ekspresi p50 yang lebih signifikan, mendekati level yang terlihat pada kontrol sehat, menunjukkan potensi protektif yang kuat.</w:t>
      </w:r>
    </w:p>
    <w:p w14:paraId="70051D79" w14:textId="5DD9F6A0" w:rsidR="00B258B7" w:rsidRPr="006810DB" w:rsidRDefault="00B258B7" w:rsidP="006810DB">
      <w:pPr>
        <w:pStyle w:val="ListParagraph"/>
        <w:numPr>
          <w:ilvl w:val="0"/>
          <w:numId w:val="76"/>
        </w:numPr>
        <w:spacing w:after="0" w:line="276" w:lineRule="auto"/>
        <w:ind w:left="567" w:hanging="283"/>
        <w:contextualSpacing w:val="0"/>
        <w:jc w:val="both"/>
        <w:rPr>
          <w:rFonts w:ascii="Book Antiqua" w:hAnsi="Book Antiqua"/>
          <w:b/>
          <w:bCs/>
          <w:sz w:val="20"/>
          <w:szCs w:val="20"/>
          <w:lang w:val="en"/>
        </w:rPr>
      </w:pPr>
      <w:bookmarkStart w:id="351" w:name="_ezzls6qkqjm9" w:colFirst="0" w:colLast="0"/>
      <w:bookmarkEnd w:id="351"/>
      <w:r w:rsidRPr="006810DB">
        <w:rPr>
          <w:rFonts w:ascii="Book Antiqua" w:hAnsi="Book Antiqua"/>
          <w:b/>
          <w:bCs/>
          <w:sz w:val="20"/>
          <w:szCs w:val="20"/>
          <w:lang w:val="en"/>
        </w:rPr>
        <w:t>Hubungan p50 dengan Keparahan Klinis Mukositis</w:t>
      </w:r>
    </w:p>
    <w:p w14:paraId="0F48962F"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Analisis statistik sering mengungkapkan korelasi positif yang kuat antara skor imunohistokimia p50 dan skor keparahan klinis mukositis (seperti tingkat ulserasi dan penurunan berat badan). Hewan dengan ekspresi p50 tertinggi di jaringan mukosanya hampir selalu adalah hewan yang menderita kerusakan jaringan paling parah. Temuan ini memvalidasi p50 sebagai biomarker keparahan penyakit pada tingkat molekuler (Kadarullah et al., 2024).</w:t>
      </w:r>
    </w:p>
    <w:p w14:paraId="21D64F49" w14:textId="77777777" w:rsidR="00A95863" w:rsidRDefault="00A95863">
      <w:pPr>
        <w:rPr>
          <w:rFonts w:ascii="Book Antiqua" w:hAnsi="Book Antiqua"/>
          <w:sz w:val="20"/>
          <w:szCs w:val="20"/>
          <w:lang w:val="en"/>
        </w:rPr>
      </w:pPr>
      <w:r>
        <w:rPr>
          <w:rFonts w:ascii="Book Antiqua" w:hAnsi="Book Antiqua"/>
          <w:sz w:val="20"/>
          <w:szCs w:val="20"/>
          <w:lang w:val="en"/>
        </w:rPr>
        <w:br w:type="page"/>
      </w:r>
    </w:p>
    <w:p w14:paraId="6C8C0ACB" w14:textId="3E88D168"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lastRenderedPageBreak/>
        <w:t xml:space="preserve">Sebaliknya, pada kelompok yang diterapi dengan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penurunan ekspresi p50 berjalan seiring dengan perbaikan gambaran klinis dan histopatologis. Hal ini menegaskan bahwa modulasi ekspresi p50 bukan sekadar fenomena sampingan, melainkan berkontribusi langsung pada mekanisme penyembuhan. Dengan menekan ketersediaan komponen kunci jalur </w:t>
      </w:r>
      <w:r w:rsidRPr="006810DB">
        <w:rPr>
          <w:rFonts w:ascii="Book Antiqua" w:hAnsi="Book Antiqua"/>
          <w:sz w:val="20"/>
          <w:szCs w:val="20"/>
          <w:highlight w:val="yellow"/>
          <w:lang w:val="en"/>
        </w:rPr>
        <w:t>NF-κ\kappaκ</w:t>
      </w:r>
      <w:r w:rsidR="00954AE6"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ini,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mengurangi intensitas respon inflamasi, sehingga membatasi kerusakan jaringan sekunder dan mempercepat re-epitelisasi.</w:t>
      </w:r>
    </w:p>
    <w:p w14:paraId="13CF8BF7" w14:textId="77777777" w:rsidR="002E5D2A" w:rsidRPr="006810DB" w:rsidRDefault="002E5D2A" w:rsidP="006810DB">
      <w:pPr>
        <w:spacing w:after="0" w:line="276" w:lineRule="auto"/>
        <w:jc w:val="both"/>
        <w:rPr>
          <w:rFonts w:ascii="Book Antiqua" w:hAnsi="Book Antiqua"/>
          <w:sz w:val="20"/>
          <w:szCs w:val="20"/>
          <w:lang w:val="en"/>
        </w:rPr>
      </w:pPr>
    </w:p>
    <w:p w14:paraId="5387034F" w14:textId="2137C16F" w:rsidR="00B258B7" w:rsidRPr="006810DB" w:rsidRDefault="00B258B7" w:rsidP="006810DB">
      <w:pPr>
        <w:pStyle w:val="Heading2"/>
        <w:numPr>
          <w:ilvl w:val="0"/>
          <w:numId w:val="29"/>
        </w:numPr>
        <w:ind w:left="284" w:hanging="284"/>
        <w:rPr>
          <w:bCs/>
          <w:szCs w:val="20"/>
          <w:lang w:val="en"/>
        </w:rPr>
      </w:pPr>
      <w:bookmarkStart w:id="352" w:name="_7i5gmboyv1d7" w:colFirst="0" w:colLast="0"/>
      <w:bookmarkStart w:id="353" w:name="_Toc223088967"/>
      <w:bookmarkEnd w:id="352"/>
      <w:r w:rsidRPr="006810DB">
        <w:rPr>
          <w:bCs/>
          <w:szCs w:val="20"/>
          <w:lang w:val="en"/>
        </w:rPr>
        <w:t>Perubahan Ekspresi p65 dan Signifikansi Biologisnya</w:t>
      </w:r>
      <w:bookmarkEnd w:id="353"/>
    </w:p>
    <w:p w14:paraId="57444E1F" w14:textId="7E455799"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Sementara p50 adalah jangkar struktural, subunit p65 (RelA) adalah "otak" fungsional dari kompleks </w:t>
      </w:r>
      <w:r w:rsidRPr="006810DB">
        <w:rPr>
          <w:rFonts w:ascii="Book Antiqua" w:hAnsi="Book Antiqua"/>
          <w:sz w:val="20"/>
          <w:szCs w:val="20"/>
          <w:highlight w:val="yellow"/>
          <w:lang w:val="en"/>
        </w:rPr>
        <w:t>NF-κ\kappaκ</w:t>
      </w:r>
      <w:r w:rsidR="00954AE6"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karena mengandung domain transaktivasi yang diperlukan untuk inisiasi transkripsi gen. Oleh karena itu, status p65, khususnya lokalisasi nuklearnya, dianggap sebagai indikator yang lebih spesifik dan sensitif untuk aktivitas </w:t>
      </w:r>
      <w:r w:rsidRPr="006810DB">
        <w:rPr>
          <w:rFonts w:ascii="Book Antiqua" w:hAnsi="Book Antiqua"/>
          <w:sz w:val="20"/>
          <w:szCs w:val="20"/>
          <w:highlight w:val="yellow"/>
          <w:lang w:val="en"/>
        </w:rPr>
        <w:t>NF-κ\kappaκ</w:t>
      </w:r>
      <w:r w:rsidR="00B627C0"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dibandingkan p50. Analisis ekspresi p65 memberikan wawasan langsung mengenai status transkripsi gen-gen sitokin pro-inflamasi seperti </w:t>
      </w:r>
      <w:r w:rsidRPr="006810DB">
        <w:rPr>
          <w:rFonts w:ascii="Book Antiqua" w:hAnsi="Book Antiqua"/>
          <w:sz w:val="20"/>
          <w:szCs w:val="20"/>
          <w:highlight w:val="yellow"/>
          <w:lang w:val="en"/>
        </w:rPr>
        <w:t>TNF-α\alphaα</w:t>
      </w:r>
      <w:r w:rsidR="00954AE6" w:rsidRPr="006810DB">
        <w:rPr>
          <w:rFonts w:ascii="Book Antiqua" w:hAnsi="Book Antiqua"/>
          <w:sz w:val="20"/>
          <w:szCs w:val="20"/>
          <w:lang w:val="en"/>
        </w:rPr>
        <w:t xml:space="preserve"> </w:t>
      </w:r>
      <w:r w:rsidRPr="006810DB">
        <w:rPr>
          <w:rFonts w:ascii="Book Antiqua" w:hAnsi="Book Antiqua"/>
          <w:sz w:val="20"/>
          <w:szCs w:val="20"/>
          <w:lang w:val="en"/>
        </w:rPr>
        <w:t xml:space="preserve">dan </w:t>
      </w:r>
      <w:r w:rsidRPr="006810DB">
        <w:rPr>
          <w:rFonts w:ascii="Book Antiqua" w:hAnsi="Book Antiqua"/>
          <w:sz w:val="20"/>
          <w:szCs w:val="20"/>
          <w:highlight w:val="yellow"/>
          <w:lang w:val="en"/>
        </w:rPr>
        <w:t>IL-1β\betaβ</w:t>
      </w:r>
      <w:r w:rsidRPr="006810DB">
        <w:rPr>
          <w:rFonts w:ascii="Book Antiqua" w:hAnsi="Book Antiqua"/>
          <w:sz w:val="20"/>
          <w:szCs w:val="20"/>
          <w:lang w:val="en"/>
        </w:rPr>
        <w:t>.</w:t>
      </w:r>
      <w:r w:rsidR="00954AE6" w:rsidRPr="006810DB">
        <w:rPr>
          <w:rFonts w:ascii="Book Antiqua" w:hAnsi="Book Antiqua"/>
          <w:sz w:val="20"/>
          <w:szCs w:val="20"/>
          <w:lang w:val="en"/>
        </w:rPr>
        <w:t xml:space="preserve"> </w:t>
      </w:r>
      <w:r w:rsidRPr="006810DB">
        <w:rPr>
          <w:rFonts w:ascii="Book Antiqua" w:hAnsi="Book Antiqua"/>
          <w:sz w:val="20"/>
          <w:szCs w:val="20"/>
          <w:lang w:val="en"/>
        </w:rPr>
        <w:t>Keberhasilan terapi anti-inflamasi sering kali didefinisikan oleh kemampuannya untuk menjaga p65 tetap berada di luar nukleus.</w:t>
      </w:r>
    </w:p>
    <w:p w14:paraId="7275E595"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Jika p50 adalah kunci, maka p65 adalah tangan yang memutar kunci tersebut untuk meluncurkan misil nuklir (sitokin). Keberadaan tangan ini di dalam ruang kendali peluncuran (nukleus) adalah tanda bahaya tertinggi. Dalam situasi perang (mukositis), tangan ini sibuk memutar kunci.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bertindak sebagai penjaga keamanan yang menahan tangan tersebut di luar ruangan (sitoplasma). Analisis p65 bertujuan untuk menghitung berapa banyak "tangan" yang berhasil menerobos masuk ke ruang kendali. Semakin sedikit tangan di dalam, semakin aman kota tersebut, terlepas dari seberapa banyak kunci (p50) yang tersedia.</w:t>
      </w:r>
    </w:p>
    <w:p w14:paraId="3230082D" w14:textId="77777777" w:rsidR="00A95863" w:rsidRDefault="00A95863">
      <w:pPr>
        <w:rPr>
          <w:rFonts w:ascii="Book Antiqua" w:hAnsi="Book Antiqua"/>
          <w:b/>
          <w:bCs/>
          <w:sz w:val="20"/>
          <w:szCs w:val="20"/>
          <w:lang w:val="en"/>
        </w:rPr>
      </w:pPr>
      <w:bookmarkStart w:id="354" w:name="_ey4qorejen61" w:colFirst="0" w:colLast="0"/>
      <w:bookmarkEnd w:id="354"/>
      <w:r>
        <w:rPr>
          <w:rFonts w:ascii="Book Antiqua" w:hAnsi="Book Antiqua"/>
          <w:b/>
          <w:bCs/>
          <w:sz w:val="20"/>
          <w:szCs w:val="20"/>
          <w:lang w:val="en"/>
        </w:rPr>
        <w:br w:type="page"/>
      </w:r>
    </w:p>
    <w:p w14:paraId="2FF57BAB" w14:textId="35AC6874" w:rsidR="00B258B7" w:rsidRPr="006810DB" w:rsidRDefault="00B258B7" w:rsidP="006810DB">
      <w:pPr>
        <w:pStyle w:val="ListParagraph"/>
        <w:numPr>
          <w:ilvl w:val="0"/>
          <w:numId w:val="77"/>
        </w:numPr>
        <w:spacing w:after="0" w:line="276" w:lineRule="auto"/>
        <w:ind w:left="567" w:hanging="283"/>
        <w:contextualSpacing w:val="0"/>
        <w:jc w:val="both"/>
        <w:rPr>
          <w:rFonts w:ascii="Book Antiqua" w:hAnsi="Book Antiqua"/>
          <w:b/>
          <w:bCs/>
          <w:sz w:val="20"/>
          <w:szCs w:val="20"/>
          <w:lang w:val="en"/>
        </w:rPr>
      </w:pPr>
      <w:r w:rsidRPr="006810DB">
        <w:rPr>
          <w:rFonts w:ascii="Book Antiqua" w:hAnsi="Book Antiqua"/>
          <w:b/>
          <w:bCs/>
          <w:sz w:val="20"/>
          <w:szCs w:val="20"/>
          <w:lang w:val="en"/>
        </w:rPr>
        <w:lastRenderedPageBreak/>
        <w:t>p65 sebagai Indikator Utama Aktivitas Transkripsi</w:t>
      </w:r>
    </w:p>
    <w:p w14:paraId="0D1D35A4" w14:textId="652E2BC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Subunit p65 mengandung </w:t>
      </w:r>
      <w:r w:rsidRPr="006810DB">
        <w:rPr>
          <w:rFonts w:ascii="Book Antiqua" w:hAnsi="Book Antiqua"/>
          <w:i/>
          <w:iCs/>
          <w:sz w:val="20"/>
          <w:szCs w:val="20"/>
          <w:lang w:val="en"/>
        </w:rPr>
        <w:t>Transactivation Domain</w:t>
      </w:r>
      <w:r w:rsidRPr="006810DB">
        <w:rPr>
          <w:rFonts w:ascii="Book Antiqua" w:hAnsi="Book Antiqua"/>
          <w:sz w:val="20"/>
          <w:szCs w:val="20"/>
          <w:lang w:val="en"/>
        </w:rPr>
        <w:t xml:space="preserve"> (TAD) di ujung C-terminalnya, yang berinteraksi dengan mesin transkripsi basal dan ko-aktivator histon asetiltransferase (HAT). Karena fungsi inilah, translokasi p65 ke nukleus dianggap sebagai tanda definitif dari aktivasi jalur </w:t>
      </w:r>
      <w:r w:rsidRPr="006810DB">
        <w:rPr>
          <w:rFonts w:ascii="Book Antiqua" w:hAnsi="Book Antiqua"/>
          <w:sz w:val="20"/>
          <w:szCs w:val="20"/>
          <w:highlight w:val="yellow"/>
          <w:lang w:val="en"/>
        </w:rPr>
        <w:t>NF-κ\kappaκ</w:t>
      </w:r>
      <w:r w:rsidR="00B627C0"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kanonik. Dalam analisis IHC, deteksi p65 nuklear berkorelasi langsung dengan sintesis mRNA sitokin pro-inflamasi (Liu et al., 2017).</w:t>
      </w:r>
    </w:p>
    <w:p w14:paraId="459C6A9F" w14:textId="290D0918"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Pada jaringan mukosa yang rusak akibat cisplatin, pewarnaan p65 nuklear terlihat sangat intens, terutama pada sel-sel di tepi ulkus dan sel-sel radang yang menginfiltrasi. Pola ini menunjukkan bahwa area tersebut adalah pusat aktivitas inflamasi yang tinggi. Sebaliknya, pada jaringan normal, p65 sebagian besar terdeteksi di sitoplasma dalam bentuk inaktif, terikat pada </w:t>
      </w:r>
      <w:r w:rsidRPr="006810DB">
        <w:rPr>
          <w:rFonts w:ascii="Book Antiqua" w:hAnsi="Book Antiqua"/>
          <w:sz w:val="20"/>
          <w:szCs w:val="20"/>
          <w:highlight w:val="yellow"/>
          <w:lang w:val="en"/>
        </w:rPr>
        <w:t>Iκ\kappaκ</w:t>
      </w:r>
      <w:r w:rsidR="00B627C0"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Pergeseran distribusi dari sitoplasma ke nukleus ini adalah parameter yang paling dinamis dan penting untuk dipantau dalam evaluasi terapi (Kadarullah et al., 2024).</w:t>
      </w:r>
    </w:p>
    <w:p w14:paraId="1CB329C2" w14:textId="14C1742E" w:rsidR="00B258B7" w:rsidRPr="006810DB" w:rsidRDefault="00B258B7" w:rsidP="006810DB">
      <w:pPr>
        <w:pStyle w:val="ListParagraph"/>
        <w:numPr>
          <w:ilvl w:val="0"/>
          <w:numId w:val="77"/>
        </w:numPr>
        <w:spacing w:after="0" w:line="276" w:lineRule="auto"/>
        <w:ind w:left="567" w:hanging="283"/>
        <w:contextualSpacing w:val="0"/>
        <w:jc w:val="both"/>
        <w:rPr>
          <w:rFonts w:ascii="Book Antiqua" w:hAnsi="Book Antiqua"/>
          <w:b/>
          <w:bCs/>
          <w:sz w:val="20"/>
          <w:szCs w:val="20"/>
          <w:lang w:val="en"/>
        </w:rPr>
      </w:pPr>
      <w:bookmarkStart w:id="355" w:name="_s2onds8p0yjp" w:colFirst="0" w:colLast="0"/>
      <w:bookmarkEnd w:id="355"/>
      <w:r w:rsidRPr="006810DB">
        <w:rPr>
          <w:rFonts w:ascii="Book Antiqua" w:hAnsi="Book Antiqua"/>
          <w:b/>
          <w:bCs/>
          <w:sz w:val="20"/>
          <w:szCs w:val="20"/>
          <w:lang w:val="en"/>
        </w:rPr>
        <w:t xml:space="preserve">Efektivitas </w:t>
      </w:r>
      <w:r w:rsidRPr="006810DB">
        <w:rPr>
          <w:rFonts w:ascii="Book Antiqua" w:hAnsi="Book Antiqua"/>
          <w:b/>
          <w:bCs/>
          <w:i/>
          <w:iCs/>
          <w:sz w:val="20"/>
          <w:szCs w:val="20"/>
          <w:lang w:val="en"/>
        </w:rPr>
        <w:t>Nigella sativa</w:t>
      </w:r>
      <w:r w:rsidRPr="006810DB">
        <w:rPr>
          <w:rFonts w:ascii="Book Antiqua" w:hAnsi="Book Antiqua"/>
          <w:b/>
          <w:bCs/>
          <w:sz w:val="20"/>
          <w:szCs w:val="20"/>
          <w:lang w:val="en"/>
        </w:rPr>
        <w:t xml:space="preserve"> dalam Menurunkan Ekspresi p65</w:t>
      </w:r>
    </w:p>
    <w:p w14:paraId="26DAA906" w14:textId="10CD775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Studi eksperimental menunjukkan bahwa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memiliki efektivitas tinggi dalam memodulasi ekspresi dan lokalisasi p65. Perlakuan dengan ekstrak jintan hitam secara signifikan mengurangi persentase inti sel yang positif terhadap p65. Fenomena ini konsisten dengan mekanisme molekuler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yang menghambat degradasi </w:t>
      </w:r>
      <w:r w:rsidRPr="006810DB">
        <w:rPr>
          <w:rFonts w:ascii="Book Antiqua" w:hAnsi="Book Antiqua"/>
          <w:sz w:val="20"/>
          <w:szCs w:val="20"/>
          <w:highlight w:val="yellow"/>
          <w:lang w:val="en"/>
        </w:rPr>
        <w:t>Iκ\kappaκ</w:t>
      </w:r>
      <w:r w:rsidR="00B627C0"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00954AE6"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α\alphaα</w:t>
      </w:r>
      <w:r w:rsidRPr="006810DB">
        <w:rPr>
          <w:rFonts w:ascii="Book Antiqua" w:hAnsi="Book Antiqua"/>
          <w:sz w:val="20"/>
          <w:szCs w:val="20"/>
          <w:lang w:val="en"/>
        </w:rPr>
        <w:t xml:space="preserve">, sehingga menahan kompleks </w:t>
      </w:r>
      <w:r w:rsidRPr="006810DB">
        <w:rPr>
          <w:rFonts w:ascii="Book Antiqua" w:hAnsi="Book Antiqua"/>
          <w:sz w:val="20"/>
          <w:szCs w:val="20"/>
          <w:highlight w:val="yellow"/>
          <w:lang w:val="en"/>
        </w:rPr>
        <w:t>NF-κ\kappaκ</w:t>
      </w:r>
      <w:r w:rsidR="00954AE6"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di sitoplasma (Madani et al., 2023).</w:t>
      </w:r>
    </w:p>
    <w:p w14:paraId="2D930FAA"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Visualisasi IHC pada kelompok terapi sering menunjukkan pola pewarnaan di mana p65 masih terdeteksi, namun intensitasnya lebih rendah dan lokasinya tertahan di sitoplasma perinuklear, gagal menembus membran inti. "Retensi sitoplasma" ini adalah bukti visual keberhasilan blokade jalur sinyal. Dengan mencegah p65 mengakses DNA,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secara efektif mematikan program genetik peradangan sebelum sempat dijalankan sepenuhnya.</w:t>
      </w:r>
    </w:p>
    <w:p w14:paraId="7DCCC758" w14:textId="5128C042" w:rsidR="00B258B7" w:rsidRPr="006810DB" w:rsidRDefault="00B258B7" w:rsidP="006810DB">
      <w:pPr>
        <w:pStyle w:val="ListParagraph"/>
        <w:numPr>
          <w:ilvl w:val="0"/>
          <w:numId w:val="77"/>
        </w:numPr>
        <w:spacing w:after="0" w:line="276" w:lineRule="auto"/>
        <w:ind w:left="567" w:hanging="283"/>
        <w:contextualSpacing w:val="0"/>
        <w:jc w:val="both"/>
        <w:rPr>
          <w:rFonts w:ascii="Book Antiqua" w:hAnsi="Book Antiqua"/>
          <w:b/>
          <w:bCs/>
          <w:sz w:val="20"/>
          <w:szCs w:val="20"/>
          <w:lang w:val="en"/>
        </w:rPr>
      </w:pPr>
      <w:bookmarkStart w:id="356" w:name="_7g9pshfszhwz" w:colFirst="0" w:colLast="0"/>
      <w:bookmarkEnd w:id="356"/>
      <w:r w:rsidRPr="006810DB">
        <w:rPr>
          <w:rFonts w:ascii="Book Antiqua" w:hAnsi="Book Antiqua"/>
          <w:b/>
          <w:bCs/>
          <w:sz w:val="20"/>
          <w:szCs w:val="20"/>
          <w:lang w:val="en"/>
        </w:rPr>
        <w:lastRenderedPageBreak/>
        <w:t>Perbandingan Efek pada Berbagai Variasi Dosis Ekstrak</w:t>
      </w:r>
    </w:p>
    <w:p w14:paraId="34086BF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Analisis kuantitatif ekspresi p65 sering dilakukan pada beberapa kelompok dosis untuk menentukan kurva respons dosis. Umumnya, terdapat tren penurunan ekspresi p65 nuklear yang berbanding lurus dengan peningkatan dosis </w:t>
      </w:r>
      <w:r w:rsidRPr="006810DB">
        <w:rPr>
          <w:rFonts w:ascii="Book Antiqua" w:hAnsi="Book Antiqua"/>
          <w:i/>
          <w:iCs/>
          <w:sz w:val="20"/>
          <w:szCs w:val="20"/>
          <w:lang w:val="en"/>
        </w:rPr>
        <w:t>Nigella sativa</w:t>
      </w:r>
      <w:r w:rsidRPr="006810DB">
        <w:rPr>
          <w:rFonts w:ascii="Book Antiqua" w:hAnsi="Book Antiqua"/>
          <w:sz w:val="20"/>
          <w:szCs w:val="20"/>
          <w:lang w:val="en"/>
        </w:rPr>
        <w:t>. Dosis rendah mungkin hanya memberikan penghambatan parsial, sementara dosis optimal mampu menekan translokasi p65 hingga tingkat yang mendekati kontrol normal (Kadarullah et al., 2024).</w:t>
      </w:r>
    </w:p>
    <w:p w14:paraId="422292E9"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Perbandingan ini penting untuk menetapkan dosis terapi yang efektif. Misalnya, jika dosis 100 mg/kgBB menunjukkan penurunan p65 nuklear sebesar 50%, sedangkan dosis 200 mg/kgBB menurunkan hingga 80%, maka dosis yang lebih tinggi mungkin lebih disarankan untuk kasus mukositis berat, asalkan masih dalam batas aman. Data IHC ini memberikan dasar rasional untuk rekomendasi dosis dalam aplikasi klinis potensial, memastikan bahwa intervensi yang diberikan cukup kuat untuk memodulasi target molekuler utamanya.</w:t>
      </w:r>
    </w:p>
    <w:p w14:paraId="61A5E7D0" w14:textId="77777777" w:rsidR="002E5D2A" w:rsidRPr="006810DB" w:rsidRDefault="002E5D2A" w:rsidP="006810DB">
      <w:pPr>
        <w:spacing w:after="0" w:line="276" w:lineRule="auto"/>
        <w:jc w:val="both"/>
        <w:rPr>
          <w:rFonts w:ascii="Book Antiqua" w:hAnsi="Book Antiqua"/>
          <w:b/>
          <w:bCs/>
          <w:sz w:val="20"/>
          <w:szCs w:val="20"/>
          <w:lang w:val="en"/>
        </w:rPr>
      </w:pPr>
      <w:bookmarkStart w:id="357" w:name="_uimi5qdz78qg" w:colFirst="0" w:colLast="0"/>
      <w:bookmarkEnd w:id="357"/>
    </w:p>
    <w:p w14:paraId="1955BD35" w14:textId="77777777" w:rsidR="00564DC0" w:rsidRPr="006810DB" w:rsidRDefault="00564DC0" w:rsidP="006810DB">
      <w:pPr>
        <w:spacing w:line="276" w:lineRule="auto"/>
        <w:rPr>
          <w:rFonts w:ascii="Book Antiqua" w:eastAsiaTheme="majorEastAsia" w:hAnsi="Book Antiqua" w:cstheme="majorBidi"/>
          <w:b/>
          <w:bCs/>
          <w:color w:val="000000" w:themeColor="text1"/>
          <w:sz w:val="20"/>
          <w:szCs w:val="20"/>
          <w:lang w:val="en"/>
        </w:rPr>
      </w:pPr>
      <w:r w:rsidRPr="006810DB">
        <w:rPr>
          <w:rFonts w:ascii="Book Antiqua" w:hAnsi="Book Antiqua"/>
          <w:bCs/>
          <w:szCs w:val="20"/>
          <w:lang w:val="en"/>
        </w:rPr>
        <w:br w:type="page"/>
      </w:r>
    </w:p>
    <w:p w14:paraId="436AC69E" w14:textId="2D2C58C1" w:rsidR="00B258B7" w:rsidRPr="006810DB" w:rsidRDefault="00B258B7" w:rsidP="006810DB">
      <w:pPr>
        <w:pStyle w:val="Heading2"/>
        <w:jc w:val="center"/>
        <w:rPr>
          <w:b w:val="0"/>
          <w:bCs/>
          <w:szCs w:val="20"/>
          <w:lang w:val="en"/>
        </w:rPr>
      </w:pPr>
      <w:bookmarkStart w:id="358" w:name="_Toc223088968"/>
      <w:r w:rsidRPr="006810DB">
        <w:rPr>
          <w:bCs/>
          <w:szCs w:val="20"/>
          <w:lang w:val="en"/>
        </w:rPr>
        <w:lastRenderedPageBreak/>
        <w:t>KESIMPULAN</w:t>
      </w:r>
      <w:bookmarkEnd w:id="358"/>
    </w:p>
    <w:p w14:paraId="02B99030" w14:textId="77777777" w:rsidR="002E5D2A" w:rsidRPr="006810DB" w:rsidRDefault="002E5D2A" w:rsidP="006810DB">
      <w:pPr>
        <w:spacing w:after="0" w:line="276" w:lineRule="auto"/>
        <w:jc w:val="both"/>
        <w:rPr>
          <w:rFonts w:ascii="Book Antiqua" w:hAnsi="Book Antiqua"/>
          <w:sz w:val="20"/>
          <w:szCs w:val="20"/>
          <w:lang w:val="en"/>
        </w:rPr>
      </w:pPr>
    </w:p>
    <w:p w14:paraId="27FD74A7" w14:textId="5AC76BC3" w:rsidR="00B258B7" w:rsidRPr="006810DB" w:rsidRDefault="00B258B7" w:rsidP="006810DB">
      <w:pPr>
        <w:spacing w:after="0" w:line="276" w:lineRule="auto"/>
        <w:ind w:firstLine="567"/>
        <w:jc w:val="both"/>
        <w:rPr>
          <w:rFonts w:ascii="Book Antiqua" w:hAnsi="Book Antiqua"/>
          <w:sz w:val="20"/>
          <w:szCs w:val="20"/>
          <w:lang w:val="en"/>
        </w:rPr>
      </w:pPr>
      <w:r w:rsidRPr="006810DB">
        <w:rPr>
          <w:rFonts w:ascii="Book Antiqua" w:hAnsi="Book Antiqua"/>
          <w:sz w:val="20"/>
          <w:szCs w:val="20"/>
          <w:lang w:val="en"/>
        </w:rPr>
        <w:t xml:space="preserve">Analisis imunohistokimia terhadap subunit p50 dan p65 memberikan bukti molekuler yang kuat mengenai peran sentral jalur </w:t>
      </w:r>
      <w:r w:rsidRPr="006810DB">
        <w:rPr>
          <w:rFonts w:ascii="Book Antiqua" w:hAnsi="Book Antiqua"/>
          <w:sz w:val="20"/>
          <w:szCs w:val="20"/>
          <w:highlight w:val="yellow"/>
          <w:lang w:val="en"/>
        </w:rPr>
        <w:t>NF-κ\kappaκ</w:t>
      </w:r>
      <w:r w:rsidR="007C328F"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dalam patogenesis mukositis oral induksi cisplatin dan mekanisme protektif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Peningkatan ekspresi dan translokasi nuklear kedua protein ini pada jaringan yang rusak mengkonfirmasi aktivasi transkripsi gen pro-inflamasi. Sebaliknya, terapi dengan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terbukti secara efektif menekan overekspresi p50 dan, yang lebih penting, memblokir translokasi nuklear p65. Data visual dan kuantitatif ini memvalidasi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sebagai inhibitor </w:t>
      </w:r>
      <w:r w:rsidRPr="006810DB">
        <w:rPr>
          <w:rFonts w:ascii="Book Antiqua" w:hAnsi="Book Antiqua"/>
          <w:sz w:val="20"/>
          <w:szCs w:val="20"/>
          <w:highlight w:val="yellow"/>
          <w:lang w:val="en"/>
        </w:rPr>
        <w:t>NF-κ\kappaκ</w:t>
      </w:r>
      <w:r w:rsidR="007C328F"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yang poten di tingkat jaringan, yang berkorelasi langsung dengan perbaikan tanda-tanda klinis mukositis.</w:t>
      </w:r>
    </w:p>
    <w:p w14:paraId="4244E768" w14:textId="77777777" w:rsidR="002E5D2A" w:rsidRPr="006810DB" w:rsidRDefault="002E5D2A" w:rsidP="006810DB">
      <w:pPr>
        <w:spacing w:line="276" w:lineRule="auto"/>
        <w:rPr>
          <w:rFonts w:ascii="Book Antiqua" w:hAnsi="Book Antiqua"/>
          <w:b/>
          <w:bCs/>
          <w:sz w:val="20"/>
          <w:szCs w:val="20"/>
          <w:lang w:val="en"/>
        </w:rPr>
      </w:pPr>
      <w:bookmarkStart w:id="359" w:name="_9j3t0sozjbyu" w:colFirst="0" w:colLast="0"/>
      <w:bookmarkEnd w:id="359"/>
      <w:r w:rsidRPr="006810DB">
        <w:rPr>
          <w:rFonts w:ascii="Book Antiqua" w:hAnsi="Book Antiqua"/>
          <w:b/>
          <w:bCs/>
          <w:sz w:val="20"/>
          <w:szCs w:val="20"/>
          <w:lang w:val="en"/>
        </w:rPr>
        <w:br w:type="page"/>
      </w:r>
    </w:p>
    <w:p w14:paraId="627844E6" w14:textId="77777777" w:rsidR="00824155" w:rsidRPr="006810DB" w:rsidRDefault="00824155" w:rsidP="00824155">
      <w:pPr>
        <w:pStyle w:val="Heading2"/>
        <w:jc w:val="center"/>
      </w:pPr>
      <w:bookmarkStart w:id="360" w:name="_Toc223088969"/>
      <w:r w:rsidRPr="006810DB">
        <w:lastRenderedPageBreak/>
        <w:t>GLOSARIUM</w:t>
      </w:r>
      <w:bookmarkEnd w:id="360"/>
    </w:p>
    <w:p w14:paraId="3AF80DB6" w14:textId="77777777" w:rsidR="00824155" w:rsidRPr="006810DB" w:rsidRDefault="00824155" w:rsidP="00824155">
      <w:pPr>
        <w:spacing w:after="0" w:line="276" w:lineRule="auto"/>
        <w:jc w:val="both"/>
        <w:rPr>
          <w:rFonts w:ascii="Book Antiqua" w:hAnsi="Book Antiqua"/>
          <w:b/>
          <w:bCs/>
          <w:sz w:val="20"/>
          <w:szCs w:val="20"/>
          <w:lang w:val="en"/>
        </w:rPr>
      </w:pPr>
    </w:p>
    <w:p w14:paraId="5932D702"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Antigen Retrieval</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Proses pemanasan atau perlakuan kimia pada jaringan yang difiksasi untuk membuka kembali struktur protein (epitop) agar dapat dikenali oleh antibodi.</w:t>
      </w:r>
    </w:p>
    <w:p w14:paraId="0E6F440B"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Imunohistokimia (IHC):</w:t>
      </w:r>
      <w:r w:rsidRPr="006810DB">
        <w:rPr>
          <w:rFonts w:ascii="Book Antiqua" w:hAnsi="Book Antiqua"/>
          <w:sz w:val="20"/>
          <w:szCs w:val="20"/>
          <w:lang w:val="en"/>
        </w:rPr>
        <w:t xml:space="preserve"> Metode laboratorium yang menggunakan antibodi untuk mendeteksi antigen (protein) tertentu dalam sel pada irisan jaringan, memungkinkan visualisasi distribusi dan lokasi protein tersebut.</w:t>
      </w:r>
    </w:p>
    <w:p w14:paraId="5D920514"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Subunit p50 (</w:t>
      </w:r>
      <w:r w:rsidRPr="006810DB">
        <w:rPr>
          <w:rFonts w:ascii="Book Antiqua" w:hAnsi="Book Antiqua"/>
          <w:b/>
          <w:bCs/>
          <w:sz w:val="20"/>
          <w:szCs w:val="20"/>
          <w:highlight w:val="yellow"/>
          <w:lang w:val="en"/>
        </w:rPr>
        <w:t>NF-κ\kappaκ</w:t>
      </w:r>
      <w:r w:rsidRPr="006810DB">
        <w:rPr>
          <w:rFonts w:ascii="Book Antiqua" w:hAnsi="Book Antiqua"/>
          <w:sz w:val="20"/>
          <w:szCs w:val="20"/>
          <w:highlight w:val="yellow"/>
          <w:lang w:val="en"/>
        </w:rPr>
        <w:t xml:space="preserve"> </w:t>
      </w:r>
      <w:r w:rsidRPr="006810DB">
        <w:rPr>
          <w:rFonts w:ascii="Book Antiqua" w:hAnsi="Book Antiqua"/>
          <w:b/>
          <w:bCs/>
          <w:sz w:val="20"/>
          <w:szCs w:val="20"/>
          <w:highlight w:val="yellow"/>
          <w:lang w:val="en"/>
        </w:rPr>
        <w:t>B1</w:t>
      </w:r>
      <w:r w:rsidRPr="006810DB">
        <w:rPr>
          <w:rFonts w:ascii="Book Antiqua" w:hAnsi="Book Antiqua"/>
          <w:b/>
          <w:bCs/>
          <w:sz w:val="20"/>
          <w:szCs w:val="20"/>
          <w:lang w:val="en"/>
        </w:rPr>
        <w:t>):</w:t>
      </w:r>
      <w:r w:rsidRPr="006810DB">
        <w:rPr>
          <w:rFonts w:ascii="Book Antiqua" w:hAnsi="Book Antiqua"/>
          <w:sz w:val="20"/>
          <w:szCs w:val="20"/>
          <w:lang w:val="en"/>
        </w:rPr>
        <w:t xml:space="preserve"> Komponen struktural dari kompleks </w:t>
      </w:r>
      <w:r w:rsidRPr="006810DB">
        <w:rPr>
          <w:rFonts w:ascii="Book Antiqua" w:hAnsi="Book Antiqua"/>
          <w:sz w:val="20"/>
          <w:szCs w:val="20"/>
          <w:highlight w:val="yellow"/>
          <w:lang w:val="en"/>
        </w:rPr>
        <w:t>NF-κ\kappaκ B</w:t>
      </w:r>
      <w:r w:rsidRPr="006810DB">
        <w:rPr>
          <w:rFonts w:ascii="Book Antiqua" w:hAnsi="Book Antiqua"/>
          <w:sz w:val="20"/>
          <w:szCs w:val="20"/>
          <w:lang w:val="en"/>
        </w:rPr>
        <w:t xml:space="preserve"> yang berfungsi utama untuk mengikat DNA, biasanya berpasangan dengan p65.</w:t>
      </w:r>
    </w:p>
    <w:p w14:paraId="45D9BB1D"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Subunit p65 (RelA)</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 xml:space="preserve">Komponen dari kompleks </w:t>
      </w:r>
      <w:r w:rsidRPr="006810DB">
        <w:rPr>
          <w:rFonts w:ascii="Book Antiqua" w:hAnsi="Book Antiqua"/>
          <w:sz w:val="20"/>
          <w:szCs w:val="20"/>
          <w:highlight w:val="yellow"/>
          <w:lang w:val="en"/>
        </w:rPr>
        <w:t>NF-κ\kappaκ B</w:t>
      </w:r>
      <w:r w:rsidRPr="006810DB">
        <w:rPr>
          <w:rFonts w:ascii="Book Antiqua" w:hAnsi="Book Antiqua"/>
          <w:sz w:val="20"/>
          <w:szCs w:val="20"/>
          <w:lang w:val="en"/>
        </w:rPr>
        <w:t xml:space="preserve"> yang memiliki domain aktivasi transkripsi, bertanggung jawab untuk memulai ekspresi gen target.</w:t>
      </w:r>
    </w:p>
    <w:p w14:paraId="4CEC221F"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Translokasi Nuklear</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Perpindahan protein (seperti p65) dari sitoplasma ke dalam inti sel, yang sering kali menandakan aktivasi protein tersebut sebagai faktor transkripsi.</w:t>
      </w:r>
    </w:p>
    <w:p w14:paraId="19E5F042" w14:textId="77777777" w:rsidR="00824155" w:rsidRPr="006810DB" w:rsidRDefault="00824155" w:rsidP="00824155">
      <w:pPr>
        <w:spacing w:line="276" w:lineRule="auto"/>
        <w:rPr>
          <w:rFonts w:ascii="Book Antiqua" w:hAnsi="Book Antiqua"/>
          <w:b/>
          <w:bCs/>
          <w:sz w:val="20"/>
          <w:szCs w:val="20"/>
          <w:lang w:val="en"/>
        </w:rPr>
      </w:pPr>
      <w:bookmarkStart w:id="361" w:name="_1o3ly4gbc76m" w:colFirst="0" w:colLast="0"/>
      <w:bookmarkEnd w:id="361"/>
      <w:r w:rsidRPr="006810DB">
        <w:rPr>
          <w:rFonts w:ascii="Book Antiqua" w:hAnsi="Book Antiqua"/>
          <w:b/>
          <w:bCs/>
          <w:sz w:val="20"/>
          <w:szCs w:val="20"/>
          <w:lang w:val="en"/>
        </w:rPr>
        <w:br w:type="page"/>
      </w:r>
    </w:p>
    <w:p w14:paraId="26383463" w14:textId="77777777" w:rsidR="007B1816" w:rsidRPr="006810DB" w:rsidRDefault="007B1816" w:rsidP="006810DB">
      <w:pPr>
        <w:pStyle w:val="Heading2"/>
        <w:jc w:val="center"/>
      </w:pPr>
      <w:bookmarkStart w:id="362" w:name="_Toc223088970"/>
      <w:r w:rsidRPr="006810DB">
        <w:lastRenderedPageBreak/>
        <w:t>DAFTAR PUSTAKA</w:t>
      </w:r>
      <w:bookmarkEnd w:id="362"/>
    </w:p>
    <w:p w14:paraId="553E79F4" w14:textId="77777777" w:rsidR="007B1816" w:rsidRPr="006810DB" w:rsidRDefault="007B1816" w:rsidP="006810DB">
      <w:pPr>
        <w:spacing w:after="0" w:line="276" w:lineRule="auto"/>
        <w:jc w:val="both"/>
        <w:rPr>
          <w:rFonts w:ascii="Book Antiqua" w:hAnsi="Book Antiqua"/>
          <w:b/>
          <w:bCs/>
          <w:sz w:val="20"/>
          <w:szCs w:val="20"/>
          <w:lang w:val="en"/>
        </w:rPr>
      </w:pPr>
    </w:p>
    <w:p w14:paraId="58D96420" w14:textId="77777777" w:rsidR="007B1816" w:rsidRPr="006810DB" w:rsidRDefault="007B181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Kadarullah, O., Tamtomo, D., Wasita, B., Setiamika, M., Prayitno, A., Widyaningsih, V., &amp; Soetrisno, S. (2024). Cisplatin-Induced Oral Mucositis Prevention: Nigella sativa’s Anti-Inflammatory Role through NFκB Pathway. </w:t>
      </w:r>
      <w:r w:rsidRPr="006810DB">
        <w:rPr>
          <w:rFonts w:ascii="Book Antiqua" w:hAnsi="Book Antiqua"/>
          <w:i/>
          <w:iCs/>
          <w:color w:val="000000" w:themeColor="text1"/>
          <w:sz w:val="20"/>
          <w:szCs w:val="20"/>
          <w:lang w:val="en"/>
        </w:rPr>
        <w:t>Trends in Sciences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21</w:t>
      </w:r>
      <w:r w:rsidRPr="006810DB">
        <w:rPr>
          <w:rFonts w:ascii="Book Antiqua" w:hAnsi="Book Antiqua"/>
          <w:color w:val="000000" w:themeColor="text1"/>
          <w:sz w:val="20"/>
          <w:szCs w:val="20"/>
          <w:lang w:val="en"/>
        </w:rPr>
        <w:t>(1), 8105.</w:t>
      </w:r>
      <w:hyperlink r:id="rId273">
        <w:r w:rsidRPr="006810DB">
          <w:rPr>
            <w:rStyle w:val="Hyperlink"/>
            <w:rFonts w:ascii="Book Antiqua" w:hAnsi="Book Antiqua"/>
            <w:color w:val="000000" w:themeColor="text1"/>
            <w:sz w:val="20"/>
            <w:szCs w:val="20"/>
            <w:u w:val="none"/>
            <w:lang w:val="en"/>
          </w:rPr>
          <w:t xml:space="preserve"> </w:t>
        </w:r>
      </w:hyperlink>
      <w:hyperlink r:id="rId274">
        <w:r w:rsidRPr="006810DB">
          <w:rPr>
            <w:rStyle w:val="Hyperlink"/>
            <w:rFonts w:ascii="Book Antiqua" w:hAnsi="Book Antiqua"/>
            <w:color w:val="000000" w:themeColor="text1"/>
            <w:sz w:val="20"/>
            <w:szCs w:val="20"/>
            <w:u w:val="none"/>
            <w:lang w:val="en"/>
          </w:rPr>
          <w:t>https://doi.org/10.48048/tis.2024.8105</w:t>
        </w:r>
      </w:hyperlink>
    </w:p>
    <w:p w14:paraId="26E2FB57" w14:textId="77777777" w:rsidR="007B1816" w:rsidRPr="006810DB" w:rsidRDefault="007B181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Liu, T., Zhang, L., Joo, D., &amp; Sun, S. C. (2017). NF-κB signaling in inflammation. </w:t>
      </w:r>
      <w:r w:rsidRPr="006810DB">
        <w:rPr>
          <w:rFonts w:ascii="Book Antiqua" w:hAnsi="Book Antiqua"/>
          <w:i/>
          <w:iCs/>
          <w:color w:val="000000" w:themeColor="text1"/>
          <w:sz w:val="20"/>
          <w:szCs w:val="20"/>
          <w:lang w:val="en"/>
        </w:rPr>
        <w:t>Signal Transduction and Targeted Therapy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w:t>
      </w:r>
      <w:r w:rsidRPr="006810DB">
        <w:rPr>
          <w:rFonts w:ascii="Book Antiqua" w:hAnsi="Book Antiqua"/>
          <w:color w:val="000000" w:themeColor="text1"/>
          <w:sz w:val="20"/>
          <w:szCs w:val="20"/>
          <w:lang w:val="en"/>
        </w:rPr>
        <w:t>, 17023.</w:t>
      </w:r>
      <w:hyperlink r:id="rId275">
        <w:r w:rsidRPr="006810DB">
          <w:rPr>
            <w:rStyle w:val="Hyperlink"/>
            <w:rFonts w:ascii="Book Antiqua" w:hAnsi="Book Antiqua"/>
            <w:color w:val="000000" w:themeColor="text1"/>
            <w:sz w:val="20"/>
            <w:szCs w:val="20"/>
            <w:u w:val="none"/>
            <w:lang w:val="en"/>
          </w:rPr>
          <w:t xml:space="preserve"> </w:t>
        </w:r>
      </w:hyperlink>
      <w:hyperlink r:id="rId276">
        <w:r w:rsidRPr="006810DB">
          <w:rPr>
            <w:rStyle w:val="Hyperlink"/>
            <w:rFonts w:ascii="Book Antiqua" w:hAnsi="Book Antiqua"/>
            <w:color w:val="000000" w:themeColor="text1"/>
            <w:sz w:val="20"/>
            <w:szCs w:val="20"/>
            <w:u w:val="none"/>
            <w:lang w:val="en"/>
          </w:rPr>
          <w:t>https://doi.org/10.1038/sigtrans.2017.23</w:t>
        </w:r>
      </w:hyperlink>
    </w:p>
    <w:p w14:paraId="6CD0F8AB" w14:textId="77777777" w:rsidR="007B1816" w:rsidRPr="006810DB" w:rsidRDefault="007B181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Madani, F., Kazemi, S., Shirafkan, F., Lotfi, M., Hosseini, S., &amp; Moghadamnia, A. (2023). Thymoquinone protects against 5</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Fluorouracil</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induced mucositis by NF</w:t>
      </w:r>
      <w:r w:rsidRPr="006810DB">
        <w:rPr>
          <w:rFonts w:ascii="Times New Roman" w:hAnsi="Times New Roman" w:cs="Times New Roman"/>
          <w:color w:val="000000" w:themeColor="text1"/>
          <w:sz w:val="20"/>
          <w:szCs w:val="20"/>
          <w:lang w:val="en"/>
        </w:rPr>
        <w:t>‐</w:t>
      </w:r>
      <w:r w:rsidRPr="006810DB">
        <w:rPr>
          <w:rFonts w:ascii="Book Antiqua" w:hAnsi="Book Antiqua" w:cs="Book Antiqua"/>
          <w:color w:val="000000" w:themeColor="text1"/>
          <w:sz w:val="20"/>
          <w:szCs w:val="20"/>
          <w:lang w:val="en"/>
        </w:rPr>
        <w:t>κβ</w:t>
      </w:r>
      <w:r w:rsidRPr="006810DB">
        <w:rPr>
          <w:rFonts w:ascii="Book Antiqua" w:hAnsi="Book Antiqua"/>
          <w:color w:val="000000" w:themeColor="text1"/>
          <w:sz w:val="20"/>
          <w:szCs w:val="20"/>
          <w:lang w:val="en"/>
        </w:rPr>
        <w:t xml:space="preserve"> and HIF</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 xml:space="preserve">1 mechanisms in mice. </w:t>
      </w:r>
      <w:r w:rsidRPr="006810DB">
        <w:rPr>
          <w:rFonts w:ascii="Book Antiqua" w:hAnsi="Book Antiqua"/>
          <w:i/>
          <w:iCs/>
          <w:color w:val="000000" w:themeColor="text1"/>
          <w:sz w:val="20"/>
          <w:szCs w:val="20"/>
          <w:lang w:val="en"/>
        </w:rPr>
        <w:t>Journal of Biochemical and Molecular Toxicology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37</w:t>
      </w:r>
      <w:r w:rsidRPr="006810DB">
        <w:rPr>
          <w:rFonts w:ascii="Book Antiqua" w:hAnsi="Book Antiqua"/>
          <w:color w:val="000000" w:themeColor="text1"/>
          <w:sz w:val="20"/>
          <w:szCs w:val="20"/>
          <w:lang w:val="en"/>
        </w:rPr>
        <w:t>(6), e23405.</w:t>
      </w:r>
      <w:hyperlink r:id="rId277">
        <w:r w:rsidRPr="006810DB">
          <w:rPr>
            <w:rStyle w:val="Hyperlink"/>
            <w:rFonts w:ascii="Book Antiqua" w:hAnsi="Book Antiqua"/>
            <w:color w:val="000000" w:themeColor="text1"/>
            <w:sz w:val="20"/>
            <w:szCs w:val="20"/>
            <w:u w:val="none"/>
            <w:lang w:val="en"/>
          </w:rPr>
          <w:t xml:space="preserve"> </w:t>
        </w:r>
      </w:hyperlink>
      <w:hyperlink r:id="rId278">
        <w:r w:rsidRPr="006810DB">
          <w:rPr>
            <w:rStyle w:val="Hyperlink"/>
            <w:rFonts w:ascii="Book Antiqua" w:hAnsi="Book Antiqua"/>
            <w:color w:val="000000" w:themeColor="text1"/>
            <w:sz w:val="20"/>
            <w:szCs w:val="20"/>
            <w:u w:val="none"/>
            <w:lang w:val="en"/>
          </w:rPr>
          <w:t>https://doi.org/10.1002/jbt.23405</w:t>
        </w:r>
      </w:hyperlink>
    </w:p>
    <w:p w14:paraId="27E09D93" w14:textId="77777777" w:rsidR="007B1816" w:rsidRPr="006810DB" w:rsidRDefault="007B181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Salcan, I., Dilber, M., Suleyman, Z., Yucel, N., Salcan, S., Kesan, S., Yazici, G., Çelik, F., Koseturk, M., Alp, N., &amp; Suleyman, H. (2025). Protective effect of adenosine triphosphate against cisplatin-induced necrotic and degenerative oral mucositis in rats. </w:t>
      </w:r>
      <w:r w:rsidRPr="006810DB">
        <w:rPr>
          <w:rFonts w:ascii="Book Antiqua" w:hAnsi="Book Antiqua"/>
          <w:i/>
          <w:iCs/>
          <w:color w:val="000000" w:themeColor="text1"/>
          <w:sz w:val="20"/>
          <w:szCs w:val="20"/>
          <w:lang w:val="en"/>
        </w:rPr>
        <w:t>Journal of Applied Oral Science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33</w:t>
      </w:r>
      <w:r w:rsidRPr="006810DB">
        <w:rPr>
          <w:rFonts w:ascii="Book Antiqua" w:hAnsi="Book Antiqua"/>
          <w:color w:val="000000" w:themeColor="text1"/>
          <w:sz w:val="20"/>
          <w:szCs w:val="20"/>
          <w:lang w:val="en"/>
        </w:rPr>
        <w:t>, e20240366.</w:t>
      </w:r>
      <w:hyperlink r:id="rId279">
        <w:r w:rsidRPr="006810DB">
          <w:rPr>
            <w:rStyle w:val="Hyperlink"/>
            <w:rFonts w:ascii="Book Antiqua" w:hAnsi="Book Antiqua"/>
            <w:color w:val="000000" w:themeColor="text1"/>
            <w:sz w:val="20"/>
            <w:szCs w:val="20"/>
            <w:u w:val="none"/>
            <w:lang w:val="en"/>
          </w:rPr>
          <w:t xml:space="preserve"> </w:t>
        </w:r>
      </w:hyperlink>
      <w:hyperlink r:id="rId280">
        <w:r w:rsidRPr="006810DB">
          <w:rPr>
            <w:rStyle w:val="Hyperlink"/>
            <w:rFonts w:ascii="Book Antiqua" w:hAnsi="Book Antiqua"/>
            <w:color w:val="000000" w:themeColor="text1"/>
            <w:sz w:val="20"/>
            <w:szCs w:val="20"/>
            <w:u w:val="none"/>
            <w:lang w:val="en"/>
          </w:rPr>
          <w:t>https://doi.org/10.1590/1678-7757-2025-0007</w:t>
        </w:r>
      </w:hyperlink>
    </w:p>
    <w:p w14:paraId="6F09E824" w14:textId="77777777" w:rsidR="007B1816" w:rsidRPr="006810DB" w:rsidRDefault="007B1816" w:rsidP="006810DB">
      <w:pPr>
        <w:spacing w:after="0" w:line="276" w:lineRule="auto"/>
        <w:jc w:val="both"/>
        <w:rPr>
          <w:rFonts w:ascii="Book Antiqua" w:hAnsi="Book Antiqua"/>
          <w:b/>
          <w:bCs/>
          <w:sz w:val="20"/>
          <w:szCs w:val="20"/>
          <w:lang w:val="en"/>
        </w:rPr>
      </w:pPr>
      <w:bookmarkStart w:id="363" w:name="_abzz7lx5bdi" w:colFirst="0" w:colLast="0"/>
      <w:bookmarkEnd w:id="363"/>
    </w:p>
    <w:p w14:paraId="6A1BA1D0" w14:textId="77777777" w:rsidR="007B1816" w:rsidRPr="006810DB" w:rsidRDefault="007B1816"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18A9025E" w14:textId="654FB099" w:rsidR="00D0395B" w:rsidRPr="006810DB" w:rsidRDefault="00D0395B" w:rsidP="006810DB">
      <w:pPr>
        <w:pStyle w:val="Heading1"/>
        <w:spacing w:before="0" w:line="276" w:lineRule="auto"/>
        <w:ind w:firstLine="142"/>
        <w:rPr>
          <w:b/>
          <w:bCs/>
          <w:szCs w:val="20"/>
          <w:lang w:val="en"/>
        </w:rPr>
      </w:pPr>
      <w:bookmarkStart w:id="364" w:name="_Toc223088971"/>
      <w:r w:rsidRPr="006810DB">
        <w:rPr>
          <w:b/>
          <w:noProof/>
          <w:sz w:val="48"/>
          <w:szCs w:val="20"/>
          <w:lang w:val="en-US"/>
        </w:rPr>
        <w:lastRenderedPageBreak/>
        <mc:AlternateContent>
          <mc:Choice Requires="wps">
            <w:drawing>
              <wp:anchor distT="0" distB="0" distL="114300" distR="114300" simplePos="0" relativeHeight="251709440" behindDoc="0" locked="0" layoutInCell="1" allowOverlap="1" wp14:anchorId="26CC97B5" wp14:editId="11E4C024">
                <wp:simplePos x="0" y="0"/>
                <wp:positionH relativeFrom="column">
                  <wp:posOffset>910590</wp:posOffset>
                </wp:positionH>
                <wp:positionV relativeFrom="paragraph">
                  <wp:posOffset>133350</wp:posOffset>
                </wp:positionV>
                <wp:extent cx="2820035" cy="1066800"/>
                <wp:effectExtent l="0" t="0" r="0" b="0"/>
                <wp:wrapNone/>
                <wp:docPr id="32" name="Rectangle 32"/>
                <wp:cNvGraphicFramePr/>
                <a:graphic xmlns:a="http://schemas.openxmlformats.org/drawingml/2006/main">
                  <a:graphicData uri="http://schemas.microsoft.com/office/word/2010/wordprocessingShape">
                    <wps:wsp>
                      <wps:cNvSpPr/>
                      <wps:spPr>
                        <a:xfrm>
                          <a:off x="0" y="0"/>
                          <a:ext cx="2820035" cy="1066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8EB8272" w14:textId="347B4EFA" w:rsidR="00D0395B" w:rsidRPr="007B1816" w:rsidRDefault="00D0395B" w:rsidP="00D0395B">
                            <w:pPr>
                              <w:spacing w:after="0" w:line="276" w:lineRule="auto"/>
                              <w:jc w:val="center"/>
                              <w:rPr>
                                <w:rFonts w:ascii="Book Antiqua" w:hAnsi="Book Antiqua"/>
                                <w:b/>
                                <w:bCs/>
                                <w:sz w:val="32"/>
                                <w:szCs w:val="36"/>
                                <w:lang w:val="en"/>
                              </w:rPr>
                            </w:pPr>
                            <w:r w:rsidRPr="007B1816">
                              <w:rPr>
                                <w:rFonts w:ascii="Book Antiqua" w:hAnsi="Book Antiqua"/>
                                <w:b/>
                                <w:bCs/>
                                <w:sz w:val="32"/>
                                <w:szCs w:val="36"/>
                                <w:lang w:val="en"/>
                              </w:rPr>
                              <w:t xml:space="preserve">ANALISIS EKSPRESI </w:t>
                            </w:r>
                            <w:r w:rsidR="007B1816">
                              <w:rPr>
                                <w:rFonts w:ascii="Book Antiqua" w:hAnsi="Book Antiqua"/>
                                <w:b/>
                                <w:bCs/>
                                <w:sz w:val="32"/>
                                <w:szCs w:val="36"/>
                                <w:lang w:val="en"/>
                              </w:rPr>
                              <w:br/>
                            </w:r>
                            <w:r w:rsidRPr="007B1816">
                              <w:rPr>
                                <w:rFonts w:ascii="Book Antiqua" w:hAnsi="Book Antiqua"/>
                                <w:b/>
                                <w:bCs/>
                                <w:sz w:val="32"/>
                                <w:szCs w:val="36"/>
                                <w:lang w:val="en"/>
                              </w:rPr>
                              <w:t xml:space="preserve">TNF-ALPHA DALAM TERAPI </w:t>
                            </w:r>
                            <w:r w:rsidR="007B1816" w:rsidRPr="007B1816">
                              <w:rPr>
                                <w:rFonts w:ascii="Book Antiqua" w:hAnsi="Book Antiqua"/>
                                <w:b/>
                                <w:bCs/>
                                <w:i/>
                                <w:iCs/>
                                <w:sz w:val="32"/>
                                <w:szCs w:val="36"/>
                                <w:lang w:val="en"/>
                              </w:rPr>
                              <w:t>Nigella sativa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6CC97B5" id="Rectangle 32" o:spid="_x0000_s1040" style="position:absolute;left:0;text-align:left;margin-left:71.7pt;margin-top:10.5pt;width:222.05pt;height:8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hcZgIAABEFAAAOAAAAZHJzL2Uyb0RvYy54bWysVN1v0zAQf0fif7D8zpJ0XRnV0qnaNIQ0&#10;wbSBeHYdu42wfebsNi1/PWcnzTboE+Ilue+P39356npvDdspDC24mldnJWfKSWhat675t6937y45&#10;C1G4RhhwquYHFfj14u2bq87P1QQ2YBqFjIK4MO98zTcx+nlRBLlRVoQz8MqRUgNaEYnFddGg6Ci6&#10;NcWkLGdFB9h4BKlCIOltr+SLHF9rJeMXrYOKzNScaov5i/m7St9icSXmaxR+08qhDPEPVVjROko6&#10;hroVUbAttn+Fsq1ECKDjmQRbgNatVLkH6qYq/+jmaSO8yr0QOMGPMIX/F1Z+3j0ga5uan084c8LS&#10;jB4JNeHWRjGSEUCdD3Oye/IPOHCByNTtXqNNf+qD7TOohxFUtY9MknBySXM6v+BMkq4qZ7PLMsNe&#10;PLt7DPGjAssSUXOk/BlMsbsPkVKS6dEkZXNw1xqTJ2fcKwEZJkmRKu5rzFQ8GJXsjHtUmppNVeUE&#10;ec3UjUG2E7QgQkrl4iz1nCORdXLTlG10rE45mlgNToNtclN5/UbH8pTj64yjR84KLo7OtnWApwI0&#10;P8bMvf2x+77n1H7cr/Z5wtX0OM0VNAcaO0J/D8HLu5agvxchPgikA6BToaOOX+ijDXQ1h4HibAP4&#10;65Q82dNekpazjg6q5uHnVqDizHxytLEfquk0XWBmphfvJ8TgS83qpcZt7Q3QSCp6PrzMZLKP5khq&#10;BPudbn+ZspJKOEm5ay4jHpmb2B86vR5SLZfZjK7Oi3jvnrxMwRPQDpbbCLrNm5YA69EZgKS7y9sw&#10;vBHpsF/y2er5JVv8BgAA//8DAFBLAwQUAAYACAAAACEA+saja94AAAAKAQAADwAAAGRycy9kb3du&#10;cmV2LnhtbEyPzU7DMBCE70i8g7VI3KjT0kIIcSpAQgj1gCjt3XG2SUS8jmznp2/PcoLjaEYz3+Tb&#10;2XZiRB9aRwqWiwQEknFVS7WCw9frTQoiRE2V7hyhgjMG2BaXF7nOKjfRJ477WAsuoZBpBU2MfSZl&#10;MA1aHRauR2Lv5LzVkaWvZeX1xOW2k6skuZNWt8QLje7xpUHzvR+sgqM7PU/WlPQ+nj/a4W3njUl3&#10;Sl1fzU+PICLO8S8Mv/iMDgUzlW6gKoiO9fp2zVEFqyV/4sAmvd+AKNlJHxKQRS7/Xyh+AAAA//8D&#10;AFBLAQItABQABgAIAAAAIQC2gziS/gAAAOEBAAATAAAAAAAAAAAAAAAAAAAAAABbQ29udGVudF9U&#10;eXBlc10ueG1sUEsBAi0AFAAGAAgAAAAhADj9If/WAAAAlAEAAAsAAAAAAAAAAAAAAAAALwEAAF9y&#10;ZWxzLy5yZWxzUEsBAi0AFAAGAAgAAAAhAGun6FxmAgAAEQUAAA4AAAAAAAAAAAAAAAAALgIAAGRy&#10;cy9lMm9Eb2MueG1sUEsBAi0AFAAGAAgAAAAhAPrGo2veAAAACgEAAA8AAAAAAAAAAAAAAAAAwAQA&#10;AGRycy9kb3ducmV2LnhtbFBLBQYAAAAABAAEAPMAAADLBQAAAAA=&#10;" filled="f" stroked="f" strokeweight="1pt">
                <v:textbox>
                  <w:txbxContent>
                    <w:p w14:paraId="58EB8272" w14:textId="347B4EFA" w:rsidR="00D0395B" w:rsidRPr="007B1816" w:rsidRDefault="00D0395B" w:rsidP="00D0395B">
                      <w:pPr>
                        <w:spacing w:after="0" w:line="276" w:lineRule="auto"/>
                        <w:jc w:val="center"/>
                        <w:rPr>
                          <w:rFonts w:ascii="Book Antiqua" w:hAnsi="Book Antiqua"/>
                          <w:b/>
                          <w:bCs/>
                          <w:sz w:val="32"/>
                          <w:szCs w:val="36"/>
                          <w:lang w:val="en"/>
                        </w:rPr>
                      </w:pPr>
                      <w:r w:rsidRPr="007B1816">
                        <w:rPr>
                          <w:rFonts w:ascii="Book Antiqua" w:hAnsi="Book Antiqua"/>
                          <w:b/>
                          <w:bCs/>
                          <w:sz w:val="32"/>
                          <w:szCs w:val="36"/>
                          <w:lang w:val="en"/>
                        </w:rPr>
                        <w:t xml:space="preserve">ANALISIS EKSPRESI </w:t>
                      </w:r>
                      <w:r w:rsidR="007B1816">
                        <w:rPr>
                          <w:rFonts w:ascii="Book Antiqua" w:hAnsi="Book Antiqua"/>
                          <w:b/>
                          <w:bCs/>
                          <w:sz w:val="32"/>
                          <w:szCs w:val="36"/>
                          <w:lang w:val="en"/>
                        </w:rPr>
                        <w:br/>
                      </w:r>
                      <w:r w:rsidRPr="007B1816">
                        <w:rPr>
                          <w:rFonts w:ascii="Book Antiqua" w:hAnsi="Book Antiqua"/>
                          <w:b/>
                          <w:bCs/>
                          <w:sz w:val="32"/>
                          <w:szCs w:val="36"/>
                          <w:lang w:val="en"/>
                        </w:rPr>
                        <w:t xml:space="preserve">TNF-ALPHA DALAM TERAPI </w:t>
                      </w:r>
                      <w:r w:rsidR="007B1816" w:rsidRPr="007B1816">
                        <w:rPr>
                          <w:rFonts w:ascii="Book Antiqua" w:hAnsi="Book Antiqua"/>
                          <w:b/>
                          <w:bCs/>
                          <w:i/>
                          <w:iCs/>
                          <w:sz w:val="32"/>
                          <w:szCs w:val="36"/>
                          <w:lang w:val="en"/>
                        </w:rPr>
                        <w:t>Nigella sativa</w:t>
                      </w:r>
                    </w:p>
                  </w:txbxContent>
                </v:textbox>
              </v:rect>
            </w:pict>
          </mc:Fallback>
        </mc:AlternateContent>
      </w:r>
      <w:r w:rsidRPr="006810DB">
        <w:rPr>
          <w:b/>
          <w:noProof/>
          <w:sz w:val="48"/>
          <w:szCs w:val="20"/>
          <w:lang w:val="en-US"/>
        </w:rPr>
        <mc:AlternateContent>
          <mc:Choice Requires="wps">
            <w:drawing>
              <wp:anchor distT="0" distB="0" distL="114300" distR="114300" simplePos="0" relativeHeight="251708416" behindDoc="0" locked="0" layoutInCell="1" allowOverlap="1" wp14:anchorId="0FABE033" wp14:editId="4FC4C411">
                <wp:simplePos x="0" y="0"/>
                <wp:positionH relativeFrom="column">
                  <wp:posOffset>884555</wp:posOffset>
                </wp:positionH>
                <wp:positionV relativeFrom="paragraph">
                  <wp:posOffset>76835</wp:posOffset>
                </wp:positionV>
                <wp:extent cx="0" cy="1152000"/>
                <wp:effectExtent l="19050" t="0" r="38100" b="48260"/>
                <wp:wrapNone/>
                <wp:docPr id="33" name="Straight Connector 33"/>
                <wp:cNvGraphicFramePr/>
                <a:graphic xmlns:a="http://schemas.openxmlformats.org/drawingml/2006/main">
                  <a:graphicData uri="http://schemas.microsoft.com/office/word/2010/wordprocessingShape">
                    <wps:wsp>
                      <wps:cNvCnPr/>
                      <wps:spPr>
                        <a:xfrm>
                          <a:off x="0" y="0"/>
                          <a:ext cx="0" cy="1152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2E18DE4" id="Straight Connector 33" o:spid="_x0000_s1026" style="position:absolute;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pju2QEAAA8EAAAOAAAAZHJzL2Uyb0RvYy54bWysU8GO0zAQvSPxD5bv2yS7KqCo6R66Wi4I&#10;KhY+wOvYjSXbY41Nk/49Y6dNV4CQQHtxMuN5z/Oex5v7yVl2VBgN+I43q5oz5SX0xh86/v3b480H&#10;zmISvhcWvOr4SUV+v337ZjOGVt3CALZXyIjEx3YMHR9SCm1VRTkoJ+IKgvK0qQGdSBTioepRjMTu&#10;bHVb1++qEbAPCFLFSNmHeZNvC7/WSqYvWkeVmO049ZbKimV9zmu13Yj2gCIMRp7bEP/RhRPG06EL&#10;1YNIgv1A8xuVMxIhgk4rCa4CrY1URQOpaepf1DwNIqiihcyJYbEpvh6t/HzcIzN9x+/uOPPC0R09&#10;JRTmMCS2A+/JQUBGm+TUGGJLgJ3f4zmKYY9Z9qTR5S8JYlNx97S4q6bE5JyUlG2aNV1ccb66AgPG&#10;9FGBY/mn49b4LFy04vgpJjqMSi8lOW09Gzu+ft+s61IWwZr+0VibN8vwqJ1FdhR07WlqcvPE8KKK&#10;IuspmSXNIspfOlk1839Vmmyhtpv5gDyQV04hpfLpwms9VWeYpg4W4LmzvwHP9RmqyrD+C3hBlJPB&#10;pwXsjAf8U9tXK/Rcf3Fg1p0teIb+VK63WENTV5w7v5A81i/jAr++4+1PAAAA//8DAFBLAwQUAAYA&#10;CAAAACEAR2iGzNoAAAAKAQAADwAAAGRycy9kb3ducmV2LnhtbExPTUvDQBC9C/6HZQRvdtOGiInZ&#10;lCIU6UVoK3jdZMdkMTsbsts0/vtOvdTbezOP91GuZ9eLCcdgPSlYLhIQSI03lloFn8ft0wuIEDUZ&#10;3XtCBb8YYF3d35W6MP5Me5wOsRVsQqHQCroYh0LK0HTodFj4AYl/3350OjIdW2lGfWZz18tVkjxL&#10;py1xQqcHfOuw+TmcHIdkX807Brsz201WZ1Nu6+TDKvX4MG9eQUSc400M1/pcHSruVPsTmSB65mme&#10;spTBagniKvg71AzyNANZlfL/hOoCAAD//wMAUEsBAi0AFAAGAAgAAAAhALaDOJL+AAAA4QEAABMA&#10;AAAAAAAAAAAAAAAAAAAAAFtDb250ZW50X1R5cGVzXS54bWxQSwECLQAUAAYACAAAACEAOP0h/9YA&#10;AACUAQAACwAAAAAAAAAAAAAAAAAvAQAAX3JlbHMvLnJlbHNQSwECLQAUAAYACAAAACEAuHKY7tkB&#10;AAAPBAAADgAAAAAAAAAAAAAAAAAuAgAAZHJzL2Uyb0RvYy54bWxQSwECLQAUAAYACAAAACEAR2iG&#10;zNoAAAAKAQAADwAAAAAAAAAAAAAAAAAzBAAAZHJzL2Rvd25yZXYueG1sUEsFBgAAAAAEAAQA8wAA&#10;ADoFA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30"/>
          <w:szCs w:val="130"/>
          <w:lang w:val="en-US"/>
        </w:rPr>
        <w:t>15</w:t>
      </w:r>
      <w:r w:rsidRPr="006810DB">
        <w:rPr>
          <w:b/>
          <w:szCs w:val="20"/>
          <w:lang w:val="en-US"/>
        </w:rPr>
        <w:t xml:space="preserve"> </w:t>
      </w:r>
      <w:r w:rsidRPr="006810DB">
        <w:rPr>
          <w:b/>
          <w:szCs w:val="20"/>
          <w:lang w:val="en-US"/>
        </w:rPr>
        <w:tab/>
      </w:r>
      <w:r w:rsidR="007B1816" w:rsidRPr="006810DB">
        <w:rPr>
          <w:b/>
          <w:color w:val="FFFFFF" w:themeColor="background1"/>
          <w:sz w:val="10"/>
          <w:szCs w:val="10"/>
          <w:lang w:val="en-US"/>
        </w:rPr>
        <w:t xml:space="preserve">ANALISIS EKSPRESI TNF-ALPHA DALAM TERAPI </w:t>
      </w:r>
      <w:r w:rsidR="007B1816" w:rsidRPr="006810DB">
        <w:rPr>
          <w:b/>
          <w:i/>
          <w:iCs/>
          <w:color w:val="FFFFFF" w:themeColor="background1"/>
          <w:sz w:val="10"/>
          <w:szCs w:val="10"/>
          <w:lang w:val="en-US"/>
        </w:rPr>
        <w:t>Nigella sativa</w:t>
      </w:r>
      <w:bookmarkEnd w:id="364"/>
    </w:p>
    <w:p w14:paraId="5F778881" w14:textId="77777777" w:rsidR="00D0395B" w:rsidRPr="006810DB" w:rsidRDefault="00D0395B" w:rsidP="006810DB">
      <w:pPr>
        <w:spacing w:after="0" w:line="276" w:lineRule="auto"/>
        <w:jc w:val="both"/>
        <w:rPr>
          <w:rFonts w:ascii="Book Antiqua" w:hAnsi="Book Antiqua"/>
          <w:sz w:val="20"/>
          <w:szCs w:val="20"/>
          <w:lang w:val="en"/>
        </w:rPr>
      </w:pPr>
    </w:p>
    <w:p w14:paraId="68F9C88B" w14:textId="77777777" w:rsidR="00D0395B" w:rsidRPr="006810DB" w:rsidRDefault="00D0395B" w:rsidP="006810DB">
      <w:pPr>
        <w:spacing w:after="0" w:line="276" w:lineRule="auto"/>
        <w:jc w:val="both"/>
        <w:rPr>
          <w:rFonts w:ascii="Book Antiqua" w:hAnsi="Book Antiqua"/>
          <w:sz w:val="20"/>
          <w:szCs w:val="20"/>
          <w:lang w:val="en"/>
        </w:rPr>
      </w:pPr>
    </w:p>
    <w:p w14:paraId="195EB2EB" w14:textId="1922A7D4" w:rsidR="00B258B7" w:rsidRPr="006810DB" w:rsidRDefault="00657FDD" w:rsidP="00B9360C">
      <w:pPr>
        <w:pStyle w:val="Heading2"/>
        <w:numPr>
          <w:ilvl w:val="0"/>
          <w:numId w:val="30"/>
        </w:numPr>
        <w:ind w:left="284" w:hanging="284"/>
      </w:pPr>
      <w:bookmarkStart w:id="365" w:name="_2uvlfd9gdmfe" w:colFirst="0" w:colLast="0"/>
      <w:bookmarkStart w:id="366" w:name="_Toc223088972"/>
      <w:bookmarkEnd w:id="365"/>
      <w:r w:rsidRPr="006810DB">
        <w:t>Pendahuluan</w:t>
      </w:r>
      <w:bookmarkEnd w:id="366"/>
    </w:p>
    <w:p w14:paraId="1552C68B" w14:textId="3D36D35F"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eastAsia="zh-CN"/>
        </w:rPr>
        <w:t xml:space="preserve">Setelah mengupas mekanisme hulu yang melibatkan faktor transkripsi </w:t>
      </w:r>
      <w:r w:rsidRPr="006810DB">
        <w:rPr>
          <w:rFonts w:ascii="Book Antiqua" w:hAnsi="Book Antiqua"/>
          <w:sz w:val="20"/>
          <w:szCs w:val="20"/>
          <w:highlight w:val="yellow"/>
          <w:lang w:val="en" w:eastAsia="zh-CN"/>
        </w:rPr>
        <w:t>NF-</w:t>
      </w:r>
      <w:r w:rsidRPr="006810DB">
        <w:rPr>
          <w:rFonts w:ascii="Book Antiqua" w:hAnsi="Book Antiqua"/>
          <w:sz w:val="20"/>
          <w:szCs w:val="20"/>
          <w:highlight w:val="yellow"/>
          <w:lang w:val="en"/>
        </w:rPr>
        <w:t>κ</w:t>
      </w:r>
      <w:r w:rsidRPr="006810DB">
        <w:rPr>
          <w:rFonts w:ascii="Book Antiqua" w:hAnsi="Book Antiqua"/>
          <w:sz w:val="20"/>
          <w:szCs w:val="20"/>
          <w:highlight w:val="yellow"/>
          <w:lang w:val="en" w:eastAsia="zh-CN"/>
        </w:rPr>
        <w:t>\kappa</w:t>
      </w:r>
      <w:r w:rsidRPr="006810DB">
        <w:rPr>
          <w:rFonts w:ascii="Book Antiqua" w:hAnsi="Book Antiqua"/>
          <w:sz w:val="20"/>
          <w:szCs w:val="20"/>
          <w:highlight w:val="yellow"/>
          <w:lang w:val="en"/>
        </w:rPr>
        <w:t>κ</w:t>
      </w:r>
      <w:r w:rsidR="00B627C0" w:rsidRPr="006810DB">
        <w:rPr>
          <w:rFonts w:ascii="Book Antiqua" w:hAnsi="Book Antiqua"/>
          <w:sz w:val="20"/>
          <w:szCs w:val="20"/>
          <w:highlight w:val="yellow"/>
          <w:lang w:val="en" w:eastAsia="zh-CN"/>
        </w:rPr>
        <w:t xml:space="preserve"> </w:t>
      </w:r>
      <w:r w:rsidRPr="006810DB">
        <w:rPr>
          <w:rFonts w:ascii="Book Antiqua" w:hAnsi="Book Antiqua"/>
          <w:sz w:val="20"/>
          <w:szCs w:val="20"/>
          <w:highlight w:val="yellow"/>
          <w:lang w:val="en" w:eastAsia="zh-CN"/>
        </w:rPr>
        <w:t>B</w:t>
      </w:r>
      <w:r w:rsidRPr="006810DB">
        <w:rPr>
          <w:rFonts w:ascii="Book Antiqua" w:hAnsi="Book Antiqua"/>
          <w:sz w:val="20"/>
          <w:szCs w:val="20"/>
          <w:lang w:val="en" w:eastAsia="zh-CN"/>
        </w:rPr>
        <w:t xml:space="preserve"> pada bab sebelumnya, fokus pembahasan kini beralih ke efektor hilir utama yang bertanggung jawab langsung atas kerusakan jaringan: </w:t>
      </w:r>
      <w:r w:rsidRPr="006810DB">
        <w:rPr>
          <w:rFonts w:ascii="Book Antiqua" w:hAnsi="Book Antiqua"/>
          <w:i/>
          <w:iCs/>
          <w:sz w:val="20"/>
          <w:szCs w:val="20"/>
          <w:lang w:val="en" w:eastAsia="zh-CN"/>
        </w:rPr>
        <w:t>Tumor Necrosis Factor-alpha</w:t>
      </w:r>
      <w:r w:rsidRPr="006810DB">
        <w:rPr>
          <w:rFonts w:ascii="Book Antiqua" w:hAnsi="Book Antiqua"/>
          <w:sz w:val="20"/>
          <w:szCs w:val="20"/>
          <w:lang w:val="en" w:eastAsia="zh-CN"/>
        </w:rPr>
        <w:t xml:space="preserve"> (</w:t>
      </w:r>
      <w:r w:rsidRPr="006810DB">
        <w:rPr>
          <w:rFonts w:ascii="Book Antiqua" w:hAnsi="Book Antiqua"/>
          <w:sz w:val="20"/>
          <w:szCs w:val="20"/>
          <w:highlight w:val="yellow"/>
          <w:lang w:val="en" w:eastAsia="zh-CN"/>
        </w:rPr>
        <w:t>TNF-</w:t>
      </w:r>
      <w:r w:rsidRPr="006810DB">
        <w:rPr>
          <w:rFonts w:ascii="Book Antiqua" w:hAnsi="Book Antiqua"/>
          <w:sz w:val="20"/>
          <w:szCs w:val="20"/>
          <w:highlight w:val="yellow"/>
          <w:lang w:val="en"/>
        </w:rPr>
        <w:t>α</w:t>
      </w:r>
      <w:r w:rsidRPr="006810DB">
        <w:rPr>
          <w:rFonts w:ascii="Book Antiqua" w:hAnsi="Book Antiqua"/>
          <w:sz w:val="20"/>
          <w:szCs w:val="20"/>
          <w:highlight w:val="yellow"/>
          <w:lang w:val="en" w:eastAsia="zh-CN"/>
        </w:rPr>
        <w:t>\alpha</w:t>
      </w:r>
      <w:r w:rsidRPr="006810DB">
        <w:rPr>
          <w:rFonts w:ascii="Book Antiqua" w:hAnsi="Book Antiqua"/>
          <w:sz w:val="20"/>
          <w:szCs w:val="20"/>
          <w:highlight w:val="yellow"/>
          <w:lang w:val="en"/>
        </w:rPr>
        <w:t>α</w:t>
      </w:r>
      <w:r w:rsidRPr="006810DB">
        <w:rPr>
          <w:rFonts w:ascii="Book Antiqua" w:hAnsi="Book Antiqua"/>
          <w:sz w:val="20"/>
          <w:szCs w:val="20"/>
          <w:lang w:val="en" w:eastAsia="zh-CN"/>
        </w:rPr>
        <w:t xml:space="preserve">). </w:t>
      </w:r>
      <w:r w:rsidRPr="006810DB">
        <w:rPr>
          <w:rFonts w:ascii="Book Antiqua" w:hAnsi="Book Antiqua"/>
          <w:sz w:val="20"/>
          <w:szCs w:val="20"/>
          <w:lang w:val="en"/>
        </w:rPr>
        <w:t xml:space="preserve">Sitokin pleiotropik ini sering disebut sebagai "sitokin master" dalam kaskade inflamasi karena perannya yang sangat sentral dalam menginisiasi, memperkuat, dan melanggengkan respons peradangan mukosa. Dalam patogenesis mukositis akibat cisplatin, lonjakan ekspresi </w:t>
      </w:r>
      <w:r w:rsidRPr="006810DB">
        <w:rPr>
          <w:rFonts w:ascii="Book Antiqua" w:hAnsi="Book Antiqua"/>
          <w:sz w:val="20"/>
          <w:szCs w:val="20"/>
          <w:highlight w:val="yellow"/>
          <w:lang w:val="en"/>
        </w:rPr>
        <w:t>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 xml:space="preserve">bukanlah sekadar penanda biokimia, melainkan mesin penggerak destruksi yang mengubah sinyal stres intraseluler menjadi kerusakan jaringan yang nyata secara klinis. Oleh karena itu, kemampuan suatu agen terapeutik untuk menekan ekspresi </w:t>
      </w:r>
      <w:r w:rsidRPr="006810DB">
        <w:rPr>
          <w:rFonts w:ascii="Book Antiqua" w:hAnsi="Book Antiqua"/>
          <w:sz w:val="20"/>
          <w:szCs w:val="20"/>
          <w:highlight w:val="yellow"/>
          <w:lang w:val="en"/>
        </w:rPr>
        <w:t>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menjadi tolok ukur vital efektivitasnya.</w:t>
      </w:r>
    </w:p>
    <w:p w14:paraId="0030EEE4" w14:textId="774FBDCC"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Peningkatan kadar </w:t>
      </w:r>
      <w:r w:rsidRPr="006810DB">
        <w:rPr>
          <w:rFonts w:ascii="Book Antiqua" w:hAnsi="Book Antiqua"/>
          <w:sz w:val="20"/>
          <w:szCs w:val="20"/>
          <w:highlight w:val="yellow"/>
          <w:lang w:val="en"/>
        </w:rPr>
        <w:t>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 xml:space="preserve">terjadi sangat dini dalam perjalanan mukositis, sering kali mendahului perubahan klinis yang terlihat oleh mata telanjang. Sitokin ini diproduksi terutama oleh makrofag yang teraktivasi dan sel epitel yang mengalami stres, sebagai respons langsung terhadap aktivasi </w:t>
      </w:r>
      <w:r w:rsidRPr="006810DB">
        <w:rPr>
          <w:rFonts w:ascii="Book Antiqua" w:hAnsi="Book Antiqua"/>
          <w:sz w:val="20"/>
          <w:szCs w:val="20"/>
          <w:highlight w:val="yellow"/>
          <w:lang w:val="en"/>
        </w:rPr>
        <w:t>NF-κ\kappaκ</w:t>
      </w:r>
      <w:r w:rsidR="007C328F"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Keberadaan </w:t>
      </w:r>
      <w:r w:rsidRPr="006810DB">
        <w:rPr>
          <w:rFonts w:ascii="Book Antiqua" w:hAnsi="Book Antiqua"/>
          <w:sz w:val="20"/>
          <w:szCs w:val="20"/>
          <w:highlight w:val="yellow"/>
          <w:lang w:val="en"/>
        </w:rPr>
        <w:t>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 xml:space="preserve">yang berlebihan menciptakan lingkungan mikro yang toksik bagi sel-sel mukosa. Ia tidak hanya memicu kematian sel melalui apoptosis, tetapi juga merusak integritas pembuluh darah, menyebabkan edema, dan merekrut gelombang sel imun destruktif lainnya ke lokasi </w:t>
      </w:r>
      <w:r w:rsidRPr="006810DB">
        <w:rPr>
          <w:rFonts w:ascii="Book Antiqua" w:hAnsi="Book Antiqua"/>
          <w:sz w:val="20"/>
          <w:szCs w:val="20"/>
          <w:lang w:val="en"/>
        </w:rPr>
        <w:lastRenderedPageBreak/>
        <w:t>cedera. Tanpa pengendalian terhadap sitokin ini, kerusakan mukosa akan terus meluas dan penyembuhan akan terhambat.</w:t>
      </w:r>
    </w:p>
    <w:p w14:paraId="6C31AB68" w14:textId="4F4A6BD1"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Bab ini akan menganalisis secara mendalam hubungan kausal antara aktivasi </w:t>
      </w:r>
      <w:r w:rsidRPr="006810DB">
        <w:rPr>
          <w:rFonts w:ascii="Book Antiqua" w:hAnsi="Book Antiqua"/>
          <w:sz w:val="20"/>
          <w:szCs w:val="20"/>
          <w:highlight w:val="yellow"/>
          <w:lang w:val="en"/>
        </w:rPr>
        <w:t>NF-κ\kappaκ</w:t>
      </w:r>
      <w:r w:rsidR="007C328F"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dan produksi </w:t>
      </w:r>
      <w:r w:rsidRPr="006810DB">
        <w:rPr>
          <w:rFonts w:ascii="Book Antiqua" w:hAnsi="Book Antiqua"/>
          <w:sz w:val="20"/>
          <w:szCs w:val="20"/>
          <w:highlight w:val="yellow"/>
          <w:lang w:val="en"/>
        </w:rPr>
        <w:t>TNF-α\alphaα</w:t>
      </w:r>
      <w:r w:rsidRPr="006810DB">
        <w:rPr>
          <w:rFonts w:ascii="Book Antiqua" w:hAnsi="Book Antiqua"/>
          <w:sz w:val="20"/>
          <w:szCs w:val="20"/>
          <w:lang w:val="en"/>
        </w:rPr>
        <w:t xml:space="preserve">, serta bagaimana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mengintervensi hubungan ini. Kita akan membedah mekanisme loop autokrin di mana </w:t>
      </w:r>
      <w:r w:rsidRPr="006810DB">
        <w:rPr>
          <w:rFonts w:ascii="Book Antiqua" w:hAnsi="Book Antiqua"/>
          <w:sz w:val="20"/>
          <w:szCs w:val="20"/>
          <w:highlight w:val="yellow"/>
          <w:lang w:val="en"/>
        </w:rPr>
        <w:t>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 xml:space="preserve">merangsang produksinya sendiri, menciptakan lingkaran setan peradangan yang sulit diputus. Pemahaman ini penting untuk mengapresiasi mengapa intervensi dini dengan agen anti-inflamasi sangat krusial. Jika loop ini berhasil diputus oleh senyawa aktif seperti </w:t>
      </w:r>
      <w:r w:rsidRPr="006810DB">
        <w:rPr>
          <w:rFonts w:ascii="Book Antiqua" w:hAnsi="Book Antiqua"/>
          <w:i/>
          <w:iCs/>
          <w:sz w:val="20"/>
          <w:szCs w:val="20"/>
          <w:lang w:val="en"/>
        </w:rPr>
        <w:t>thymoquinone</w:t>
      </w:r>
      <w:r w:rsidRPr="006810DB">
        <w:rPr>
          <w:rFonts w:ascii="Book Antiqua" w:hAnsi="Book Antiqua"/>
          <w:sz w:val="20"/>
          <w:szCs w:val="20"/>
          <w:lang w:val="en"/>
        </w:rPr>
        <w:t>, maka eskalasi kerusakan jaringan dapat dicegah secara signifikan.</w:t>
      </w:r>
    </w:p>
    <w:p w14:paraId="24A00078" w14:textId="0C592609"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Metodologi deteksi menjadi aspek penting dalam validasi ilmiah efek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Bab ini akan menguraikan berbagai teknik laboratorium yang digunakan untuk mengukur ekspresi </w:t>
      </w:r>
      <w:r w:rsidRPr="006810DB">
        <w:rPr>
          <w:rFonts w:ascii="Book Antiqua" w:hAnsi="Book Antiqua"/>
          <w:sz w:val="20"/>
          <w:szCs w:val="20"/>
          <w:highlight w:val="yellow"/>
          <w:lang w:val="en"/>
        </w:rPr>
        <w:t>TNF-α\alphaα</w:t>
      </w:r>
      <w:r w:rsidRPr="006810DB">
        <w:rPr>
          <w:rFonts w:ascii="Book Antiqua" w:hAnsi="Book Antiqua"/>
          <w:sz w:val="20"/>
          <w:szCs w:val="20"/>
          <w:lang w:val="en"/>
        </w:rPr>
        <w:t xml:space="preserve">, mulai dari tingkat genetik hingga protein. Penggunaan </w:t>
      </w:r>
      <w:r w:rsidRPr="006810DB">
        <w:rPr>
          <w:rFonts w:ascii="Book Antiqua" w:hAnsi="Book Antiqua"/>
          <w:i/>
          <w:iCs/>
          <w:sz w:val="20"/>
          <w:szCs w:val="20"/>
          <w:lang w:val="en"/>
        </w:rPr>
        <w:t>Real-Time Polymerase Chain Reaction</w:t>
      </w:r>
      <w:r w:rsidRPr="006810DB">
        <w:rPr>
          <w:rFonts w:ascii="Book Antiqua" w:hAnsi="Book Antiqua"/>
          <w:sz w:val="20"/>
          <w:szCs w:val="20"/>
          <w:lang w:val="en"/>
        </w:rPr>
        <w:t xml:space="preserve"> (RT-PCR) memungkinkan kita melihat penurunan transkripsi gen, sementara </w:t>
      </w:r>
      <w:r w:rsidRPr="006810DB">
        <w:rPr>
          <w:rFonts w:ascii="Book Antiqua" w:hAnsi="Book Antiqua"/>
          <w:i/>
          <w:iCs/>
          <w:sz w:val="20"/>
          <w:szCs w:val="20"/>
          <w:lang w:val="en"/>
        </w:rPr>
        <w:t>Enzyme-Linked Immunosorbent Assay</w:t>
      </w:r>
      <w:r w:rsidRPr="006810DB">
        <w:rPr>
          <w:rFonts w:ascii="Book Antiqua" w:hAnsi="Book Antiqua"/>
          <w:sz w:val="20"/>
          <w:szCs w:val="20"/>
          <w:lang w:val="en"/>
        </w:rPr>
        <w:t xml:space="preserve"> (ELISA) memberikan data kuantitatif mengenai jumlah protein sitokin yang beredar. Visualisasi spasial menggunakan imunofluoresensi juga akan dibahas untuk menunjukkan bagaimana terapi herbal ini mengurangi keberadaan </w:t>
      </w:r>
      <w:r w:rsidRPr="006810DB">
        <w:rPr>
          <w:rFonts w:ascii="Book Antiqua" w:hAnsi="Book Antiqua"/>
          <w:sz w:val="20"/>
          <w:szCs w:val="20"/>
          <w:highlight w:val="yellow"/>
          <w:lang w:val="en"/>
        </w:rPr>
        <w:t>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di jaringan target.</w:t>
      </w:r>
    </w:p>
    <w:p w14:paraId="32F1D2EC" w14:textId="27CCC1CC"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Selanjutnya, kita akan mengevaluasi dampak klinis dan histologis dari penurunan kadar </w:t>
      </w:r>
      <w:r w:rsidRPr="006810DB">
        <w:rPr>
          <w:rFonts w:ascii="Book Antiqua" w:hAnsi="Book Antiqua"/>
          <w:sz w:val="20"/>
          <w:szCs w:val="20"/>
          <w:highlight w:val="yellow"/>
          <w:lang w:val="en"/>
        </w:rPr>
        <w:t>TNF-α\alphaα</w:t>
      </w:r>
      <w:r w:rsidRPr="006810DB">
        <w:rPr>
          <w:rFonts w:ascii="Book Antiqua" w:hAnsi="Book Antiqua"/>
          <w:sz w:val="20"/>
          <w:szCs w:val="20"/>
          <w:lang w:val="en"/>
        </w:rPr>
        <w:t xml:space="preserve">. Apakah penurunan angka di laboratorium benar-benar diterjemahkan menjadi penyembuhan luka yang lebih baik? Pembahasan akan mencakup efeknya terhadap perbaikan mikrovaskular, percepatan re-epitelisasi, dan yang sangat penting bagi pasien, penurunan sensitivitas nyeri. </w:t>
      </w:r>
      <w:r w:rsidRPr="006810DB">
        <w:rPr>
          <w:rFonts w:ascii="Book Antiqua" w:hAnsi="Book Antiqua"/>
          <w:sz w:val="20"/>
          <w:szCs w:val="20"/>
          <w:highlight w:val="yellow"/>
          <w:lang w:val="en"/>
        </w:rPr>
        <w:t>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diketahui memiliki peran dalam sensitisasi nosiseptor, sehingga penurunannya berhubungan langsung dengan efek analgesik.</w:t>
      </w:r>
    </w:p>
    <w:p w14:paraId="1AFCB49D" w14:textId="77777777" w:rsidR="00A95863" w:rsidRDefault="00A95863">
      <w:pPr>
        <w:rPr>
          <w:rFonts w:ascii="Book Antiqua" w:hAnsi="Book Antiqua"/>
          <w:sz w:val="20"/>
          <w:szCs w:val="20"/>
          <w:lang w:val="en"/>
        </w:rPr>
      </w:pPr>
      <w:r>
        <w:rPr>
          <w:rFonts w:ascii="Book Antiqua" w:hAnsi="Book Antiqua"/>
          <w:sz w:val="20"/>
          <w:szCs w:val="20"/>
          <w:lang w:val="en"/>
        </w:rPr>
        <w:br w:type="page"/>
      </w:r>
    </w:p>
    <w:p w14:paraId="007DAFE4" w14:textId="4AFB0507" w:rsidR="00B258B7" w:rsidRPr="006810DB" w:rsidRDefault="00B258B7" w:rsidP="00A95863">
      <w:pPr>
        <w:spacing w:after="0" w:line="276" w:lineRule="auto"/>
        <w:ind w:left="284" w:firstLine="567"/>
        <w:jc w:val="both"/>
        <w:rPr>
          <w:rFonts w:ascii="Book Antiqua" w:hAnsi="Book Antiqua"/>
          <w:sz w:val="20"/>
          <w:szCs w:val="20"/>
          <w:lang w:val="en"/>
        </w:rPr>
      </w:pPr>
      <w:r w:rsidRPr="00A95863">
        <w:rPr>
          <w:rFonts w:ascii="Book Antiqua" w:hAnsi="Book Antiqua"/>
          <w:sz w:val="20"/>
          <w:szCs w:val="20"/>
          <w:highlight w:val="cyan"/>
          <w:lang w:val="en"/>
        </w:rPr>
        <w:lastRenderedPageBreak/>
        <w:t xml:space="preserve">Analisis komprehensif ini bertujuan untuk membuktikan bahwa </w:t>
      </w:r>
      <w:r w:rsidRPr="00A95863">
        <w:rPr>
          <w:rFonts w:ascii="Book Antiqua" w:hAnsi="Book Antiqua"/>
          <w:i/>
          <w:iCs/>
          <w:sz w:val="20"/>
          <w:szCs w:val="20"/>
          <w:highlight w:val="cyan"/>
          <w:lang w:val="en"/>
        </w:rPr>
        <w:t>Nigella sativa</w:t>
      </w:r>
      <w:r w:rsidRPr="00A95863">
        <w:rPr>
          <w:rFonts w:ascii="Book Antiqua" w:hAnsi="Book Antiqua"/>
          <w:sz w:val="20"/>
          <w:szCs w:val="20"/>
          <w:highlight w:val="cyan"/>
          <w:lang w:val="en"/>
        </w:rPr>
        <w:t xml:space="preserve"> bukan sekadar antioksidan pasif, melainkan modulator imun aktif yang menargetkan sitokin kunci.</w:t>
      </w:r>
      <w:r w:rsidRPr="006810DB">
        <w:rPr>
          <w:rFonts w:ascii="Book Antiqua" w:hAnsi="Book Antiqua"/>
          <w:sz w:val="20"/>
          <w:szCs w:val="20"/>
          <w:lang w:val="en"/>
        </w:rPr>
        <w:t xml:space="preserve"> </w:t>
      </w:r>
      <w:r w:rsidRPr="00A95863">
        <w:rPr>
          <w:rFonts w:ascii="Book Antiqua" w:hAnsi="Book Antiqua"/>
          <w:sz w:val="20"/>
          <w:szCs w:val="20"/>
          <w:highlight w:val="cyan"/>
          <w:lang w:val="en"/>
        </w:rPr>
        <w:t>Data yang disajikan akan memperkuat argumen bahwa ekstrak ini bekerja secara presisi pada jalur molekuler yang relevan dengan patologi mukositis.</w:t>
      </w:r>
      <w:r w:rsidRPr="006810DB">
        <w:rPr>
          <w:rFonts w:ascii="Book Antiqua" w:hAnsi="Book Antiqua"/>
          <w:sz w:val="20"/>
          <w:szCs w:val="20"/>
          <w:lang w:val="en"/>
        </w:rPr>
        <w:t xml:space="preserve"> Bukti penurunan </w:t>
      </w:r>
      <w:r w:rsidRPr="006810DB">
        <w:rPr>
          <w:rFonts w:ascii="Book Antiqua" w:hAnsi="Book Antiqua"/>
          <w:sz w:val="20"/>
          <w:szCs w:val="20"/>
          <w:highlight w:val="yellow"/>
          <w:lang w:val="en"/>
        </w:rPr>
        <w:t>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 xml:space="preserve">adalah konfirmasi fungsional dari blokade </w:t>
      </w:r>
      <w:r w:rsidRPr="006810DB">
        <w:rPr>
          <w:rFonts w:ascii="Book Antiqua" w:hAnsi="Book Antiqua"/>
          <w:sz w:val="20"/>
          <w:szCs w:val="20"/>
          <w:highlight w:val="yellow"/>
          <w:lang w:val="en"/>
        </w:rPr>
        <w:t>NF-κ\kappaκ</w:t>
      </w:r>
      <w:r w:rsidR="007C328F"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yang telah dibahas sebelumnya.</w:t>
      </w:r>
    </w:p>
    <w:p w14:paraId="6A1231D1" w14:textId="220A2AA1"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Pada akhirnya, bab ini menegaskan posisi </w:t>
      </w:r>
      <w:r w:rsidRPr="006810DB">
        <w:rPr>
          <w:rFonts w:ascii="Book Antiqua" w:hAnsi="Book Antiqua"/>
          <w:sz w:val="20"/>
          <w:szCs w:val="20"/>
          <w:highlight w:val="yellow"/>
          <w:lang w:val="en"/>
        </w:rPr>
        <w:t>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 xml:space="preserve">sebagai target terapeutik yang valid dan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sebagai agen yang efektif untuk memodulasinya. Pengetahuan ini melengkapi pemahaman kita tentang mekanisme perlindungan mukosa, menghubungkan biologi molekuler dengan hasil klinis yang diharapkan, dan membuka jalan bagi pembahasan mengenai gambaran histopatologi yang akan diuraikan pada bab selanjutnya.</w:t>
      </w:r>
    </w:p>
    <w:p w14:paraId="65C05947" w14:textId="77777777" w:rsidR="00D0395B" w:rsidRPr="006810DB" w:rsidRDefault="00D0395B" w:rsidP="006810DB">
      <w:pPr>
        <w:spacing w:after="0" w:line="276" w:lineRule="auto"/>
        <w:jc w:val="both"/>
        <w:rPr>
          <w:rFonts w:ascii="Book Antiqua" w:hAnsi="Book Antiqua"/>
          <w:b/>
          <w:bCs/>
          <w:sz w:val="20"/>
          <w:szCs w:val="20"/>
          <w:lang w:val="en"/>
        </w:rPr>
      </w:pPr>
      <w:bookmarkStart w:id="367" w:name="_yh2dg7pp3jul" w:colFirst="0" w:colLast="0"/>
      <w:bookmarkEnd w:id="367"/>
    </w:p>
    <w:p w14:paraId="570E1CE1" w14:textId="7C33B26C" w:rsidR="00B258B7" w:rsidRPr="006810DB" w:rsidRDefault="00B258B7" w:rsidP="006810DB">
      <w:pPr>
        <w:pStyle w:val="Heading2"/>
        <w:numPr>
          <w:ilvl w:val="0"/>
          <w:numId w:val="30"/>
        </w:numPr>
        <w:ind w:left="284" w:hanging="284"/>
      </w:pPr>
      <w:bookmarkStart w:id="368" w:name="_Toc223088973"/>
      <w:r w:rsidRPr="006810DB">
        <w:t>Hubungan NF-kB dengan Produksi TNF-a</w:t>
      </w:r>
      <w:bookmarkEnd w:id="368"/>
    </w:p>
    <w:p w14:paraId="19C78619" w14:textId="262E153C"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Hubungan antara faktor transkripsi NF-κ\kappaκ</w:t>
      </w:r>
      <w:r w:rsidR="007C328F" w:rsidRPr="006810DB">
        <w:rPr>
          <w:rFonts w:ascii="Book Antiqua" w:hAnsi="Book Antiqua"/>
          <w:sz w:val="20"/>
          <w:szCs w:val="20"/>
          <w:lang w:val="en"/>
        </w:rPr>
        <w:t xml:space="preserve"> </w:t>
      </w:r>
      <w:r w:rsidRPr="006810DB">
        <w:rPr>
          <w:rFonts w:ascii="Book Antiqua" w:hAnsi="Book Antiqua"/>
          <w:sz w:val="20"/>
          <w:szCs w:val="20"/>
          <w:lang w:val="en"/>
        </w:rPr>
        <w:t>B dan sitokin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adalah hubungan induk-anak yang sangat erat dalam biologi molekuler peradangan. NF-κ\kappaκ</w:t>
      </w:r>
      <w:r w:rsidR="007C328F" w:rsidRPr="006810DB">
        <w:rPr>
          <w:rFonts w:ascii="Book Antiqua" w:hAnsi="Book Antiqua"/>
          <w:sz w:val="20"/>
          <w:szCs w:val="20"/>
          <w:lang w:val="en"/>
        </w:rPr>
        <w:t xml:space="preserve"> </w:t>
      </w:r>
      <w:r w:rsidRPr="006810DB">
        <w:rPr>
          <w:rFonts w:ascii="Book Antiqua" w:hAnsi="Book Antiqua"/>
          <w:sz w:val="20"/>
          <w:szCs w:val="20"/>
          <w:lang w:val="en"/>
        </w:rPr>
        <w:t>B bertindak sebagai arsitek yang merancang dan memerintahkan pembuatan TNF-α\alphaα. Begitu diproduksi,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tidak hanya bekerja pada target luar, tetapi juga kembali memperkuat aktivitas "induknya", menciptakan sistem amplifikasi sinyal yang kuat. Dalam konteks mukositis yang diinduksi cisplatin, dinamika ini menjadi tidak terkendali, menyebabkan kerusakan jaringan yang eksesif yang melampaui respons fisiologis normal (Sonis, 2010).</w:t>
      </w:r>
    </w:p>
    <w:p w14:paraId="5923E598" w14:textId="357C2019"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Hubungan NF-κ\kappaκ</w:t>
      </w:r>
      <w:r w:rsidR="007C328F" w:rsidRPr="006810DB">
        <w:rPr>
          <w:rFonts w:ascii="Book Antiqua" w:hAnsi="Book Antiqua"/>
          <w:sz w:val="20"/>
          <w:szCs w:val="20"/>
          <w:lang w:val="en"/>
        </w:rPr>
        <w:t xml:space="preserve"> </w:t>
      </w:r>
      <w:r w:rsidRPr="006810DB">
        <w:rPr>
          <w:rFonts w:ascii="Book Antiqua" w:hAnsi="Book Antiqua"/>
          <w:sz w:val="20"/>
          <w:szCs w:val="20"/>
          <w:lang w:val="en"/>
        </w:rPr>
        <w:t>B dan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dapat diibaratkan seperti sistem pengeras suara (sound system) yang mengalami umpan balik (</w:t>
      </w:r>
      <w:r w:rsidRPr="006810DB">
        <w:rPr>
          <w:rFonts w:ascii="Book Antiqua" w:hAnsi="Book Antiqua"/>
          <w:i/>
          <w:iCs/>
          <w:sz w:val="20"/>
          <w:szCs w:val="20"/>
          <w:lang w:val="en"/>
        </w:rPr>
        <w:t>feedback</w:t>
      </w:r>
      <w:r w:rsidRPr="006810DB">
        <w:rPr>
          <w:rFonts w:ascii="Book Antiqua" w:hAnsi="Book Antiqua"/>
          <w:sz w:val="20"/>
          <w:szCs w:val="20"/>
          <w:lang w:val="en"/>
        </w:rPr>
        <w:t>) melengking. NF-κ\kappaκ</w:t>
      </w:r>
      <w:r w:rsidR="007C328F" w:rsidRPr="006810DB">
        <w:rPr>
          <w:rFonts w:ascii="Book Antiqua" w:hAnsi="Book Antiqua"/>
          <w:sz w:val="20"/>
          <w:szCs w:val="20"/>
          <w:lang w:val="en"/>
        </w:rPr>
        <w:t xml:space="preserve"> </w:t>
      </w:r>
      <w:r w:rsidRPr="006810DB">
        <w:rPr>
          <w:rFonts w:ascii="Book Antiqua" w:hAnsi="Book Antiqua"/>
          <w:sz w:val="20"/>
          <w:szCs w:val="20"/>
          <w:lang w:val="en"/>
        </w:rPr>
        <w:t xml:space="preserve">B adalah </w:t>
      </w:r>
      <w:r w:rsidRPr="006810DB">
        <w:rPr>
          <w:rFonts w:ascii="Book Antiqua" w:hAnsi="Book Antiqua"/>
          <w:i/>
          <w:iCs/>
          <w:sz w:val="20"/>
          <w:szCs w:val="20"/>
          <w:lang w:val="en"/>
        </w:rPr>
        <w:t>amplifier</w:t>
      </w:r>
      <w:r w:rsidRPr="006810DB">
        <w:rPr>
          <w:rFonts w:ascii="Book Antiqua" w:hAnsi="Book Antiqua"/>
          <w:sz w:val="20"/>
          <w:szCs w:val="20"/>
          <w:lang w:val="en"/>
        </w:rPr>
        <w:t xml:space="preserve"> (penguat suara), dan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 xml:space="preserve">adalah suara yang keluar dari </w:t>
      </w:r>
      <w:r w:rsidRPr="006810DB">
        <w:rPr>
          <w:rFonts w:ascii="Book Antiqua" w:hAnsi="Book Antiqua"/>
          <w:i/>
          <w:iCs/>
          <w:sz w:val="20"/>
          <w:szCs w:val="20"/>
          <w:lang w:val="en"/>
        </w:rPr>
        <w:t>speaker</w:t>
      </w:r>
      <w:r w:rsidRPr="006810DB">
        <w:rPr>
          <w:rFonts w:ascii="Book Antiqua" w:hAnsi="Book Antiqua"/>
          <w:sz w:val="20"/>
          <w:szCs w:val="20"/>
          <w:lang w:val="en"/>
        </w:rPr>
        <w:t>. Suara dari speaker (TNF-α\alphaα) ditangkap kembali oleh mikrofon (reseptor sel), masuk kembali ke amplifier (NF-κ\kappaκ</w:t>
      </w:r>
      <w:r w:rsidR="007C328F" w:rsidRPr="006810DB">
        <w:rPr>
          <w:rFonts w:ascii="Book Antiqua" w:hAnsi="Book Antiqua"/>
          <w:sz w:val="20"/>
          <w:szCs w:val="20"/>
          <w:lang w:val="en"/>
        </w:rPr>
        <w:t xml:space="preserve"> </w:t>
      </w:r>
      <w:r w:rsidRPr="006810DB">
        <w:rPr>
          <w:rFonts w:ascii="Book Antiqua" w:hAnsi="Book Antiqua"/>
          <w:sz w:val="20"/>
          <w:szCs w:val="20"/>
          <w:lang w:val="en"/>
        </w:rPr>
        <w:t xml:space="preserve">B), dan </w:t>
      </w:r>
      <w:r w:rsidRPr="006810DB">
        <w:rPr>
          <w:rFonts w:ascii="Book Antiqua" w:hAnsi="Book Antiqua"/>
          <w:sz w:val="20"/>
          <w:szCs w:val="20"/>
          <w:lang w:val="en"/>
        </w:rPr>
        <w:lastRenderedPageBreak/>
        <w:t xml:space="preserve">diperkuat lagi menjadi suara yang lebih keras. Siklus ini terjadi berulang-ulang dalam hitungan detik hingga menghasilkan suara dengung yang memekakkan telinga dan merusak pendengaran (jaringan mukosa).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bekerja dengan memutar tombol volume amplifier ke arah minimum, memutus siklus umpan balik ini sehingga suara kembali jernih dan tidak merusak.</w:t>
      </w:r>
    </w:p>
    <w:p w14:paraId="512BEC0F" w14:textId="486217E5" w:rsidR="00B258B7" w:rsidRPr="006810DB" w:rsidRDefault="00B258B7" w:rsidP="006810DB">
      <w:pPr>
        <w:pStyle w:val="ListParagraph"/>
        <w:numPr>
          <w:ilvl w:val="0"/>
          <w:numId w:val="78"/>
        </w:numPr>
        <w:spacing w:after="0" w:line="276" w:lineRule="auto"/>
        <w:ind w:left="567" w:hanging="283"/>
        <w:contextualSpacing w:val="0"/>
        <w:jc w:val="both"/>
        <w:rPr>
          <w:rFonts w:ascii="Book Antiqua" w:hAnsi="Book Antiqua"/>
          <w:b/>
          <w:bCs/>
          <w:sz w:val="20"/>
          <w:szCs w:val="20"/>
          <w:lang w:val="en"/>
        </w:rPr>
      </w:pPr>
      <w:bookmarkStart w:id="369" w:name="_l5j1e0o8iwbe" w:colFirst="0" w:colLast="0"/>
      <w:bookmarkEnd w:id="369"/>
      <w:r w:rsidRPr="006810DB">
        <w:rPr>
          <w:rFonts w:ascii="Book Antiqua" w:hAnsi="Book Antiqua"/>
          <w:b/>
          <w:bCs/>
          <w:sz w:val="20"/>
          <w:szCs w:val="20"/>
          <w:lang w:val="en"/>
        </w:rPr>
        <w:t>TNF-a sebagai Target Genetik Utama NF-kB</w:t>
      </w:r>
    </w:p>
    <w:p w14:paraId="4CF0AB54" w14:textId="60498E6A"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Promotor gen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mengandung beberapa situs pengikatan konsensus yang spesifik untuk heterodimer NF-κ\kappaκ</w:t>
      </w:r>
      <w:r w:rsidR="007C328F" w:rsidRPr="006810DB">
        <w:rPr>
          <w:rFonts w:ascii="Book Antiqua" w:hAnsi="Book Antiqua"/>
          <w:sz w:val="20"/>
          <w:szCs w:val="20"/>
          <w:lang w:val="en"/>
        </w:rPr>
        <w:t xml:space="preserve"> </w:t>
      </w:r>
      <w:r w:rsidRPr="006810DB">
        <w:rPr>
          <w:rFonts w:ascii="Book Antiqua" w:hAnsi="Book Antiqua"/>
          <w:sz w:val="20"/>
          <w:szCs w:val="20"/>
          <w:lang w:val="en"/>
        </w:rPr>
        <w:t>B (p50/p65). Hal ini menjadikan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sebagai salah satu gen yang paling responsif dan paling awal diekspresikan setelah aktivasi NF-κ\kappaκ</w:t>
      </w:r>
      <w:r w:rsidR="007C328F" w:rsidRPr="006810DB">
        <w:rPr>
          <w:rFonts w:ascii="Book Antiqua" w:hAnsi="Book Antiqua"/>
          <w:sz w:val="20"/>
          <w:szCs w:val="20"/>
          <w:lang w:val="en"/>
        </w:rPr>
        <w:t xml:space="preserve"> </w:t>
      </w:r>
      <w:r w:rsidRPr="006810DB">
        <w:rPr>
          <w:rFonts w:ascii="Book Antiqua" w:hAnsi="Book Antiqua"/>
          <w:sz w:val="20"/>
          <w:szCs w:val="20"/>
          <w:lang w:val="en"/>
        </w:rPr>
        <w:t>B. Ketika cisplatin memicu degradasi Iκ\kappaκ</w:t>
      </w:r>
      <w:r w:rsidR="007C328F" w:rsidRPr="006810DB">
        <w:rPr>
          <w:rFonts w:ascii="Book Antiqua" w:hAnsi="Book Antiqua"/>
          <w:sz w:val="20"/>
          <w:szCs w:val="20"/>
          <w:lang w:val="en"/>
        </w:rPr>
        <w:t xml:space="preserve"> </w:t>
      </w:r>
      <w:r w:rsidRPr="006810DB">
        <w:rPr>
          <w:rFonts w:ascii="Book Antiqua" w:hAnsi="Book Antiqua"/>
          <w:sz w:val="20"/>
          <w:szCs w:val="20"/>
          <w:lang w:val="en"/>
        </w:rPr>
        <w:t>B</w:t>
      </w:r>
      <w:r w:rsidR="007C328F" w:rsidRPr="006810DB">
        <w:rPr>
          <w:rFonts w:ascii="Book Antiqua" w:hAnsi="Book Antiqua"/>
          <w:sz w:val="20"/>
          <w:szCs w:val="20"/>
          <w:lang w:val="en"/>
        </w:rPr>
        <w:t xml:space="preserve"> </w:t>
      </w:r>
      <w:r w:rsidRPr="006810DB">
        <w:rPr>
          <w:rFonts w:ascii="Book Antiqua" w:hAnsi="Book Antiqua"/>
          <w:sz w:val="20"/>
          <w:szCs w:val="20"/>
          <w:lang w:val="en"/>
        </w:rPr>
        <w:t>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dan translokasi p65 ke nukleus, kompleks ini segera menempel pada promotor TNF-α\alphaα, merekrut mesin transkripsi, dan memicu sintesis mRNA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secara masif (Kadarullah et al., 2024).</w:t>
      </w:r>
    </w:p>
    <w:p w14:paraId="74C8CA1A" w14:textId="235DCFED"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Studi kinetika menunjukkan bahwa lonjakan mRNA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dapat terdeteksi hanya dalam beberapa jam pasca paparan cisplatin, jauh sebelum tanda-tanda kerusakan seluler terlihat di mikroskop. Kecepatan respons ini menegaskan peran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sebagai mediator fase awal. Tanpa aktivasi NF-κ\kappaκB, produksi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sangat minimal atau tidak ada sama sekali, yang membuktikan ketergantungan mutlak sitokin ini pada faktor transkripsi tersebut dalam konteks cedera akut (Al-Dasooqi et al., 2013).</w:t>
      </w:r>
    </w:p>
    <w:p w14:paraId="55FE4553" w14:textId="29025949" w:rsidR="00B258B7" w:rsidRPr="006810DB" w:rsidRDefault="00B258B7" w:rsidP="006810DB">
      <w:pPr>
        <w:pStyle w:val="ListParagraph"/>
        <w:numPr>
          <w:ilvl w:val="0"/>
          <w:numId w:val="78"/>
        </w:numPr>
        <w:spacing w:after="0" w:line="276" w:lineRule="auto"/>
        <w:ind w:left="567" w:hanging="283"/>
        <w:contextualSpacing w:val="0"/>
        <w:jc w:val="both"/>
        <w:rPr>
          <w:rFonts w:ascii="Book Antiqua" w:hAnsi="Book Antiqua"/>
          <w:b/>
          <w:bCs/>
          <w:sz w:val="20"/>
          <w:szCs w:val="20"/>
          <w:lang w:val="en"/>
        </w:rPr>
      </w:pPr>
      <w:bookmarkStart w:id="370" w:name="_v5o8mepegx6p" w:colFirst="0" w:colLast="0"/>
      <w:bookmarkEnd w:id="370"/>
      <w:r w:rsidRPr="006810DB">
        <w:rPr>
          <w:rFonts w:ascii="Book Antiqua" w:hAnsi="Book Antiqua"/>
          <w:b/>
          <w:bCs/>
          <w:sz w:val="20"/>
          <w:szCs w:val="20"/>
          <w:lang w:val="en"/>
        </w:rPr>
        <w:t>Mekanisme Loop Autokrin TNF-a</w:t>
      </w:r>
    </w:p>
    <w:p w14:paraId="75B57581" w14:textId="1004E099"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Salah satu aspek paling berbahaya dari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adalah kemampuannya untuk memicu produksinya sendiri melalui mekanisme loop autokrin dan parakrin. Setelah disekresikan keluar sel,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berikatan dengan reseptor TNFR1 di permukaan sel yang sama atau sel tetangga. Pengikatan ini mengaktifkan jalur sinyal yang kembali bermuara pada aktivasi IKK dan NF-κ\kappaκ</w:t>
      </w:r>
      <w:r w:rsidR="007C328F" w:rsidRPr="006810DB">
        <w:rPr>
          <w:rFonts w:ascii="Book Antiqua" w:hAnsi="Book Antiqua"/>
          <w:sz w:val="20"/>
          <w:szCs w:val="20"/>
          <w:lang w:val="en"/>
        </w:rPr>
        <w:t xml:space="preserve"> </w:t>
      </w:r>
      <w:r w:rsidRPr="006810DB">
        <w:rPr>
          <w:rFonts w:ascii="Book Antiqua" w:hAnsi="Book Antiqua"/>
          <w:sz w:val="20"/>
          <w:szCs w:val="20"/>
          <w:lang w:val="en"/>
        </w:rPr>
        <w:t xml:space="preserve">B. </w:t>
      </w:r>
      <w:r w:rsidRPr="006810DB">
        <w:rPr>
          <w:rFonts w:ascii="Book Antiqua" w:hAnsi="Book Antiqua"/>
          <w:sz w:val="20"/>
          <w:szCs w:val="20"/>
          <w:lang w:val="en"/>
        </w:rPr>
        <w:lastRenderedPageBreak/>
        <w:t>Akibatnya, gelombang kedua aktivasi NF-κ\kappaκ</w:t>
      </w:r>
      <w:r w:rsidR="007C328F" w:rsidRPr="006810DB">
        <w:rPr>
          <w:rFonts w:ascii="Book Antiqua" w:hAnsi="Book Antiqua"/>
          <w:sz w:val="20"/>
          <w:szCs w:val="20"/>
          <w:lang w:val="en"/>
        </w:rPr>
        <w:t xml:space="preserve"> </w:t>
      </w:r>
      <w:r w:rsidRPr="006810DB">
        <w:rPr>
          <w:rFonts w:ascii="Book Antiqua" w:hAnsi="Book Antiqua"/>
          <w:sz w:val="20"/>
          <w:szCs w:val="20"/>
          <w:lang w:val="en"/>
        </w:rPr>
        <w:t>B terjadi, yang kemudian memicu produksi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lebih lanjut (Belfiore et al., 2024).</w:t>
      </w:r>
    </w:p>
    <w:p w14:paraId="2C3877F9" w14:textId="6BB74F84"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Mekanisme ini menjelaskan mengapa peradangan mukositis sering kali menetap dan meluas meskipun agen kemoterapi (cisplatin) mungkin sudah dibersihkan dari tubuh. Peradangan menjadi "mandiri" (</w:t>
      </w:r>
      <w:r w:rsidRPr="006810DB">
        <w:rPr>
          <w:rFonts w:ascii="Book Antiqua" w:hAnsi="Book Antiqua"/>
          <w:i/>
          <w:iCs/>
          <w:sz w:val="20"/>
          <w:szCs w:val="20"/>
          <w:lang w:val="en"/>
        </w:rPr>
        <w:t>self-sustaining</w:t>
      </w:r>
      <w:r w:rsidRPr="006810DB">
        <w:rPr>
          <w:rFonts w:ascii="Book Antiqua" w:hAnsi="Book Antiqua"/>
          <w:sz w:val="20"/>
          <w:szCs w:val="20"/>
          <w:lang w:val="en"/>
        </w:rPr>
        <w:t xml:space="preserve">).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memutus siklus ini dengan menghambat NF-κ\kappaκ</w:t>
      </w:r>
      <w:r w:rsidR="007C328F" w:rsidRPr="006810DB">
        <w:rPr>
          <w:rFonts w:ascii="Book Antiqua" w:hAnsi="Book Antiqua"/>
          <w:sz w:val="20"/>
          <w:szCs w:val="20"/>
          <w:lang w:val="en"/>
        </w:rPr>
        <w:t xml:space="preserve"> </w:t>
      </w:r>
      <w:r w:rsidRPr="006810DB">
        <w:rPr>
          <w:rFonts w:ascii="Book Antiqua" w:hAnsi="Book Antiqua"/>
          <w:sz w:val="20"/>
          <w:szCs w:val="20"/>
          <w:lang w:val="en"/>
        </w:rPr>
        <w:t>B, sehingga memotong pasokan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baru dan menghentikan penguatan sinyal yang terus-menerus ini, memungkinkan peradangan mereda secara alami (Madani et al., 2023).</w:t>
      </w:r>
    </w:p>
    <w:p w14:paraId="0D5F483A" w14:textId="6302E2C1" w:rsidR="00B258B7" w:rsidRPr="006810DB" w:rsidRDefault="00B258B7" w:rsidP="006810DB">
      <w:pPr>
        <w:pStyle w:val="ListParagraph"/>
        <w:numPr>
          <w:ilvl w:val="0"/>
          <w:numId w:val="78"/>
        </w:numPr>
        <w:spacing w:after="0" w:line="276" w:lineRule="auto"/>
        <w:ind w:left="567" w:hanging="283"/>
        <w:contextualSpacing w:val="0"/>
        <w:jc w:val="both"/>
        <w:rPr>
          <w:rFonts w:ascii="Book Antiqua" w:hAnsi="Book Antiqua"/>
          <w:b/>
          <w:bCs/>
          <w:sz w:val="20"/>
          <w:szCs w:val="20"/>
          <w:lang w:val="en"/>
        </w:rPr>
      </w:pPr>
      <w:bookmarkStart w:id="371" w:name="_v44cxyuoi9yc" w:colFirst="0" w:colLast="0"/>
      <w:bookmarkEnd w:id="371"/>
      <w:r w:rsidRPr="006810DB">
        <w:rPr>
          <w:rFonts w:ascii="Book Antiqua" w:hAnsi="Book Antiqua"/>
          <w:b/>
          <w:bCs/>
          <w:sz w:val="20"/>
          <w:szCs w:val="20"/>
          <w:lang w:val="en"/>
        </w:rPr>
        <w:t>Peran TNF-a dalam Induksi Apoptosis Epitel</w:t>
      </w:r>
    </w:p>
    <w:p w14:paraId="7143DA79" w14:textId="34CE4A53"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Selain memicu peradangan,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juga merupakan sinyal kematian sel yang poten. Melalui pengikatan dengan reseptor TNFR1,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dapat mengaktifkan kaskade kaspase, khususnya kaspase-8 dan kaspase-3, yang melaksanakan program kematian sel atau apoptosis. Pada mukosa oral, sel-sel epitel basal sangat rentan terhadap sinyal pro-apoptosis ini. Kematian sel-sel ini menyebabkan penipisan lapisan epitel dan akhirnya ulserasi (Sonis, 2010).</w:t>
      </w:r>
    </w:p>
    <w:p w14:paraId="6CBFD864" w14:textId="74523E25"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Tingginya kadar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di jaringan mukosa berkorelasi langsung dengan tingkat apoptosis sel epitel. Penghambatan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 xml:space="preserve">oleh agen terapeutik terbukti melindungi integritas epitel.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dari </w:t>
      </w:r>
      <w:r w:rsidRPr="006810DB">
        <w:rPr>
          <w:rFonts w:ascii="Book Antiqua" w:hAnsi="Book Antiqua"/>
          <w:i/>
          <w:iCs/>
          <w:sz w:val="20"/>
          <w:szCs w:val="20"/>
          <w:lang w:val="en"/>
        </w:rPr>
        <w:t>Nigella sativa</w:t>
      </w:r>
      <w:r w:rsidRPr="006810DB">
        <w:rPr>
          <w:rFonts w:ascii="Book Antiqua" w:hAnsi="Book Antiqua"/>
          <w:sz w:val="20"/>
          <w:szCs w:val="20"/>
          <w:lang w:val="en"/>
        </w:rPr>
        <w:t>, dengan menekan produksi TNF-α\alphaα, secara efektif menghilangkan sinyal "bunuh diri" ini, memberikan kesempatan bagi sel-sel epitel untuk bertahan hidup, memperbaiki kerusakan DNA, dan mempertahankan barier mukosa yang utuh (Hannan et al., 2021).</w:t>
      </w:r>
    </w:p>
    <w:p w14:paraId="28E1A381" w14:textId="77777777" w:rsidR="00E936D5" w:rsidRPr="006810DB" w:rsidRDefault="00E936D5" w:rsidP="006810DB">
      <w:pPr>
        <w:spacing w:after="0" w:line="276" w:lineRule="auto"/>
        <w:jc w:val="both"/>
        <w:rPr>
          <w:rFonts w:ascii="Book Antiqua" w:hAnsi="Book Antiqua"/>
          <w:sz w:val="20"/>
          <w:szCs w:val="20"/>
          <w:lang w:val="en"/>
        </w:rPr>
      </w:pPr>
    </w:p>
    <w:p w14:paraId="16DD6D91" w14:textId="4FE1D0F8" w:rsidR="00B258B7" w:rsidRPr="006810DB" w:rsidRDefault="00B258B7" w:rsidP="006810DB">
      <w:pPr>
        <w:pStyle w:val="Heading2"/>
        <w:numPr>
          <w:ilvl w:val="0"/>
          <w:numId w:val="30"/>
        </w:numPr>
        <w:ind w:left="284" w:hanging="284"/>
        <w:rPr>
          <w:bCs/>
          <w:szCs w:val="20"/>
          <w:lang w:val="en"/>
        </w:rPr>
      </w:pPr>
      <w:bookmarkStart w:id="372" w:name="_l2dn7fmcnijm" w:colFirst="0" w:colLast="0"/>
      <w:bookmarkStart w:id="373" w:name="_Toc223088974"/>
      <w:bookmarkEnd w:id="372"/>
      <w:r w:rsidRPr="006810DB">
        <w:rPr>
          <w:bCs/>
          <w:szCs w:val="20"/>
          <w:lang w:val="en"/>
        </w:rPr>
        <w:t>Deteksi Kadar TNF-a dalam Jaringan dan Serum</w:t>
      </w:r>
      <w:bookmarkEnd w:id="373"/>
    </w:p>
    <w:p w14:paraId="182D8CD2" w14:textId="2C8EC5D3"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Untuk memvalidasi efikasi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secara ilmiah, penurunan aktivitas inflamasi harus dibuktikan dengan data kuantitatif yang akurat. Pengukuran kadar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lastRenderedPageBreak/>
        <w:t>dilakukan menggunakan berbagai metode biologi molekuler yang masing-masing memberikan lapisan informasi berbeda: ELISA mengukur jumlah protein fungsional, RT-PCR mengukur potensi genetik (mRNA), dan imunofluoresensi memberikan peta lokasi sitokin dalam jaringan. Kombinasi ketiga metode ini memberikan gambaran komprehensif tentang status peradangan dan dampak intervensi terapi.</w:t>
      </w:r>
    </w:p>
    <w:p w14:paraId="614BAC9A" w14:textId="2CEC51E2" w:rsidR="00B258B7" w:rsidRPr="006810DB" w:rsidRDefault="00B258B7" w:rsidP="006810DB">
      <w:pPr>
        <w:spacing w:after="0" w:line="276" w:lineRule="auto"/>
        <w:ind w:left="284"/>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Menganalisis kadar TNF-α\alphaα</w:t>
      </w:r>
      <w:r w:rsidR="007C328F" w:rsidRPr="006810DB">
        <w:rPr>
          <w:rFonts w:ascii="Book Antiqua" w:hAnsi="Book Antiqua"/>
          <w:sz w:val="20"/>
          <w:szCs w:val="20"/>
          <w:lang w:val="en"/>
        </w:rPr>
        <w:t xml:space="preserve"> </w:t>
      </w:r>
      <w:r w:rsidRPr="006810DB">
        <w:rPr>
          <w:rFonts w:ascii="Book Antiqua" w:hAnsi="Book Antiqua"/>
          <w:sz w:val="20"/>
          <w:szCs w:val="20"/>
          <w:lang w:val="en"/>
        </w:rPr>
        <w:t>ibarat melakukan audit menyeluruh terhadap sebuah pabrik polusi. RT-PCR adalah seperti memeriksa dokumen pesanan produksi di kantor manajemen (melihat rencana/potensi). ELISA adalah seperti mengukur jumlah limbah yang sebenarnya keluar dari pipa pembuangan (mengukur hasil akhir). Imunofluoresensi adalah seperti menggunakan kamera drone termal untuk melihat cerobong asap mana yang sedang menyala dan area mana yang paling terpapar polusi (lokalisasi spasial). Hanya dengan menggunakan ketiga metode audit ini, kita bisa menyimpulkan dengan pasti apakah filter polusi baru (</w:t>
      </w:r>
      <w:r w:rsidRPr="006810DB">
        <w:rPr>
          <w:rFonts w:ascii="Book Antiqua" w:hAnsi="Book Antiqua"/>
          <w:i/>
          <w:iCs/>
          <w:sz w:val="20"/>
          <w:szCs w:val="20"/>
          <w:lang w:val="en"/>
        </w:rPr>
        <w:t>Nigella sativa</w:t>
      </w:r>
      <w:r w:rsidRPr="006810DB">
        <w:rPr>
          <w:rFonts w:ascii="Book Antiqua" w:hAnsi="Book Antiqua"/>
          <w:sz w:val="20"/>
          <w:szCs w:val="20"/>
          <w:lang w:val="en"/>
        </w:rPr>
        <w:t>) benar-benar bekerja efektif atau hanya sekadar klaim.</w:t>
      </w:r>
    </w:p>
    <w:p w14:paraId="2F297E77" w14:textId="6C020D61" w:rsidR="00B258B7" w:rsidRPr="006810DB" w:rsidRDefault="00B258B7" w:rsidP="006810DB">
      <w:pPr>
        <w:pStyle w:val="ListParagraph"/>
        <w:numPr>
          <w:ilvl w:val="0"/>
          <w:numId w:val="79"/>
        </w:numPr>
        <w:spacing w:after="0" w:line="276" w:lineRule="auto"/>
        <w:ind w:left="567" w:hanging="283"/>
        <w:contextualSpacing w:val="0"/>
        <w:jc w:val="both"/>
        <w:rPr>
          <w:rFonts w:ascii="Book Antiqua" w:hAnsi="Book Antiqua"/>
          <w:b/>
          <w:bCs/>
          <w:sz w:val="20"/>
          <w:szCs w:val="20"/>
          <w:lang w:val="en"/>
        </w:rPr>
      </w:pPr>
      <w:bookmarkStart w:id="374" w:name="_5gwld96fdeo9" w:colFirst="0" w:colLast="0"/>
      <w:bookmarkEnd w:id="374"/>
      <w:r w:rsidRPr="006810DB">
        <w:rPr>
          <w:rFonts w:ascii="Book Antiqua" w:hAnsi="Book Antiqua"/>
          <w:b/>
          <w:bCs/>
          <w:sz w:val="20"/>
          <w:szCs w:val="20"/>
          <w:lang w:val="en"/>
        </w:rPr>
        <w:t>Penggunaan Metode ELISA untuk Analisis Kuantitatif</w:t>
      </w:r>
    </w:p>
    <w:p w14:paraId="65BBBCA3" w14:textId="13486714"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i/>
          <w:iCs/>
          <w:sz w:val="20"/>
          <w:szCs w:val="20"/>
          <w:lang w:val="en"/>
        </w:rPr>
        <w:t>Enzyme-Linked Immunosorbent Assay</w:t>
      </w:r>
      <w:r w:rsidRPr="006810DB">
        <w:rPr>
          <w:rFonts w:ascii="Book Antiqua" w:hAnsi="Book Antiqua"/>
          <w:sz w:val="20"/>
          <w:szCs w:val="20"/>
          <w:lang w:val="en"/>
        </w:rPr>
        <w:t xml:space="preserve"> (ELISA) adalah teknik standar emas untuk mengukur konsentrasi protein sitokin dalam sampel biologis seperti serum darah atau homogenat jaringan mukosa. Prinsipnya menggunakan antibodi spesifik yang menangkap TNF-α\alphaα, diikuti oleh reaksi enzimatis yang menghasilkan perubahan warna sebanding dengan jumlah protein yang ada. Metode ini sangat sensitif dan dapat mendeteksi kadar sitokin dalam pikogram per mililiter (pg/mL) (Kadarullah et al., 2024).</w:t>
      </w:r>
    </w:p>
    <w:p w14:paraId="6A6383E7" w14:textId="0D971FC6"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Dalam studi praklinis, hasil ELISA secara konsisten menunjukkan bahwa tikus yang diinduksi cisplatin memiliki kadar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 xml:space="preserve">serum dan jaringan yang melonjak tajam dibandingkan kontrol normal. Namun, pada kelompok yang diberi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kadar ini turun secara signifikan, sering kali mendekati level normal. Data kuantitatif ini memberikan bukti kuat bahwa intervensi herbal tersebut </w:t>
      </w:r>
      <w:r w:rsidRPr="006810DB">
        <w:rPr>
          <w:rFonts w:ascii="Book Antiqua" w:hAnsi="Book Antiqua"/>
          <w:sz w:val="20"/>
          <w:szCs w:val="20"/>
          <w:lang w:val="en"/>
        </w:rPr>
        <w:lastRenderedPageBreak/>
        <w:t>berhasil menurunkan beban inflamasi sistemik dan lokal secara nyata (Kazemi et al., 2022).</w:t>
      </w:r>
    </w:p>
    <w:p w14:paraId="06C830EE" w14:textId="285993D7" w:rsidR="00B258B7" w:rsidRPr="006810DB" w:rsidRDefault="00B258B7" w:rsidP="006810DB">
      <w:pPr>
        <w:pStyle w:val="ListParagraph"/>
        <w:numPr>
          <w:ilvl w:val="0"/>
          <w:numId w:val="79"/>
        </w:numPr>
        <w:spacing w:after="0" w:line="276" w:lineRule="auto"/>
        <w:ind w:left="567" w:hanging="283"/>
        <w:contextualSpacing w:val="0"/>
        <w:jc w:val="both"/>
        <w:rPr>
          <w:rFonts w:ascii="Book Antiqua" w:hAnsi="Book Antiqua"/>
          <w:b/>
          <w:bCs/>
          <w:sz w:val="20"/>
          <w:szCs w:val="20"/>
          <w:lang w:val="en"/>
        </w:rPr>
      </w:pPr>
      <w:bookmarkStart w:id="375" w:name="_f4f2kop67kjs" w:colFirst="0" w:colLast="0"/>
      <w:bookmarkEnd w:id="375"/>
      <w:r w:rsidRPr="006810DB">
        <w:rPr>
          <w:rFonts w:ascii="Book Antiqua" w:hAnsi="Book Antiqua"/>
          <w:b/>
          <w:bCs/>
          <w:sz w:val="20"/>
          <w:szCs w:val="20"/>
          <w:lang w:val="en"/>
        </w:rPr>
        <w:t>Analisis Ekspresi Gen TNF-a melalui RT-PCR</w:t>
      </w:r>
    </w:p>
    <w:p w14:paraId="4FF03F28" w14:textId="11F39DDF"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Sementara ELISA mengukur produk akhir, </w:t>
      </w:r>
      <w:r w:rsidRPr="006810DB">
        <w:rPr>
          <w:rFonts w:ascii="Book Antiqua" w:hAnsi="Book Antiqua"/>
          <w:i/>
          <w:iCs/>
          <w:sz w:val="20"/>
          <w:szCs w:val="20"/>
          <w:lang w:val="en"/>
        </w:rPr>
        <w:t>Reverse Transcription-Polymerase Chain Reaction</w:t>
      </w:r>
      <w:r w:rsidRPr="006810DB">
        <w:rPr>
          <w:rFonts w:ascii="Book Antiqua" w:hAnsi="Book Antiqua"/>
          <w:sz w:val="20"/>
          <w:szCs w:val="20"/>
          <w:lang w:val="en"/>
        </w:rPr>
        <w:t xml:space="preserve"> (RT-PCR) mengukur tingkat ekspresi gen pada level mRNA. Teknik ini mendeteksi seberapa aktif gen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sedang ditranskripsikan. Ini adalah indikator yang sangat sensitif terhadap perubahan regulasi transkripsi yang dimediasi oleh NF-κ\kappaκ</w:t>
      </w:r>
      <w:r w:rsidR="00EA6A41" w:rsidRPr="006810DB">
        <w:rPr>
          <w:rFonts w:ascii="Book Antiqua" w:hAnsi="Book Antiqua"/>
          <w:sz w:val="20"/>
          <w:szCs w:val="20"/>
          <w:lang w:val="en"/>
        </w:rPr>
        <w:t xml:space="preserve"> </w:t>
      </w:r>
      <w:r w:rsidRPr="006810DB">
        <w:rPr>
          <w:rFonts w:ascii="Book Antiqua" w:hAnsi="Book Antiqua"/>
          <w:sz w:val="20"/>
          <w:szCs w:val="20"/>
          <w:lang w:val="en"/>
        </w:rPr>
        <w:t>B. Penurunan level mRNA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mendahului penurunan level proteinnya (Madani et al., 2023).</w:t>
      </w:r>
    </w:p>
    <w:p w14:paraId="65BC42FB" w14:textId="762F52D8"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Hasil RT-PCR sering disajikan sebagai </w:t>
      </w:r>
      <w:r w:rsidRPr="006810DB">
        <w:rPr>
          <w:rFonts w:ascii="Book Antiqua" w:hAnsi="Book Antiqua"/>
          <w:i/>
          <w:iCs/>
          <w:sz w:val="20"/>
          <w:szCs w:val="20"/>
          <w:lang w:val="en"/>
        </w:rPr>
        <w:t>fold change</w:t>
      </w:r>
      <w:r w:rsidRPr="006810DB">
        <w:rPr>
          <w:rFonts w:ascii="Book Antiqua" w:hAnsi="Book Antiqua"/>
          <w:sz w:val="20"/>
          <w:szCs w:val="20"/>
          <w:lang w:val="en"/>
        </w:rPr>
        <w:t xml:space="preserve"> atau lipatan perubahan relatif terhadap gen referensi (seperti</w:t>
      </w:r>
      <w:r w:rsidR="00EA6A41" w:rsidRPr="006810DB">
        <w:rPr>
          <w:rFonts w:ascii="Book Antiqua" w:hAnsi="Book Antiqua"/>
          <w:sz w:val="20"/>
          <w:szCs w:val="20"/>
          <w:lang w:val="en"/>
        </w:rPr>
        <w:t xml:space="preserve"> </w:t>
      </w:r>
      <w:r w:rsidRPr="006810DB">
        <w:rPr>
          <w:rFonts w:ascii="Book Antiqua" w:hAnsi="Book Antiqua"/>
          <w:sz w:val="20"/>
          <w:szCs w:val="20"/>
          <w:lang w:val="en"/>
        </w:rPr>
        <w:t>β\betaβ-actin atau GAPDH). Studi menunjukkan bahwa cisplatin dapat meningkatkan ekspresi mRNA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 xml:space="preserve">hingga 5-10 kali lipat. Pemberian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mampu menekan </w:t>
      </w:r>
      <w:r w:rsidRPr="006810DB">
        <w:rPr>
          <w:rFonts w:ascii="Book Antiqua" w:hAnsi="Book Antiqua"/>
          <w:i/>
          <w:iCs/>
          <w:sz w:val="20"/>
          <w:szCs w:val="20"/>
          <w:lang w:val="en"/>
        </w:rPr>
        <w:t>upregulation</w:t>
      </w:r>
      <w:r w:rsidRPr="006810DB">
        <w:rPr>
          <w:rFonts w:ascii="Book Antiqua" w:hAnsi="Book Antiqua"/>
          <w:sz w:val="20"/>
          <w:szCs w:val="20"/>
          <w:lang w:val="en"/>
        </w:rPr>
        <w:t xml:space="preserve"> ini secara drastis. Hal ini membuktikan bahwa mekanisme aksi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benar-benar terjadi di tingkat transkripsi genetik, memvalidasi blokade jalur NF-κ\kappaκ</w:t>
      </w:r>
      <w:r w:rsidR="00EA6A41" w:rsidRPr="006810DB">
        <w:rPr>
          <w:rFonts w:ascii="Book Antiqua" w:hAnsi="Book Antiqua"/>
          <w:sz w:val="20"/>
          <w:szCs w:val="20"/>
          <w:lang w:val="en"/>
        </w:rPr>
        <w:t xml:space="preserve"> </w:t>
      </w:r>
      <w:r w:rsidRPr="006810DB">
        <w:rPr>
          <w:rFonts w:ascii="Book Antiqua" w:hAnsi="Book Antiqua"/>
          <w:sz w:val="20"/>
          <w:szCs w:val="20"/>
          <w:lang w:val="en"/>
        </w:rPr>
        <w:t>B yang dibahas sebelumnya (Hannan et al., 2021).</w:t>
      </w:r>
    </w:p>
    <w:p w14:paraId="02627393" w14:textId="01BE9714" w:rsidR="00B258B7" w:rsidRPr="006810DB" w:rsidRDefault="00B258B7" w:rsidP="006810DB">
      <w:pPr>
        <w:pStyle w:val="ListParagraph"/>
        <w:numPr>
          <w:ilvl w:val="0"/>
          <w:numId w:val="79"/>
        </w:numPr>
        <w:spacing w:after="0" w:line="276" w:lineRule="auto"/>
        <w:ind w:left="567" w:hanging="283"/>
        <w:contextualSpacing w:val="0"/>
        <w:jc w:val="both"/>
        <w:rPr>
          <w:rFonts w:ascii="Book Antiqua" w:hAnsi="Book Antiqua"/>
          <w:b/>
          <w:bCs/>
          <w:sz w:val="20"/>
          <w:szCs w:val="20"/>
          <w:lang w:val="en"/>
        </w:rPr>
      </w:pPr>
      <w:bookmarkStart w:id="376" w:name="_hb1xgkoaem2s" w:colFirst="0" w:colLast="0"/>
      <w:bookmarkEnd w:id="376"/>
      <w:r w:rsidRPr="006810DB">
        <w:rPr>
          <w:rFonts w:ascii="Book Antiqua" w:hAnsi="Book Antiqua"/>
          <w:b/>
          <w:bCs/>
          <w:sz w:val="20"/>
          <w:szCs w:val="20"/>
          <w:lang w:val="en"/>
        </w:rPr>
        <w:t>Visualisasi Spasial TNF-a dengan Imunofluoresensi</w:t>
      </w:r>
    </w:p>
    <w:p w14:paraId="5427DAC4" w14:textId="5D4F8DAB"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Teknik imunofluoresensi memungkinkan peneliti untuk melihat distribusi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secara langsung di dalam potongan jaringan mukosa. Menggunakan antibodi berlabel fluorofor, protein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akan berpendar di bawah mikroskop fluoresensi. Teknik ini sangat berguna untuk menentukan tipe sel mana yang menjadi produsen utama sitokin tersebut (misalnya, apakah makrofag di submukosa atau sel epitel itu sendiri) (Belfiore et al., 2024).</w:t>
      </w:r>
    </w:p>
    <w:p w14:paraId="5118C8DC" w14:textId="1A4024CA"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Pada jaringan mukositis yang tidak diobati, pendaran fluoresensi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 xml:space="preserve">terlihat intens dan meluas di seluruh lapisan mukosa dan submukosa. Sebaliknya, pada jaringan yang diterapi dengan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sinyal fluoresensi tampak jauh lebih redup dan terbatas. Visualisasi </w:t>
      </w:r>
      <w:r w:rsidRPr="006810DB">
        <w:rPr>
          <w:rFonts w:ascii="Book Antiqua" w:hAnsi="Book Antiqua"/>
          <w:sz w:val="20"/>
          <w:szCs w:val="20"/>
          <w:lang w:val="en"/>
        </w:rPr>
        <w:lastRenderedPageBreak/>
        <w:t>ini memberikan bukti kualitatif yang melengkapi data kuantitatif, menunjukkan bahwa terapi herbal secara efektif "membersihkan" jaringan dari sitokin destruktif ini dan membatasi penyebarannya (Salcan et al., 2025).</w:t>
      </w:r>
    </w:p>
    <w:p w14:paraId="5F3011F4" w14:textId="77777777" w:rsidR="00E936D5" w:rsidRPr="006810DB" w:rsidRDefault="00E936D5" w:rsidP="006810DB">
      <w:pPr>
        <w:spacing w:after="0" w:line="276" w:lineRule="auto"/>
        <w:jc w:val="both"/>
        <w:rPr>
          <w:rFonts w:ascii="Book Antiqua" w:hAnsi="Book Antiqua"/>
          <w:sz w:val="20"/>
          <w:szCs w:val="20"/>
          <w:lang w:val="en"/>
        </w:rPr>
      </w:pPr>
    </w:p>
    <w:p w14:paraId="3EDE8E97" w14:textId="53F50B47" w:rsidR="00B258B7" w:rsidRPr="006810DB" w:rsidRDefault="00B258B7" w:rsidP="006810DB">
      <w:pPr>
        <w:pStyle w:val="Heading2"/>
        <w:numPr>
          <w:ilvl w:val="0"/>
          <w:numId w:val="30"/>
        </w:numPr>
        <w:ind w:left="284" w:hanging="284"/>
        <w:rPr>
          <w:bCs/>
          <w:szCs w:val="20"/>
          <w:lang w:val="en"/>
        </w:rPr>
      </w:pPr>
      <w:bookmarkStart w:id="377" w:name="_3zprgjaborql" w:colFirst="0" w:colLast="0"/>
      <w:bookmarkStart w:id="378" w:name="_Toc223088975"/>
      <w:bookmarkEnd w:id="377"/>
      <w:r w:rsidRPr="006810DB">
        <w:rPr>
          <w:bCs/>
          <w:szCs w:val="20"/>
          <w:lang w:val="en"/>
        </w:rPr>
        <w:t>Dampak Penurunan TNF-a terhadap Penyembuhan Mukosa</w:t>
      </w:r>
      <w:bookmarkEnd w:id="378"/>
    </w:p>
    <w:p w14:paraId="0B7FEC5A" w14:textId="2BBAA8B9"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Penurunan kadar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 xml:space="preserve">yang dicapai melalui terapi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bukan sekadar kemenangan statistik di laboratorium; ia memiliki konsekuensi biologis nyata yang langsung dirasakan dalam proses penyembuhan jaringan. Reduksi sitokin ini menghilangkan hambatan utama bagi regenerasi sel dan pemulihan homeostasis. Dampaknya terlihat pada perbaikan struktur pembuluh darah, percepatan penutupan luka, dan penurunan sensasi nyeri yang signifikan, yang semuanya berkontribusi pada peningkatan kualitas hidup subjek yang diteliti.</w:t>
      </w:r>
    </w:p>
    <w:p w14:paraId="73C7E9D7" w14:textId="4AC72818" w:rsidR="00B258B7" w:rsidRPr="006810DB" w:rsidRDefault="00B258B7" w:rsidP="006810DB">
      <w:pPr>
        <w:spacing w:after="0" w:line="276" w:lineRule="auto"/>
        <w:ind w:left="284"/>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Menurunkan kadar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dalam jaringan yang luka mirip dengan memadamkan kerusuhan di zona bencana alam. Selama perusuh (TNF-α\alphaα) masih berkeliaran, mereka memblokir jalan, menjarah bantuan, dan menakuti pekerja medis. Begitu pasukan keamanan (</w:t>
      </w:r>
      <w:r w:rsidRPr="006810DB">
        <w:rPr>
          <w:rFonts w:ascii="Book Antiqua" w:hAnsi="Book Antiqua"/>
          <w:i/>
          <w:iCs/>
          <w:sz w:val="20"/>
          <w:szCs w:val="20"/>
          <w:lang w:val="en"/>
        </w:rPr>
        <w:t>Nigella sativa</w:t>
      </w:r>
      <w:r w:rsidRPr="006810DB">
        <w:rPr>
          <w:rFonts w:ascii="Book Antiqua" w:hAnsi="Book Antiqua"/>
          <w:sz w:val="20"/>
          <w:szCs w:val="20"/>
          <w:lang w:val="en"/>
        </w:rPr>
        <w:t>) berhasil menenangkan perusuh, barikade jalan dibuka (mikrovaskular pulih), tim konstruksi bisa mulai membangun kembali rumah yang hancur (re-epitelisasi), dan sirine tanda bahaya dimatikan sehingga warga bisa tidur tenang (penurunan nyeri). Suasana berubah dari kekacauan menjadi rekonstruksi yang teratur.</w:t>
      </w:r>
    </w:p>
    <w:p w14:paraId="5762C87A" w14:textId="485E4C03" w:rsidR="00B258B7" w:rsidRPr="006810DB" w:rsidRDefault="00B258B7" w:rsidP="006810DB">
      <w:pPr>
        <w:pStyle w:val="ListParagraph"/>
        <w:numPr>
          <w:ilvl w:val="0"/>
          <w:numId w:val="80"/>
        </w:numPr>
        <w:spacing w:after="0" w:line="276" w:lineRule="auto"/>
        <w:ind w:left="567" w:hanging="283"/>
        <w:contextualSpacing w:val="0"/>
        <w:jc w:val="both"/>
        <w:rPr>
          <w:rFonts w:ascii="Book Antiqua" w:hAnsi="Book Antiqua"/>
          <w:b/>
          <w:bCs/>
          <w:sz w:val="20"/>
          <w:szCs w:val="20"/>
          <w:lang w:val="en"/>
        </w:rPr>
      </w:pPr>
      <w:bookmarkStart w:id="379" w:name="_lgsc1o62tuum" w:colFirst="0" w:colLast="0"/>
      <w:bookmarkEnd w:id="379"/>
      <w:r w:rsidRPr="006810DB">
        <w:rPr>
          <w:rFonts w:ascii="Book Antiqua" w:hAnsi="Book Antiqua"/>
          <w:b/>
          <w:bCs/>
          <w:sz w:val="20"/>
          <w:szCs w:val="20"/>
          <w:lang w:val="en"/>
        </w:rPr>
        <w:t>Reduksi Kerusakan Mikrovaskular</w:t>
      </w:r>
    </w:p>
    <w:p w14:paraId="4DE6AD6B" w14:textId="26E62D6F"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 xml:space="preserve">adalah agen perusak pembuluh darah yang kuat. Ia meningkatkan ekspresi molekul adhesi yang menyebabkan penumpukan sel radang dan memicu kematian sel endotel, yang berujung pada trombosis mikro dan iskemia jaringan. Dengan menurunkan kadar TNF-α\alphaα,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melindungi integritas endotel kapiler. Hal ini menjaga aliran darah yang lancar ke area lesi, memastikan pasokan oksigen dan nutrisi yang sangat </w:t>
      </w:r>
      <w:r w:rsidRPr="006810DB">
        <w:rPr>
          <w:rFonts w:ascii="Book Antiqua" w:hAnsi="Book Antiqua"/>
          <w:sz w:val="20"/>
          <w:szCs w:val="20"/>
          <w:lang w:val="en"/>
        </w:rPr>
        <w:lastRenderedPageBreak/>
        <w:t>dibutuhkan untuk proses penyembuhan (Al-Dasooqi et al., 2013).</w:t>
      </w:r>
    </w:p>
    <w:p w14:paraId="72E24792" w14:textId="597FF684"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Selain itu, penurunan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juga mengurangi permeabilitas vaskular yang berlebihan. Ini berarti lebih sedikit cairan plasma yang bocor ke jaringan sekitar, yang secara klinis terlihat sebagai berkurangnya edema atau pembengkakan. Pengurangan edema ini penting karena tekanan jaringan yang lebih rendah memfasilitasi drainase limfatik dan pembuangan sisa-sisa sel mati, menciptakan lingkungan yang bersih untuk regenerasi (Belfiore et al., 2024).</w:t>
      </w:r>
    </w:p>
    <w:p w14:paraId="6DE0ABF0" w14:textId="59F3CB5B" w:rsidR="00B258B7" w:rsidRPr="006810DB" w:rsidRDefault="00B258B7" w:rsidP="006810DB">
      <w:pPr>
        <w:pStyle w:val="ListParagraph"/>
        <w:numPr>
          <w:ilvl w:val="0"/>
          <w:numId w:val="80"/>
        </w:numPr>
        <w:spacing w:after="0" w:line="276" w:lineRule="auto"/>
        <w:ind w:left="567" w:hanging="283"/>
        <w:contextualSpacing w:val="0"/>
        <w:jc w:val="both"/>
        <w:rPr>
          <w:rFonts w:ascii="Book Antiqua" w:hAnsi="Book Antiqua"/>
          <w:b/>
          <w:bCs/>
          <w:sz w:val="20"/>
          <w:szCs w:val="20"/>
          <w:lang w:val="en"/>
        </w:rPr>
      </w:pPr>
      <w:bookmarkStart w:id="380" w:name="_hyddj5g8b72i" w:colFirst="0" w:colLast="0"/>
      <w:bookmarkEnd w:id="380"/>
      <w:r w:rsidRPr="006810DB">
        <w:rPr>
          <w:rFonts w:ascii="Book Antiqua" w:hAnsi="Book Antiqua"/>
          <w:b/>
          <w:bCs/>
          <w:sz w:val="20"/>
          <w:szCs w:val="20"/>
          <w:lang w:val="en"/>
        </w:rPr>
        <w:t>Percepatan Re-epitelisasi Jaringan Ulkus</w:t>
      </w:r>
    </w:p>
    <w:p w14:paraId="5D5A6044" w14:textId="42D7F38C"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Tujuan akhir dari terapi mukositis adalah menutup kembali luka ulkus dengan epitel baru yang sehat.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 xml:space="preserve">menghambat proses ini dengan terus-menerus memicu apoptosis pada sel-sel epitel yang mencoba bermigrasi ke area luka. Dengan menekan TNF-α\alphaα,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menghilangkan rem pada proses re-epitelisasi. Sel-sel basal di tepi ulkus dapat berproliferasi dan bermigrasi dengan lebih cepat untuk menutupi jaringan ikat yang terbuka (Sonis, 2010).</w:t>
      </w:r>
    </w:p>
    <w:p w14:paraId="67D26C1D" w14:textId="494FCF19"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Studi histologis mengkonfirmasi bahwa pada kelompok yang diterapi, lapisan epitel terbentuk kembali lebih cepat dan lebih tebal dibandingkan kontrol. Penurunan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 xml:space="preserve">juga memungkinkan faktor pertumbuhan lain, seperti </w:t>
      </w:r>
      <w:r w:rsidRPr="006810DB">
        <w:rPr>
          <w:rFonts w:ascii="Book Antiqua" w:hAnsi="Book Antiqua"/>
          <w:i/>
          <w:iCs/>
          <w:sz w:val="20"/>
          <w:szCs w:val="20"/>
          <w:lang w:val="en"/>
        </w:rPr>
        <w:t>Epidermal Growth Factor</w:t>
      </w:r>
      <w:r w:rsidRPr="006810DB">
        <w:rPr>
          <w:rFonts w:ascii="Book Antiqua" w:hAnsi="Book Antiqua"/>
          <w:sz w:val="20"/>
          <w:szCs w:val="20"/>
          <w:lang w:val="en"/>
        </w:rPr>
        <w:t xml:space="preserve"> (EGF), bekerja lebih efektif tanpa interferensi sinyal kematian. Hasilnya adalah percepatan waktu penyembuhan luka yang signifikan secara statistik (Kazemi et al., 2022).</w:t>
      </w:r>
    </w:p>
    <w:p w14:paraId="0E8A7559" w14:textId="67AA5938" w:rsidR="00B258B7" w:rsidRPr="006810DB" w:rsidRDefault="00B258B7" w:rsidP="006810DB">
      <w:pPr>
        <w:pStyle w:val="ListParagraph"/>
        <w:numPr>
          <w:ilvl w:val="0"/>
          <w:numId w:val="80"/>
        </w:numPr>
        <w:spacing w:after="0" w:line="276" w:lineRule="auto"/>
        <w:ind w:left="567" w:hanging="283"/>
        <w:contextualSpacing w:val="0"/>
        <w:jc w:val="both"/>
        <w:rPr>
          <w:rFonts w:ascii="Book Antiqua" w:hAnsi="Book Antiqua"/>
          <w:b/>
          <w:bCs/>
          <w:sz w:val="20"/>
          <w:szCs w:val="20"/>
          <w:lang w:val="en"/>
        </w:rPr>
      </w:pPr>
      <w:bookmarkStart w:id="381" w:name="_ncwz8cexv83k" w:colFirst="0" w:colLast="0"/>
      <w:bookmarkEnd w:id="381"/>
      <w:r w:rsidRPr="006810DB">
        <w:rPr>
          <w:rFonts w:ascii="Book Antiqua" w:hAnsi="Book Antiqua"/>
          <w:b/>
          <w:bCs/>
          <w:sz w:val="20"/>
          <w:szCs w:val="20"/>
          <w:lang w:val="en"/>
        </w:rPr>
        <w:t>Penurunan Sensitivitas Nyeri pada Area Lesi</w:t>
      </w:r>
    </w:p>
    <w:p w14:paraId="47C2FC72" w14:textId="0853856F"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Salah satu dampak paling menyiksa dari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adalah kemampuannya untuk mensensitisasi ujung saraf nosiseptif, menyebabkan hiperalgesia (nyeri berlebih).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merangsang saraf untuk melepaskan substansi P dan mediator nyeri lainnya. Penurunan kadar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 xml:space="preserve">oleh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secara </w:t>
      </w:r>
      <w:r w:rsidRPr="006810DB">
        <w:rPr>
          <w:rFonts w:ascii="Book Antiqua" w:hAnsi="Book Antiqua"/>
          <w:sz w:val="20"/>
          <w:szCs w:val="20"/>
          <w:lang w:val="en"/>
        </w:rPr>
        <w:lastRenderedPageBreak/>
        <w:t>langsung mengurangi eksitabilitas saraf ini (Madani et al., 2023).</w:t>
      </w:r>
    </w:p>
    <w:p w14:paraId="1EAA2D7A" w14:textId="6412D862"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Selain itu, karena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juga memicu produksi prostaglandin melalui jalur COX-2, penurunannya memiliki efek analgesik ganda. Pengurangan peradangan dan edema juga mengurangi tekanan fisik pada ujung saraf. Dalam model hewan, hal ini teramati dari perilaku makan yang lebih baik dan penurunan tanda-tanda distres, menunjukkan bahwa hewan merasa lebih nyaman dan bebas nyeri, yang merupakan indikator keberhasilan terapi suportif yang sangat penting (Hannan et al., 2021).</w:t>
      </w:r>
    </w:p>
    <w:p w14:paraId="2F28B96D" w14:textId="77777777" w:rsidR="00E936D5" w:rsidRPr="006810DB" w:rsidRDefault="00E936D5" w:rsidP="006810DB">
      <w:pPr>
        <w:spacing w:after="0" w:line="276" w:lineRule="auto"/>
        <w:jc w:val="both"/>
        <w:rPr>
          <w:rFonts w:ascii="Book Antiqua" w:hAnsi="Book Antiqua"/>
          <w:b/>
          <w:bCs/>
          <w:sz w:val="20"/>
          <w:szCs w:val="20"/>
          <w:lang w:val="en"/>
        </w:rPr>
      </w:pPr>
      <w:bookmarkStart w:id="382" w:name="_a8qlqwzb98vu" w:colFirst="0" w:colLast="0"/>
      <w:bookmarkEnd w:id="382"/>
    </w:p>
    <w:p w14:paraId="0FC0CB9E" w14:textId="77777777" w:rsidR="00564DC0" w:rsidRPr="006810DB" w:rsidRDefault="00564DC0" w:rsidP="006810DB">
      <w:pPr>
        <w:spacing w:line="276" w:lineRule="auto"/>
        <w:rPr>
          <w:rFonts w:ascii="Book Antiqua" w:eastAsiaTheme="majorEastAsia" w:hAnsi="Book Antiqua" w:cstheme="majorBidi"/>
          <w:b/>
          <w:bCs/>
          <w:color w:val="000000" w:themeColor="text1"/>
          <w:sz w:val="20"/>
          <w:szCs w:val="20"/>
          <w:lang w:val="en"/>
        </w:rPr>
      </w:pPr>
      <w:r w:rsidRPr="006810DB">
        <w:rPr>
          <w:rFonts w:ascii="Book Antiqua" w:hAnsi="Book Antiqua"/>
          <w:bCs/>
          <w:szCs w:val="20"/>
          <w:lang w:val="en"/>
        </w:rPr>
        <w:br w:type="page"/>
      </w:r>
    </w:p>
    <w:p w14:paraId="019F5A92" w14:textId="16C7F2F8" w:rsidR="00B258B7" w:rsidRPr="006810DB" w:rsidRDefault="00B258B7" w:rsidP="006810DB">
      <w:pPr>
        <w:pStyle w:val="Heading2"/>
        <w:jc w:val="center"/>
        <w:rPr>
          <w:b w:val="0"/>
          <w:bCs/>
          <w:szCs w:val="20"/>
          <w:lang w:val="en"/>
        </w:rPr>
      </w:pPr>
      <w:bookmarkStart w:id="383" w:name="_Toc223088976"/>
      <w:r w:rsidRPr="006810DB">
        <w:rPr>
          <w:bCs/>
          <w:szCs w:val="20"/>
          <w:lang w:val="en"/>
        </w:rPr>
        <w:lastRenderedPageBreak/>
        <w:t>KESIMPULAN</w:t>
      </w:r>
      <w:bookmarkEnd w:id="383"/>
    </w:p>
    <w:p w14:paraId="35AFB28C" w14:textId="77777777" w:rsidR="00564DC0" w:rsidRPr="006810DB" w:rsidRDefault="00564DC0" w:rsidP="006810DB">
      <w:pPr>
        <w:spacing w:after="0" w:line="276" w:lineRule="auto"/>
        <w:jc w:val="both"/>
        <w:rPr>
          <w:rFonts w:ascii="Book Antiqua" w:hAnsi="Book Antiqua"/>
          <w:b/>
          <w:bCs/>
          <w:sz w:val="20"/>
          <w:szCs w:val="20"/>
          <w:lang w:val="en"/>
        </w:rPr>
      </w:pPr>
    </w:p>
    <w:p w14:paraId="762A47A6" w14:textId="2D250809" w:rsidR="00B258B7" w:rsidRPr="006810DB" w:rsidRDefault="00B258B7" w:rsidP="006810DB">
      <w:pPr>
        <w:spacing w:after="0" w:line="276" w:lineRule="auto"/>
        <w:ind w:firstLine="567"/>
        <w:jc w:val="both"/>
        <w:rPr>
          <w:rFonts w:ascii="Book Antiqua" w:hAnsi="Book Antiqua"/>
          <w:sz w:val="20"/>
          <w:szCs w:val="20"/>
          <w:lang w:val="en"/>
        </w:rPr>
      </w:pPr>
      <w:r w:rsidRPr="006810DB">
        <w:rPr>
          <w:rFonts w:ascii="Book Antiqua" w:hAnsi="Book Antiqua"/>
          <w:sz w:val="20"/>
          <w:szCs w:val="20"/>
          <w:lang w:val="en"/>
        </w:rPr>
        <w:t>Analisis ekspresi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 xml:space="preserve">memberikan bukti tak terbantahkan mengenai mekanisme kerja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dalam meredam mukositis oral. Melalui penghambatan jalur NF-κ\kappaκ</w:t>
      </w:r>
      <w:r w:rsidR="00EA6A41" w:rsidRPr="006810DB">
        <w:rPr>
          <w:rFonts w:ascii="Book Antiqua" w:hAnsi="Book Antiqua"/>
          <w:sz w:val="20"/>
          <w:szCs w:val="20"/>
          <w:lang w:val="en"/>
        </w:rPr>
        <w:t xml:space="preserve"> </w:t>
      </w:r>
      <w:r w:rsidRPr="006810DB">
        <w:rPr>
          <w:rFonts w:ascii="Book Antiqua" w:hAnsi="Book Antiqua"/>
          <w:sz w:val="20"/>
          <w:szCs w:val="20"/>
          <w:lang w:val="en"/>
        </w:rPr>
        <w:t>B, terapi ini secara efektif memutus rantai produksi sitokin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di tingkat transkripsi gen maupun protein. Deteksi menggunakan metode ELISA, RT-PCR, dan imunofluoresensi mengkonfirmasi penurunan drastis sitokin destruktif ini pada jaringan yang diterapi. Konsekuensi biologis dari penurunan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 xml:space="preserve">sangat luas, mencakup perlindungan vaskular, percepatan penutupan luka epitel, dan pengurangan nyeri, yang secara kolektif memvalidasi potensi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sebagai agen anti-inflamasi target-spesifik yang superior.</w:t>
      </w:r>
    </w:p>
    <w:p w14:paraId="14220D05" w14:textId="77777777" w:rsidR="00E936D5" w:rsidRPr="006810DB" w:rsidRDefault="00E936D5" w:rsidP="006810DB">
      <w:pPr>
        <w:spacing w:line="276" w:lineRule="auto"/>
        <w:rPr>
          <w:rFonts w:ascii="Book Antiqua" w:hAnsi="Book Antiqua"/>
          <w:b/>
          <w:bCs/>
          <w:sz w:val="20"/>
          <w:szCs w:val="20"/>
          <w:lang w:val="en"/>
        </w:rPr>
      </w:pPr>
      <w:bookmarkStart w:id="384" w:name="_avy1rqcsmgum" w:colFirst="0" w:colLast="0"/>
      <w:bookmarkEnd w:id="384"/>
      <w:r w:rsidRPr="006810DB">
        <w:rPr>
          <w:rFonts w:ascii="Book Antiqua" w:hAnsi="Book Antiqua"/>
          <w:b/>
          <w:bCs/>
          <w:sz w:val="20"/>
          <w:szCs w:val="20"/>
          <w:lang w:val="en"/>
        </w:rPr>
        <w:br w:type="page"/>
      </w:r>
    </w:p>
    <w:p w14:paraId="4617D559" w14:textId="77777777" w:rsidR="00824155" w:rsidRPr="006810DB" w:rsidRDefault="00824155" w:rsidP="00824155">
      <w:pPr>
        <w:pStyle w:val="Heading2"/>
        <w:jc w:val="center"/>
      </w:pPr>
      <w:bookmarkStart w:id="385" w:name="_Toc223088977"/>
      <w:r w:rsidRPr="006810DB">
        <w:lastRenderedPageBreak/>
        <w:t>GLOSARIUM</w:t>
      </w:r>
      <w:bookmarkEnd w:id="385"/>
    </w:p>
    <w:p w14:paraId="1B609EF6" w14:textId="77777777" w:rsidR="00824155" w:rsidRPr="006810DB" w:rsidRDefault="00824155" w:rsidP="00824155">
      <w:pPr>
        <w:spacing w:after="0" w:line="276" w:lineRule="auto"/>
        <w:jc w:val="both"/>
        <w:rPr>
          <w:rFonts w:ascii="Book Antiqua" w:hAnsi="Book Antiqua"/>
          <w:b/>
          <w:bCs/>
          <w:sz w:val="20"/>
          <w:szCs w:val="20"/>
          <w:lang w:val="en"/>
        </w:rPr>
      </w:pPr>
    </w:p>
    <w:p w14:paraId="64BEFEDC"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ELISA (</w:t>
      </w:r>
      <w:r w:rsidRPr="006810DB">
        <w:rPr>
          <w:rFonts w:ascii="Book Antiqua" w:hAnsi="Book Antiqua"/>
          <w:b/>
          <w:bCs/>
          <w:i/>
          <w:iCs/>
          <w:sz w:val="20"/>
          <w:szCs w:val="20"/>
          <w:lang w:val="en"/>
        </w:rPr>
        <w:t>Enzyme-Linked Immunosorbent Assay</w:t>
      </w:r>
      <w:r w:rsidRPr="006810DB">
        <w:rPr>
          <w:rFonts w:ascii="Book Antiqua" w:hAnsi="Book Antiqua"/>
          <w:b/>
          <w:bCs/>
          <w:sz w:val="20"/>
          <w:szCs w:val="20"/>
          <w:lang w:val="en"/>
        </w:rPr>
        <w:t>):</w:t>
      </w:r>
      <w:r w:rsidRPr="006810DB">
        <w:rPr>
          <w:rFonts w:ascii="Book Antiqua" w:hAnsi="Book Antiqua"/>
          <w:sz w:val="20"/>
          <w:szCs w:val="20"/>
          <w:lang w:val="en"/>
        </w:rPr>
        <w:t xml:space="preserve"> Metode laboratorium berbasis pelat yang dirancang untuk mendeteksi dan mengukur zat seperti peptida, protein, antibodi, dan hormon.</w:t>
      </w:r>
    </w:p>
    <w:p w14:paraId="0E44204E"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Imunofluoresensi</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Teknik yang menggunakan antibodi yang terikat secara kimiawi dengan pewarna fluoresen untuk memvisualisasikan distribusi molekul target dalam sel atau jaringan di bawah mikroskop.</w:t>
      </w:r>
    </w:p>
    <w:p w14:paraId="669816C4"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Loop Autokrin</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Mekanisme di mana sel memproduksi sinyal kimia (seperti sitokin) yang kemudian berikatan dengan reseptor pada sel itu sendiri, memicu respons yang berkelanjutan.</w:t>
      </w:r>
    </w:p>
    <w:p w14:paraId="73AE5383"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RT-PCR (</w:t>
      </w:r>
      <w:r w:rsidRPr="006810DB">
        <w:rPr>
          <w:rFonts w:ascii="Book Antiqua" w:hAnsi="Book Antiqua"/>
          <w:b/>
          <w:bCs/>
          <w:i/>
          <w:iCs/>
          <w:sz w:val="20"/>
          <w:szCs w:val="20"/>
          <w:lang w:val="en"/>
        </w:rPr>
        <w:t>Reverse Transcription-Polymerase Chain Reaction</w:t>
      </w:r>
      <w:r w:rsidRPr="006810DB">
        <w:rPr>
          <w:rFonts w:ascii="Book Antiqua" w:hAnsi="Book Antiqua"/>
          <w:b/>
          <w:bCs/>
          <w:sz w:val="20"/>
          <w:szCs w:val="20"/>
          <w:lang w:val="en"/>
        </w:rPr>
        <w:t>):</w:t>
      </w:r>
      <w:r w:rsidRPr="006810DB">
        <w:rPr>
          <w:rFonts w:ascii="Book Antiqua" w:hAnsi="Book Antiqua"/>
          <w:sz w:val="20"/>
          <w:szCs w:val="20"/>
          <w:lang w:val="en"/>
        </w:rPr>
        <w:t xml:space="preserve"> Teknik laboratorium yang menggabungkan transkripsi balik RNA menjadi DNA dan amplifikasi target DNA spesifik menggunakan PCR, digunakan untuk mengukur ekspresi gen.</w:t>
      </w:r>
    </w:p>
    <w:p w14:paraId="01C6C187" w14:textId="77777777" w:rsidR="00824155" w:rsidRPr="006810DB" w:rsidRDefault="00824155" w:rsidP="00824155">
      <w:pPr>
        <w:tabs>
          <w:tab w:val="left" w:pos="2127"/>
        </w:tabs>
        <w:spacing w:after="0" w:line="276" w:lineRule="auto"/>
        <w:ind w:left="2268" w:hanging="2268"/>
        <w:jc w:val="both"/>
        <w:rPr>
          <w:rFonts w:ascii="Book Antiqua" w:hAnsi="Book Antiqua"/>
          <w:b/>
          <w:bCs/>
          <w:sz w:val="20"/>
          <w:szCs w:val="20"/>
          <w:lang w:val="en"/>
        </w:rPr>
      </w:pPr>
      <w:r w:rsidRPr="006810DB">
        <w:rPr>
          <w:rFonts w:ascii="Book Antiqua" w:hAnsi="Book Antiqua"/>
          <w:b/>
          <w:bCs/>
          <w:sz w:val="20"/>
          <w:szCs w:val="20"/>
          <w:lang w:val="en"/>
        </w:rPr>
        <w:t>TNF-α\alphaα (</w:t>
      </w:r>
      <w:r w:rsidRPr="006810DB">
        <w:rPr>
          <w:rFonts w:ascii="Book Antiqua" w:hAnsi="Book Antiqua"/>
          <w:b/>
          <w:bCs/>
          <w:i/>
          <w:iCs/>
          <w:sz w:val="20"/>
          <w:szCs w:val="20"/>
          <w:lang w:val="en"/>
        </w:rPr>
        <w:t>Tumor Necrosis Factor-alpha</w:t>
      </w:r>
      <w:r w:rsidRPr="006810DB">
        <w:rPr>
          <w:rFonts w:ascii="Book Antiqua" w:hAnsi="Book Antiqua"/>
          <w:b/>
          <w:bCs/>
          <w:sz w:val="20"/>
          <w:szCs w:val="20"/>
          <w:lang w:val="en"/>
        </w:rPr>
        <w:t>):</w:t>
      </w:r>
      <w:r w:rsidRPr="006810DB">
        <w:rPr>
          <w:rFonts w:ascii="Book Antiqua" w:hAnsi="Book Antiqua"/>
          <w:sz w:val="20"/>
          <w:szCs w:val="20"/>
          <w:lang w:val="en"/>
        </w:rPr>
        <w:t xml:space="preserve"> Sitokin pro-inflamasi utama yang diproduksi oleh makrofag/monosit selama peradangan akut, berperan dalam sinyal kematian sel (apoptosis) dan regulasi sel imun.</w:t>
      </w:r>
    </w:p>
    <w:p w14:paraId="40FB121D" w14:textId="77777777" w:rsidR="00824155" w:rsidRPr="006810DB" w:rsidRDefault="00824155" w:rsidP="00824155">
      <w:pPr>
        <w:spacing w:line="276" w:lineRule="auto"/>
        <w:rPr>
          <w:rFonts w:ascii="Book Antiqua" w:hAnsi="Book Antiqua"/>
          <w:b/>
          <w:bCs/>
          <w:sz w:val="20"/>
          <w:szCs w:val="20"/>
          <w:lang w:val="en"/>
        </w:rPr>
      </w:pPr>
      <w:bookmarkStart w:id="386" w:name="_q148e9dwnnu" w:colFirst="0" w:colLast="0"/>
      <w:bookmarkEnd w:id="386"/>
      <w:r w:rsidRPr="006810DB">
        <w:rPr>
          <w:rFonts w:ascii="Book Antiqua" w:hAnsi="Book Antiqua"/>
          <w:b/>
          <w:bCs/>
          <w:sz w:val="20"/>
          <w:szCs w:val="20"/>
          <w:lang w:val="en"/>
        </w:rPr>
        <w:br w:type="page"/>
      </w:r>
    </w:p>
    <w:p w14:paraId="357608CF" w14:textId="77777777" w:rsidR="007B1816" w:rsidRPr="006810DB" w:rsidRDefault="007B1816" w:rsidP="006810DB">
      <w:pPr>
        <w:pStyle w:val="Heading2"/>
        <w:jc w:val="center"/>
        <w:rPr>
          <w:rFonts w:eastAsia="DengXian"/>
          <w:lang w:eastAsia="zh-CN"/>
        </w:rPr>
      </w:pPr>
      <w:bookmarkStart w:id="387" w:name="_Toc223088978"/>
      <w:r w:rsidRPr="006810DB">
        <w:lastRenderedPageBreak/>
        <w:t>DAFTAR PUSTAKA</w:t>
      </w:r>
      <w:bookmarkEnd w:id="387"/>
    </w:p>
    <w:p w14:paraId="0C3CADDE" w14:textId="77777777" w:rsidR="007B1816" w:rsidRPr="006810DB" w:rsidRDefault="007B1816" w:rsidP="006810DB">
      <w:pPr>
        <w:spacing w:after="0" w:line="276" w:lineRule="auto"/>
        <w:jc w:val="both"/>
        <w:rPr>
          <w:rFonts w:ascii="Book Antiqua" w:hAnsi="Book Antiqua"/>
          <w:b/>
          <w:bCs/>
          <w:sz w:val="20"/>
          <w:szCs w:val="20"/>
          <w:lang w:val="en"/>
        </w:rPr>
      </w:pPr>
    </w:p>
    <w:p w14:paraId="0EE6C7C3" w14:textId="77777777" w:rsidR="007B1816" w:rsidRPr="006810DB" w:rsidRDefault="007B181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Al-Dasooqi, N., Sonis, S. T., Bowen, J. M., Bateman, E., Biers, K., Gibson, R. J., ... &amp; Keefe, D. M. (2013). The role of inflammation in the pathogenesis of oral mucositis. </w:t>
      </w:r>
      <w:r w:rsidRPr="006810DB">
        <w:rPr>
          <w:rFonts w:ascii="Book Antiqua" w:hAnsi="Book Antiqua"/>
          <w:i/>
          <w:iCs/>
          <w:color w:val="000000" w:themeColor="text1"/>
          <w:sz w:val="20"/>
          <w:szCs w:val="20"/>
          <w:lang w:val="en"/>
        </w:rPr>
        <w:t>Supportive Care in 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21</w:t>
      </w:r>
      <w:r w:rsidRPr="006810DB">
        <w:rPr>
          <w:rFonts w:ascii="Book Antiqua" w:hAnsi="Book Antiqua"/>
          <w:color w:val="000000" w:themeColor="text1"/>
          <w:sz w:val="20"/>
          <w:szCs w:val="20"/>
          <w:lang w:val="en"/>
        </w:rPr>
        <w:t>(11), 3191-3200.</w:t>
      </w:r>
      <w:hyperlink r:id="rId281">
        <w:r w:rsidRPr="006810DB">
          <w:rPr>
            <w:rStyle w:val="Hyperlink"/>
            <w:rFonts w:ascii="Book Antiqua" w:hAnsi="Book Antiqua"/>
            <w:color w:val="000000" w:themeColor="text1"/>
            <w:sz w:val="20"/>
            <w:szCs w:val="20"/>
            <w:u w:val="none"/>
            <w:lang w:val="en"/>
          </w:rPr>
          <w:t xml:space="preserve"> </w:t>
        </w:r>
      </w:hyperlink>
      <w:hyperlink r:id="rId282">
        <w:r w:rsidRPr="006810DB">
          <w:rPr>
            <w:rStyle w:val="Hyperlink"/>
            <w:rFonts w:ascii="Book Antiqua" w:hAnsi="Book Antiqua"/>
            <w:color w:val="000000" w:themeColor="text1"/>
            <w:sz w:val="20"/>
            <w:szCs w:val="20"/>
            <w:u w:val="none"/>
            <w:lang w:val="en"/>
          </w:rPr>
          <w:t>https://doi.org/10.1007/s00520-013-1921-2</w:t>
        </w:r>
      </w:hyperlink>
    </w:p>
    <w:p w14:paraId="468A3A76" w14:textId="77777777" w:rsidR="007B1816" w:rsidRPr="006810DB" w:rsidRDefault="007B181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Belfiore, E., Di Prima, G., Angellotti, G., Panzarella, V., &amp; De Caro, V. (2024). Plant-Derived Polyphenols to Prevent and Treat Oral Mucositis Induced by Chemo- and Radiotherapy in Head and Neck Cancers Management. </w:t>
      </w:r>
      <w:r w:rsidRPr="006810DB">
        <w:rPr>
          <w:rFonts w:ascii="Book Antiqua" w:hAnsi="Book Antiqua"/>
          <w:i/>
          <w:iCs/>
          <w:color w:val="000000" w:themeColor="text1"/>
          <w:sz w:val="20"/>
          <w:szCs w:val="20"/>
          <w:lang w:val="en"/>
        </w:rPr>
        <w:t>Cancers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16</w:t>
      </w:r>
      <w:r w:rsidRPr="006810DB">
        <w:rPr>
          <w:rFonts w:ascii="Book Antiqua" w:hAnsi="Book Antiqua"/>
          <w:color w:val="000000" w:themeColor="text1"/>
          <w:sz w:val="20"/>
          <w:szCs w:val="20"/>
          <w:lang w:val="en"/>
        </w:rPr>
        <w:t>(2), 260.</w:t>
      </w:r>
      <w:hyperlink r:id="rId283">
        <w:r w:rsidRPr="006810DB">
          <w:rPr>
            <w:rStyle w:val="Hyperlink"/>
            <w:rFonts w:ascii="Book Antiqua" w:hAnsi="Book Antiqua"/>
            <w:color w:val="000000" w:themeColor="text1"/>
            <w:sz w:val="20"/>
            <w:szCs w:val="20"/>
            <w:u w:val="none"/>
            <w:lang w:val="en"/>
          </w:rPr>
          <w:t xml:space="preserve"> </w:t>
        </w:r>
      </w:hyperlink>
      <w:hyperlink r:id="rId284">
        <w:r w:rsidRPr="006810DB">
          <w:rPr>
            <w:rStyle w:val="Hyperlink"/>
            <w:rFonts w:ascii="Book Antiqua" w:hAnsi="Book Antiqua"/>
            <w:color w:val="000000" w:themeColor="text1"/>
            <w:sz w:val="20"/>
            <w:szCs w:val="20"/>
            <w:u w:val="none"/>
            <w:lang w:val="en"/>
          </w:rPr>
          <w:t>https://doi.org/10.3390/cancers16020260</w:t>
        </w:r>
      </w:hyperlink>
    </w:p>
    <w:p w14:paraId="3FF1AAAB" w14:textId="77777777" w:rsidR="007B1816" w:rsidRPr="006810DB" w:rsidRDefault="007B181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Hannan, M. A., Sohag, A. A. M., Uddin, M. J., Dash, R., Sikder, M. H., Rahman, M. S., ... &amp; Kim, B. (2021). Black Cumin (Nigella sativa L.): A Comprehensive Review on Phytochemistry, Health Benefits, Molecular Pharmacology, and Safety. </w:t>
      </w:r>
      <w:r w:rsidRPr="006810DB">
        <w:rPr>
          <w:rFonts w:ascii="Book Antiqua" w:hAnsi="Book Antiqua"/>
          <w:i/>
          <w:iCs/>
          <w:color w:val="000000" w:themeColor="text1"/>
          <w:sz w:val="20"/>
          <w:szCs w:val="20"/>
          <w:lang w:val="en"/>
        </w:rPr>
        <w:t>Nutrients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13</w:t>
      </w:r>
      <w:r w:rsidRPr="006810DB">
        <w:rPr>
          <w:rFonts w:ascii="Book Antiqua" w:hAnsi="Book Antiqua"/>
          <w:color w:val="000000" w:themeColor="text1"/>
          <w:sz w:val="20"/>
          <w:szCs w:val="20"/>
          <w:lang w:val="en"/>
        </w:rPr>
        <w:t>(6), 1784.</w:t>
      </w:r>
      <w:hyperlink r:id="rId285">
        <w:r w:rsidRPr="006810DB">
          <w:rPr>
            <w:rStyle w:val="Hyperlink"/>
            <w:rFonts w:ascii="Book Antiqua" w:hAnsi="Book Antiqua"/>
            <w:color w:val="000000" w:themeColor="text1"/>
            <w:sz w:val="20"/>
            <w:szCs w:val="20"/>
            <w:u w:val="none"/>
            <w:lang w:val="en"/>
          </w:rPr>
          <w:t xml:space="preserve"> </w:t>
        </w:r>
      </w:hyperlink>
      <w:hyperlink r:id="rId286">
        <w:r w:rsidRPr="006810DB">
          <w:rPr>
            <w:rStyle w:val="Hyperlink"/>
            <w:rFonts w:ascii="Book Antiqua" w:hAnsi="Book Antiqua"/>
            <w:color w:val="000000" w:themeColor="text1"/>
            <w:sz w:val="20"/>
            <w:szCs w:val="20"/>
            <w:u w:val="none"/>
            <w:lang w:val="en"/>
          </w:rPr>
          <w:t>https://doi.org/10.3390/nu13061784</w:t>
        </w:r>
      </w:hyperlink>
    </w:p>
    <w:p w14:paraId="352D27E1" w14:textId="77777777" w:rsidR="007B1816" w:rsidRPr="006810DB" w:rsidRDefault="007B181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Kadarullah, O., Tamtomo, D., Wasita, B., Setiamika, M., Prayitno, A., Widyaningsih, V., &amp; Soetrisno, S. (2024). Cisplatin-Induced Oral Mucositis Prevention: Nigella sativa’s Anti-Inflammatory Role through NFκB Pathway. </w:t>
      </w:r>
      <w:r w:rsidRPr="006810DB">
        <w:rPr>
          <w:rFonts w:ascii="Book Antiqua" w:hAnsi="Book Antiqua"/>
          <w:i/>
          <w:iCs/>
          <w:color w:val="000000" w:themeColor="text1"/>
          <w:sz w:val="20"/>
          <w:szCs w:val="20"/>
          <w:lang w:val="en"/>
        </w:rPr>
        <w:t>Trends in Sciences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21</w:t>
      </w:r>
      <w:r w:rsidRPr="006810DB">
        <w:rPr>
          <w:rFonts w:ascii="Book Antiqua" w:hAnsi="Book Antiqua"/>
          <w:color w:val="000000" w:themeColor="text1"/>
          <w:sz w:val="20"/>
          <w:szCs w:val="20"/>
          <w:lang w:val="en"/>
        </w:rPr>
        <w:t>(1), 8105.</w:t>
      </w:r>
      <w:hyperlink r:id="rId287">
        <w:r w:rsidRPr="006810DB">
          <w:rPr>
            <w:rStyle w:val="Hyperlink"/>
            <w:rFonts w:ascii="Book Antiqua" w:hAnsi="Book Antiqua"/>
            <w:color w:val="000000" w:themeColor="text1"/>
            <w:sz w:val="20"/>
            <w:szCs w:val="20"/>
            <w:u w:val="none"/>
            <w:lang w:val="en"/>
          </w:rPr>
          <w:t xml:space="preserve"> </w:t>
        </w:r>
      </w:hyperlink>
      <w:hyperlink r:id="rId288">
        <w:r w:rsidRPr="006810DB">
          <w:rPr>
            <w:rStyle w:val="Hyperlink"/>
            <w:rFonts w:ascii="Book Antiqua" w:hAnsi="Book Antiqua"/>
            <w:color w:val="000000" w:themeColor="text1"/>
            <w:sz w:val="20"/>
            <w:szCs w:val="20"/>
            <w:u w:val="none"/>
            <w:lang w:val="en"/>
          </w:rPr>
          <w:t>https://doi.org/10.48048/tis.2024.8105</w:t>
        </w:r>
      </w:hyperlink>
    </w:p>
    <w:p w14:paraId="205FC0B3" w14:textId="77777777" w:rsidR="007B1816" w:rsidRPr="006810DB" w:rsidRDefault="007B181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Kazemi, S., Moghadamnia, A., Saebnouri, H., Roudsari, S., &amp; Afraz, E. (2022). Effect of intraperitoneal injection of Nigella sativa oil on 5-fluorouracil-induced oral mucositis in rats. </w:t>
      </w:r>
      <w:r w:rsidRPr="006810DB">
        <w:rPr>
          <w:rFonts w:ascii="Book Antiqua" w:hAnsi="Book Antiqua"/>
          <w:i/>
          <w:iCs/>
          <w:color w:val="000000" w:themeColor="text1"/>
          <w:sz w:val="20"/>
          <w:szCs w:val="20"/>
          <w:lang w:val="en"/>
        </w:rPr>
        <w:t>Journal of Biological Studies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w:t>
      </w:r>
      <w:r w:rsidRPr="006810DB">
        <w:rPr>
          <w:rFonts w:ascii="Book Antiqua" w:hAnsi="Book Antiqua"/>
          <w:color w:val="000000" w:themeColor="text1"/>
          <w:sz w:val="20"/>
          <w:szCs w:val="20"/>
          <w:lang w:val="en"/>
        </w:rPr>
        <w:t>(1), 6365.</w:t>
      </w:r>
      <w:hyperlink r:id="rId289">
        <w:r w:rsidRPr="006810DB">
          <w:rPr>
            <w:rStyle w:val="Hyperlink"/>
            <w:rFonts w:ascii="Book Antiqua" w:hAnsi="Book Antiqua"/>
            <w:color w:val="000000" w:themeColor="text1"/>
            <w:sz w:val="20"/>
            <w:szCs w:val="20"/>
            <w:u w:val="none"/>
            <w:lang w:val="en"/>
          </w:rPr>
          <w:t xml:space="preserve"> </w:t>
        </w:r>
      </w:hyperlink>
      <w:hyperlink r:id="rId290">
        <w:r w:rsidRPr="006810DB">
          <w:rPr>
            <w:rStyle w:val="Hyperlink"/>
            <w:rFonts w:ascii="Book Antiqua" w:hAnsi="Book Antiqua"/>
            <w:color w:val="000000" w:themeColor="text1"/>
            <w:sz w:val="20"/>
            <w:szCs w:val="20"/>
            <w:u w:val="none"/>
            <w:lang w:val="en"/>
          </w:rPr>
          <w:t>https://doi.org/10.62400/jbs.v5i1.6365</w:t>
        </w:r>
      </w:hyperlink>
    </w:p>
    <w:p w14:paraId="14706454" w14:textId="77777777" w:rsidR="007B1816" w:rsidRPr="006810DB" w:rsidRDefault="007B181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Madani, F., Kazemi, S., Shirafkan, F., Lotfi, M., Hosseini, S., &amp; Moghadamnia, A. (2023). Thymoquinone protects against 5</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Fluorouracil</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induced mucositis by NF</w:t>
      </w:r>
      <w:r w:rsidRPr="006810DB">
        <w:rPr>
          <w:rFonts w:ascii="Times New Roman" w:hAnsi="Times New Roman" w:cs="Times New Roman"/>
          <w:color w:val="000000" w:themeColor="text1"/>
          <w:sz w:val="20"/>
          <w:szCs w:val="20"/>
          <w:lang w:val="en"/>
        </w:rPr>
        <w:t>‐</w:t>
      </w:r>
      <w:r w:rsidRPr="006810DB">
        <w:rPr>
          <w:rFonts w:ascii="Book Antiqua" w:hAnsi="Book Antiqua" w:cs="Book Antiqua"/>
          <w:color w:val="000000" w:themeColor="text1"/>
          <w:sz w:val="20"/>
          <w:szCs w:val="20"/>
          <w:lang w:val="en"/>
        </w:rPr>
        <w:t>κβ</w:t>
      </w:r>
      <w:r w:rsidRPr="006810DB">
        <w:rPr>
          <w:rFonts w:ascii="Book Antiqua" w:hAnsi="Book Antiqua"/>
          <w:color w:val="000000" w:themeColor="text1"/>
          <w:sz w:val="20"/>
          <w:szCs w:val="20"/>
          <w:lang w:val="en"/>
        </w:rPr>
        <w:t xml:space="preserve"> and HIF</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 xml:space="preserve">1 mechanisms in mice. </w:t>
      </w:r>
      <w:r w:rsidRPr="006810DB">
        <w:rPr>
          <w:rFonts w:ascii="Book Antiqua" w:hAnsi="Book Antiqua"/>
          <w:i/>
          <w:iCs/>
          <w:color w:val="000000" w:themeColor="text1"/>
          <w:sz w:val="20"/>
          <w:szCs w:val="20"/>
          <w:lang w:val="en"/>
        </w:rPr>
        <w:t>Journal of Biochemical and Molecular Toxicology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37</w:t>
      </w:r>
      <w:r w:rsidRPr="006810DB">
        <w:rPr>
          <w:rFonts w:ascii="Book Antiqua" w:hAnsi="Book Antiqua"/>
          <w:color w:val="000000" w:themeColor="text1"/>
          <w:sz w:val="20"/>
          <w:szCs w:val="20"/>
          <w:lang w:val="en"/>
        </w:rPr>
        <w:t>(6), e23405.</w:t>
      </w:r>
      <w:hyperlink r:id="rId291">
        <w:r w:rsidRPr="006810DB">
          <w:rPr>
            <w:rStyle w:val="Hyperlink"/>
            <w:rFonts w:ascii="Book Antiqua" w:hAnsi="Book Antiqua"/>
            <w:color w:val="000000" w:themeColor="text1"/>
            <w:sz w:val="20"/>
            <w:szCs w:val="20"/>
            <w:u w:val="none"/>
            <w:lang w:val="en"/>
          </w:rPr>
          <w:t xml:space="preserve"> </w:t>
        </w:r>
      </w:hyperlink>
      <w:hyperlink r:id="rId292">
        <w:r w:rsidRPr="006810DB">
          <w:rPr>
            <w:rStyle w:val="Hyperlink"/>
            <w:rFonts w:ascii="Book Antiqua" w:hAnsi="Book Antiqua"/>
            <w:color w:val="000000" w:themeColor="text1"/>
            <w:sz w:val="20"/>
            <w:szCs w:val="20"/>
            <w:u w:val="none"/>
            <w:lang w:val="en"/>
          </w:rPr>
          <w:t>https://doi.org/10.1002/jbt.23405</w:t>
        </w:r>
      </w:hyperlink>
    </w:p>
    <w:p w14:paraId="36C5A110" w14:textId="77777777" w:rsidR="007B1816" w:rsidRPr="006810DB" w:rsidRDefault="007B1816" w:rsidP="006810DB">
      <w:pPr>
        <w:spacing w:line="276" w:lineRule="auto"/>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br w:type="page"/>
      </w:r>
    </w:p>
    <w:p w14:paraId="56C0C5A4" w14:textId="77777777" w:rsidR="007B1816" w:rsidRPr="006810DB" w:rsidRDefault="007B181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Salcan, I., Dilber, M., Suleyman, Z., Yucel, N., Salcan, S., Kesan, S., Yazici, G., Çelik, F., Koseturk, M., Alp, N., &amp; Suleyman, H. (2025). Protective effect of adenosine triphosphate against cisplatin-induced necrotic and degenerative oral mucositis in rats. </w:t>
      </w:r>
      <w:r w:rsidRPr="006810DB">
        <w:rPr>
          <w:rFonts w:ascii="Book Antiqua" w:hAnsi="Book Antiqua"/>
          <w:i/>
          <w:iCs/>
          <w:color w:val="000000" w:themeColor="text1"/>
          <w:sz w:val="20"/>
          <w:szCs w:val="20"/>
          <w:lang w:val="en"/>
        </w:rPr>
        <w:t>Journal of Applied Oral Science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33</w:t>
      </w:r>
      <w:r w:rsidRPr="006810DB">
        <w:rPr>
          <w:rFonts w:ascii="Book Antiqua" w:hAnsi="Book Antiqua"/>
          <w:color w:val="000000" w:themeColor="text1"/>
          <w:sz w:val="20"/>
          <w:szCs w:val="20"/>
          <w:lang w:val="en"/>
        </w:rPr>
        <w:t>, e20240366.</w:t>
      </w:r>
      <w:hyperlink r:id="rId293">
        <w:r w:rsidRPr="006810DB">
          <w:rPr>
            <w:rStyle w:val="Hyperlink"/>
            <w:rFonts w:ascii="Book Antiqua" w:hAnsi="Book Antiqua"/>
            <w:color w:val="000000" w:themeColor="text1"/>
            <w:sz w:val="20"/>
            <w:szCs w:val="20"/>
            <w:u w:val="none"/>
            <w:lang w:val="en"/>
          </w:rPr>
          <w:t xml:space="preserve"> </w:t>
        </w:r>
      </w:hyperlink>
      <w:hyperlink r:id="rId294">
        <w:r w:rsidRPr="006810DB">
          <w:rPr>
            <w:rStyle w:val="Hyperlink"/>
            <w:rFonts w:ascii="Book Antiqua" w:hAnsi="Book Antiqua"/>
            <w:color w:val="000000" w:themeColor="text1"/>
            <w:sz w:val="20"/>
            <w:szCs w:val="20"/>
            <w:u w:val="none"/>
            <w:lang w:val="en"/>
          </w:rPr>
          <w:t>https://doi.org/10.1590/1678-7757-2025-0007</w:t>
        </w:r>
      </w:hyperlink>
    </w:p>
    <w:p w14:paraId="3C6B14D2" w14:textId="77777777" w:rsidR="007B1816" w:rsidRPr="006810DB" w:rsidRDefault="007B1816" w:rsidP="006810DB">
      <w:pPr>
        <w:spacing w:after="120" w:line="276" w:lineRule="auto"/>
        <w:ind w:left="567" w:hanging="567"/>
        <w:jc w:val="both"/>
        <w:rPr>
          <w:rFonts w:ascii="Book Antiqua" w:hAnsi="Book Antiqua"/>
          <w:sz w:val="20"/>
          <w:szCs w:val="20"/>
          <w:lang w:val="en"/>
        </w:rPr>
      </w:pPr>
      <w:r w:rsidRPr="006810DB">
        <w:rPr>
          <w:rFonts w:ascii="Book Antiqua" w:hAnsi="Book Antiqua"/>
          <w:color w:val="000000" w:themeColor="text1"/>
          <w:sz w:val="20"/>
          <w:szCs w:val="20"/>
          <w:lang w:val="en"/>
        </w:rPr>
        <w:t xml:space="preserve">Sonis, S. T. (2010). The pathobiology of mucositis. </w:t>
      </w:r>
      <w:r w:rsidRPr="006810DB">
        <w:rPr>
          <w:rFonts w:ascii="Book Antiqua" w:hAnsi="Book Antiqua"/>
          <w:i/>
          <w:iCs/>
          <w:color w:val="000000" w:themeColor="text1"/>
          <w:sz w:val="20"/>
          <w:szCs w:val="20"/>
          <w:lang w:val="en"/>
        </w:rPr>
        <w:t>Nature Reviews 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w:t>
      </w:r>
      <w:r w:rsidRPr="006810DB">
        <w:rPr>
          <w:rFonts w:ascii="Book Antiqua" w:hAnsi="Book Antiqua"/>
          <w:color w:val="000000" w:themeColor="text1"/>
          <w:sz w:val="20"/>
          <w:szCs w:val="20"/>
          <w:lang w:val="en"/>
        </w:rPr>
        <w:t>(4), 277-284.</w:t>
      </w:r>
      <w:hyperlink r:id="rId295">
        <w:r w:rsidRPr="006810DB">
          <w:rPr>
            <w:rStyle w:val="Hyperlink"/>
            <w:rFonts w:ascii="Book Antiqua" w:hAnsi="Book Antiqua"/>
            <w:color w:val="000000" w:themeColor="text1"/>
            <w:sz w:val="20"/>
            <w:szCs w:val="20"/>
            <w:u w:val="none"/>
            <w:lang w:val="en"/>
          </w:rPr>
          <w:t xml:space="preserve"> </w:t>
        </w:r>
      </w:hyperlink>
      <w:hyperlink r:id="rId296">
        <w:r w:rsidRPr="006810DB">
          <w:rPr>
            <w:rStyle w:val="Hyperlink"/>
            <w:rFonts w:ascii="Book Antiqua" w:hAnsi="Book Antiqua"/>
            <w:color w:val="000000" w:themeColor="text1"/>
            <w:sz w:val="20"/>
            <w:szCs w:val="20"/>
            <w:u w:val="none"/>
            <w:lang w:val="en"/>
          </w:rPr>
          <w:t>https://doi.org/10.1038/nrc2812</w:t>
        </w:r>
      </w:hyperlink>
    </w:p>
    <w:p w14:paraId="730A99DF" w14:textId="77777777" w:rsidR="007B1816" w:rsidRPr="006810DB" w:rsidRDefault="007B1816" w:rsidP="006810DB">
      <w:pPr>
        <w:spacing w:after="0" w:line="276" w:lineRule="auto"/>
        <w:jc w:val="both"/>
        <w:rPr>
          <w:rFonts w:ascii="Book Antiqua" w:hAnsi="Book Antiqua"/>
          <w:b/>
          <w:bCs/>
          <w:sz w:val="20"/>
          <w:szCs w:val="20"/>
          <w:lang w:val="en"/>
        </w:rPr>
      </w:pPr>
      <w:bookmarkStart w:id="388" w:name="_jbqp27sewkz2" w:colFirst="0" w:colLast="0"/>
      <w:bookmarkEnd w:id="388"/>
    </w:p>
    <w:p w14:paraId="78BDFB31" w14:textId="77777777" w:rsidR="007B1816" w:rsidRPr="006810DB" w:rsidRDefault="007B1816"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0FD9A741" w14:textId="3367C145" w:rsidR="00D0395B" w:rsidRPr="006810DB" w:rsidRDefault="00D0395B" w:rsidP="006810DB">
      <w:pPr>
        <w:pStyle w:val="Heading1"/>
        <w:spacing w:before="0" w:line="276" w:lineRule="auto"/>
        <w:ind w:firstLine="142"/>
        <w:rPr>
          <w:b/>
          <w:bCs/>
          <w:szCs w:val="20"/>
          <w:lang w:val="en"/>
        </w:rPr>
      </w:pPr>
      <w:bookmarkStart w:id="389" w:name="_Toc223088979"/>
      <w:r w:rsidRPr="006810DB">
        <w:rPr>
          <w:b/>
          <w:noProof/>
          <w:sz w:val="48"/>
          <w:szCs w:val="20"/>
          <w:lang w:val="en-US"/>
        </w:rPr>
        <w:lastRenderedPageBreak/>
        <mc:AlternateContent>
          <mc:Choice Requires="wps">
            <w:drawing>
              <wp:anchor distT="0" distB="0" distL="114300" distR="114300" simplePos="0" relativeHeight="251712512" behindDoc="0" locked="0" layoutInCell="1" allowOverlap="1" wp14:anchorId="2BF21426" wp14:editId="00FBBDBD">
                <wp:simplePos x="0" y="0"/>
                <wp:positionH relativeFrom="column">
                  <wp:posOffset>910590</wp:posOffset>
                </wp:positionH>
                <wp:positionV relativeFrom="paragraph">
                  <wp:posOffset>133350</wp:posOffset>
                </wp:positionV>
                <wp:extent cx="2820035" cy="1066800"/>
                <wp:effectExtent l="0" t="0" r="0" b="0"/>
                <wp:wrapNone/>
                <wp:docPr id="34" name="Rectangle 34"/>
                <wp:cNvGraphicFramePr/>
                <a:graphic xmlns:a="http://schemas.openxmlformats.org/drawingml/2006/main">
                  <a:graphicData uri="http://schemas.microsoft.com/office/word/2010/wordprocessingShape">
                    <wps:wsp>
                      <wps:cNvSpPr/>
                      <wps:spPr>
                        <a:xfrm>
                          <a:off x="0" y="0"/>
                          <a:ext cx="2820035" cy="1066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9880B02" w14:textId="2666A241" w:rsidR="00D0395B" w:rsidRPr="007B1816" w:rsidRDefault="00D0395B" w:rsidP="00D0395B">
                            <w:pPr>
                              <w:spacing w:after="0" w:line="276" w:lineRule="auto"/>
                              <w:jc w:val="center"/>
                              <w:rPr>
                                <w:rFonts w:ascii="Book Antiqua" w:hAnsi="Book Antiqua"/>
                                <w:b/>
                                <w:bCs/>
                                <w:sz w:val="36"/>
                                <w:szCs w:val="40"/>
                                <w:lang w:val="en"/>
                              </w:rPr>
                            </w:pPr>
                            <w:r w:rsidRPr="007B1816">
                              <w:rPr>
                                <w:rFonts w:ascii="Book Antiqua" w:hAnsi="Book Antiqua"/>
                                <w:b/>
                                <w:bCs/>
                                <w:sz w:val="36"/>
                                <w:szCs w:val="40"/>
                                <w:lang w:val="en"/>
                              </w:rPr>
                              <w:t>GAMBARAN HISTOPATOLOGI MUKOSA ORAL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BF21426" id="Rectangle 34" o:spid="_x0000_s1041" style="position:absolute;left:0;text-align:left;margin-left:71.7pt;margin-top:10.5pt;width:222.05pt;height:8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r5mZgIAABEFAAAOAAAAZHJzL2Uyb0RvYy54bWysVN1v0zAQf0fif7D8zpJ0XRnV0qnaNIQ0&#10;wbSBeHYdu42wfebsNi1/PWcnzTboE+Ilue+P39356npvDdspDC24mldnJWfKSWhat675t6937y45&#10;C1G4RhhwquYHFfj14u2bq87P1QQ2YBqFjIK4MO98zTcx+nlRBLlRVoQz8MqRUgNaEYnFddGg6Ci6&#10;NcWkLGdFB9h4BKlCIOltr+SLHF9rJeMXrYOKzNScaov5i/m7St9icSXmaxR+08qhDPEPVVjROko6&#10;hroVUbAttn+Fsq1ECKDjmQRbgNatVLkH6qYq/+jmaSO8yr0QOMGPMIX/F1Z+3j0ga5uan085c8LS&#10;jB4JNeHWRjGSEUCdD3Oye/IPOHCByNTtXqNNf+qD7TOohxFUtY9MknBySXM6v+BMkq4qZ7PLMsNe&#10;PLt7DPGjAssSUXOk/BlMsbsPkVKS6dEkZXNw1xqTJ2fcKwEZJkmRKu5rzFQ8GJXsjHtUmppNVeUE&#10;ec3UjUG2E7QgQkrl4iz1nCORdXLTlG10rE45mlgNToNtclN5/UbH8pTj64yjR84KLo7OtnWApwI0&#10;P8bMvf2x+77n1H7cr/Z5wtXFcZoraA40doT+HoKXdy1Bfy9CfBBIB0CnQkcdv9BHG+hqDgPF2Qbw&#10;1yl5sqe9JC1nHR1UzcPPrUDFmfnkaGM/VNNpusDMTC/eT4jBl5rVS43b2hugkVT0fHiZyWQfzZHU&#10;CPY73f4yZSWVcJJy11xGPDI3sT90ej2kWi6zGV2dF/HePXmZgiegHSy3EXSbNy0B1qMzAEl3l7dh&#10;eCPSYb/ks9XzS7b4DQAA//8DAFBLAwQUAAYACAAAACEA+saja94AAAAKAQAADwAAAGRycy9kb3du&#10;cmV2LnhtbEyPzU7DMBCE70i8g7VI3KjT0kIIcSpAQgj1gCjt3XG2SUS8jmznp2/PcoLjaEYz3+Tb&#10;2XZiRB9aRwqWiwQEknFVS7WCw9frTQoiRE2V7hyhgjMG2BaXF7nOKjfRJ477WAsuoZBpBU2MfSZl&#10;MA1aHRauR2Lv5LzVkaWvZeX1xOW2k6skuZNWt8QLje7xpUHzvR+sgqM7PU/WlPQ+nj/a4W3njUl3&#10;Sl1fzU+PICLO8S8Mv/iMDgUzlW6gKoiO9fp2zVEFqyV/4sAmvd+AKNlJHxKQRS7/Xyh+AAAA//8D&#10;AFBLAQItABQABgAIAAAAIQC2gziS/gAAAOEBAAATAAAAAAAAAAAAAAAAAAAAAABbQ29udGVudF9U&#10;eXBlc10ueG1sUEsBAi0AFAAGAAgAAAAhADj9If/WAAAAlAEAAAsAAAAAAAAAAAAAAAAALwEAAF9y&#10;ZWxzLy5yZWxzUEsBAi0AFAAGAAgAAAAhAKbWvmZmAgAAEQUAAA4AAAAAAAAAAAAAAAAALgIAAGRy&#10;cy9lMm9Eb2MueG1sUEsBAi0AFAAGAAgAAAAhAPrGo2veAAAACgEAAA8AAAAAAAAAAAAAAAAAwAQA&#10;AGRycy9kb3ducmV2LnhtbFBLBQYAAAAABAAEAPMAAADLBQAAAAA=&#10;" filled="f" stroked="f" strokeweight="1pt">
                <v:textbox>
                  <w:txbxContent>
                    <w:p w14:paraId="19880B02" w14:textId="2666A241" w:rsidR="00D0395B" w:rsidRPr="007B1816" w:rsidRDefault="00D0395B" w:rsidP="00D0395B">
                      <w:pPr>
                        <w:spacing w:after="0" w:line="276" w:lineRule="auto"/>
                        <w:jc w:val="center"/>
                        <w:rPr>
                          <w:rFonts w:ascii="Book Antiqua" w:hAnsi="Book Antiqua"/>
                          <w:b/>
                          <w:bCs/>
                          <w:sz w:val="36"/>
                          <w:szCs w:val="40"/>
                          <w:lang w:val="en"/>
                        </w:rPr>
                      </w:pPr>
                      <w:r w:rsidRPr="007B1816">
                        <w:rPr>
                          <w:rFonts w:ascii="Book Antiqua" w:hAnsi="Book Antiqua"/>
                          <w:b/>
                          <w:bCs/>
                          <w:sz w:val="36"/>
                          <w:szCs w:val="40"/>
                          <w:lang w:val="en"/>
                        </w:rPr>
                        <w:t>GAMBARAN HISTOPATOLOGI MUKOSA ORAL</w:t>
                      </w:r>
                    </w:p>
                  </w:txbxContent>
                </v:textbox>
              </v:rect>
            </w:pict>
          </mc:Fallback>
        </mc:AlternateContent>
      </w:r>
      <w:r w:rsidRPr="006810DB">
        <w:rPr>
          <w:b/>
          <w:noProof/>
          <w:sz w:val="48"/>
          <w:szCs w:val="20"/>
          <w:lang w:val="en-US"/>
        </w:rPr>
        <mc:AlternateContent>
          <mc:Choice Requires="wps">
            <w:drawing>
              <wp:anchor distT="0" distB="0" distL="114300" distR="114300" simplePos="0" relativeHeight="251711488" behindDoc="0" locked="0" layoutInCell="1" allowOverlap="1" wp14:anchorId="54AABD85" wp14:editId="35358A8F">
                <wp:simplePos x="0" y="0"/>
                <wp:positionH relativeFrom="column">
                  <wp:posOffset>884555</wp:posOffset>
                </wp:positionH>
                <wp:positionV relativeFrom="paragraph">
                  <wp:posOffset>76835</wp:posOffset>
                </wp:positionV>
                <wp:extent cx="0" cy="1152000"/>
                <wp:effectExtent l="19050" t="0" r="38100" b="48260"/>
                <wp:wrapNone/>
                <wp:docPr id="35" name="Straight Connector 35"/>
                <wp:cNvGraphicFramePr/>
                <a:graphic xmlns:a="http://schemas.openxmlformats.org/drawingml/2006/main">
                  <a:graphicData uri="http://schemas.microsoft.com/office/word/2010/wordprocessingShape">
                    <wps:wsp>
                      <wps:cNvCnPr/>
                      <wps:spPr>
                        <a:xfrm>
                          <a:off x="0" y="0"/>
                          <a:ext cx="0" cy="1152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5109A21" id="Straight Connector 35" o:spid="_x0000_s1026" style="position:absolute;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CCD2QEAAA8EAAAOAAAAZHJzL2Uyb0RvYy54bWysU8GO0zAQvSPxD5bvNM2iAoqa7qGr5YKg&#10;YtkP8DrjxpLtsWzTpH/P2EnTFSAkVntxMuN5z/Oex9vb0Rp2ghA1upbXqzVn4CR22h1b/vjj/t0n&#10;zmISrhMGHbT8DJHf7t6+2Q6+gRvs0XQQGJG42Ay+5X1KvqmqKHuwIq7Qg6NNhcGKRGE4Vl0QA7Fb&#10;U92s1x+qAUPnA0qIkbJ30ybfFX6lQKZvSkVIzLScektlDWV9ymu124rmGITvtZzbEC/owgrt6NCF&#10;6k4kwX4G/QeV1TJgRJVWEm2FSmkJRQOpqde/qXnohYeihcyJfrEpvh6t/Ho6BKa7lr/fcOaEpTt6&#10;SEHoY5/YHp0jBzEw2iSnBh8bAuzdIcxR9IeQZY8q2PwlQWws7p4Xd2FMTE5JSdm63tDFFeerK9CH&#10;mD4DWpZ/Wm60y8JFI05fYqLDqPRSktPGsaHlm4/1Zl3KIhrd3Wtj8mYZHtibwE6Crj2NdW6eGJ5V&#10;UWQcJbOkSUT5S2cDE/93UGQLtV1PB+SBvHIKKcGlC69xVJ1hijpYgHNn/wLO9RkKZVj/B7wgysno&#10;0gK22mH4W9tXK9RUf3Fg0p0teMLuXK63WENTV5ybX0ge6+dxgV/f8e4XAAAA//8DAFBLAwQUAAYA&#10;CAAAACEAR2iGzNoAAAAKAQAADwAAAGRycy9kb3ducmV2LnhtbExPTUvDQBC9C/6HZQRvdtOGiInZ&#10;lCIU6UVoK3jdZMdkMTsbsts0/vtOvdTbezOP91GuZ9eLCcdgPSlYLhIQSI03lloFn8ft0wuIEDUZ&#10;3XtCBb8YYF3d35W6MP5Me5wOsRVsQqHQCroYh0LK0HTodFj4AYl/3350OjIdW2lGfWZz18tVkjxL&#10;py1xQqcHfOuw+TmcHIdkX807Brsz201WZ1Nu6+TDKvX4MG9eQUSc400M1/pcHSruVPsTmSB65mme&#10;spTBagniKvg71AzyNANZlfL/hOoCAAD//wMAUEsBAi0AFAAGAAgAAAAhALaDOJL+AAAA4QEAABMA&#10;AAAAAAAAAAAAAAAAAAAAAFtDb250ZW50X1R5cGVzXS54bWxQSwECLQAUAAYACAAAACEAOP0h/9YA&#10;AACUAQAACwAAAAAAAAAAAAAAAAAvAQAAX3JlbHMvLnJlbHNQSwECLQAUAAYACAAAACEAWZggg9kB&#10;AAAPBAAADgAAAAAAAAAAAAAAAAAuAgAAZHJzL2Uyb0RvYy54bWxQSwECLQAUAAYACAAAACEAR2iG&#10;zNoAAAAKAQAADwAAAAAAAAAAAAAAAAAzBAAAZHJzL2Rvd25yZXYueG1sUEsFBgAAAAAEAAQA8wAA&#10;ADoFA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30"/>
          <w:szCs w:val="130"/>
          <w:lang w:val="en-US"/>
        </w:rPr>
        <w:t>16</w:t>
      </w:r>
      <w:r w:rsidRPr="006810DB">
        <w:rPr>
          <w:b/>
          <w:szCs w:val="20"/>
          <w:lang w:val="en-US"/>
        </w:rPr>
        <w:t xml:space="preserve"> </w:t>
      </w:r>
      <w:r w:rsidRPr="006810DB">
        <w:rPr>
          <w:b/>
          <w:szCs w:val="20"/>
          <w:lang w:val="en-US"/>
        </w:rPr>
        <w:tab/>
      </w:r>
      <w:r w:rsidRPr="006810DB">
        <w:rPr>
          <w:b/>
          <w:color w:val="FFFFFF" w:themeColor="background1"/>
          <w:sz w:val="14"/>
          <w:szCs w:val="14"/>
          <w:lang w:val="en-US"/>
        </w:rPr>
        <w:t>GAMBARAN HISTOPATOLOGI MUKOSA ORAL</w:t>
      </w:r>
      <w:bookmarkEnd w:id="389"/>
    </w:p>
    <w:p w14:paraId="1260CA9C" w14:textId="77777777" w:rsidR="00D0395B" w:rsidRPr="006810DB" w:rsidRDefault="00D0395B" w:rsidP="006810DB">
      <w:pPr>
        <w:spacing w:after="0" w:line="276" w:lineRule="auto"/>
        <w:jc w:val="both"/>
        <w:rPr>
          <w:rFonts w:ascii="Book Antiqua" w:hAnsi="Book Antiqua"/>
          <w:sz w:val="20"/>
          <w:szCs w:val="20"/>
          <w:lang w:val="en"/>
        </w:rPr>
      </w:pPr>
    </w:p>
    <w:p w14:paraId="6EA1DACE" w14:textId="77777777" w:rsidR="00D0395B" w:rsidRPr="006810DB" w:rsidRDefault="00D0395B" w:rsidP="006810DB">
      <w:pPr>
        <w:spacing w:after="0" w:line="276" w:lineRule="auto"/>
        <w:jc w:val="both"/>
        <w:rPr>
          <w:rFonts w:ascii="Book Antiqua" w:hAnsi="Book Antiqua"/>
          <w:sz w:val="20"/>
          <w:szCs w:val="20"/>
          <w:lang w:val="en"/>
        </w:rPr>
      </w:pPr>
    </w:p>
    <w:p w14:paraId="4C7A0E9A" w14:textId="52F4481F" w:rsidR="00B258B7" w:rsidRPr="006810DB" w:rsidRDefault="009B5356" w:rsidP="00B9360C">
      <w:pPr>
        <w:pStyle w:val="Heading2"/>
        <w:numPr>
          <w:ilvl w:val="0"/>
          <w:numId w:val="31"/>
        </w:numPr>
        <w:ind w:left="284" w:hanging="284"/>
      </w:pPr>
      <w:bookmarkStart w:id="390" w:name="_rvn8bvxklsoo" w:colFirst="0" w:colLast="0"/>
      <w:bookmarkStart w:id="391" w:name="_Toc223088980"/>
      <w:bookmarkEnd w:id="390"/>
      <w:r w:rsidRPr="006810DB">
        <w:t>Pendahuluan</w:t>
      </w:r>
      <w:bookmarkEnd w:id="391"/>
    </w:p>
    <w:p w14:paraId="018F0C7B"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Dalam hierarki pembuktian medis, histopatologi sering dianggap sebagai "hakim agung" yang memberikan vonis final mengenai status kesehatan jaringan. Jika gejala klinis seperti nyeri dan kemerahan adalah keluhan subjektif yang dirasakan pasien, dan analisis molekuler seperti PCR adalah bukti tidak langsung dari potensi kerusakan, maka gambaran histopatologi adalah bukti fisik yang tak terbantahkan dari apa yang sebenarnya terjadi di tingkat seluler. Pada kasus mukositis oral akibat kemoterapi cisplatin, pemeriksaan mikroskopis jaringan mukosa memberikan wawasan visual yang mendalam mengenai arsitektur kerusakan dan, yang lebih penting, kualitas perbaikan jaringan setelah intervensi terapeutik. Tanpa validasi histologis, klaim mengenai efikasi suatu obat hanyalah spekulasi yang belum teruji sepenuhnya.</w:t>
      </w:r>
    </w:p>
    <w:p w14:paraId="67DE78B0"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Jaringan mukosa oral adalah struktur yang dinamis dan kompleks, terdiri dari lapisan epitel berlapis yang berfungsi sebagai perisai pelindung dan jaringan ikat lamina propria yang kaya akan pembuluh darah dan sel imun. Cisplatin, sebagai agen sitotoksik, melancarkan serangan indiskriminatif yang merusak keseimbangan arsitektur ini. Di bawah mikroskop, kerusakan ini bermanifestasi sebagai serangkaian perubahan patologis yang khas: mulai dari degenerasi sel-sel basal, hilangnya kohesi antar sel, hingga invasi masif sel-sel radang yang mengubah struktur jaringan menjadi medan pertempuran yang kacau. Pengamatan detail terhadap perubahan ini memungkinkan peneliti untuk </w:t>
      </w:r>
      <w:r w:rsidRPr="006810DB">
        <w:rPr>
          <w:rFonts w:ascii="Book Antiqua" w:hAnsi="Book Antiqua"/>
          <w:sz w:val="20"/>
          <w:szCs w:val="20"/>
          <w:lang w:val="en"/>
        </w:rPr>
        <w:lastRenderedPageBreak/>
        <w:t>membedakan antara peradangan ringan yang dapat ditoleransi dan kerusakan nekrotik yang ireversibel.</w:t>
      </w:r>
    </w:p>
    <w:p w14:paraId="5CC8E602"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Bab ini didedikasikan untuk mengupas tuntas aspek mikroskopis dari mukositis oral. Kita akan memulai dengan pembahasan mengenai teknik pembuatan preparat histologi yang presisi. Kualitas data histopatologi sangat bergantung pada kualitas preparasi jaringan; fiksasi yang buruk atau pemotongan yang tidak rapi dapat menghasilkan artefak yang menyesatkan, yang berpotensi mengaburkan interpretasi hasil penelitian. Oleh karena itu, standarisasi prosedur laboratorium menjadi prasyarat mutlak untuk mendapatkan gambaran yang representatif dan valid secara ilmiah.</w:t>
      </w:r>
    </w:p>
    <w:p w14:paraId="222CB983"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Selanjutnya, fokus akan diarahkan pada analisis struktur epitel dan jaringan ikat. Kita akan membedah parameter-parameter spesifik yang menjadi indikator kerusakan, seperti ketebalan stratum korneum, keberadaan vakuolisasi pada sitoplasma, dan derajat atrofi sel. Perubahan-perubahan ini bukan sekadar gambar statis; mereka menceritakan kisah dinamis tentang bagaimana sel berjuang untuk bertahan hidup di tengah badai stres oksidatif. Di sisi lain, lamina propria akan dianalisis untuk melihat respons vaskular dan imun, memberikan petunjuk tentang intensitas peradangan yang sedang berlangsung di balik layar.</w:t>
      </w:r>
    </w:p>
    <w:p w14:paraId="28D5A7D0"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Puncak dari analisis ini adalah penggunaan sistem skoring histopatologis yang objektif. Mengubah gambar kualitatif menjadi data kuantitatif adalah langkah krusial dalam penelitian biomedis. Dengan menerapkan sistem penilaian terstandarisasi, peneliti dapat membandingkan tingkat keparahan kerusakan antar kelompok perlakuan secara statistik. Hal ini memungkinkan kita untuk menjawab pertanyaan fundamental: Apakah pemberian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secara nyata melindungi struktur jaringan? Apakah arsitektur mukosa pada kelompok yang diterapi lebih menyerupai jaringan sehat dibandingkan jaringan yang rusak?</w:t>
      </w:r>
    </w:p>
    <w:p w14:paraId="41DEEA6C" w14:textId="3A1E3E7C"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Analisis histopatologis ini berfungsi sebagai validasi akhir dari mekanisme molekuler yang telah dibahas pada bab-bab </w:t>
      </w:r>
      <w:r w:rsidRPr="006810DB">
        <w:rPr>
          <w:rFonts w:ascii="Book Antiqua" w:hAnsi="Book Antiqua"/>
          <w:sz w:val="20"/>
          <w:szCs w:val="20"/>
          <w:lang w:val="en"/>
        </w:rPr>
        <w:lastRenderedPageBreak/>
        <w:t xml:space="preserve">sebelumnya. Jika penurunan </w:t>
      </w:r>
      <w:r w:rsidRPr="006810DB">
        <w:rPr>
          <w:rFonts w:ascii="Book Antiqua" w:hAnsi="Book Antiqua"/>
          <w:sz w:val="20"/>
          <w:szCs w:val="20"/>
          <w:highlight w:val="yellow"/>
          <w:lang w:val="en"/>
        </w:rPr>
        <w:t>NF-κ\kappaκ</w:t>
      </w:r>
      <w:r w:rsidR="00EA6A41"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 dan TNF-α\alphaα</w:t>
      </w:r>
      <w:r w:rsidR="00EA6A41" w:rsidRPr="006810DB">
        <w:rPr>
          <w:rFonts w:ascii="Book Antiqua" w:hAnsi="Book Antiqua"/>
          <w:sz w:val="20"/>
          <w:szCs w:val="20"/>
          <w:lang w:val="en"/>
        </w:rPr>
        <w:t xml:space="preserve"> </w:t>
      </w:r>
      <w:r w:rsidRPr="006810DB">
        <w:rPr>
          <w:rFonts w:ascii="Book Antiqua" w:hAnsi="Book Antiqua"/>
          <w:sz w:val="20"/>
          <w:szCs w:val="20"/>
          <w:lang w:val="en"/>
        </w:rPr>
        <w:t xml:space="preserve">adalah mekanisme kerjanya, maka gambaran histologi yang "tenang" dan utuh adalah hasil nyatanya. Bab ini bertujuan untuk memberikan bukti visual yang mengkonfirmasi bahwa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tidak hanya bekerja di atas kertas atau tabung reaksi, tetapi benar-benar menyelamatkan integritas fisik jaringan tubuh dari kehancuran akibat kemoterapi.</w:t>
      </w:r>
    </w:p>
    <w:p w14:paraId="1FD40E99" w14:textId="0AACE2CE"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Pemahaman yang mendalam tentang nuansa mikroskopis ini sangat penting bagi para peneliti dan klinisi. Ia memberikan landasan morfologis untuk memahami patofisiologi mukositis dan mengevaluasi keberhasilan strategi nefroprotektif maupun mukoprotektif. Dengan demikian, bab ini menjembatani kesenjangan antara biologi molekuler abstrak dan realitas klinis yang nyata.</w:t>
      </w:r>
    </w:p>
    <w:p w14:paraId="2585B54E" w14:textId="77777777" w:rsidR="00D0395B" w:rsidRPr="006810DB" w:rsidRDefault="00D0395B" w:rsidP="006810DB">
      <w:pPr>
        <w:spacing w:after="0" w:line="276" w:lineRule="auto"/>
        <w:jc w:val="both"/>
        <w:rPr>
          <w:rFonts w:ascii="Book Antiqua" w:hAnsi="Book Antiqua"/>
          <w:sz w:val="20"/>
          <w:szCs w:val="20"/>
          <w:lang w:val="en"/>
        </w:rPr>
      </w:pPr>
    </w:p>
    <w:p w14:paraId="2540C37F" w14:textId="251E93C6" w:rsidR="00B258B7" w:rsidRPr="006810DB" w:rsidRDefault="00B258B7" w:rsidP="006810DB">
      <w:pPr>
        <w:pStyle w:val="Heading2"/>
        <w:numPr>
          <w:ilvl w:val="0"/>
          <w:numId w:val="31"/>
        </w:numPr>
        <w:ind w:left="284" w:hanging="284"/>
      </w:pPr>
      <w:bookmarkStart w:id="392" w:name="_2ao7jah174p5" w:colFirst="0" w:colLast="0"/>
      <w:bookmarkStart w:id="393" w:name="_Toc223088981"/>
      <w:bookmarkEnd w:id="392"/>
      <w:r w:rsidRPr="006810DB">
        <w:t>Teknik Pembuatan Preparat Histologi</w:t>
      </w:r>
      <w:bookmarkEnd w:id="393"/>
    </w:p>
    <w:p w14:paraId="4098B6A7"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Kualitas diagnosis histopatologi sepenuhnya bergantung pada kualitas sediaan jaringan atau preparat yang diperiksa. Sebuah preparat yang baik harus mampu mempertahankan struktur seluler semirip mungkin dengan kondisi aslinya saat masih hidup, meskipun jaringan tersebut telah diangkat dari tubuh. Proses ini melibatkan serangkaian langkah kimia dan fisik yang ketat, mulai dari pengawetan jaringan hingga pewarnaan yang menonjolkan komponen-komponen seluler tertentu. Kesalahan kecil dalam salah satu tahap ini, seperti fiksasi yang tidak sempurna atau dehidrasi yang berlebihan, dapat menyebabkan artefak, perubahan buatan yang tidak ada kaitannya dengan penyakit, yang dapat menyesatkan interpretasi patologis (Suvarna et al., 2018).</w:t>
      </w:r>
    </w:p>
    <w:p w14:paraId="3DA40480"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Proses pembuatan preparat histologi mirip dengan proses pengembangan fotografi film analog zaman dahulu. Fiksasi jaringan ibarat momen menekan tombol rana (shutter) untuk menangkap gambar; jika tangan Anda bergetar (fiksasi buruk), gambarnya akan buram selamanya. Dehidrasi dan penanaman dalam parafin adalah seperti proses pencucian klise film di kamar gelap; bahan kimia </w:t>
      </w:r>
      <w:r w:rsidRPr="006810DB">
        <w:rPr>
          <w:rFonts w:ascii="Book Antiqua" w:hAnsi="Book Antiqua"/>
          <w:sz w:val="20"/>
          <w:szCs w:val="20"/>
          <w:lang w:val="en"/>
        </w:rPr>
        <w:lastRenderedPageBreak/>
        <w:t>harus tepat konsentrasi dan waktunya. Pemotongan dan pewarnaan adalah pencetakan foto akhir di atas kertas. Jika Anda menggunakan kertas yang salah atau tinta yang luntur (pewarnaan buruk), foto pemandangan yang indah sekalipun akan terlihat seperti noda abstrak yang tidak bisa dikenali. Hanya dengan prosedur yang sempurna, "foto" mikroskopis tersebut dapat menceritakan kisah yang sebenarnya tentang apa yang terjadi di dalam sel.</w:t>
      </w:r>
    </w:p>
    <w:p w14:paraId="584D888D" w14:textId="58D8E32B" w:rsidR="00B258B7" w:rsidRPr="006810DB" w:rsidRDefault="00B258B7" w:rsidP="006810DB">
      <w:pPr>
        <w:pStyle w:val="ListParagraph"/>
        <w:numPr>
          <w:ilvl w:val="0"/>
          <w:numId w:val="81"/>
        </w:numPr>
        <w:spacing w:after="0" w:line="276" w:lineRule="auto"/>
        <w:ind w:left="567" w:hanging="283"/>
        <w:contextualSpacing w:val="0"/>
        <w:jc w:val="both"/>
        <w:rPr>
          <w:rFonts w:ascii="Book Antiqua" w:hAnsi="Book Antiqua"/>
          <w:b/>
          <w:bCs/>
          <w:sz w:val="20"/>
          <w:szCs w:val="20"/>
          <w:lang w:val="en"/>
        </w:rPr>
      </w:pPr>
      <w:bookmarkStart w:id="394" w:name="_22ix04rwpjzb" w:colFirst="0" w:colLast="0"/>
      <w:bookmarkEnd w:id="394"/>
      <w:r w:rsidRPr="006810DB">
        <w:rPr>
          <w:rFonts w:ascii="Book Antiqua" w:hAnsi="Book Antiqua"/>
          <w:b/>
          <w:bCs/>
          <w:sz w:val="20"/>
          <w:szCs w:val="20"/>
          <w:lang w:val="en"/>
        </w:rPr>
        <w:t>Prosedur Fiksasi dan Dehidrasi Jaringan</w:t>
      </w:r>
    </w:p>
    <w:p w14:paraId="317C7233"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Langkah pertama dan paling kritis setelah pengambilan sampel jaringan mukosa (biopsi atau nekropsi) adalah fiksasi. Tujuan fiksasi adalah untuk menghentikan proses autolisis (penghancuran diri oleh enzim sel) dan pembusukan oleh bakteri, serta untuk memadatkan protein agar struktur sel tetap stabil. Fiksatif standar emas untuk mikroskop cahaya adalah </w:t>
      </w:r>
      <w:r w:rsidRPr="006810DB">
        <w:rPr>
          <w:rFonts w:ascii="Book Antiqua" w:hAnsi="Book Antiqua"/>
          <w:i/>
          <w:iCs/>
          <w:sz w:val="20"/>
          <w:szCs w:val="20"/>
          <w:lang w:val="en"/>
        </w:rPr>
        <w:t>Neutral Buffered Formalin</w:t>
      </w:r>
      <w:r w:rsidRPr="006810DB">
        <w:rPr>
          <w:rFonts w:ascii="Book Antiqua" w:hAnsi="Book Antiqua"/>
          <w:sz w:val="20"/>
          <w:szCs w:val="20"/>
          <w:lang w:val="en"/>
        </w:rPr>
        <w:t xml:space="preserve"> (NBF) 10%. Jaringan harus direndam dalam volume fiksatif minimal 10 kali volume jaringan selama 24-48 jam. Fiksasi yang kurang menyebabkan inti sel tampak pudar atau hilang, sedangkan fiksasi berlebih dapat membuat jaringan menjadi keras dan rapuh saat dipotong (Kadarullah et al., 2024).</w:t>
      </w:r>
    </w:p>
    <w:p w14:paraId="0E35D45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Setelah terfiksasi, jaringan yang mengandung air tidak dapat langsung dicampur dengan parafin (lilin) yang bersifat hidrofobik. Oleh karena itu, air harus dikeluarkan melalui proses dehidrasi bertingkat. Jaringan dilewatkan melalui serangkaian larutan alkohol dengan konsentrasi meningkat (misalnya, 70%, 80%, 95%, hingga 100%). Dehidrasi ini harus dilakukan secara perlahan; perubahan konsentrasi yang terlalu drastis dapat menyebabkan sel mengkerut (</w:t>
      </w:r>
      <w:r w:rsidRPr="006810DB">
        <w:rPr>
          <w:rFonts w:ascii="Book Antiqua" w:hAnsi="Book Antiqua"/>
          <w:i/>
          <w:iCs/>
          <w:sz w:val="20"/>
          <w:szCs w:val="20"/>
          <w:lang w:val="en"/>
        </w:rPr>
        <w:t>shrinkage</w:t>
      </w:r>
      <w:r w:rsidRPr="006810DB">
        <w:rPr>
          <w:rFonts w:ascii="Book Antiqua" w:hAnsi="Book Antiqua"/>
          <w:sz w:val="20"/>
          <w:szCs w:val="20"/>
          <w:lang w:val="en"/>
        </w:rPr>
        <w:t>) secara tidak wajar, menciptakan ruang kosong buatan di sekitar sel yang dapat disalahartikan sebagai edema (Suvarna et al., 2018).</w:t>
      </w:r>
    </w:p>
    <w:p w14:paraId="4220B25A"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Setelah air digantikan oleh alkohol, alkohol kemudian digantikan oleh pelarut organik perantara seperti Xylol atau Toluena dalam proses yang disebut </w:t>
      </w:r>
      <w:r w:rsidRPr="006810DB">
        <w:rPr>
          <w:rFonts w:ascii="Book Antiqua" w:hAnsi="Book Antiqua"/>
          <w:i/>
          <w:iCs/>
          <w:sz w:val="20"/>
          <w:szCs w:val="20"/>
          <w:lang w:val="en"/>
        </w:rPr>
        <w:t>clearing</w:t>
      </w:r>
      <w:r w:rsidRPr="006810DB">
        <w:rPr>
          <w:rFonts w:ascii="Book Antiqua" w:hAnsi="Book Antiqua"/>
          <w:sz w:val="20"/>
          <w:szCs w:val="20"/>
          <w:lang w:val="en"/>
        </w:rPr>
        <w:t xml:space="preserve"> (penjernihan). Langkah ini mempersiapkan jaringan untuk diinfiltrasi oleh </w:t>
      </w:r>
      <w:r w:rsidRPr="006810DB">
        <w:rPr>
          <w:rFonts w:ascii="Book Antiqua" w:hAnsi="Book Antiqua"/>
          <w:sz w:val="20"/>
          <w:szCs w:val="20"/>
          <w:lang w:val="en"/>
        </w:rPr>
        <w:lastRenderedPageBreak/>
        <w:t>parafin cair panas. Parafin kemudian didinginkan hingga mengeras, membentuk blok jaringan yang siap untuk dipotong. Konsistensi blok parafin ini sangat menentukan kemudahan pemotongan tipis mikron yang diperlukan untuk transparansi di bawah mikroskop.</w:t>
      </w:r>
    </w:p>
    <w:p w14:paraId="7B66F3DE" w14:textId="096B4BA0" w:rsidR="00B258B7" w:rsidRPr="006810DB" w:rsidRDefault="00B258B7" w:rsidP="006810DB">
      <w:pPr>
        <w:pStyle w:val="ListParagraph"/>
        <w:numPr>
          <w:ilvl w:val="0"/>
          <w:numId w:val="81"/>
        </w:numPr>
        <w:spacing w:after="0" w:line="276" w:lineRule="auto"/>
        <w:ind w:left="567" w:hanging="283"/>
        <w:contextualSpacing w:val="0"/>
        <w:jc w:val="both"/>
        <w:rPr>
          <w:rFonts w:ascii="Book Antiqua" w:hAnsi="Book Antiqua"/>
          <w:b/>
          <w:bCs/>
          <w:sz w:val="20"/>
          <w:szCs w:val="20"/>
          <w:lang w:val="en"/>
        </w:rPr>
      </w:pPr>
      <w:bookmarkStart w:id="395" w:name="_fkkgy0uff9i9" w:colFirst="0" w:colLast="0"/>
      <w:bookmarkEnd w:id="395"/>
      <w:r w:rsidRPr="006810DB">
        <w:rPr>
          <w:rFonts w:ascii="Book Antiqua" w:hAnsi="Book Antiqua"/>
          <w:b/>
          <w:bCs/>
          <w:sz w:val="20"/>
          <w:szCs w:val="20"/>
          <w:lang w:val="en"/>
        </w:rPr>
        <w:t>Pemotongan Mikrotom dan Pengecatan HE (</w:t>
      </w:r>
      <w:r w:rsidRPr="006810DB">
        <w:rPr>
          <w:rFonts w:ascii="Book Antiqua" w:hAnsi="Book Antiqua"/>
          <w:b/>
          <w:bCs/>
          <w:i/>
          <w:iCs/>
          <w:sz w:val="20"/>
          <w:szCs w:val="20"/>
          <w:lang w:val="en"/>
        </w:rPr>
        <w:t>Hematoxylin Eosin</w:t>
      </w:r>
      <w:r w:rsidRPr="006810DB">
        <w:rPr>
          <w:rFonts w:ascii="Book Antiqua" w:hAnsi="Book Antiqua"/>
          <w:b/>
          <w:bCs/>
          <w:sz w:val="20"/>
          <w:szCs w:val="20"/>
          <w:lang w:val="en"/>
        </w:rPr>
        <w:t>)</w:t>
      </w:r>
    </w:p>
    <w:p w14:paraId="0C5B1A14" w14:textId="434FF2B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Blok jaringan yang telah tertanam dalam parafin kemudian dipotong menggunakan alat presisi yang disebut mikrotom. Untuk pemeriksaan histopatologi rutin mukosa oral, ketebalan irisan standar adalah 4-5 mikrometer (μm). Irisan setipis ini diperlukan agar cahaya mikroskop dapat menembus jaringan dan hanya ada satu lapisan sel yang terlihat, mencegah tumpang tindih visual yang membingungkan. Pita irisan parafin ini kemudian diapungkan di atas air hangat untuk meratakannya sebelum ditempelkan pada kaca objek (slide) (Madani et al., 2023).</w:t>
      </w:r>
    </w:p>
    <w:p w14:paraId="1E0434DA"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Langkah selanjutnya adalah pewarnaan. Jaringan tanpa warna hampir tidak terlihat di bawah mikroskop, sehingga pewarnaan diperlukan untuk memberikan kontras. Protokol standar di seluruh dunia adalah pewarnaan Hematoxylin dan Eosin (H&amp;E). Hematoxylin adalah zat warna basa yang mewarnai komponen sel yang bersifat asam, terutama inti sel (DNA/RNA), menjadi biru atau ungu tua. Eosin adalah zat warna asam yang mewarnai komponen basa, seperti sitoplasma dan serat kolagen ekstraseluler, menjadi berbagai gradasi warna merah muda atau pink.</w:t>
      </w:r>
    </w:p>
    <w:p w14:paraId="226C62E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Kombinasi warna biru dan merah muda ini memberikan kontras yang sangat baik untuk membedakan struktur jaringan. Pada mukosa oral yang meradang akibat cisplatin, pewarnaan H&amp;E memungkinkan patolog untuk melihat dengan jelas inti sel yang mengalami piknosis (mengkerut dan gelap) sebagai tanda kematian sel, serta membedakan jenis-jenis sel radang berdasarkan bentuk intinya (misalnya, neutrofil dengan inti berlobus vs. limfosit dengan inti bulat). Pewarnaan yang berkualitas tinggi harus </w:t>
      </w:r>
      <w:r w:rsidRPr="006810DB">
        <w:rPr>
          <w:rFonts w:ascii="Book Antiqua" w:hAnsi="Book Antiqua"/>
          <w:sz w:val="20"/>
          <w:szCs w:val="20"/>
          <w:lang w:val="en"/>
        </w:rPr>
        <w:lastRenderedPageBreak/>
        <w:t>menunjukkan detail inti yang tajam dan gradasi warna sitoplasma yang jelas (Salcan et al., 2025).</w:t>
      </w:r>
    </w:p>
    <w:p w14:paraId="331A9A8C" w14:textId="4F4502DA" w:rsidR="00B258B7" w:rsidRPr="006810DB" w:rsidRDefault="00B258B7" w:rsidP="006810DB">
      <w:pPr>
        <w:pStyle w:val="ListParagraph"/>
        <w:numPr>
          <w:ilvl w:val="0"/>
          <w:numId w:val="81"/>
        </w:numPr>
        <w:spacing w:after="0" w:line="276" w:lineRule="auto"/>
        <w:ind w:left="567" w:hanging="283"/>
        <w:contextualSpacing w:val="0"/>
        <w:jc w:val="both"/>
        <w:rPr>
          <w:rFonts w:ascii="Book Antiqua" w:hAnsi="Book Antiqua"/>
          <w:b/>
          <w:bCs/>
          <w:sz w:val="20"/>
          <w:szCs w:val="20"/>
          <w:lang w:val="en"/>
        </w:rPr>
      </w:pPr>
      <w:bookmarkStart w:id="396" w:name="_701ip3k3nums" w:colFirst="0" w:colLast="0"/>
      <w:bookmarkEnd w:id="396"/>
      <w:r w:rsidRPr="006810DB">
        <w:rPr>
          <w:rFonts w:ascii="Book Antiqua" w:hAnsi="Book Antiqua"/>
          <w:b/>
          <w:bCs/>
          <w:sz w:val="20"/>
          <w:szCs w:val="20"/>
          <w:lang w:val="en"/>
        </w:rPr>
        <w:t>Standarisasi Area Pengamatan Mikroskopis</w:t>
      </w:r>
    </w:p>
    <w:p w14:paraId="1EA7BEE9"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Salah satu tantangan dalam analisis histopatologi adalah bias pemilihan area pengamatan. Lesi mukositis sering kali bersifat </w:t>
      </w:r>
      <w:r w:rsidRPr="006810DB">
        <w:rPr>
          <w:rFonts w:ascii="Book Antiqua" w:hAnsi="Book Antiqua"/>
          <w:i/>
          <w:iCs/>
          <w:sz w:val="20"/>
          <w:szCs w:val="20"/>
          <w:lang w:val="en"/>
        </w:rPr>
        <w:t>patchy</w:t>
      </w:r>
      <w:r w:rsidRPr="006810DB">
        <w:rPr>
          <w:rFonts w:ascii="Book Antiqua" w:hAnsi="Book Antiqua"/>
          <w:sz w:val="20"/>
          <w:szCs w:val="20"/>
          <w:lang w:val="en"/>
        </w:rPr>
        <w:t xml:space="preserve"> atau tidak merata; satu area mungkin tampak sangat rusak (ulserasi), sementara area yang berjarak beberapa milimeter mungkin tampak relatif utuh. Untuk mendapatkan data yang representatif dan dapat dibandingkan antar kelompok perlakuan, area pengamatan harus distandarisasi (Kazemi et al., 2022).</w:t>
      </w:r>
    </w:p>
    <w:p w14:paraId="2453A02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Biasanya, pengamatan dilakukan pada area yang paling parah kerusakannya (</w:t>
      </w:r>
      <w:r w:rsidRPr="006810DB">
        <w:rPr>
          <w:rFonts w:ascii="Book Antiqua" w:hAnsi="Book Antiqua"/>
          <w:i/>
          <w:iCs/>
          <w:sz w:val="20"/>
          <w:szCs w:val="20"/>
          <w:lang w:val="en"/>
        </w:rPr>
        <w:t>worst-case scenario</w:t>
      </w:r>
      <w:r w:rsidRPr="006810DB">
        <w:rPr>
          <w:rFonts w:ascii="Book Antiqua" w:hAnsi="Book Antiqua"/>
          <w:sz w:val="20"/>
          <w:szCs w:val="20"/>
          <w:lang w:val="en"/>
        </w:rPr>
        <w:t>) untuk menilai toksisitas maksimal, serta pada area transisi antara lesi dan jaringan sehat untuk menilai proses penyembuhan. Standarisasi juga mencakup orientasi pemotongan jaringan. Potongan harus tegak lurus terhadap permukaan mukosa untuk memperlihatkan seluruh lapisan dari epitel hingga submukosa dalam satu bidang pandang. Potongan tangensial (miring) dapat memberikan kesan palsu tentang ketebalan epitel (akantosis semu) yang menyesatkan interpretasi.</w:t>
      </w:r>
    </w:p>
    <w:p w14:paraId="3733B1CA" w14:textId="2CFB405A"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Selain itu, penggunaan sistem pembesaran yang konsisten (misalnya, 100x untuk gambaran umum arsitektur dan 400x untuk detail seluler) sangat penting. Fotomikrograf yang diambil untuk publikasi harus menyertakan </w:t>
      </w:r>
      <w:r w:rsidRPr="006810DB">
        <w:rPr>
          <w:rFonts w:ascii="Book Antiqua" w:hAnsi="Book Antiqua"/>
          <w:i/>
          <w:iCs/>
          <w:sz w:val="20"/>
          <w:szCs w:val="20"/>
          <w:lang w:val="en"/>
        </w:rPr>
        <w:t>scale bar</w:t>
      </w:r>
      <w:r w:rsidRPr="006810DB">
        <w:rPr>
          <w:rFonts w:ascii="Book Antiqua" w:hAnsi="Book Antiqua"/>
          <w:sz w:val="20"/>
          <w:szCs w:val="20"/>
          <w:lang w:val="en"/>
        </w:rPr>
        <w:t xml:space="preserve"> (skala batang) untuk memberikan referensi ukuran yang objektif. Validitas data histopatologis sangat bergantung pada ketatnya kepatuhan terhadap protokol standarisasi area dan orientasi ini dalam setiap sampel yang dianalisis.</w:t>
      </w:r>
    </w:p>
    <w:p w14:paraId="3DE07890" w14:textId="77777777" w:rsidR="00E936D5" w:rsidRPr="006810DB" w:rsidRDefault="00E936D5" w:rsidP="006810DB">
      <w:pPr>
        <w:spacing w:after="0" w:line="276" w:lineRule="auto"/>
        <w:jc w:val="both"/>
        <w:rPr>
          <w:rFonts w:ascii="Book Antiqua" w:hAnsi="Book Antiqua"/>
          <w:sz w:val="20"/>
          <w:szCs w:val="20"/>
          <w:lang w:val="en"/>
        </w:rPr>
      </w:pPr>
    </w:p>
    <w:p w14:paraId="55386002" w14:textId="5FE7629F" w:rsidR="00B258B7" w:rsidRPr="006810DB" w:rsidRDefault="00B258B7" w:rsidP="006810DB">
      <w:pPr>
        <w:pStyle w:val="Heading2"/>
        <w:numPr>
          <w:ilvl w:val="0"/>
          <w:numId w:val="31"/>
        </w:numPr>
        <w:ind w:left="284" w:hanging="284"/>
        <w:rPr>
          <w:bCs/>
          <w:szCs w:val="20"/>
          <w:lang w:val="en"/>
        </w:rPr>
      </w:pPr>
      <w:bookmarkStart w:id="397" w:name="_2nk5p9ld9qvj" w:colFirst="0" w:colLast="0"/>
      <w:bookmarkStart w:id="398" w:name="_Toc223088982"/>
      <w:bookmarkEnd w:id="397"/>
      <w:r w:rsidRPr="006810DB">
        <w:rPr>
          <w:bCs/>
          <w:szCs w:val="20"/>
          <w:lang w:val="en"/>
        </w:rPr>
        <w:t>Analisis Struktur Epitel dan Jaringan Ikat</w:t>
      </w:r>
      <w:bookmarkEnd w:id="398"/>
    </w:p>
    <w:p w14:paraId="6EC80D75"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Struktur mukosa oral terdiri dari dua kompartemen utama yang berinteraksi erat: epitel skuamosa berlapis sebagai barier fisik dan jaringan ikat lamina propria sebagai pendukung nutrisi dan imunologis. Analisis histopatologis bertujuan untuk membedah perubahan spesifik pada kedua kompartemen ini. </w:t>
      </w:r>
      <w:r w:rsidRPr="006810DB">
        <w:rPr>
          <w:rFonts w:ascii="Book Antiqua" w:hAnsi="Book Antiqua"/>
          <w:sz w:val="20"/>
          <w:szCs w:val="20"/>
          <w:lang w:val="en"/>
        </w:rPr>
        <w:lastRenderedPageBreak/>
        <w:t>Pada mukositis yang diinduksi cisplatin, kerusakan tidak terjadi secara acak, melainkan mengikuti pola patologis yang dapat diprediksi yang mencerminkan mekanisme toksisitas obat tersebut. Analisis rinci terhadap integritas epitel dan kondisi stroma di bawahnya memberikan gambaran lengkap tentang derajat keparahan penyakit.</w:t>
      </w:r>
    </w:p>
    <w:p w14:paraId="0BB92E74"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Menganalisis struktur histologi mukosa yang rusak ibarat memeriksa sebuah gedung apartemen pasca-gempa bumi. Analisis epitel (dinding dan lantai) melihat apakah atapnya (stratum korneum) masih ada atau sudah terbang, apakah dinding dasarnya (sel basal) retak atau hancur, dan apakah ada lubang besar di tengah bangunan (ulserasi). Analisis jaringan ikat (pipa air dan kabel listrik di dinding) melihat apakah pipa-pipa tersebut pecah dan membanjiri lorong (edema/perdarahan) dan apakah petugas keamanan (sel radang) sedang berkerumun di lobi untuk menangani kekacauan tersebut.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bertindak sebagai sistem peredam gempa yang menjaga agar dinding tidak retak parah dan pipa tidak pecah, sehingga gedung tetap berdiri kokoh.</w:t>
      </w:r>
    </w:p>
    <w:p w14:paraId="5A37CFD0" w14:textId="78BC6B23" w:rsidR="00B258B7" w:rsidRPr="006810DB" w:rsidRDefault="00B258B7" w:rsidP="006810DB">
      <w:pPr>
        <w:pStyle w:val="ListParagraph"/>
        <w:numPr>
          <w:ilvl w:val="0"/>
          <w:numId w:val="82"/>
        </w:numPr>
        <w:spacing w:after="0" w:line="276" w:lineRule="auto"/>
        <w:ind w:left="567" w:hanging="283"/>
        <w:contextualSpacing w:val="0"/>
        <w:jc w:val="both"/>
        <w:rPr>
          <w:rFonts w:ascii="Book Antiqua" w:hAnsi="Book Antiqua"/>
          <w:b/>
          <w:bCs/>
          <w:sz w:val="20"/>
          <w:szCs w:val="20"/>
          <w:lang w:val="en"/>
        </w:rPr>
      </w:pPr>
      <w:bookmarkStart w:id="399" w:name="_uo27ic1ny01n" w:colFirst="0" w:colLast="0"/>
      <w:bookmarkEnd w:id="399"/>
      <w:r w:rsidRPr="006810DB">
        <w:rPr>
          <w:rFonts w:ascii="Book Antiqua" w:hAnsi="Book Antiqua"/>
          <w:b/>
          <w:bCs/>
          <w:sz w:val="20"/>
          <w:szCs w:val="20"/>
          <w:lang w:val="en"/>
        </w:rPr>
        <w:t>Perubahan Ketebalan Stratum Korneum</w:t>
      </w:r>
    </w:p>
    <w:p w14:paraId="2A2C36D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Pada tikus, dan sebagian area mukosa manusia (seperti gingiva dan palatum durum), lapisan terluar epitel mengalami keratinisasi membentuk stratum korneum. Lapisan ini berfungsi sebagai perisai mekanis dan kimiawi pertama. Cisplatin, dengan sifat sitotoksiknya, mengganggu proses pematangan dan diferensiasi sel epitel (</w:t>
      </w:r>
      <w:r w:rsidRPr="006810DB">
        <w:rPr>
          <w:rFonts w:ascii="Book Antiqua" w:hAnsi="Book Antiqua"/>
          <w:i/>
          <w:iCs/>
          <w:sz w:val="20"/>
          <w:szCs w:val="20"/>
          <w:lang w:val="en"/>
        </w:rPr>
        <w:t>keratinisasi</w:t>
      </w:r>
      <w:r w:rsidRPr="006810DB">
        <w:rPr>
          <w:rFonts w:ascii="Book Antiqua" w:hAnsi="Book Antiqua"/>
          <w:sz w:val="20"/>
          <w:szCs w:val="20"/>
          <w:lang w:val="en"/>
        </w:rPr>
        <w:t>). Salah satu tanda awal mukositis adalah perubahan ketebalan lapisan ini. Pada fase awal iritasi, mungkin terjadi hiperkeratosis (penebalan) sebagai respons pertahanan adaptif sel (Sonis, 2010).</w:t>
      </w:r>
    </w:p>
    <w:p w14:paraId="7D403BC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Namun, seiring berlanjutnya toksisitas dan kematian sel-sel progenitor di lapisan basal, pasokan sel baru untuk menggantikan sel-sel permukaan yang terkelupas terhenti. Hal ini menyebabkan penipisan progresif lapisan epitel secara keseluruhan, termasuk hilangnya stratum korneum. Hilangnya lapisan keratin ini mengekspos lapisan sel hidup </w:t>
      </w:r>
      <w:r w:rsidRPr="006810DB">
        <w:rPr>
          <w:rFonts w:ascii="Book Antiqua" w:hAnsi="Book Antiqua"/>
          <w:sz w:val="20"/>
          <w:szCs w:val="20"/>
          <w:lang w:val="en"/>
        </w:rPr>
        <w:lastRenderedPageBreak/>
        <w:t>di bawahnya terhadap iritasi mekanis dan kimiawi dari lingkungan rongga mulut, mempercepat terjadinya erosi dan ulserasi.</w:t>
      </w:r>
    </w:p>
    <w:p w14:paraId="2443310B"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Pada kelompok yang diterapi dengan </w:t>
      </w:r>
      <w:r w:rsidRPr="006810DB">
        <w:rPr>
          <w:rFonts w:ascii="Book Antiqua" w:hAnsi="Book Antiqua"/>
          <w:i/>
          <w:iCs/>
          <w:sz w:val="20"/>
          <w:szCs w:val="20"/>
          <w:lang w:val="en"/>
        </w:rPr>
        <w:t>Nigella sativa</w:t>
      </w:r>
      <w:r w:rsidRPr="006810DB">
        <w:rPr>
          <w:rFonts w:ascii="Book Antiqua" w:hAnsi="Book Antiqua"/>
          <w:sz w:val="20"/>
          <w:szCs w:val="20"/>
          <w:lang w:val="en"/>
        </w:rPr>
        <w:t>, pelestarian ketebalan stratum korneum sering kali teramati. Hal ini menunjukkan bahwa ekstrak herbal tersebut berhasil melindungi kemampuan proliferasi dan diferensiasi sel epitel, sehingga siklus pergantian sel (</w:t>
      </w:r>
      <w:r w:rsidRPr="006810DB">
        <w:rPr>
          <w:rFonts w:ascii="Book Antiqua" w:hAnsi="Book Antiqua"/>
          <w:i/>
          <w:iCs/>
          <w:sz w:val="20"/>
          <w:szCs w:val="20"/>
          <w:lang w:val="en"/>
        </w:rPr>
        <w:t>turnover</w:t>
      </w:r>
      <w:r w:rsidRPr="006810DB">
        <w:rPr>
          <w:rFonts w:ascii="Book Antiqua" w:hAnsi="Book Antiqua"/>
          <w:sz w:val="20"/>
          <w:szCs w:val="20"/>
          <w:lang w:val="en"/>
        </w:rPr>
        <w:t>) tetap terjaga mendekati kondisi normal. Keberadaan lapisan keratin yang utuh adalah indikator kuat dari fungsi barier yang masih kompeten (Belfiore et al., 2024).</w:t>
      </w:r>
    </w:p>
    <w:p w14:paraId="40BD395B" w14:textId="7503DAF4" w:rsidR="00B258B7" w:rsidRPr="006810DB" w:rsidRDefault="00B258B7" w:rsidP="006810DB">
      <w:pPr>
        <w:pStyle w:val="ListParagraph"/>
        <w:numPr>
          <w:ilvl w:val="0"/>
          <w:numId w:val="82"/>
        </w:numPr>
        <w:spacing w:after="0" w:line="276" w:lineRule="auto"/>
        <w:ind w:left="567" w:hanging="283"/>
        <w:contextualSpacing w:val="0"/>
        <w:jc w:val="both"/>
        <w:rPr>
          <w:rFonts w:ascii="Book Antiqua" w:hAnsi="Book Antiqua"/>
          <w:b/>
          <w:bCs/>
          <w:sz w:val="20"/>
          <w:szCs w:val="20"/>
          <w:lang w:val="en"/>
        </w:rPr>
      </w:pPr>
      <w:bookmarkStart w:id="400" w:name="_kry0zr8gfmag" w:colFirst="0" w:colLast="0"/>
      <w:bookmarkEnd w:id="400"/>
      <w:r w:rsidRPr="006810DB">
        <w:rPr>
          <w:rFonts w:ascii="Book Antiqua" w:hAnsi="Book Antiqua"/>
          <w:b/>
          <w:bCs/>
          <w:sz w:val="20"/>
          <w:szCs w:val="20"/>
          <w:lang w:val="en"/>
        </w:rPr>
        <w:t>Vakuolisasi dan Atrofi Sel Basal</w:t>
      </w:r>
    </w:p>
    <w:p w14:paraId="364E210A"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Lapisan basal (</w:t>
      </w:r>
      <w:r w:rsidRPr="006810DB">
        <w:rPr>
          <w:rFonts w:ascii="Book Antiqua" w:hAnsi="Book Antiqua"/>
          <w:i/>
          <w:iCs/>
          <w:sz w:val="20"/>
          <w:szCs w:val="20"/>
          <w:lang w:val="en"/>
        </w:rPr>
        <w:t>stratum basale</w:t>
      </w:r>
      <w:r w:rsidRPr="006810DB">
        <w:rPr>
          <w:rFonts w:ascii="Book Antiqua" w:hAnsi="Book Antiqua"/>
          <w:sz w:val="20"/>
          <w:szCs w:val="20"/>
          <w:lang w:val="en"/>
        </w:rPr>
        <w:t>) adalah target utama cisplatin karena sel-sel di sini aktif membelah. Tanda histologis klasik dari cedera subletal pada sel-sel ini adalah degenerasi hidropik atau vakuolisasi. Di bawah mikroskop, sitoplasma sel tampak pucat, bengkak, dan mengandung vakuola (ruang kosong) bening. Ini terjadi karena kegagalan pompa ion membran akibat kekurangan energi (ATP) dan stres oksidatif, yang menyebabkan air masuk ke dalam sel (Kadarullah et al., 2024).</w:t>
      </w:r>
    </w:p>
    <w:p w14:paraId="6E565353"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Jika kerusakan berlanjut, sel akan mengalami kematian dan lapisan basal akan menipis, sebuah kondisi yang disebut atrofi epitel. Susunan sel basal yang biasanya rapat dan tegak lurus seperti pagar menjadi tidak teratur, longgar, dan mendatar. Inti sel mungkin tampak terkondensasi (</w:t>
      </w:r>
      <w:r w:rsidRPr="006810DB">
        <w:rPr>
          <w:rFonts w:ascii="Book Antiqua" w:hAnsi="Book Antiqua"/>
          <w:i/>
          <w:iCs/>
          <w:sz w:val="20"/>
          <w:szCs w:val="20"/>
          <w:lang w:val="en"/>
        </w:rPr>
        <w:t>piknosis</w:t>
      </w:r>
      <w:r w:rsidRPr="006810DB">
        <w:rPr>
          <w:rFonts w:ascii="Book Antiqua" w:hAnsi="Book Antiqua"/>
          <w:sz w:val="20"/>
          <w:szCs w:val="20"/>
          <w:lang w:val="en"/>
        </w:rPr>
        <w:t>) atau pecah (</w:t>
      </w:r>
      <w:r w:rsidRPr="006810DB">
        <w:rPr>
          <w:rFonts w:ascii="Book Antiqua" w:hAnsi="Book Antiqua"/>
          <w:i/>
          <w:iCs/>
          <w:sz w:val="20"/>
          <w:szCs w:val="20"/>
          <w:lang w:val="en"/>
        </w:rPr>
        <w:t>karyorrhexis</w:t>
      </w:r>
      <w:r w:rsidRPr="006810DB">
        <w:rPr>
          <w:rFonts w:ascii="Book Antiqua" w:hAnsi="Book Antiqua"/>
          <w:sz w:val="20"/>
          <w:szCs w:val="20"/>
          <w:lang w:val="en"/>
        </w:rPr>
        <w:t>). Atrofi sel basal adalah prekursor langsung dari ulserasi; ketika fondasi epitel ini runtuh, seluruh lapisan di atasnya akan terlepas.</w:t>
      </w:r>
    </w:p>
    <w:p w14:paraId="00C7771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Terapi dengan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secara signifikan mengurangi insiden dan keparahan vakuolisasi ini. Mekanisme antioksidannya melindungi mitokondria dan membran sel dari kerusakan peroksidasi lipid, sehingga pompa ion tetap berfungsi dan integritas sel terjaga. Gambaran histologis sel basal yang padat, utuh, dan aktif </w:t>
      </w:r>
      <w:r w:rsidRPr="006810DB">
        <w:rPr>
          <w:rFonts w:ascii="Book Antiqua" w:hAnsi="Book Antiqua"/>
          <w:sz w:val="20"/>
          <w:szCs w:val="20"/>
          <w:lang w:val="en"/>
        </w:rPr>
        <w:lastRenderedPageBreak/>
        <w:t>membelah pada kelompok terapi adalah bukti langsung dari efek sitoprotektifnya (Madani et al., 2023).</w:t>
      </w:r>
    </w:p>
    <w:p w14:paraId="7F2F6777" w14:textId="3A15A3BA" w:rsidR="00B258B7" w:rsidRPr="006810DB" w:rsidRDefault="00B258B7" w:rsidP="006810DB">
      <w:pPr>
        <w:pStyle w:val="ListParagraph"/>
        <w:numPr>
          <w:ilvl w:val="0"/>
          <w:numId w:val="82"/>
        </w:numPr>
        <w:spacing w:after="0" w:line="276" w:lineRule="auto"/>
        <w:ind w:left="567" w:hanging="283"/>
        <w:contextualSpacing w:val="0"/>
        <w:jc w:val="both"/>
        <w:rPr>
          <w:rFonts w:ascii="Book Antiqua" w:hAnsi="Book Antiqua"/>
          <w:b/>
          <w:bCs/>
          <w:sz w:val="20"/>
          <w:szCs w:val="20"/>
          <w:lang w:val="en"/>
        </w:rPr>
      </w:pPr>
      <w:bookmarkStart w:id="401" w:name="_pidf29mh575j" w:colFirst="0" w:colLast="0"/>
      <w:bookmarkEnd w:id="401"/>
      <w:r w:rsidRPr="006810DB">
        <w:rPr>
          <w:rFonts w:ascii="Book Antiqua" w:hAnsi="Book Antiqua"/>
          <w:b/>
          <w:bCs/>
          <w:sz w:val="20"/>
          <w:szCs w:val="20"/>
          <w:lang w:val="en"/>
        </w:rPr>
        <w:t>Kepadatan Infiltrat Sel Radang di Lamina Propria</w:t>
      </w:r>
    </w:p>
    <w:p w14:paraId="58A14B72"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Di bawah lapisan epitel, lamina propria menjadi arena utama respons inflamasi. Salah satu indikator histopatologis yang paling mencolok dari mukositis adalah infiltrasi sel-sel radang (leukosit). Pada pewarnaan H&amp;E, sel-sel ini tampak sebagai titik-titik biru gelap kecil yang memadati jaringan ikat, sering kali berkumpul di sekitar pembuluh darah (</w:t>
      </w:r>
      <w:r w:rsidRPr="006810DB">
        <w:rPr>
          <w:rFonts w:ascii="Book Antiqua" w:hAnsi="Book Antiqua"/>
          <w:i/>
          <w:iCs/>
          <w:sz w:val="20"/>
          <w:szCs w:val="20"/>
          <w:lang w:val="en"/>
        </w:rPr>
        <w:t>perivascular cuffing</w:t>
      </w:r>
      <w:r w:rsidRPr="006810DB">
        <w:rPr>
          <w:rFonts w:ascii="Book Antiqua" w:hAnsi="Book Antiqua"/>
          <w:sz w:val="20"/>
          <w:szCs w:val="20"/>
          <w:lang w:val="en"/>
        </w:rPr>
        <w:t>) atau menyebar secara difus di bawah area epitel yang rusak (Salcan et al., 2025).</w:t>
      </w:r>
    </w:p>
    <w:p w14:paraId="05089AFF" w14:textId="3683D5AE"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Jenis sel yang mendominasi memberikan petunjuk tentang fase peradangan. Dominasi neutrofil (sel PMN) menandakan peradangan akut dan sering kali disertai dengan pembentukan mikro-abses. Sementara itu, kehadiran limfosit dan sel plasma menandakan proses yang lebih kronis. Kepadatan infiltrat ini berkorelasi langsung dengan kadar sitokin pro-inflamasi (</w:t>
      </w:r>
      <w:r w:rsidRPr="006810DB">
        <w:rPr>
          <w:rFonts w:ascii="Book Antiqua" w:hAnsi="Book Antiqua"/>
          <w:sz w:val="20"/>
          <w:szCs w:val="20"/>
          <w:highlight w:val="yellow"/>
          <w:lang w:val="en"/>
        </w:rPr>
        <w:t>TNF-α\alphaα, IL-1β\betaβ</w:t>
      </w:r>
      <w:r w:rsidRPr="006810DB">
        <w:rPr>
          <w:rFonts w:ascii="Book Antiqua" w:hAnsi="Book Antiqua"/>
          <w:sz w:val="20"/>
          <w:szCs w:val="20"/>
          <w:lang w:val="en"/>
        </w:rPr>
        <w:t>) di jaringan.</w:t>
      </w:r>
    </w:p>
    <w:p w14:paraId="362EECAD" w14:textId="447CD60A"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Pemberian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secara konsisten menunjukkan penurunan kepadatan infiltrat sel radang. Lamina propria tampak lebih bersih, dengan struktur serat kolagen yang lebih teratur dan jumlah sel imun yang jauh lebih sedikit. Penurunan infiltrasi neutrofil, khususnya, adalah tanda positif yang menunjukkan keberhasilan dalam memutus sinyal kemotaksis dan mencegah kerusakan jaringan kolateral akibat pelepasan enzim proteolitik dari neutrofil (Kazemi et al., 2022).</w:t>
      </w:r>
    </w:p>
    <w:p w14:paraId="042C068B" w14:textId="77777777" w:rsidR="00E936D5" w:rsidRPr="006810DB" w:rsidRDefault="00E936D5" w:rsidP="006810DB">
      <w:pPr>
        <w:spacing w:after="0" w:line="276" w:lineRule="auto"/>
        <w:jc w:val="both"/>
        <w:rPr>
          <w:rFonts w:ascii="Book Antiqua" w:hAnsi="Book Antiqua"/>
          <w:sz w:val="20"/>
          <w:szCs w:val="20"/>
          <w:lang w:val="en"/>
        </w:rPr>
      </w:pPr>
    </w:p>
    <w:p w14:paraId="413A6748" w14:textId="136F13FE" w:rsidR="00B258B7" w:rsidRPr="006810DB" w:rsidRDefault="00B258B7" w:rsidP="006810DB">
      <w:pPr>
        <w:pStyle w:val="Heading2"/>
        <w:numPr>
          <w:ilvl w:val="0"/>
          <w:numId w:val="31"/>
        </w:numPr>
        <w:ind w:left="284" w:hanging="284"/>
        <w:rPr>
          <w:bCs/>
          <w:szCs w:val="20"/>
          <w:lang w:val="en"/>
        </w:rPr>
      </w:pPr>
      <w:bookmarkStart w:id="402" w:name="_f8sudhs08xsk" w:colFirst="0" w:colLast="0"/>
      <w:bookmarkStart w:id="403" w:name="_Toc223088983"/>
      <w:bookmarkEnd w:id="402"/>
      <w:r w:rsidRPr="006810DB">
        <w:rPr>
          <w:bCs/>
          <w:szCs w:val="20"/>
          <w:lang w:val="en"/>
        </w:rPr>
        <w:t>Skor Histopatologis Kerusakan Mukosa</w:t>
      </w:r>
      <w:bookmarkEnd w:id="403"/>
    </w:p>
    <w:p w14:paraId="789912E3"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Untuk menerjemahkan pengamatan visual kualitatif menjadi data ilmiah yang objektif, diperlukan sistem penilaian numerik atau skoring histopatologis. Sistem ini mengklasifikasikan tingkat kerusakan jaringan berdasarkan kriteria-kriteria spesifik yang telah ditentukan sebelumnya. Penggunaan skor memungkinkan peneliti untuk melakukan </w:t>
      </w:r>
      <w:r w:rsidRPr="006810DB">
        <w:rPr>
          <w:rFonts w:ascii="Book Antiqua" w:hAnsi="Book Antiqua"/>
          <w:sz w:val="20"/>
          <w:szCs w:val="20"/>
          <w:lang w:val="en"/>
        </w:rPr>
        <w:lastRenderedPageBreak/>
        <w:t>analisis statistik yang ketat, membandingkan "rata-rata kerusakan" antar kelompok, dan menentukan signifikansi efek terapi. Tanpa sistem skoring, deskripsi histopatologis akan tetap bersifat anekdotal dan sulit untuk direplikasi.</w:t>
      </w:r>
    </w:p>
    <w:p w14:paraId="23769796"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Sistem skoring histopatologi mirip dengan rapor penilaian kerusakan mobil pasca-kecelakaan oleh perusahaan asuransi. Inspektur tidak hanya menulis "mobil rusak parah", tetapi memberikan poin spesifik: 1 poin untuk goresan cat, 3 poin untuk penyok body, 5 poin untuk kaca pecah, dan 10 poin untuk kerusakan mesin. Total skor menentukan apakah mobil bisa diperbaiki (mukositis ringan) atau dianggap kerugian total (ulserasi parah). Skor ini memungkinkan perbandingan objektif: "Mobil A (kontrol) memiliki skor kerusakan 8, sedangkan Mobil B (terapi </w:t>
      </w:r>
      <w:r w:rsidRPr="006810DB">
        <w:rPr>
          <w:rFonts w:ascii="Book Antiqua" w:hAnsi="Book Antiqua"/>
          <w:i/>
          <w:iCs/>
          <w:sz w:val="20"/>
          <w:szCs w:val="20"/>
          <w:lang w:val="en"/>
        </w:rPr>
        <w:t>Nigella sativa</w:t>
      </w:r>
      <w:r w:rsidRPr="006810DB">
        <w:rPr>
          <w:rFonts w:ascii="Book Antiqua" w:hAnsi="Book Antiqua"/>
          <w:sz w:val="20"/>
          <w:szCs w:val="20"/>
          <w:lang w:val="en"/>
        </w:rPr>
        <w:t>) hanya memiliki skor 2." Ini memberikan bukti konkret bahwa sistem pelindung pada Mobil B bekerja efektif.</w:t>
      </w:r>
    </w:p>
    <w:p w14:paraId="17A2188E" w14:textId="7FC3DEE5" w:rsidR="00B258B7" w:rsidRPr="006810DB" w:rsidRDefault="00B258B7" w:rsidP="006810DB">
      <w:pPr>
        <w:pStyle w:val="ListParagraph"/>
        <w:numPr>
          <w:ilvl w:val="0"/>
          <w:numId w:val="84"/>
        </w:numPr>
        <w:spacing w:after="0" w:line="276" w:lineRule="auto"/>
        <w:ind w:left="567" w:hanging="283"/>
        <w:contextualSpacing w:val="0"/>
        <w:jc w:val="both"/>
        <w:rPr>
          <w:rFonts w:ascii="Book Antiqua" w:hAnsi="Book Antiqua"/>
          <w:b/>
          <w:bCs/>
          <w:sz w:val="20"/>
          <w:szCs w:val="20"/>
          <w:lang w:val="en"/>
        </w:rPr>
      </w:pPr>
      <w:bookmarkStart w:id="404" w:name="_lv279orjn2o0" w:colFirst="0" w:colLast="0"/>
      <w:bookmarkEnd w:id="404"/>
      <w:r w:rsidRPr="006810DB">
        <w:rPr>
          <w:rFonts w:ascii="Book Antiqua" w:hAnsi="Book Antiqua"/>
          <w:b/>
          <w:bCs/>
          <w:sz w:val="20"/>
          <w:szCs w:val="20"/>
          <w:lang w:val="en"/>
        </w:rPr>
        <w:t>Penggunaan Sistem Skoring Berdasarkan Kriteria Spesifik</w:t>
      </w:r>
    </w:p>
    <w:p w14:paraId="4094C8D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Berbagai sistem skoring telah dikembangkan untuk mukositis oral pada hewan coba. Salah satu yang paling umum digunakan adalah modifikasi dari skala yang dikembangkan oleh Sonis et al. atau peneliti lain yang relevan. Skala ini biasanya berkisar dari 0 hingga 3 atau 0 hingga 4.</w:t>
      </w:r>
    </w:p>
    <w:p w14:paraId="26EAB8DA" w14:textId="77777777" w:rsidR="00B258B7" w:rsidRPr="006810DB" w:rsidRDefault="00B258B7" w:rsidP="006810DB">
      <w:pPr>
        <w:spacing w:after="0" w:line="276" w:lineRule="auto"/>
        <w:ind w:left="567"/>
        <w:jc w:val="both"/>
        <w:rPr>
          <w:rFonts w:ascii="Book Antiqua" w:hAnsi="Book Antiqua"/>
          <w:sz w:val="20"/>
          <w:szCs w:val="20"/>
          <w:lang w:val="en"/>
        </w:rPr>
      </w:pPr>
      <w:r w:rsidRPr="006810DB">
        <w:rPr>
          <w:rFonts w:ascii="Book Antiqua" w:hAnsi="Book Antiqua"/>
          <w:sz w:val="20"/>
          <w:szCs w:val="20"/>
          <w:lang w:val="en"/>
        </w:rPr>
        <w:t>Contoh kriteria skoring (modifikasi):</w:t>
      </w:r>
    </w:p>
    <w:p w14:paraId="15C2529F" w14:textId="77777777" w:rsidR="00B258B7" w:rsidRPr="006810DB" w:rsidRDefault="00B258B7" w:rsidP="006810DB">
      <w:pPr>
        <w:pStyle w:val="ListParagraph"/>
        <w:numPr>
          <w:ilvl w:val="0"/>
          <w:numId w:val="83"/>
        </w:numPr>
        <w:spacing w:after="0" w:line="276" w:lineRule="auto"/>
        <w:ind w:left="851" w:hanging="284"/>
        <w:contextualSpacing w:val="0"/>
        <w:jc w:val="both"/>
        <w:rPr>
          <w:rFonts w:ascii="Book Antiqua" w:hAnsi="Book Antiqua"/>
          <w:sz w:val="20"/>
          <w:szCs w:val="20"/>
          <w:lang w:val="en"/>
        </w:rPr>
      </w:pPr>
      <w:r w:rsidRPr="006810DB">
        <w:rPr>
          <w:rFonts w:ascii="Book Antiqua" w:hAnsi="Book Antiqua"/>
          <w:b/>
          <w:bCs/>
          <w:sz w:val="20"/>
          <w:szCs w:val="20"/>
          <w:lang w:val="en"/>
        </w:rPr>
        <w:t>Skor 0 (Normal):</w:t>
      </w:r>
      <w:r w:rsidRPr="006810DB">
        <w:rPr>
          <w:rFonts w:ascii="Book Antiqua" w:hAnsi="Book Antiqua"/>
          <w:sz w:val="20"/>
          <w:szCs w:val="20"/>
          <w:lang w:val="en"/>
        </w:rPr>
        <w:t xml:space="preserve"> Epitel utuh, tidak ada penebalan atau penipisan, tidak ada infiltrasi sel radang yang signifikan.</w:t>
      </w:r>
    </w:p>
    <w:p w14:paraId="5AE865EB" w14:textId="77777777" w:rsidR="00B258B7" w:rsidRPr="006810DB" w:rsidRDefault="00B258B7" w:rsidP="006810DB">
      <w:pPr>
        <w:pStyle w:val="ListParagraph"/>
        <w:numPr>
          <w:ilvl w:val="0"/>
          <w:numId w:val="83"/>
        </w:numPr>
        <w:spacing w:after="0" w:line="276" w:lineRule="auto"/>
        <w:ind w:left="851" w:hanging="284"/>
        <w:contextualSpacing w:val="0"/>
        <w:jc w:val="both"/>
        <w:rPr>
          <w:rFonts w:ascii="Book Antiqua" w:hAnsi="Book Antiqua"/>
          <w:sz w:val="20"/>
          <w:szCs w:val="20"/>
          <w:lang w:val="en"/>
        </w:rPr>
      </w:pPr>
      <w:r w:rsidRPr="006810DB">
        <w:rPr>
          <w:rFonts w:ascii="Book Antiqua" w:hAnsi="Book Antiqua"/>
          <w:b/>
          <w:bCs/>
          <w:sz w:val="20"/>
          <w:szCs w:val="20"/>
          <w:lang w:val="en"/>
        </w:rPr>
        <w:t>Skor 1 (Ringan):</w:t>
      </w:r>
      <w:r w:rsidRPr="006810DB">
        <w:rPr>
          <w:rFonts w:ascii="Book Antiqua" w:hAnsi="Book Antiqua"/>
          <w:sz w:val="20"/>
          <w:szCs w:val="20"/>
          <w:lang w:val="en"/>
        </w:rPr>
        <w:t xml:space="preserve"> Sedikit perubahan ketebalan epitel (hiperplasia ringan), vasodilatasi ringan, infiltrasi sel radang fokal atau minimal.</w:t>
      </w:r>
    </w:p>
    <w:p w14:paraId="209ABF24" w14:textId="77777777" w:rsidR="00B258B7" w:rsidRPr="006810DB" w:rsidRDefault="00B258B7" w:rsidP="006810DB">
      <w:pPr>
        <w:pStyle w:val="ListParagraph"/>
        <w:numPr>
          <w:ilvl w:val="0"/>
          <w:numId w:val="83"/>
        </w:numPr>
        <w:spacing w:after="0" w:line="276" w:lineRule="auto"/>
        <w:ind w:left="851" w:hanging="284"/>
        <w:contextualSpacing w:val="0"/>
        <w:jc w:val="both"/>
        <w:rPr>
          <w:rFonts w:ascii="Book Antiqua" w:hAnsi="Book Antiqua"/>
          <w:sz w:val="20"/>
          <w:szCs w:val="20"/>
          <w:lang w:val="en"/>
        </w:rPr>
      </w:pPr>
      <w:r w:rsidRPr="006810DB">
        <w:rPr>
          <w:rFonts w:ascii="Book Antiqua" w:hAnsi="Book Antiqua"/>
          <w:b/>
          <w:bCs/>
          <w:sz w:val="20"/>
          <w:szCs w:val="20"/>
          <w:lang w:val="en"/>
        </w:rPr>
        <w:t>Skor 2 (Sedang):</w:t>
      </w:r>
      <w:r w:rsidRPr="006810DB">
        <w:rPr>
          <w:rFonts w:ascii="Book Antiqua" w:hAnsi="Book Antiqua"/>
          <w:sz w:val="20"/>
          <w:szCs w:val="20"/>
          <w:lang w:val="en"/>
        </w:rPr>
        <w:t xml:space="preserve"> Atrofi epitel moderat, erosi permukaan (hilangnya lapisan atas epitel), edema jaringan ikat, infiltrasi sel radang moderat yang menyebar.</w:t>
      </w:r>
    </w:p>
    <w:p w14:paraId="6BA38897" w14:textId="77777777" w:rsidR="00B258B7" w:rsidRPr="006810DB" w:rsidRDefault="00B258B7" w:rsidP="006810DB">
      <w:pPr>
        <w:pStyle w:val="ListParagraph"/>
        <w:numPr>
          <w:ilvl w:val="0"/>
          <w:numId w:val="83"/>
        </w:numPr>
        <w:spacing w:after="0" w:line="276" w:lineRule="auto"/>
        <w:ind w:left="851" w:hanging="284"/>
        <w:contextualSpacing w:val="0"/>
        <w:jc w:val="both"/>
        <w:rPr>
          <w:rFonts w:ascii="Book Antiqua" w:hAnsi="Book Antiqua"/>
          <w:sz w:val="20"/>
          <w:szCs w:val="20"/>
          <w:lang w:val="en"/>
        </w:rPr>
      </w:pPr>
      <w:r w:rsidRPr="006810DB">
        <w:rPr>
          <w:rFonts w:ascii="Book Antiqua" w:hAnsi="Book Antiqua"/>
          <w:b/>
          <w:bCs/>
          <w:sz w:val="20"/>
          <w:szCs w:val="20"/>
          <w:lang w:val="en"/>
        </w:rPr>
        <w:t>Skor 3 (Parah):</w:t>
      </w:r>
      <w:r w:rsidRPr="006810DB">
        <w:rPr>
          <w:rFonts w:ascii="Book Antiqua" w:hAnsi="Book Antiqua"/>
          <w:sz w:val="20"/>
          <w:szCs w:val="20"/>
          <w:lang w:val="en"/>
        </w:rPr>
        <w:t xml:space="preserve"> Ulserasi yang jelas (hilangnya seluruh ketebalan epitel), nekrosis jaringan, infiltrasi sel radang yang masif (pembentukan abses), kerusakan serat kolagen.</w:t>
      </w:r>
    </w:p>
    <w:p w14:paraId="7BBBF1C0" w14:textId="77777777" w:rsidR="00B258B7" w:rsidRPr="006810DB" w:rsidRDefault="00B258B7" w:rsidP="006810DB">
      <w:pPr>
        <w:pStyle w:val="ListParagraph"/>
        <w:numPr>
          <w:ilvl w:val="0"/>
          <w:numId w:val="83"/>
        </w:numPr>
        <w:spacing w:after="0" w:line="276" w:lineRule="auto"/>
        <w:ind w:left="851" w:hanging="284"/>
        <w:contextualSpacing w:val="0"/>
        <w:jc w:val="both"/>
        <w:rPr>
          <w:rFonts w:ascii="Book Antiqua" w:hAnsi="Book Antiqua"/>
          <w:sz w:val="20"/>
          <w:szCs w:val="20"/>
          <w:lang w:val="en"/>
        </w:rPr>
      </w:pPr>
      <w:r w:rsidRPr="006810DB">
        <w:rPr>
          <w:rFonts w:ascii="Book Antiqua" w:hAnsi="Book Antiqua"/>
          <w:b/>
          <w:bCs/>
          <w:sz w:val="20"/>
          <w:szCs w:val="20"/>
          <w:lang w:val="en"/>
        </w:rPr>
        <w:lastRenderedPageBreak/>
        <w:t>Skor 4 (Sangat Parah):</w:t>
      </w:r>
      <w:r w:rsidRPr="006810DB">
        <w:rPr>
          <w:rFonts w:ascii="Book Antiqua" w:hAnsi="Book Antiqua"/>
          <w:sz w:val="20"/>
          <w:szCs w:val="20"/>
          <w:lang w:val="en"/>
        </w:rPr>
        <w:t xml:space="preserve"> Ulserasi luas yang melibatkan kerusakan otot di bawahnya, perdarahan hebat, dan nekrosis luas (Salcan et al., 2025).</w:t>
      </w:r>
    </w:p>
    <w:p w14:paraId="74365E57" w14:textId="77777777" w:rsidR="00B258B7" w:rsidRPr="006810DB" w:rsidRDefault="00B258B7" w:rsidP="006810DB">
      <w:pPr>
        <w:spacing w:before="120"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Setiap sampel dinilai berdasarkan kriteria ini, dan skor rata-rata dihitung untuk setiap kelompok eksperimen.</w:t>
      </w:r>
    </w:p>
    <w:p w14:paraId="64CE18BA" w14:textId="3F9B9B31" w:rsidR="00B258B7" w:rsidRPr="006810DB" w:rsidRDefault="00B258B7" w:rsidP="006810DB">
      <w:pPr>
        <w:pStyle w:val="ListParagraph"/>
        <w:numPr>
          <w:ilvl w:val="0"/>
          <w:numId w:val="84"/>
        </w:numPr>
        <w:spacing w:before="120" w:after="0" w:line="276" w:lineRule="auto"/>
        <w:ind w:left="567" w:hanging="283"/>
        <w:contextualSpacing w:val="0"/>
        <w:jc w:val="both"/>
        <w:rPr>
          <w:rFonts w:ascii="Book Antiqua" w:hAnsi="Book Antiqua"/>
          <w:b/>
          <w:bCs/>
          <w:sz w:val="20"/>
          <w:szCs w:val="20"/>
          <w:lang w:val="en"/>
        </w:rPr>
      </w:pPr>
      <w:bookmarkStart w:id="405" w:name="_gbz753n1kpbe" w:colFirst="0" w:colLast="0"/>
      <w:bookmarkEnd w:id="405"/>
      <w:r w:rsidRPr="006810DB">
        <w:rPr>
          <w:rFonts w:ascii="Book Antiqua" w:hAnsi="Book Antiqua"/>
          <w:b/>
          <w:bCs/>
          <w:sz w:val="20"/>
          <w:szCs w:val="20"/>
          <w:lang w:val="en"/>
        </w:rPr>
        <w:t xml:space="preserve">Perbandingan Integritas Jaringan </w:t>
      </w:r>
      <w:r w:rsidR="009B5356" w:rsidRPr="006810DB">
        <w:rPr>
          <w:rFonts w:ascii="Book Antiqua" w:hAnsi="Book Antiqua"/>
          <w:b/>
          <w:bCs/>
          <w:sz w:val="20"/>
          <w:szCs w:val="20"/>
          <w:lang w:val="en"/>
        </w:rPr>
        <w:t>anta</w:t>
      </w:r>
      <w:r w:rsidRPr="006810DB">
        <w:rPr>
          <w:rFonts w:ascii="Book Antiqua" w:hAnsi="Book Antiqua"/>
          <w:b/>
          <w:bCs/>
          <w:sz w:val="20"/>
          <w:szCs w:val="20"/>
          <w:lang w:val="en"/>
        </w:rPr>
        <w:t>r Kelompok</w:t>
      </w:r>
    </w:p>
    <w:p w14:paraId="519791C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Aplikasi utama dari sistem skoring ini adalah untuk membandingkan integritas jaringan antara kelompok kontrol negatif (tanpa perlakuan), kelompok kontrol positif (cisplatin saja), dan kelompok perlakuan (cisplatin +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berbagai dosis). Pada kelompok kontrol positif, skor histopatologis biasanya tinggi (rata-rata mendekati 3 atau 4), mencerminkan kerusakan parah yang konsisten dengan induksi kemoterapi (Kazemi et al., 2022).</w:t>
      </w:r>
    </w:p>
    <w:p w14:paraId="3EC062F3"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Sebaliknya, pada kelompok yang menerima </w:t>
      </w:r>
      <w:r w:rsidRPr="006810DB">
        <w:rPr>
          <w:rFonts w:ascii="Book Antiqua" w:hAnsi="Book Antiqua"/>
          <w:i/>
          <w:iCs/>
          <w:sz w:val="20"/>
          <w:szCs w:val="20"/>
          <w:lang w:val="en"/>
        </w:rPr>
        <w:t>Nigella sativa</w:t>
      </w:r>
      <w:r w:rsidRPr="006810DB">
        <w:rPr>
          <w:rFonts w:ascii="Book Antiqua" w:hAnsi="Book Antiqua"/>
          <w:sz w:val="20"/>
          <w:szCs w:val="20"/>
          <w:lang w:val="en"/>
        </w:rPr>
        <w:t>, skor rata-rata diharapkan jauh lebih rendah, menunjukkan pergeseran distribusi skor ke arah "ringan" atau "normal". Analisis statistik (seperti uji Mann-Whitney atau Kruskal-Wallis untuk data non-parametrik) digunakan untuk menentukan apakah perbedaan skor ini signifikan secara statistik (p &lt; 0.05). Penurunan skor yang signifikan pada kelompok terapi memberikan bukti kuantitatif yang kuat tentang efek protektif herbal tersebut dalam menjaga arsitektur jaringan.</w:t>
      </w:r>
    </w:p>
    <w:p w14:paraId="75A0CE14" w14:textId="548B1FE8" w:rsidR="00B258B7" w:rsidRPr="006810DB" w:rsidRDefault="00B258B7" w:rsidP="006810DB">
      <w:pPr>
        <w:pStyle w:val="ListParagraph"/>
        <w:numPr>
          <w:ilvl w:val="0"/>
          <w:numId w:val="84"/>
        </w:numPr>
        <w:spacing w:before="120" w:after="0" w:line="276" w:lineRule="auto"/>
        <w:ind w:left="567" w:hanging="283"/>
        <w:contextualSpacing w:val="0"/>
        <w:jc w:val="both"/>
        <w:rPr>
          <w:rFonts w:ascii="Book Antiqua" w:hAnsi="Book Antiqua"/>
          <w:b/>
          <w:bCs/>
          <w:sz w:val="20"/>
          <w:szCs w:val="20"/>
          <w:lang w:val="en"/>
        </w:rPr>
      </w:pPr>
      <w:bookmarkStart w:id="406" w:name="_pvzm5358we3w" w:colFirst="0" w:colLast="0"/>
      <w:bookmarkEnd w:id="406"/>
      <w:r w:rsidRPr="006810DB">
        <w:rPr>
          <w:rFonts w:ascii="Book Antiqua" w:hAnsi="Book Antiqua"/>
          <w:b/>
          <w:bCs/>
          <w:sz w:val="20"/>
          <w:szCs w:val="20"/>
          <w:lang w:val="en"/>
        </w:rPr>
        <w:t xml:space="preserve">Gambaran Perbaikan Jaringan Pasca Terapi </w:t>
      </w:r>
      <w:r w:rsidRPr="006810DB">
        <w:rPr>
          <w:rFonts w:ascii="Book Antiqua" w:hAnsi="Book Antiqua"/>
          <w:b/>
          <w:bCs/>
          <w:i/>
          <w:iCs/>
          <w:sz w:val="20"/>
          <w:szCs w:val="20"/>
          <w:lang w:val="en"/>
        </w:rPr>
        <w:t>Nigella sativa</w:t>
      </w:r>
    </w:p>
    <w:p w14:paraId="350ED23F"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Selain skor numerik, deskripsi kualitatif tentang perbaikan jaringan juga sangat berharga. Histopatologi pada kelompok terapi sering kali menunjukkan tanda-tanda regenerasi aktif yang tidak terlihat pada kelompok yang tidak diobati. Ini termasuk adanya </w:t>
      </w:r>
      <w:r w:rsidRPr="006810DB">
        <w:rPr>
          <w:rFonts w:ascii="Book Antiqua" w:hAnsi="Book Antiqua"/>
          <w:i/>
          <w:iCs/>
          <w:sz w:val="20"/>
          <w:szCs w:val="20"/>
          <w:lang w:val="en"/>
        </w:rPr>
        <w:t>rete ridges</w:t>
      </w:r>
      <w:r w:rsidRPr="006810DB">
        <w:rPr>
          <w:rFonts w:ascii="Book Antiqua" w:hAnsi="Book Antiqua"/>
          <w:sz w:val="20"/>
          <w:szCs w:val="20"/>
          <w:lang w:val="en"/>
        </w:rPr>
        <w:t xml:space="preserve"> (penonjolan epitel ke dalam jaringan ikat) yang terbentuk kembali, yang menandakan penjangkaran epitel yang kuat, serta re-epitelisasi yang menutupi area yang sebelumnya mengalami ulserasi (Belfiore et al., 2024).</w:t>
      </w:r>
    </w:p>
    <w:p w14:paraId="14A493D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lastRenderedPageBreak/>
        <w:t xml:space="preserve">Fibroblas di lamina propria pada kelompok terapi tampak aktif dan teratur, menghasilkan kolagen baru untuk memperbaiki matriks yang rusak, tanpa disertai edema yang berlebihan. Pembuluh darah tampak normal tanpa dilatasi atau kemacetan sel darah merah yang parah. Gambaran histologis ini menegaskan bahwa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tidak hanya mencegah kerusakan (efek preventif) tetapi juga memfasilitasi proses penyembuhan fisiologis yang lebih cepat dan terorganisir (efek kuratif), mengembalikan mukosa ke keadaan fungsionalnya.</w:t>
      </w:r>
    </w:p>
    <w:p w14:paraId="3541781A" w14:textId="77777777" w:rsidR="00E936D5" w:rsidRPr="006810DB" w:rsidRDefault="00E936D5" w:rsidP="006810DB">
      <w:pPr>
        <w:spacing w:after="0" w:line="276" w:lineRule="auto"/>
        <w:jc w:val="both"/>
        <w:rPr>
          <w:rFonts w:ascii="Book Antiqua" w:hAnsi="Book Antiqua"/>
          <w:b/>
          <w:bCs/>
          <w:sz w:val="20"/>
          <w:szCs w:val="20"/>
          <w:lang w:val="en"/>
        </w:rPr>
      </w:pPr>
      <w:bookmarkStart w:id="407" w:name="_25s20hgthe4k" w:colFirst="0" w:colLast="0"/>
      <w:bookmarkEnd w:id="407"/>
    </w:p>
    <w:p w14:paraId="240B29DA" w14:textId="77777777" w:rsidR="00AD1372" w:rsidRPr="006810DB" w:rsidRDefault="00AD1372"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08C7F6CC" w14:textId="4EEE38F0" w:rsidR="00B258B7" w:rsidRPr="006810DB" w:rsidRDefault="00B258B7" w:rsidP="006810DB">
      <w:pPr>
        <w:pStyle w:val="Heading2"/>
        <w:jc w:val="center"/>
      </w:pPr>
      <w:bookmarkStart w:id="408" w:name="_Toc223088984"/>
      <w:r w:rsidRPr="006810DB">
        <w:lastRenderedPageBreak/>
        <w:t>KESIMPULAN</w:t>
      </w:r>
      <w:bookmarkEnd w:id="408"/>
    </w:p>
    <w:p w14:paraId="616A87F2" w14:textId="77777777" w:rsidR="00AD1372" w:rsidRPr="006810DB" w:rsidRDefault="00AD1372" w:rsidP="006810DB">
      <w:pPr>
        <w:spacing w:after="0" w:line="276" w:lineRule="auto"/>
        <w:jc w:val="both"/>
        <w:rPr>
          <w:rFonts w:ascii="Book Antiqua" w:hAnsi="Book Antiqua"/>
          <w:b/>
          <w:bCs/>
          <w:sz w:val="20"/>
          <w:szCs w:val="20"/>
          <w:lang w:val="en"/>
        </w:rPr>
      </w:pPr>
    </w:p>
    <w:p w14:paraId="7A53AE39" w14:textId="77777777" w:rsidR="00B258B7" w:rsidRPr="006810DB" w:rsidRDefault="00B258B7" w:rsidP="006810DB">
      <w:pPr>
        <w:spacing w:after="0" w:line="276" w:lineRule="auto"/>
        <w:ind w:firstLine="567"/>
        <w:jc w:val="both"/>
        <w:rPr>
          <w:rFonts w:ascii="Book Antiqua" w:hAnsi="Book Antiqua"/>
          <w:sz w:val="20"/>
          <w:szCs w:val="20"/>
          <w:lang w:val="en"/>
        </w:rPr>
      </w:pPr>
      <w:r w:rsidRPr="006810DB">
        <w:rPr>
          <w:rFonts w:ascii="Book Antiqua" w:hAnsi="Book Antiqua"/>
          <w:sz w:val="20"/>
          <w:szCs w:val="20"/>
          <w:lang w:val="en"/>
        </w:rPr>
        <w:t xml:space="preserve">Analisis histopatologi memberikan bukti definitif mengenai dampak destruktif cisplatin dan potensi protektif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pada struktur mukosa oral. Melalui teknik preparasi yang terstandarisasi dan pewarnaan H&amp;E, perubahan mikroskopis seperti atrofi epitel, vakuolisasi sel basal, dan infiltrasi sel radang dapat divisualisasikan dengan jelas. Penerapan sistem skoring semikuantitatif mengkonfirmasi bahwa terapi dengan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secara signifikan menurunkan derajat kerusakan jaringan, mempertahankan ketebalan epitel, dan mengurangi respons inflamasi lokal. Gambaran histologis yang "tenang" dan utuh pada kelompok terapi memvalidasi mekanisme molekuler antioksidan dan anti-inflamasi yang telah dibahas sebelumnya, membuktikan efikasi klinis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pada tingkat seluler.</w:t>
      </w:r>
    </w:p>
    <w:p w14:paraId="025EFFB8" w14:textId="77777777" w:rsidR="00E936D5" w:rsidRPr="006810DB" w:rsidRDefault="00E936D5" w:rsidP="006810DB">
      <w:pPr>
        <w:spacing w:line="276" w:lineRule="auto"/>
        <w:rPr>
          <w:rFonts w:ascii="Book Antiqua" w:hAnsi="Book Antiqua"/>
          <w:b/>
          <w:bCs/>
          <w:sz w:val="20"/>
          <w:szCs w:val="20"/>
          <w:lang w:val="en"/>
        </w:rPr>
      </w:pPr>
      <w:bookmarkStart w:id="409" w:name="_bl5ezmxy79r4" w:colFirst="0" w:colLast="0"/>
      <w:bookmarkEnd w:id="409"/>
      <w:r w:rsidRPr="006810DB">
        <w:rPr>
          <w:rFonts w:ascii="Book Antiqua" w:hAnsi="Book Antiqua"/>
          <w:b/>
          <w:bCs/>
          <w:sz w:val="20"/>
          <w:szCs w:val="20"/>
          <w:lang w:val="en"/>
        </w:rPr>
        <w:br w:type="page"/>
      </w:r>
    </w:p>
    <w:p w14:paraId="00DEC855" w14:textId="77777777" w:rsidR="00824155" w:rsidRPr="006810DB" w:rsidRDefault="00824155" w:rsidP="00824155">
      <w:pPr>
        <w:pStyle w:val="Heading2"/>
        <w:jc w:val="center"/>
      </w:pPr>
      <w:bookmarkStart w:id="410" w:name="_Toc223088985"/>
      <w:r w:rsidRPr="006810DB">
        <w:lastRenderedPageBreak/>
        <w:t>GLOSARIUM</w:t>
      </w:r>
      <w:bookmarkEnd w:id="410"/>
    </w:p>
    <w:p w14:paraId="7DB82337" w14:textId="77777777" w:rsidR="00824155" w:rsidRPr="006810DB" w:rsidRDefault="00824155" w:rsidP="00824155">
      <w:pPr>
        <w:spacing w:after="0" w:line="276" w:lineRule="auto"/>
        <w:jc w:val="both"/>
        <w:rPr>
          <w:rFonts w:ascii="Book Antiqua" w:hAnsi="Book Antiqua"/>
          <w:b/>
          <w:bCs/>
          <w:sz w:val="20"/>
          <w:szCs w:val="20"/>
          <w:lang w:val="en"/>
        </w:rPr>
      </w:pPr>
    </w:p>
    <w:p w14:paraId="1C2BF9FB"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Atrofi Epitel</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Penipisan lapisan sel epitel akibat penurunan ukuran atau jumlah sel, sering kali disebabkan oleh kematian sel atau gangguan regenerasi.</w:t>
      </w:r>
    </w:p>
    <w:p w14:paraId="5E21E115"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Fiksasi</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Proses pengawetan jaringan biologis menggunakan bahan kimia (seperti formalin) untuk mencegah pembusukan dan mempertahankan struktur seluler agar mirip dengan kondisi hidup.</w:t>
      </w:r>
    </w:p>
    <w:p w14:paraId="54C4C6BB"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Infiltrat Sel Radang</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Masuknya dan berkumpulnya sel-sel imun (seperti neutrofil, limfosit, makrofag) ke dalam jaringan sebagai respons terhadap cedera atau infeksi.</w:t>
      </w:r>
    </w:p>
    <w:p w14:paraId="1C08E78D"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Mikrotom</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Alat presisi yang digunakan untuk memotong blok jaringan menjadi irisan yang sangat tipis (mikrometer) untuk pemeriksaan mikroskopis.</w:t>
      </w:r>
    </w:p>
    <w:p w14:paraId="1CA7CA1E"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Vakuolisasi (Degenerasi Hidropik)</w:t>
      </w:r>
      <w:r w:rsidRPr="006810DB">
        <w:rPr>
          <w:rFonts w:ascii="Book Antiqua" w:hAnsi="Book Antiqua"/>
          <w:sz w:val="20"/>
          <w:szCs w:val="20"/>
          <w:lang w:val="en"/>
        </w:rPr>
        <w:t>: Pembengkakan sel akibat penumpukan air di dalam vakuola sitoplasma, merupakan tanda cedera seluler reversibel yang sering mendahului kematian sel.</w:t>
      </w:r>
    </w:p>
    <w:p w14:paraId="6C0195B8" w14:textId="77777777" w:rsidR="00824155" w:rsidRPr="006810DB" w:rsidRDefault="00824155" w:rsidP="00824155">
      <w:pPr>
        <w:spacing w:line="276" w:lineRule="auto"/>
        <w:rPr>
          <w:rFonts w:ascii="Book Antiqua" w:hAnsi="Book Antiqua"/>
          <w:b/>
          <w:bCs/>
          <w:sz w:val="20"/>
          <w:szCs w:val="20"/>
          <w:lang w:val="en"/>
        </w:rPr>
      </w:pPr>
      <w:bookmarkStart w:id="411" w:name="_lozndqflhsyh" w:colFirst="0" w:colLast="0"/>
      <w:bookmarkEnd w:id="411"/>
      <w:r w:rsidRPr="006810DB">
        <w:rPr>
          <w:rFonts w:ascii="Book Antiqua" w:hAnsi="Book Antiqua"/>
          <w:b/>
          <w:bCs/>
          <w:sz w:val="20"/>
          <w:szCs w:val="20"/>
          <w:lang w:val="en"/>
        </w:rPr>
        <w:br w:type="page"/>
      </w:r>
    </w:p>
    <w:p w14:paraId="37FB85A2" w14:textId="77777777" w:rsidR="007B1816" w:rsidRPr="006810DB" w:rsidRDefault="007B1816" w:rsidP="006810DB">
      <w:pPr>
        <w:pStyle w:val="Heading2"/>
        <w:jc w:val="center"/>
        <w:rPr>
          <w:rFonts w:eastAsia="DengXian"/>
          <w:lang w:eastAsia="zh-CN"/>
        </w:rPr>
      </w:pPr>
      <w:bookmarkStart w:id="412" w:name="_Toc223088986"/>
      <w:r w:rsidRPr="006810DB">
        <w:lastRenderedPageBreak/>
        <w:t>DAFTAR PUSTAKA</w:t>
      </w:r>
      <w:bookmarkEnd w:id="412"/>
    </w:p>
    <w:p w14:paraId="474277E9" w14:textId="77777777" w:rsidR="007B1816" w:rsidRPr="006810DB" w:rsidRDefault="007B1816" w:rsidP="006810DB">
      <w:pPr>
        <w:spacing w:after="0" w:line="276" w:lineRule="auto"/>
        <w:jc w:val="both"/>
        <w:rPr>
          <w:rFonts w:ascii="Book Antiqua" w:hAnsi="Book Antiqua"/>
          <w:b/>
          <w:bCs/>
          <w:sz w:val="20"/>
          <w:szCs w:val="20"/>
          <w:lang w:val="en"/>
        </w:rPr>
      </w:pPr>
    </w:p>
    <w:p w14:paraId="5BFEFA3D" w14:textId="77777777" w:rsidR="007B1816" w:rsidRPr="006810DB" w:rsidRDefault="007B181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Belfiore, E., Di Prima, G., Angellotti, G., Panzarella, V., &amp; De Caro, V. (2024). Plant-Derived Polyphenols to Prevent and Treat Oral Mucositis Induced by Chemo- and Radiotherapy in Head and Neck Cancers Management. </w:t>
      </w:r>
      <w:r w:rsidRPr="006810DB">
        <w:rPr>
          <w:rFonts w:ascii="Book Antiqua" w:hAnsi="Book Antiqua"/>
          <w:i/>
          <w:iCs/>
          <w:color w:val="000000" w:themeColor="text1"/>
          <w:sz w:val="20"/>
          <w:szCs w:val="20"/>
          <w:lang w:val="en"/>
        </w:rPr>
        <w:t>Cancers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16</w:t>
      </w:r>
      <w:r w:rsidRPr="006810DB">
        <w:rPr>
          <w:rFonts w:ascii="Book Antiqua" w:hAnsi="Book Antiqua"/>
          <w:color w:val="000000" w:themeColor="text1"/>
          <w:sz w:val="20"/>
          <w:szCs w:val="20"/>
          <w:lang w:val="en"/>
        </w:rPr>
        <w:t>(2), 260.</w:t>
      </w:r>
      <w:hyperlink r:id="rId297">
        <w:r w:rsidRPr="006810DB">
          <w:rPr>
            <w:rStyle w:val="Hyperlink"/>
            <w:rFonts w:ascii="Book Antiqua" w:hAnsi="Book Antiqua"/>
            <w:color w:val="000000" w:themeColor="text1"/>
            <w:sz w:val="20"/>
            <w:szCs w:val="20"/>
            <w:u w:val="none"/>
            <w:lang w:val="en"/>
          </w:rPr>
          <w:t xml:space="preserve"> </w:t>
        </w:r>
      </w:hyperlink>
      <w:hyperlink r:id="rId298">
        <w:r w:rsidRPr="006810DB">
          <w:rPr>
            <w:rStyle w:val="Hyperlink"/>
            <w:rFonts w:ascii="Book Antiqua" w:hAnsi="Book Antiqua"/>
            <w:color w:val="000000" w:themeColor="text1"/>
            <w:sz w:val="20"/>
            <w:szCs w:val="20"/>
            <w:u w:val="none"/>
            <w:lang w:val="en"/>
          </w:rPr>
          <w:t>https://doi.org/10.3390/cancers16020260</w:t>
        </w:r>
      </w:hyperlink>
    </w:p>
    <w:p w14:paraId="5FD2D2C5" w14:textId="77777777" w:rsidR="007B1816" w:rsidRPr="006810DB" w:rsidRDefault="007B181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Kadarullah, O., Tamtomo, D., Wasita, B., Setiamika, M., Prayitno, A., Widyaningsih, V., &amp; Soetrisno, S. (2024). Cisplatin-Induced Oral Mucositis Prevention: Nigella sativa’s Anti-Inflammatory Role through NFκB Pathway. </w:t>
      </w:r>
      <w:r w:rsidRPr="006810DB">
        <w:rPr>
          <w:rFonts w:ascii="Book Antiqua" w:hAnsi="Book Antiqua"/>
          <w:i/>
          <w:iCs/>
          <w:color w:val="000000" w:themeColor="text1"/>
          <w:sz w:val="20"/>
          <w:szCs w:val="20"/>
          <w:lang w:val="en"/>
        </w:rPr>
        <w:t>Trends in Sciences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21</w:t>
      </w:r>
      <w:r w:rsidRPr="006810DB">
        <w:rPr>
          <w:rFonts w:ascii="Book Antiqua" w:hAnsi="Book Antiqua"/>
          <w:color w:val="000000" w:themeColor="text1"/>
          <w:sz w:val="20"/>
          <w:szCs w:val="20"/>
          <w:lang w:val="en"/>
        </w:rPr>
        <w:t>(1), 8105.</w:t>
      </w:r>
      <w:hyperlink r:id="rId299">
        <w:r w:rsidRPr="006810DB">
          <w:rPr>
            <w:rStyle w:val="Hyperlink"/>
            <w:rFonts w:ascii="Book Antiqua" w:hAnsi="Book Antiqua"/>
            <w:color w:val="000000" w:themeColor="text1"/>
            <w:sz w:val="20"/>
            <w:szCs w:val="20"/>
            <w:u w:val="none"/>
            <w:lang w:val="en"/>
          </w:rPr>
          <w:t xml:space="preserve"> </w:t>
        </w:r>
      </w:hyperlink>
      <w:hyperlink r:id="rId300">
        <w:r w:rsidRPr="006810DB">
          <w:rPr>
            <w:rStyle w:val="Hyperlink"/>
            <w:rFonts w:ascii="Book Antiqua" w:hAnsi="Book Antiqua"/>
            <w:color w:val="000000" w:themeColor="text1"/>
            <w:sz w:val="20"/>
            <w:szCs w:val="20"/>
            <w:u w:val="none"/>
            <w:lang w:val="en"/>
          </w:rPr>
          <w:t>https://doi.org/10.48048/tis.2024.8105</w:t>
        </w:r>
      </w:hyperlink>
    </w:p>
    <w:p w14:paraId="35ECBCE3" w14:textId="77777777" w:rsidR="007B1816" w:rsidRPr="006810DB" w:rsidRDefault="007B181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Kazemi, S., Moghadamnia, A., Saebnouri, H., Roudsari, S., &amp; Afraz, E. (2022). Effect of intraperitoneal injection of Nigella sativa oil on 5-fluorouracil-induced oral mucositis in rats. </w:t>
      </w:r>
      <w:r w:rsidRPr="006810DB">
        <w:rPr>
          <w:rFonts w:ascii="Book Antiqua" w:hAnsi="Book Antiqua"/>
          <w:i/>
          <w:iCs/>
          <w:color w:val="000000" w:themeColor="text1"/>
          <w:sz w:val="20"/>
          <w:szCs w:val="20"/>
          <w:lang w:val="en"/>
        </w:rPr>
        <w:t>Journal of Biological Studies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w:t>
      </w:r>
      <w:r w:rsidRPr="006810DB">
        <w:rPr>
          <w:rFonts w:ascii="Book Antiqua" w:hAnsi="Book Antiqua"/>
          <w:color w:val="000000" w:themeColor="text1"/>
          <w:sz w:val="20"/>
          <w:szCs w:val="20"/>
          <w:lang w:val="en"/>
        </w:rPr>
        <w:t>(1), 6365.</w:t>
      </w:r>
      <w:hyperlink r:id="rId301">
        <w:r w:rsidRPr="006810DB">
          <w:rPr>
            <w:rStyle w:val="Hyperlink"/>
            <w:rFonts w:ascii="Book Antiqua" w:hAnsi="Book Antiqua"/>
            <w:color w:val="000000" w:themeColor="text1"/>
            <w:sz w:val="20"/>
            <w:szCs w:val="20"/>
            <w:u w:val="none"/>
            <w:lang w:val="en"/>
          </w:rPr>
          <w:t xml:space="preserve"> </w:t>
        </w:r>
      </w:hyperlink>
      <w:hyperlink r:id="rId302">
        <w:r w:rsidRPr="006810DB">
          <w:rPr>
            <w:rStyle w:val="Hyperlink"/>
            <w:rFonts w:ascii="Book Antiqua" w:hAnsi="Book Antiqua"/>
            <w:color w:val="000000" w:themeColor="text1"/>
            <w:sz w:val="20"/>
            <w:szCs w:val="20"/>
            <w:u w:val="none"/>
            <w:lang w:val="en"/>
          </w:rPr>
          <w:t>https://doi.org/10.62400/jbs.v5i1.6365</w:t>
        </w:r>
      </w:hyperlink>
    </w:p>
    <w:p w14:paraId="56172AD4" w14:textId="77777777" w:rsidR="007B1816" w:rsidRPr="006810DB" w:rsidRDefault="007B181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Madani, F., Kazemi, S., Shirafkan, F., Lotfi, M., Hosseini, S., &amp; Moghadamnia, A. (2023). Thymoquinone protects against 5</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Fluorouracil</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induced mucositis by NF</w:t>
      </w:r>
      <w:r w:rsidRPr="006810DB">
        <w:rPr>
          <w:rFonts w:ascii="Times New Roman" w:hAnsi="Times New Roman" w:cs="Times New Roman"/>
          <w:color w:val="000000" w:themeColor="text1"/>
          <w:sz w:val="20"/>
          <w:szCs w:val="20"/>
          <w:lang w:val="en"/>
        </w:rPr>
        <w:t>‐</w:t>
      </w:r>
      <w:r w:rsidRPr="006810DB">
        <w:rPr>
          <w:rFonts w:ascii="Book Antiqua" w:hAnsi="Book Antiqua" w:cs="Book Antiqua"/>
          <w:color w:val="000000" w:themeColor="text1"/>
          <w:sz w:val="20"/>
          <w:szCs w:val="20"/>
          <w:lang w:val="en"/>
        </w:rPr>
        <w:t>κβ</w:t>
      </w:r>
      <w:r w:rsidRPr="006810DB">
        <w:rPr>
          <w:rFonts w:ascii="Book Antiqua" w:hAnsi="Book Antiqua"/>
          <w:color w:val="000000" w:themeColor="text1"/>
          <w:sz w:val="20"/>
          <w:szCs w:val="20"/>
          <w:lang w:val="en"/>
        </w:rPr>
        <w:t xml:space="preserve"> and HIF</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 xml:space="preserve">1 mechanisms in mice. </w:t>
      </w:r>
      <w:r w:rsidRPr="006810DB">
        <w:rPr>
          <w:rFonts w:ascii="Book Antiqua" w:hAnsi="Book Antiqua"/>
          <w:i/>
          <w:iCs/>
          <w:color w:val="000000" w:themeColor="text1"/>
          <w:sz w:val="20"/>
          <w:szCs w:val="20"/>
          <w:lang w:val="en"/>
        </w:rPr>
        <w:t>Journal of Biochemical and Molecular Toxicology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37</w:t>
      </w:r>
      <w:r w:rsidRPr="006810DB">
        <w:rPr>
          <w:rFonts w:ascii="Book Antiqua" w:hAnsi="Book Antiqua"/>
          <w:color w:val="000000" w:themeColor="text1"/>
          <w:sz w:val="20"/>
          <w:szCs w:val="20"/>
          <w:lang w:val="en"/>
        </w:rPr>
        <w:t>(6), e23405.</w:t>
      </w:r>
      <w:hyperlink r:id="rId303">
        <w:r w:rsidRPr="006810DB">
          <w:rPr>
            <w:rStyle w:val="Hyperlink"/>
            <w:rFonts w:ascii="Book Antiqua" w:hAnsi="Book Antiqua"/>
            <w:color w:val="000000" w:themeColor="text1"/>
            <w:sz w:val="20"/>
            <w:szCs w:val="20"/>
            <w:u w:val="none"/>
            <w:lang w:val="en"/>
          </w:rPr>
          <w:t xml:space="preserve"> </w:t>
        </w:r>
      </w:hyperlink>
      <w:hyperlink r:id="rId304">
        <w:r w:rsidRPr="006810DB">
          <w:rPr>
            <w:rStyle w:val="Hyperlink"/>
            <w:rFonts w:ascii="Book Antiqua" w:hAnsi="Book Antiqua"/>
            <w:color w:val="000000" w:themeColor="text1"/>
            <w:sz w:val="20"/>
            <w:szCs w:val="20"/>
            <w:u w:val="none"/>
            <w:lang w:val="en"/>
          </w:rPr>
          <w:t>https://doi.org/10.1002/jbt.23405</w:t>
        </w:r>
      </w:hyperlink>
    </w:p>
    <w:p w14:paraId="51D2E31A" w14:textId="77777777" w:rsidR="007B1816" w:rsidRPr="006810DB" w:rsidRDefault="007B181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Salcan, I., Dilber, M., Suleyman, Z., Yucel, N., Salcan, S., Kesan, S., Yazici, G., Çelik, F., Koseturk, M., Alp, N., &amp; Suleyman, H. (2025). Protective effect of adenosine triphosphate against cisplatin-induced necrotic and degenerative oral mucositis in rats. </w:t>
      </w:r>
      <w:r w:rsidRPr="006810DB">
        <w:rPr>
          <w:rFonts w:ascii="Book Antiqua" w:hAnsi="Book Antiqua"/>
          <w:i/>
          <w:iCs/>
          <w:color w:val="000000" w:themeColor="text1"/>
          <w:sz w:val="20"/>
          <w:szCs w:val="20"/>
          <w:lang w:val="en"/>
        </w:rPr>
        <w:t>Journal of Applied Oral Science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33</w:t>
      </w:r>
      <w:r w:rsidRPr="006810DB">
        <w:rPr>
          <w:rFonts w:ascii="Book Antiqua" w:hAnsi="Book Antiqua"/>
          <w:color w:val="000000" w:themeColor="text1"/>
          <w:sz w:val="20"/>
          <w:szCs w:val="20"/>
          <w:lang w:val="en"/>
        </w:rPr>
        <w:t>, e20240366.</w:t>
      </w:r>
      <w:hyperlink r:id="rId305">
        <w:r w:rsidRPr="006810DB">
          <w:rPr>
            <w:rStyle w:val="Hyperlink"/>
            <w:rFonts w:ascii="Book Antiqua" w:hAnsi="Book Antiqua"/>
            <w:color w:val="000000" w:themeColor="text1"/>
            <w:sz w:val="20"/>
            <w:szCs w:val="20"/>
            <w:u w:val="none"/>
            <w:lang w:val="en"/>
          </w:rPr>
          <w:t xml:space="preserve"> </w:t>
        </w:r>
      </w:hyperlink>
      <w:hyperlink r:id="rId306">
        <w:r w:rsidRPr="006810DB">
          <w:rPr>
            <w:rStyle w:val="Hyperlink"/>
            <w:rFonts w:ascii="Book Antiqua" w:hAnsi="Book Antiqua"/>
            <w:color w:val="000000" w:themeColor="text1"/>
            <w:sz w:val="20"/>
            <w:szCs w:val="20"/>
            <w:u w:val="none"/>
            <w:lang w:val="en"/>
          </w:rPr>
          <w:t>https://doi.org/10.1590/1678-7757-2025-0007</w:t>
        </w:r>
      </w:hyperlink>
    </w:p>
    <w:p w14:paraId="225F3F5A" w14:textId="77777777" w:rsidR="007B1816" w:rsidRPr="006810DB" w:rsidRDefault="007B181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Sonis, S. T. (2010). The pathobiology of mucositis. </w:t>
      </w:r>
      <w:r w:rsidRPr="006810DB">
        <w:rPr>
          <w:rFonts w:ascii="Book Antiqua" w:hAnsi="Book Antiqua"/>
          <w:i/>
          <w:iCs/>
          <w:color w:val="000000" w:themeColor="text1"/>
          <w:sz w:val="20"/>
          <w:szCs w:val="20"/>
          <w:lang w:val="en"/>
        </w:rPr>
        <w:t>Nature Reviews 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w:t>
      </w:r>
      <w:r w:rsidRPr="006810DB">
        <w:rPr>
          <w:rFonts w:ascii="Book Antiqua" w:hAnsi="Book Antiqua"/>
          <w:color w:val="000000" w:themeColor="text1"/>
          <w:sz w:val="20"/>
          <w:szCs w:val="20"/>
          <w:lang w:val="en"/>
        </w:rPr>
        <w:t>(4), 277-284.</w:t>
      </w:r>
      <w:hyperlink r:id="rId307">
        <w:r w:rsidRPr="006810DB">
          <w:rPr>
            <w:rStyle w:val="Hyperlink"/>
            <w:rFonts w:ascii="Book Antiqua" w:hAnsi="Book Antiqua"/>
            <w:color w:val="000000" w:themeColor="text1"/>
            <w:sz w:val="20"/>
            <w:szCs w:val="20"/>
            <w:u w:val="none"/>
            <w:lang w:val="en"/>
          </w:rPr>
          <w:t xml:space="preserve"> </w:t>
        </w:r>
      </w:hyperlink>
      <w:hyperlink r:id="rId308">
        <w:r w:rsidRPr="006810DB">
          <w:rPr>
            <w:rStyle w:val="Hyperlink"/>
            <w:rFonts w:ascii="Book Antiqua" w:hAnsi="Book Antiqua"/>
            <w:color w:val="000000" w:themeColor="text1"/>
            <w:sz w:val="20"/>
            <w:szCs w:val="20"/>
            <w:u w:val="none"/>
            <w:lang w:val="en"/>
          </w:rPr>
          <w:t>https://doi.org/10.1038/nrc2812</w:t>
        </w:r>
      </w:hyperlink>
    </w:p>
    <w:p w14:paraId="3B0E308B" w14:textId="77777777" w:rsidR="007B1816" w:rsidRPr="006810DB" w:rsidRDefault="007B181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Suvarna, S. K., Layton, C., &amp; Bancroft, J. D. (2018). </w:t>
      </w:r>
      <w:r w:rsidRPr="006810DB">
        <w:rPr>
          <w:rFonts w:ascii="Book Antiqua" w:hAnsi="Book Antiqua"/>
          <w:i/>
          <w:iCs/>
          <w:color w:val="000000" w:themeColor="text1"/>
          <w:sz w:val="20"/>
          <w:szCs w:val="20"/>
          <w:lang w:val="en"/>
        </w:rPr>
        <w:t>Bancroft's Theory and Practice of Histological Techniques</w:t>
      </w:r>
      <w:r w:rsidRPr="006810DB">
        <w:rPr>
          <w:rFonts w:ascii="Book Antiqua" w:hAnsi="Book Antiqua"/>
          <w:color w:val="000000" w:themeColor="text1"/>
          <w:sz w:val="20"/>
          <w:szCs w:val="20"/>
          <w:lang w:val="en"/>
        </w:rPr>
        <w:t xml:space="preserve"> (8th ed.). Elsevier.</w:t>
      </w:r>
    </w:p>
    <w:p w14:paraId="2A691DF6" w14:textId="77777777" w:rsidR="007B1816" w:rsidRPr="006810DB" w:rsidRDefault="007B1816" w:rsidP="006810DB">
      <w:pPr>
        <w:spacing w:after="0" w:line="276" w:lineRule="auto"/>
        <w:jc w:val="both"/>
        <w:rPr>
          <w:rFonts w:ascii="Book Antiqua" w:hAnsi="Book Antiqua"/>
          <w:b/>
          <w:bCs/>
          <w:sz w:val="20"/>
          <w:szCs w:val="20"/>
          <w:lang w:val="en"/>
        </w:rPr>
      </w:pPr>
      <w:bookmarkStart w:id="413" w:name="_arg1ig9y7f0" w:colFirst="0" w:colLast="0"/>
      <w:bookmarkEnd w:id="413"/>
    </w:p>
    <w:p w14:paraId="1DAF3B90" w14:textId="77777777" w:rsidR="007B1816" w:rsidRPr="006810DB" w:rsidRDefault="007B1816"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3C13F3BB" w14:textId="523EA39A" w:rsidR="00D0395B" w:rsidRPr="006810DB" w:rsidRDefault="00D0395B" w:rsidP="006810DB">
      <w:pPr>
        <w:pStyle w:val="Heading1"/>
        <w:spacing w:line="276" w:lineRule="auto"/>
        <w:ind w:firstLine="142"/>
        <w:rPr>
          <w:b/>
          <w:sz w:val="14"/>
          <w:szCs w:val="14"/>
          <w:lang w:val="en-US"/>
        </w:rPr>
      </w:pPr>
      <w:bookmarkStart w:id="414" w:name="_Toc223088987"/>
      <w:r w:rsidRPr="006810DB">
        <w:rPr>
          <w:b/>
          <w:noProof/>
          <w:sz w:val="48"/>
          <w:szCs w:val="20"/>
          <w:lang w:val="en-US"/>
        </w:rPr>
        <w:lastRenderedPageBreak/>
        <mc:AlternateContent>
          <mc:Choice Requires="wps">
            <w:drawing>
              <wp:anchor distT="0" distB="0" distL="114300" distR="114300" simplePos="0" relativeHeight="251715584" behindDoc="0" locked="0" layoutInCell="1" allowOverlap="1" wp14:anchorId="647A27D2" wp14:editId="3D5689CB">
                <wp:simplePos x="0" y="0"/>
                <wp:positionH relativeFrom="column">
                  <wp:posOffset>910590</wp:posOffset>
                </wp:positionH>
                <wp:positionV relativeFrom="paragraph">
                  <wp:posOffset>133350</wp:posOffset>
                </wp:positionV>
                <wp:extent cx="2820035" cy="1066800"/>
                <wp:effectExtent l="0" t="0" r="0" b="0"/>
                <wp:wrapNone/>
                <wp:docPr id="36" name="Rectangle 36"/>
                <wp:cNvGraphicFramePr/>
                <a:graphic xmlns:a="http://schemas.openxmlformats.org/drawingml/2006/main">
                  <a:graphicData uri="http://schemas.microsoft.com/office/word/2010/wordprocessingShape">
                    <wps:wsp>
                      <wps:cNvSpPr/>
                      <wps:spPr>
                        <a:xfrm>
                          <a:off x="0" y="0"/>
                          <a:ext cx="2820035" cy="1066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FBFE492" w14:textId="1C031DF3" w:rsidR="00D0395B" w:rsidRPr="007B1816" w:rsidRDefault="00D0395B" w:rsidP="00D0395B">
                            <w:pPr>
                              <w:spacing w:after="0" w:line="276" w:lineRule="auto"/>
                              <w:jc w:val="center"/>
                              <w:rPr>
                                <w:rFonts w:ascii="Book Antiqua" w:hAnsi="Book Antiqua"/>
                                <w:b/>
                                <w:bCs/>
                                <w:sz w:val="32"/>
                                <w:szCs w:val="36"/>
                                <w:lang w:val="en"/>
                              </w:rPr>
                            </w:pPr>
                            <w:r w:rsidRPr="007B1816">
                              <w:rPr>
                                <w:rFonts w:ascii="Book Antiqua" w:hAnsi="Book Antiqua"/>
                                <w:b/>
                                <w:bCs/>
                                <w:sz w:val="32"/>
                                <w:szCs w:val="36"/>
                                <w:lang w:val="en"/>
                              </w:rPr>
                              <w:t xml:space="preserve">EFEK PROTEKTIF </w:t>
                            </w:r>
                            <w:r w:rsidR="007B1816">
                              <w:rPr>
                                <w:rFonts w:ascii="Book Antiqua" w:hAnsi="Book Antiqua"/>
                                <w:b/>
                                <w:bCs/>
                                <w:sz w:val="32"/>
                                <w:szCs w:val="36"/>
                                <w:lang w:val="en"/>
                              </w:rPr>
                              <w:br/>
                            </w:r>
                            <w:r w:rsidR="007B1816" w:rsidRPr="007B1816">
                              <w:rPr>
                                <w:rFonts w:ascii="Book Antiqua" w:hAnsi="Book Antiqua"/>
                                <w:b/>
                                <w:bCs/>
                                <w:i/>
                                <w:iCs/>
                                <w:sz w:val="32"/>
                                <w:szCs w:val="36"/>
                                <w:lang w:val="en"/>
                              </w:rPr>
                              <w:t>Nigella sativa</w:t>
                            </w:r>
                            <w:r w:rsidRPr="007B1816">
                              <w:rPr>
                                <w:rFonts w:ascii="Book Antiqua" w:hAnsi="Book Antiqua"/>
                                <w:b/>
                                <w:bCs/>
                                <w:sz w:val="32"/>
                                <w:szCs w:val="36"/>
                                <w:lang w:val="en"/>
                              </w:rPr>
                              <w:t xml:space="preserve"> PADA BERBAGAI DOSIS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47A27D2" id="Rectangle 36" o:spid="_x0000_s1042" style="position:absolute;left:0;text-align:left;margin-left:71.7pt;margin-top:10.5pt;width:222.05pt;height:8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h/VZgIAABEFAAAOAAAAZHJzL2Uyb0RvYy54bWysVN1v0zAQf0fif7D8zpJ0WxlV06nqNIQ0&#10;sWkb4tl17DbC9pmz27T89ZydNtugT4iX5L4/fnfn6fXOGrZVGFpwNa/OSs6Uk9C0blXzb8+3H644&#10;C1G4RhhwquZ7Ffj17P27aecnagRrMI1CRkFcmHS+5usY/aQoglwrK8IZeOVIqQGtiMTiqmhQdBTd&#10;mmJUluOiA2w8glQhkPSmV/JZjq+1kvFe66AiMzWn2mL+Yv4u07eYTcVkhcKvW3koQ/xDFVa0jpIO&#10;oW5EFGyD7V+hbCsRAuh4JsEWoHUrVe6BuqnKP7p5Wguvci8ETvADTOH/hZVftw/I2qbm52POnLA0&#10;o0dCTbiVUYxkBFDnw4TsnvwDHrhAZOp2p9GmP/XBdhnU/QCq2kUmSTi6ojmdX3ImSVeV4/FVmWEv&#10;Xtw9hvhZgWWJqDlS/gym2N6FSCnJ9GiSsjm4bY3JkzPujYAMk6RIFfc1ZirujUp2xj0qTc2mqnKC&#10;vGZqYZBtBS2IkFK5mHvOkcg6uWnKNjhWpxxNrBJQ5HSwTW4qr9/gWJ5yfJtx8MhZwcXB2bYO8FSA&#10;5seQubc/dt/3nNqPu+UuT7gaprmEZk9jR+jvIXh52xL0dyLEB4F0AHQqdNTxnj7aQFdzOFCcrQF/&#10;nZIne9pL0nLW0UHVPPzcCFScmS+ONvZTdXGRLjAzF5cfR8Tga83ytcZt7AJoJBU9H15mMtlHcyQ1&#10;gv1Otz9PWUklnKTcNZcRj8wi9odOr4dU83k2o6vzIt65Jy9T8AS0g/kmgm7zpiXAenQOQNLd5cEe&#10;3oh02K/5bPXyks1+AwAA//8DAFBLAwQUAAYACAAAACEA+saja94AAAAKAQAADwAAAGRycy9kb3du&#10;cmV2LnhtbEyPzU7DMBCE70i8g7VI3KjT0kIIcSpAQgj1gCjt3XG2SUS8jmznp2/PcoLjaEYz3+Tb&#10;2XZiRB9aRwqWiwQEknFVS7WCw9frTQoiRE2V7hyhgjMG2BaXF7nOKjfRJ477WAsuoZBpBU2MfSZl&#10;MA1aHRauR2Lv5LzVkaWvZeX1xOW2k6skuZNWt8QLje7xpUHzvR+sgqM7PU/WlPQ+nj/a4W3njUl3&#10;Sl1fzU+PICLO8S8Mv/iMDgUzlW6gKoiO9fp2zVEFqyV/4sAmvd+AKNlJHxKQRS7/Xyh+AAAA//8D&#10;AFBLAQItABQABgAIAAAAIQC2gziS/gAAAOEBAAATAAAAAAAAAAAAAAAAAAAAAABbQ29udGVudF9U&#10;eXBlc10ueG1sUEsBAi0AFAAGAAgAAAAhADj9If/WAAAAlAEAAAsAAAAAAAAAAAAAAAAALwEAAF9y&#10;ZWxzLy5yZWxzUEsBAi0AFAAGAAgAAAAhAAGuH9VmAgAAEQUAAA4AAAAAAAAAAAAAAAAALgIAAGRy&#10;cy9lMm9Eb2MueG1sUEsBAi0AFAAGAAgAAAAhAPrGo2veAAAACgEAAA8AAAAAAAAAAAAAAAAAwAQA&#10;AGRycy9kb3ducmV2LnhtbFBLBQYAAAAABAAEAPMAAADLBQAAAAA=&#10;" filled="f" stroked="f" strokeweight="1pt">
                <v:textbox>
                  <w:txbxContent>
                    <w:p w14:paraId="0FBFE492" w14:textId="1C031DF3" w:rsidR="00D0395B" w:rsidRPr="007B1816" w:rsidRDefault="00D0395B" w:rsidP="00D0395B">
                      <w:pPr>
                        <w:spacing w:after="0" w:line="276" w:lineRule="auto"/>
                        <w:jc w:val="center"/>
                        <w:rPr>
                          <w:rFonts w:ascii="Book Antiqua" w:hAnsi="Book Antiqua"/>
                          <w:b/>
                          <w:bCs/>
                          <w:sz w:val="32"/>
                          <w:szCs w:val="36"/>
                          <w:lang w:val="en"/>
                        </w:rPr>
                      </w:pPr>
                      <w:r w:rsidRPr="007B1816">
                        <w:rPr>
                          <w:rFonts w:ascii="Book Antiqua" w:hAnsi="Book Antiqua"/>
                          <w:b/>
                          <w:bCs/>
                          <w:sz w:val="32"/>
                          <w:szCs w:val="36"/>
                          <w:lang w:val="en"/>
                        </w:rPr>
                        <w:t xml:space="preserve">EFEK PROTEKTIF </w:t>
                      </w:r>
                      <w:r w:rsidR="007B1816">
                        <w:rPr>
                          <w:rFonts w:ascii="Book Antiqua" w:hAnsi="Book Antiqua"/>
                          <w:b/>
                          <w:bCs/>
                          <w:sz w:val="32"/>
                          <w:szCs w:val="36"/>
                          <w:lang w:val="en"/>
                        </w:rPr>
                        <w:br/>
                      </w:r>
                      <w:r w:rsidR="007B1816" w:rsidRPr="007B1816">
                        <w:rPr>
                          <w:rFonts w:ascii="Book Antiqua" w:hAnsi="Book Antiqua"/>
                          <w:b/>
                          <w:bCs/>
                          <w:i/>
                          <w:iCs/>
                          <w:sz w:val="32"/>
                          <w:szCs w:val="36"/>
                          <w:lang w:val="en"/>
                        </w:rPr>
                        <w:t>Nigella sativa</w:t>
                      </w:r>
                      <w:r w:rsidRPr="007B1816">
                        <w:rPr>
                          <w:rFonts w:ascii="Book Antiqua" w:hAnsi="Book Antiqua"/>
                          <w:b/>
                          <w:bCs/>
                          <w:sz w:val="32"/>
                          <w:szCs w:val="36"/>
                          <w:lang w:val="en"/>
                        </w:rPr>
                        <w:t xml:space="preserve"> PADA BERBAGAI DOSIS</w:t>
                      </w:r>
                    </w:p>
                  </w:txbxContent>
                </v:textbox>
              </v:rect>
            </w:pict>
          </mc:Fallback>
        </mc:AlternateContent>
      </w:r>
      <w:r w:rsidRPr="006810DB">
        <w:rPr>
          <w:b/>
          <w:noProof/>
          <w:sz w:val="48"/>
          <w:szCs w:val="20"/>
          <w:lang w:val="en-US"/>
        </w:rPr>
        <mc:AlternateContent>
          <mc:Choice Requires="wps">
            <w:drawing>
              <wp:anchor distT="0" distB="0" distL="114300" distR="114300" simplePos="0" relativeHeight="251714560" behindDoc="0" locked="0" layoutInCell="1" allowOverlap="1" wp14:anchorId="3BF0F6CE" wp14:editId="2639104F">
                <wp:simplePos x="0" y="0"/>
                <wp:positionH relativeFrom="column">
                  <wp:posOffset>884555</wp:posOffset>
                </wp:positionH>
                <wp:positionV relativeFrom="paragraph">
                  <wp:posOffset>76835</wp:posOffset>
                </wp:positionV>
                <wp:extent cx="0" cy="1152000"/>
                <wp:effectExtent l="19050" t="0" r="38100" b="48260"/>
                <wp:wrapNone/>
                <wp:docPr id="37" name="Straight Connector 37"/>
                <wp:cNvGraphicFramePr/>
                <a:graphic xmlns:a="http://schemas.openxmlformats.org/drawingml/2006/main">
                  <a:graphicData uri="http://schemas.microsoft.com/office/word/2010/wordprocessingShape">
                    <wps:wsp>
                      <wps:cNvCnPr/>
                      <wps:spPr>
                        <a:xfrm>
                          <a:off x="0" y="0"/>
                          <a:ext cx="0" cy="1152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1A15526" id="Straight Connector 37" o:spid="_x0000_s1026" style="position:absolute;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ren2QEAAA8EAAAOAAAAZHJzL2Uyb0RvYy54bWysU02P0zAQvSPxHyzfaZpdlUVR0z10tVwQ&#10;VCz8AK8zbiz5S2PTpP+esZOmK0BIoL04mfG853nP4+39aA07AUbtXcvr1ZozcNJ32h1b/v3b47sP&#10;nMUkXCeMd9DyM0R+v3v7ZjuEBm58700HyIjExWYILe9TCk1VRdmDFXHlAzjaVB6tSBTisepQDMRu&#10;TXWzXr+vBo9dQC8hRso+TJt8V/iVApm+KBUhMdNy6i2VFcv6nNdqtxXNEUXotZzbEP/RhRXa0aEL&#10;1YNIgv1A/RuV1RJ99CqtpLeVV0pLKBpITb3+Rc1TLwIULWRODItN8fVo5efTAZnuWn57x5kTlu7o&#10;KaHQxz6xvXeOHPTIaJOcGkJsCLB3B5yjGA6YZY8Kbf6SIDYWd8+LuzAmJqekpGxdb+jiivPVFRgw&#10;po/gLcs/LTfaZeGiEadPMdFhVHopyWnj2NDyzV29WZey6I3uHrUxebMMD+wNspOga09jnZsnhhdV&#10;FBlHySxpElH+0tnAxP8VFNlCbdfTAXkgr5xCSnDpwmscVWeYog4W4NzZ34BzfYZCGdZ/AS+IcrJ3&#10;aQFb7Tz+qe2rFWqqvzgw6c4WPPvuXK63WENTV5ybX0ge65dxgV/f8e4nAAAA//8DAFBLAwQUAAYA&#10;CAAAACEAR2iGzNoAAAAKAQAADwAAAGRycy9kb3ducmV2LnhtbExPTUvDQBC9C/6HZQRvdtOGiInZ&#10;lCIU6UVoK3jdZMdkMTsbsts0/vtOvdTbezOP91GuZ9eLCcdgPSlYLhIQSI03lloFn8ft0wuIEDUZ&#10;3XtCBb8YYF3d35W6MP5Me5wOsRVsQqHQCroYh0LK0HTodFj4AYl/3350OjIdW2lGfWZz18tVkjxL&#10;py1xQqcHfOuw+TmcHIdkX807Brsz201WZ1Nu6+TDKvX4MG9eQUSc400M1/pcHSruVPsTmSB65mme&#10;spTBagniKvg71AzyNANZlfL/hOoCAAD//wMAUEsBAi0AFAAGAAgAAAAhALaDOJL+AAAA4QEAABMA&#10;AAAAAAAAAAAAAAAAAAAAAFtDb250ZW50X1R5cGVzXS54bWxQSwECLQAUAAYACAAAACEAOP0h/9YA&#10;AACUAQAACwAAAAAAAAAAAAAAAAAvAQAAX3JlbHMvLnJlbHNQSwECLQAUAAYACAAAACEABj63p9kB&#10;AAAPBAAADgAAAAAAAAAAAAAAAAAuAgAAZHJzL2Uyb0RvYy54bWxQSwECLQAUAAYACAAAACEAR2iG&#10;zNoAAAAKAQAADwAAAAAAAAAAAAAAAAAzBAAAZHJzL2Rvd25yZXYueG1sUEsFBgAAAAAEAAQA8wAA&#10;ADoFA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30"/>
          <w:szCs w:val="130"/>
          <w:lang w:val="en-US"/>
        </w:rPr>
        <w:t>17</w:t>
      </w:r>
      <w:r w:rsidRPr="006810DB">
        <w:rPr>
          <w:b/>
          <w:szCs w:val="20"/>
          <w:lang w:val="en-US"/>
        </w:rPr>
        <w:t xml:space="preserve"> </w:t>
      </w:r>
      <w:r w:rsidRPr="006810DB">
        <w:rPr>
          <w:b/>
          <w:szCs w:val="20"/>
          <w:lang w:val="en-US"/>
        </w:rPr>
        <w:tab/>
      </w:r>
      <w:r w:rsidR="007B1816" w:rsidRPr="006810DB">
        <w:rPr>
          <w:b/>
          <w:color w:val="FFFFFF" w:themeColor="background1"/>
          <w:sz w:val="14"/>
          <w:szCs w:val="14"/>
          <w:lang w:val="en-US"/>
        </w:rPr>
        <w:t xml:space="preserve">EFEK PROTEKTIF </w:t>
      </w:r>
      <w:r w:rsidR="007B1816" w:rsidRPr="006810DB">
        <w:rPr>
          <w:b/>
          <w:i/>
          <w:iCs/>
          <w:color w:val="FFFFFF" w:themeColor="background1"/>
          <w:sz w:val="14"/>
          <w:szCs w:val="14"/>
          <w:lang w:val="en-US"/>
        </w:rPr>
        <w:t>Nigella sativa</w:t>
      </w:r>
      <w:r w:rsidR="007B1816" w:rsidRPr="006810DB">
        <w:rPr>
          <w:b/>
          <w:color w:val="FFFFFF" w:themeColor="background1"/>
          <w:sz w:val="14"/>
          <w:szCs w:val="14"/>
          <w:lang w:val="en-US"/>
        </w:rPr>
        <w:t xml:space="preserve"> PADA BERBAGAI DOSIS</w:t>
      </w:r>
      <w:bookmarkEnd w:id="414"/>
    </w:p>
    <w:p w14:paraId="654D48E3" w14:textId="7A1F137D" w:rsidR="00D0395B" w:rsidRPr="006810DB" w:rsidRDefault="00D0395B" w:rsidP="006810DB">
      <w:pPr>
        <w:spacing w:after="0" w:line="276" w:lineRule="auto"/>
        <w:jc w:val="both"/>
        <w:rPr>
          <w:rFonts w:ascii="Book Antiqua" w:hAnsi="Book Antiqua"/>
          <w:sz w:val="20"/>
          <w:szCs w:val="20"/>
          <w:lang w:val="en"/>
        </w:rPr>
      </w:pPr>
    </w:p>
    <w:p w14:paraId="153BAD1B" w14:textId="77777777" w:rsidR="00AD1372" w:rsidRPr="006810DB" w:rsidRDefault="00AD1372" w:rsidP="006810DB">
      <w:pPr>
        <w:spacing w:after="0" w:line="276" w:lineRule="auto"/>
        <w:jc w:val="both"/>
        <w:rPr>
          <w:rFonts w:ascii="Book Antiqua" w:hAnsi="Book Antiqua"/>
          <w:sz w:val="20"/>
          <w:szCs w:val="20"/>
          <w:lang w:val="en"/>
        </w:rPr>
      </w:pPr>
    </w:p>
    <w:p w14:paraId="08D8DB0E" w14:textId="6660279A" w:rsidR="00B258B7" w:rsidRPr="006810DB" w:rsidRDefault="009B5356" w:rsidP="00B9360C">
      <w:pPr>
        <w:pStyle w:val="Heading2"/>
        <w:numPr>
          <w:ilvl w:val="0"/>
          <w:numId w:val="32"/>
        </w:numPr>
        <w:ind w:left="284" w:hanging="284"/>
      </w:pPr>
      <w:bookmarkStart w:id="415" w:name="_zbx9cbnx2jdp" w:colFirst="0" w:colLast="0"/>
      <w:bookmarkStart w:id="416" w:name="_Toc223088988"/>
      <w:bookmarkEnd w:id="415"/>
      <w:r w:rsidRPr="006810DB">
        <w:t>Pendahuluan</w:t>
      </w:r>
      <w:bookmarkEnd w:id="416"/>
    </w:p>
    <w:p w14:paraId="025868E7"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Prinsip dasar farmakologi yang dicetuskan oleh Paracelsus berabad-abad lalu menyatakan bahwa "dosislah yang membuat sesuatu menjadi racun atau obat." Aksioma ini berlaku secara universal, tidak hanya untuk obat-obatan sintetik yang poten seperti cisplatin, tetapi juga untuk agen terapeutik berbasis bahan alam seperti </w:t>
      </w:r>
      <w:r w:rsidRPr="006810DB">
        <w:rPr>
          <w:rFonts w:ascii="Book Antiqua" w:hAnsi="Book Antiqua"/>
          <w:i/>
          <w:iCs/>
          <w:sz w:val="20"/>
          <w:szCs w:val="20"/>
          <w:lang w:val="en"/>
        </w:rPr>
        <w:t>Nigella sativa</w:t>
      </w:r>
      <w:r w:rsidRPr="006810DB">
        <w:rPr>
          <w:rFonts w:ascii="Book Antiqua" w:hAnsi="Book Antiqua"/>
          <w:sz w:val="20"/>
          <w:szCs w:val="20"/>
          <w:lang w:val="en"/>
        </w:rPr>
        <w:t>. Dalam upaya menemukan strategi pencegahan yang efektif untuk mukositis oral, identifikasi dosis yang tepat adalah langkah krusial yang menentukan keberhasilan terapi. Dosis yang terlalu rendah mungkin gagal memicu respons biologis yang memadai untuk melawan kerusakan masif akibat kemoterapi, sementara dosis yang terlalu tinggi berisiko membebani sistem metabolisme tubuh atau bahkan memicu efek toksik yang tidak diinginkan.</w:t>
      </w:r>
    </w:p>
    <w:p w14:paraId="14BD1DF8"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Eksplorasi efek protektif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pada berbagai tingkatan dosis bertujuan untuk memetakan kurva respons-dosis (</w:t>
      </w:r>
      <w:r w:rsidRPr="006810DB">
        <w:rPr>
          <w:rFonts w:ascii="Book Antiqua" w:hAnsi="Book Antiqua"/>
          <w:i/>
          <w:iCs/>
          <w:sz w:val="20"/>
          <w:szCs w:val="20"/>
          <w:lang w:val="en"/>
        </w:rPr>
        <w:t>dose-response curve</w:t>
      </w:r>
      <w:r w:rsidRPr="006810DB">
        <w:rPr>
          <w:rFonts w:ascii="Book Antiqua" w:hAnsi="Book Antiqua"/>
          <w:sz w:val="20"/>
          <w:szCs w:val="20"/>
          <w:lang w:val="en"/>
        </w:rPr>
        <w:t>) yang akurat. Kurva ini menggambarkan hubungan antara besarnya dosis yang diberikan dengan intensitas efek biologis yang dihasilkan, baik itu efek antioksidan, anti-inflamasi, maupun perbaikan jaringan. Dalam konteks mukositis yang diinduksi cisplatin, tantangannya adalah menemukan "titik manis" atau jendela terapeutik di mana ekstrak jintan hitam mampu memberikan perlindungan maksimal terhadap mukosa mulut tanpa mengganggu efektivitas kemoterapi terhadap sel kanker atau memperburuk beban kerja organ vital seperti hati dan ginjal.</w:t>
      </w:r>
    </w:p>
    <w:p w14:paraId="4DD1FB19" w14:textId="317943AC"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lastRenderedPageBreak/>
        <w:t xml:space="preserve">Pada dosis rendah, mekanisme pertahanan seluler mungkin hanya teraktivasi secara parsial. Senyawa aktif seperti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mungkin tersedia dalam jumlah yang cukup untuk menetralkan sebagian radikal bebas, namun tidak cukup untuk memblokir kaskade sinyal </w:t>
      </w:r>
      <w:r w:rsidRPr="006810DB">
        <w:rPr>
          <w:rFonts w:ascii="Book Antiqua" w:hAnsi="Book Antiqua"/>
          <w:sz w:val="20"/>
          <w:szCs w:val="20"/>
          <w:highlight w:val="yellow"/>
          <w:lang w:val="en"/>
        </w:rPr>
        <w:t>NF-κ\kappaκ</w:t>
      </w:r>
      <w:r w:rsidR="00AD1372"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secara menyeluruh. Akibatnya, peradangan mungkin melambat tetapi tidak berhenti sepenuhnya, dan kerusakan jaringan tetap terjadi meskipun dalam derajat yang lebih ringan dibandingkan tanpa terapi. Memahami batasan dosis minimal ini penting untuk menetapkan ambang batas efikasi klinis.</w:t>
      </w:r>
    </w:p>
    <w:p w14:paraId="0B9AC321"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Sebaliknya, pada rentang dosis optimal, sinergi antara berbagai konstituen fitokimia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mencapai puncaknya. Pada tingkat ini, konsentrasi zat aktif di dalam jaringan cukup tinggi untuk menjenuhkan reseptor target dan enzim-enzim kunci. Hasilnya adalah blokade yang kuat terhadap mediator inflamasi dan peningkatan kapasitas antioksidan endogen yang signifikan. Bukti klinis dan histopatologis pada dosis ini biasanya menunjukkan pemulihan struktur mukosa yang paling dramatis, dengan percepatan penyembuhan ulkus dan pelestarian berat badan hewan coba.</w:t>
      </w:r>
    </w:p>
    <w:p w14:paraId="4B3C82AF"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Namun, peningkatan dosis tidak selalu berbanding lurus dengan peningkatan manfaat. Fenomena "efek langit-langit" (</w:t>
      </w:r>
      <w:r w:rsidRPr="006810DB">
        <w:rPr>
          <w:rFonts w:ascii="Book Antiqua" w:hAnsi="Book Antiqua"/>
          <w:i/>
          <w:iCs/>
          <w:sz w:val="20"/>
          <w:szCs w:val="20"/>
          <w:lang w:val="en"/>
        </w:rPr>
        <w:t>ceiling effect</w:t>
      </w:r>
      <w:r w:rsidRPr="006810DB">
        <w:rPr>
          <w:rFonts w:ascii="Book Antiqua" w:hAnsi="Book Antiqua"/>
          <w:sz w:val="20"/>
          <w:szCs w:val="20"/>
          <w:lang w:val="en"/>
        </w:rPr>
        <w:t>) sering terjadi, di mana penambahan dosis di atas titik tertentu tidak lagi memberikan tambahan manfaat terapeutik. Lebih jauh lagi, dosis yang sangat tinggi dari antioksidan eksogen secara teoritis dapat berubah menjadi pro-oksidan dalam kondisi tertentu, atau menyebabkan gangguan gastrointestinal yang justru kontraproduktif bagi pasien mukositis yang sudah mengalami kesulitan makan.</w:t>
      </w:r>
    </w:p>
    <w:p w14:paraId="6B6E482A"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highlight w:val="cyan"/>
          <w:lang w:val="en"/>
        </w:rPr>
        <w:t xml:space="preserve">Bab ini akan menguraikan secara sistematis hasil penelitian mengenai efektivitas </w:t>
      </w:r>
      <w:r w:rsidRPr="006810DB">
        <w:rPr>
          <w:rFonts w:ascii="Book Antiqua" w:hAnsi="Book Antiqua"/>
          <w:i/>
          <w:iCs/>
          <w:sz w:val="20"/>
          <w:szCs w:val="20"/>
          <w:highlight w:val="cyan"/>
          <w:lang w:val="en"/>
        </w:rPr>
        <w:t>Nigella sativa</w:t>
      </w:r>
      <w:r w:rsidRPr="006810DB">
        <w:rPr>
          <w:rFonts w:ascii="Book Antiqua" w:hAnsi="Book Antiqua"/>
          <w:sz w:val="20"/>
          <w:szCs w:val="20"/>
          <w:highlight w:val="cyan"/>
          <w:lang w:val="en"/>
        </w:rPr>
        <w:t xml:space="preserve"> pada spektrum dosis yang luas, mulai dari dosis suboptimal hingga dosis tinggi. Analisis ini didasarkan pada data parameter biokimia, histologis, dan klinis yang diperoleh dari model hewan coba. Kita akan mengevaluasi bagaimana variasi dosis mempengaruhi </w:t>
      </w:r>
      <w:r w:rsidRPr="006810DB">
        <w:rPr>
          <w:rFonts w:ascii="Book Antiqua" w:hAnsi="Book Antiqua"/>
          <w:sz w:val="20"/>
          <w:szCs w:val="20"/>
          <w:highlight w:val="cyan"/>
          <w:lang w:val="en"/>
        </w:rPr>
        <w:lastRenderedPageBreak/>
        <w:t>biomarker stres oksidatif (seperti MDA dan SOD), ekspresi sitokin pro-inflamasi, dan integritas jaringan mukosa.</w:t>
      </w:r>
    </w:p>
    <w:p w14:paraId="00D3763D"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Selain itu, aspek keamanan juga akan menjadi sorotan utama. Penentuan indeks terapi, rasio antara dosis toksik dan dosis efektif, adalah parameter keselamatan yang wajib diketahui sebelum translasi ke uji klinis pada manusia. Dengan memahami profil keamanan pada dosis tinggi, peneliti dapat menetapkan batas atas yang aman (margin of safety) untuk penggunaan klinis.</w:t>
      </w:r>
    </w:p>
    <w:p w14:paraId="4B6BA2C1" w14:textId="4E3ABE7B"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Tujuan akhir dari pembahasan ini adalah untuk memberikan rekomendasi berbasis bukti mengenai regimen dosis yang paling rasional. Apakah strategi "semakin banyak semakin baik" berlaku untuk </w:t>
      </w:r>
      <w:r w:rsidRPr="006810DB">
        <w:rPr>
          <w:rFonts w:ascii="Book Antiqua" w:hAnsi="Book Antiqua"/>
          <w:i/>
          <w:iCs/>
          <w:sz w:val="20"/>
          <w:szCs w:val="20"/>
          <w:lang w:val="en"/>
        </w:rPr>
        <w:t>Nigella sativa</w:t>
      </w:r>
      <w:r w:rsidRPr="006810DB">
        <w:rPr>
          <w:rFonts w:ascii="Book Antiqua" w:hAnsi="Book Antiqua"/>
          <w:sz w:val="20"/>
          <w:szCs w:val="20"/>
          <w:lang w:val="en"/>
        </w:rPr>
        <w:t>, ataukah pendekatan dosis moderat yang terukur justru lebih unggul? Jawaban atas pertanyaan ini akan menjadi panduan vital bagi pengembangan formulasi sediaan obat herbal yang terstandar di masa depan.</w:t>
      </w:r>
    </w:p>
    <w:p w14:paraId="3EAA58DD" w14:textId="77777777" w:rsidR="00D0395B" w:rsidRPr="006810DB" w:rsidRDefault="00D0395B" w:rsidP="006810DB">
      <w:pPr>
        <w:spacing w:after="0" w:line="276" w:lineRule="auto"/>
        <w:jc w:val="both"/>
        <w:rPr>
          <w:rFonts w:ascii="Book Antiqua" w:hAnsi="Book Antiqua"/>
          <w:sz w:val="20"/>
          <w:szCs w:val="20"/>
          <w:lang w:val="en"/>
        </w:rPr>
      </w:pPr>
    </w:p>
    <w:p w14:paraId="7B4FA07A" w14:textId="169F9BFA" w:rsidR="00B258B7" w:rsidRPr="006810DB" w:rsidRDefault="00B258B7" w:rsidP="006810DB">
      <w:pPr>
        <w:pStyle w:val="Heading2"/>
        <w:numPr>
          <w:ilvl w:val="0"/>
          <w:numId w:val="32"/>
        </w:numPr>
        <w:ind w:left="284" w:hanging="284"/>
      </w:pPr>
      <w:bookmarkStart w:id="417" w:name="_wmvj3gerjbnt" w:colFirst="0" w:colLast="0"/>
      <w:bookmarkStart w:id="418" w:name="_Toc223088989"/>
      <w:bookmarkEnd w:id="417"/>
      <w:r w:rsidRPr="006810DB">
        <w:t>Efektivitas Dosis Rendah dalam Pencegahan</w:t>
      </w:r>
      <w:bookmarkEnd w:id="418"/>
    </w:p>
    <w:p w14:paraId="38CC4FDF"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Penggunaan dosis rendah dalam terapi herbal sering kali didasarkan pada prinsip kehati-hatian atau sebagai dosis pemeliharaan. Dalam konteks eksperimental mukositis oral, dosis rendah biasanya didefinisikan sebagai jumlah ekstrak atau minyak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yang berada di ambang batas bawah deteksi aktivitas farmakologis (misalnya, 50-100 mg/kgBB minyak atau ekuivalen ekstrak). Pada tingkat ini, tujuannya adalah untuk melihat apakah intervensi minimal mampu memberikan perlindungan terhadap tantangan sitotoksik yang agresif dari cisplatin. Evaluasi pada dosis ini memberikan wawasan tentang sensitivitas jaringan terhadap senyawa bioaktif.</w:t>
      </w:r>
    </w:p>
    <w:p w14:paraId="1120F90E"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Menggunakan dosis rendah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untuk melawan mukositis cisplatin ibarat menggunakan payung kecil saat badai topan. Payung tersebut (dosis rendah) mungkin bisa menahan sedikit air hujan (radikal bebas) dan melindungi kepala agar tidak basah kuyup seketika. Namun, karena badai (cisplatin) datang dari segala arah dengan </w:t>
      </w:r>
      <w:r w:rsidRPr="006810DB">
        <w:rPr>
          <w:rFonts w:ascii="Book Antiqua" w:hAnsi="Book Antiqua"/>
          <w:sz w:val="20"/>
          <w:szCs w:val="20"/>
          <w:lang w:val="en"/>
        </w:rPr>
        <w:lastRenderedPageBreak/>
        <w:t>kekuatan penuh, payung kecil itu akhirnya kewalahan, patah, atau terbalik. Meskipun orang yang memegangnya sedikit lebih kering daripada orang tanpa payung sama sekali, ia tetap basah, kedinginan, dan menderita dampak badai tersebut. Perlindungan ada, tapi tidak memadai untuk ancaman sebesar itu.</w:t>
      </w:r>
    </w:p>
    <w:p w14:paraId="38FF35CC" w14:textId="02A0E545" w:rsidR="00B258B7" w:rsidRPr="006810DB" w:rsidRDefault="00B258B7" w:rsidP="006810DB">
      <w:pPr>
        <w:pStyle w:val="ListParagraph"/>
        <w:numPr>
          <w:ilvl w:val="0"/>
          <w:numId w:val="85"/>
        </w:numPr>
        <w:spacing w:after="0" w:line="276" w:lineRule="auto"/>
        <w:ind w:left="567" w:hanging="283"/>
        <w:contextualSpacing w:val="0"/>
        <w:jc w:val="both"/>
        <w:rPr>
          <w:rFonts w:ascii="Book Antiqua" w:hAnsi="Book Antiqua"/>
          <w:b/>
          <w:bCs/>
          <w:sz w:val="20"/>
          <w:szCs w:val="20"/>
          <w:lang w:val="en"/>
        </w:rPr>
      </w:pPr>
      <w:bookmarkStart w:id="419" w:name="_r6ughgnrsa37" w:colFirst="0" w:colLast="0"/>
      <w:bookmarkEnd w:id="419"/>
      <w:r w:rsidRPr="006810DB">
        <w:rPr>
          <w:rFonts w:ascii="Book Antiqua" w:hAnsi="Book Antiqua"/>
          <w:b/>
          <w:bCs/>
          <w:sz w:val="20"/>
          <w:szCs w:val="20"/>
          <w:lang w:val="en"/>
        </w:rPr>
        <w:t>Respon Biokimia pada Pemberian Dosis Minimal</w:t>
      </w:r>
    </w:p>
    <w:p w14:paraId="31BFB74A"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Pada tingkat biokimia, pemberian dosis rendah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sering kali menunjukkan modulasi awal dari penanda stres oksidatif, namun sering kali tidak mencapai signifikansi statistik yang kuat dibandingkan kontrol sakit. Misalnya, kadar </w:t>
      </w:r>
      <w:r w:rsidRPr="006810DB">
        <w:rPr>
          <w:rFonts w:ascii="Book Antiqua" w:hAnsi="Book Antiqua"/>
          <w:i/>
          <w:iCs/>
          <w:sz w:val="20"/>
          <w:szCs w:val="20"/>
          <w:lang w:val="en"/>
        </w:rPr>
        <w:t>malondialdehyde</w:t>
      </w:r>
      <w:r w:rsidRPr="006810DB">
        <w:rPr>
          <w:rFonts w:ascii="Book Antiqua" w:hAnsi="Book Antiqua"/>
          <w:sz w:val="20"/>
          <w:szCs w:val="20"/>
          <w:lang w:val="en"/>
        </w:rPr>
        <w:t xml:space="preserve"> (MDA) mungkin menunjukkan tren penurunan, tetapi masih jauh di atas level baseline hewan sehat. Hal ini mengindikasikan bahwa kapasitas </w:t>
      </w:r>
      <w:r w:rsidRPr="006810DB">
        <w:rPr>
          <w:rFonts w:ascii="Book Antiqua" w:hAnsi="Book Antiqua"/>
          <w:i/>
          <w:iCs/>
          <w:sz w:val="20"/>
          <w:szCs w:val="20"/>
          <w:lang w:val="en"/>
        </w:rPr>
        <w:t>scavenging</w:t>
      </w:r>
      <w:r w:rsidRPr="006810DB">
        <w:rPr>
          <w:rFonts w:ascii="Book Antiqua" w:hAnsi="Book Antiqua"/>
          <w:sz w:val="20"/>
          <w:szCs w:val="20"/>
          <w:lang w:val="en"/>
        </w:rPr>
        <w:t xml:space="preserve"> radikal bebas dari dosis rendah belum cukup untuk menetralkan lonjakan ROS masif yang diproduksi oleh mitokondria akibat cisplatin (Putra et al., 2022).</w:t>
      </w:r>
    </w:p>
    <w:p w14:paraId="4EFA5F01" w14:textId="1C51151F"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Demikian pula dengan enzim antioksidan endogen. Dosis rendah mungkin mampu sedikit meningkatkan aktivitas </w:t>
      </w:r>
      <w:r w:rsidRPr="006810DB">
        <w:rPr>
          <w:rFonts w:ascii="Book Antiqua" w:hAnsi="Book Antiqua"/>
          <w:i/>
          <w:iCs/>
          <w:sz w:val="20"/>
          <w:szCs w:val="20"/>
          <w:lang w:val="en"/>
        </w:rPr>
        <w:t>Superoxide Dismutase</w:t>
      </w:r>
      <w:r w:rsidRPr="006810DB">
        <w:rPr>
          <w:rFonts w:ascii="Book Antiqua" w:hAnsi="Book Antiqua"/>
          <w:sz w:val="20"/>
          <w:szCs w:val="20"/>
          <w:lang w:val="en"/>
        </w:rPr>
        <w:t xml:space="preserve"> (SOD) atau mempertahankan sebagian cadangan </w:t>
      </w:r>
      <w:r w:rsidRPr="006810DB">
        <w:rPr>
          <w:rFonts w:ascii="Book Antiqua" w:hAnsi="Book Antiqua"/>
          <w:i/>
          <w:iCs/>
          <w:sz w:val="20"/>
          <w:szCs w:val="20"/>
          <w:lang w:val="en"/>
        </w:rPr>
        <w:t>Glutathione</w:t>
      </w:r>
      <w:r w:rsidRPr="006810DB">
        <w:rPr>
          <w:rFonts w:ascii="Book Antiqua" w:hAnsi="Book Antiqua"/>
          <w:sz w:val="20"/>
          <w:szCs w:val="20"/>
          <w:lang w:val="en"/>
        </w:rPr>
        <w:t xml:space="preserve"> (GSH), tetapi perbaikan ini sering kali bersifat marginal. Sel-sel mukosa masih berada dalam kondisi stres oksidatif yang substansial, yang berarti sinyal untuk mengaktifkan jalur </w:t>
      </w:r>
      <w:r w:rsidRPr="006810DB">
        <w:rPr>
          <w:rFonts w:ascii="Book Antiqua" w:hAnsi="Book Antiqua"/>
          <w:sz w:val="20"/>
          <w:szCs w:val="20"/>
          <w:highlight w:val="yellow"/>
          <w:lang w:val="en"/>
        </w:rPr>
        <w:t>NF-κ\kappaκ</w:t>
      </w:r>
      <w:r w:rsidR="00AD1372"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masih terus dikirim, meskipun mungkin dengan intensitas yang sedikit berkurang (Hannan et al., 2021).</w:t>
      </w:r>
    </w:p>
    <w:p w14:paraId="761B970E" w14:textId="239CDD0D" w:rsidR="00B258B7" w:rsidRPr="006810DB" w:rsidRDefault="00B258B7" w:rsidP="006810DB">
      <w:pPr>
        <w:pStyle w:val="ListParagraph"/>
        <w:numPr>
          <w:ilvl w:val="0"/>
          <w:numId w:val="85"/>
        </w:numPr>
        <w:spacing w:after="0" w:line="276" w:lineRule="auto"/>
        <w:ind w:left="567" w:hanging="283"/>
        <w:contextualSpacing w:val="0"/>
        <w:jc w:val="both"/>
        <w:rPr>
          <w:rFonts w:ascii="Book Antiqua" w:hAnsi="Book Antiqua"/>
          <w:b/>
          <w:bCs/>
          <w:sz w:val="20"/>
          <w:szCs w:val="20"/>
          <w:lang w:val="en"/>
        </w:rPr>
      </w:pPr>
      <w:bookmarkStart w:id="420" w:name="_8ggyaylxlwhd" w:colFirst="0" w:colLast="0"/>
      <w:bookmarkEnd w:id="420"/>
      <w:r w:rsidRPr="006810DB">
        <w:rPr>
          <w:rFonts w:ascii="Book Antiqua" w:hAnsi="Book Antiqua"/>
          <w:b/>
          <w:bCs/>
          <w:sz w:val="20"/>
          <w:szCs w:val="20"/>
          <w:lang w:val="en"/>
        </w:rPr>
        <w:t>Batasan Kemampuan Proteksi Dosis Rendah</w:t>
      </w:r>
    </w:p>
    <w:p w14:paraId="77E7E09A" w14:textId="455807EA"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Keterbatasan utama dosis rendah terletak pada farmakokinetiknya: konsentrasi senyawa aktif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yang mencapai jaringan target (mukosa bukal) mungkin tidak mencapai </w:t>
      </w:r>
      <w:r w:rsidRPr="006810DB">
        <w:rPr>
          <w:rFonts w:ascii="Book Antiqua" w:hAnsi="Book Antiqua"/>
          <w:i/>
          <w:iCs/>
          <w:sz w:val="20"/>
          <w:szCs w:val="20"/>
          <w:lang w:val="en"/>
        </w:rPr>
        <w:t>Minimum Effective Concentration</w:t>
      </w:r>
      <w:r w:rsidRPr="006810DB">
        <w:rPr>
          <w:rFonts w:ascii="Book Antiqua" w:hAnsi="Book Antiqua"/>
          <w:sz w:val="20"/>
          <w:szCs w:val="20"/>
          <w:lang w:val="en"/>
        </w:rPr>
        <w:t xml:space="preserve"> (MEC) untuk waktu yang cukup lama. Akibatnya, blokade terhadap mediator inflamasi menjadi tidak lengkap. </w:t>
      </w:r>
      <w:r w:rsidRPr="006810DB">
        <w:rPr>
          <w:rFonts w:ascii="Book Antiqua" w:hAnsi="Book Antiqua"/>
          <w:sz w:val="20"/>
          <w:szCs w:val="20"/>
          <w:highlight w:val="yellow"/>
          <w:lang w:val="en"/>
        </w:rPr>
        <w:t>TNF-α\alphaα</w:t>
      </w:r>
      <w:r w:rsidR="00AD1372" w:rsidRPr="006810DB">
        <w:rPr>
          <w:rFonts w:ascii="Book Antiqua" w:hAnsi="Book Antiqua"/>
          <w:sz w:val="20"/>
          <w:szCs w:val="20"/>
          <w:lang w:val="en"/>
        </w:rPr>
        <w:t xml:space="preserve"> </w:t>
      </w:r>
      <w:r w:rsidRPr="006810DB">
        <w:rPr>
          <w:rFonts w:ascii="Book Antiqua" w:hAnsi="Book Antiqua"/>
          <w:sz w:val="20"/>
          <w:szCs w:val="20"/>
          <w:lang w:val="en"/>
        </w:rPr>
        <w:t xml:space="preserve">dan </w:t>
      </w:r>
      <w:r w:rsidRPr="006810DB">
        <w:rPr>
          <w:rFonts w:ascii="Book Antiqua" w:hAnsi="Book Antiqua"/>
          <w:sz w:val="20"/>
          <w:szCs w:val="20"/>
          <w:highlight w:val="yellow"/>
          <w:lang w:val="en"/>
        </w:rPr>
        <w:t>IL-1β\betaβ</w:t>
      </w:r>
      <w:r w:rsidR="00AD1372" w:rsidRPr="006810DB">
        <w:rPr>
          <w:rFonts w:ascii="Book Antiqua" w:hAnsi="Book Antiqua"/>
          <w:sz w:val="20"/>
          <w:szCs w:val="20"/>
          <w:lang w:val="en"/>
        </w:rPr>
        <w:t xml:space="preserve"> </w:t>
      </w:r>
      <w:r w:rsidRPr="006810DB">
        <w:rPr>
          <w:rFonts w:ascii="Book Antiqua" w:hAnsi="Book Antiqua"/>
          <w:sz w:val="20"/>
          <w:szCs w:val="20"/>
          <w:lang w:val="en"/>
        </w:rPr>
        <w:t>masih diproduksi dalam jumlah yang cukup untuk menyebabkan kerusakan jaringan yang signifikan, seperti edema dan infiltrasi neutrofil (Kazemi et al., 2022).</w:t>
      </w:r>
    </w:p>
    <w:p w14:paraId="15A07773"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lastRenderedPageBreak/>
        <w:t>Secara histologis, kelompok dosis rendah mungkin menunjukkan skor kerusakan yang sedikit lebih baik daripada kelompok tanpa terapi, misalnya berupa ulserasi yang lebih dangkal atau area nekrosis yang lebih sempit. Namun, epitel umumnya masih menunjukkan tanda-tanda atrofi dan disorganisasi yang jelas. Hal ini menegaskan bahwa meskipun ada efek biologis, dosis rendah tidak mampu memberikan proteksi yang komprehensif atau "penuh" terhadap serangan sitotoksik sekuat cisplatin (Madani et al., 2023).</w:t>
      </w:r>
    </w:p>
    <w:p w14:paraId="481321DC" w14:textId="69070466" w:rsidR="00B258B7" w:rsidRPr="006810DB" w:rsidRDefault="00B258B7" w:rsidP="006810DB">
      <w:pPr>
        <w:pStyle w:val="ListParagraph"/>
        <w:numPr>
          <w:ilvl w:val="0"/>
          <w:numId w:val="85"/>
        </w:numPr>
        <w:spacing w:after="0" w:line="276" w:lineRule="auto"/>
        <w:ind w:left="567" w:hanging="283"/>
        <w:contextualSpacing w:val="0"/>
        <w:jc w:val="both"/>
        <w:rPr>
          <w:rFonts w:ascii="Book Antiqua" w:hAnsi="Book Antiqua"/>
          <w:b/>
          <w:bCs/>
          <w:sz w:val="20"/>
          <w:szCs w:val="20"/>
          <w:lang w:val="en"/>
        </w:rPr>
      </w:pPr>
      <w:bookmarkStart w:id="421" w:name="_wsh84mq2pet5" w:colFirst="0" w:colLast="0"/>
      <w:bookmarkEnd w:id="421"/>
      <w:r w:rsidRPr="006810DB">
        <w:rPr>
          <w:rFonts w:ascii="Book Antiqua" w:hAnsi="Book Antiqua"/>
          <w:b/>
          <w:bCs/>
          <w:sz w:val="20"/>
          <w:szCs w:val="20"/>
          <w:lang w:val="en"/>
        </w:rPr>
        <w:t>Analisis Kelayakan untuk Penggunaan Jangka Panjang</w:t>
      </w:r>
    </w:p>
    <w:p w14:paraId="2106DFC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Meskipun kurang efektif untuk fase akut mukositis yang parah, dosis rendah memiliki potensi relevansi untuk penggunaan jangka panjang atau profilaksis kronis. Keuntungannya adalah profil keamanan yang sangat tinggi dan risiko efek samping yang minimal, yang membuatnya cocok untuk konsumsi harian sebagai suplemen pemeliharaan kesehatan (</w:t>
      </w:r>
      <w:r w:rsidRPr="006810DB">
        <w:rPr>
          <w:rFonts w:ascii="Book Antiqua" w:hAnsi="Book Antiqua"/>
          <w:i/>
          <w:iCs/>
          <w:sz w:val="20"/>
          <w:szCs w:val="20"/>
          <w:lang w:val="en"/>
        </w:rPr>
        <w:t>health maintenance</w:t>
      </w:r>
      <w:r w:rsidRPr="006810DB">
        <w:rPr>
          <w:rFonts w:ascii="Book Antiqua" w:hAnsi="Book Antiqua"/>
          <w:sz w:val="20"/>
          <w:szCs w:val="20"/>
          <w:lang w:val="en"/>
        </w:rPr>
        <w:t>).</w:t>
      </w:r>
    </w:p>
    <w:p w14:paraId="1FC36328" w14:textId="77380395"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Dalam skenario klinis, dosis rendah mungkin dipertimbangkan pada periode antar-siklus kemoterapi untuk membantu pemulihan bertahap dan mempersiapkan jaringan menghadapi siklus berikutnya. Namun, sebagai intervensi penyelamatan (</w:t>
      </w:r>
      <w:r w:rsidRPr="006810DB">
        <w:rPr>
          <w:rFonts w:ascii="Book Antiqua" w:hAnsi="Book Antiqua"/>
          <w:i/>
          <w:iCs/>
          <w:sz w:val="20"/>
          <w:szCs w:val="20"/>
          <w:lang w:val="en"/>
        </w:rPr>
        <w:t>rescue therapy</w:t>
      </w:r>
      <w:r w:rsidRPr="006810DB">
        <w:rPr>
          <w:rFonts w:ascii="Book Antiqua" w:hAnsi="Book Antiqua"/>
          <w:sz w:val="20"/>
          <w:szCs w:val="20"/>
          <w:lang w:val="en"/>
        </w:rPr>
        <w:t>) saat mukositis memuncak, data menunjukkan bahwa dosis ini tidak memadai. Strategi dosis harus disesuaikan dengan intensitas ancaman; ancaman akut cisplatin memerlukan respons dosis yang lebih agresif (Yimer et al., 2019).</w:t>
      </w:r>
    </w:p>
    <w:p w14:paraId="3AEE535B" w14:textId="77777777" w:rsidR="00E936D5" w:rsidRPr="006810DB" w:rsidRDefault="00E936D5" w:rsidP="006810DB">
      <w:pPr>
        <w:spacing w:after="0" w:line="276" w:lineRule="auto"/>
        <w:jc w:val="both"/>
        <w:rPr>
          <w:rFonts w:ascii="Book Antiqua" w:hAnsi="Book Antiqua"/>
          <w:sz w:val="20"/>
          <w:szCs w:val="20"/>
          <w:lang w:val="en"/>
        </w:rPr>
      </w:pPr>
    </w:p>
    <w:p w14:paraId="25BFC029" w14:textId="72C2A1DB" w:rsidR="00B258B7" w:rsidRPr="006810DB" w:rsidRDefault="00B258B7" w:rsidP="006810DB">
      <w:pPr>
        <w:pStyle w:val="Heading2"/>
        <w:numPr>
          <w:ilvl w:val="0"/>
          <w:numId w:val="32"/>
        </w:numPr>
        <w:ind w:left="284" w:hanging="284"/>
        <w:rPr>
          <w:bCs/>
          <w:szCs w:val="20"/>
          <w:lang w:val="en"/>
        </w:rPr>
      </w:pPr>
      <w:bookmarkStart w:id="422" w:name="_lajsykg9z20u" w:colFirst="0" w:colLast="0"/>
      <w:bookmarkStart w:id="423" w:name="_Toc223088990"/>
      <w:bookmarkEnd w:id="422"/>
      <w:r w:rsidRPr="006810DB">
        <w:rPr>
          <w:bCs/>
          <w:szCs w:val="20"/>
          <w:lang w:val="en"/>
        </w:rPr>
        <w:t>Respon Dosis Optimal untuk Efek Maksimal</w:t>
      </w:r>
      <w:bookmarkEnd w:id="423"/>
    </w:p>
    <w:p w14:paraId="483BBB70"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Dosis optimal adalah "ceawan suci" dalam pengembangan obat. Ini adalah dosis yang memberikan keseimbangan terbaik antara efikasi maksimum dan toksisitas minimum. Dalam berbagai studi praklinis mengenai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dan mukositis, dosis optimal sering ditemukan pada kisaran menengah (misalnya, 200-400 mg/kgBB minyak atau 5-10 mg/kgBB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murni pada tikus). Pada rentang ini, mekanisme </w:t>
      </w:r>
      <w:r w:rsidRPr="006810DB">
        <w:rPr>
          <w:rFonts w:ascii="Book Antiqua" w:hAnsi="Book Antiqua"/>
          <w:sz w:val="20"/>
          <w:szCs w:val="20"/>
          <w:lang w:val="en"/>
        </w:rPr>
        <w:lastRenderedPageBreak/>
        <w:t>pertahanan seluler diaktifkan secara penuh, menciptakan perisai biologis yang kokoh yang mampu menahan gempuran cisplatin.</w:t>
      </w:r>
    </w:p>
    <w:p w14:paraId="369289A9" w14:textId="7C8007C3"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Dosis optimal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bekerja seperti sistem irigasi otomatis yang disetel dengan sempurna di sebuah ladang pertanian. Air (senyawa aktif) dialirkan dalam jumlah yang tepat ke setiap tanaman. Jumlahnya cukup banyak untuk memadamkan kekeringan (stres oksidatif) dan menyuburkan tanah, tetapi tidak berlebihan hingga </w:t>
      </w:r>
      <w:r w:rsidR="00A95863">
        <w:rPr>
          <w:rFonts w:ascii="Book Antiqua" w:hAnsi="Book Antiqua"/>
          <w:sz w:val="20"/>
          <w:szCs w:val="20"/>
          <w:lang w:val="en"/>
        </w:rPr>
        <w:t>S</w:t>
      </w:r>
      <w:r w:rsidRPr="006810DB">
        <w:rPr>
          <w:rFonts w:ascii="Book Antiqua" w:hAnsi="Book Antiqua"/>
          <w:sz w:val="20"/>
          <w:szCs w:val="20"/>
          <w:lang w:val="en"/>
        </w:rPr>
        <w:t>menyebabkan banjir atau membusukkan akar. Tanaman tumbuh subur, hijau, dan kuat melawan hama. Jika air kurang (dosis rendah), tanaman layu. Jika air berlebih (dosis toksik), akar busuk. Dosis optimal memastikan panen (kesehatan mukosa) yang paling melimpah.</w:t>
      </w:r>
    </w:p>
    <w:p w14:paraId="2EB7E74C" w14:textId="2D79FF4F" w:rsidR="00B258B7" w:rsidRPr="006810DB" w:rsidRDefault="00B258B7" w:rsidP="006810DB">
      <w:pPr>
        <w:pStyle w:val="ListParagraph"/>
        <w:numPr>
          <w:ilvl w:val="0"/>
          <w:numId w:val="86"/>
        </w:numPr>
        <w:spacing w:after="0" w:line="276" w:lineRule="auto"/>
        <w:ind w:left="567" w:hanging="283"/>
        <w:contextualSpacing w:val="0"/>
        <w:jc w:val="both"/>
        <w:rPr>
          <w:rFonts w:ascii="Book Antiqua" w:hAnsi="Book Antiqua"/>
          <w:b/>
          <w:bCs/>
          <w:sz w:val="20"/>
          <w:szCs w:val="20"/>
          <w:lang w:val="en"/>
        </w:rPr>
      </w:pPr>
      <w:bookmarkStart w:id="424" w:name="_jmx8wqsq32i4" w:colFirst="0" w:colLast="0"/>
      <w:bookmarkEnd w:id="424"/>
      <w:r w:rsidRPr="006810DB">
        <w:rPr>
          <w:rFonts w:ascii="Book Antiqua" w:hAnsi="Book Antiqua"/>
          <w:b/>
          <w:bCs/>
          <w:sz w:val="20"/>
          <w:szCs w:val="20"/>
          <w:lang w:val="en"/>
        </w:rPr>
        <w:t>Penentuan Rentang Dosis Terapi yang Efektif</w:t>
      </w:r>
    </w:p>
    <w:p w14:paraId="60310C59"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Penentuan rentang dosis efektif biasanya didasarkan pada studi </w:t>
      </w:r>
      <w:r w:rsidRPr="006810DB">
        <w:rPr>
          <w:rFonts w:ascii="Book Antiqua" w:hAnsi="Book Antiqua"/>
          <w:i/>
          <w:iCs/>
          <w:sz w:val="20"/>
          <w:szCs w:val="20"/>
          <w:lang w:val="en"/>
        </w:rPr>
        <w:t>dose-ranging</w:t>
      </w:r>
      <w:r w:rsidRPr="006810DB">
        <w:rPr>
          <w:rFonts w:ascii="Book Antiqua" w:hAnsi="Book Antiqua"/>
          <w:sz w:val="20"/>
          <w:szCs w:val="20"/>
          <w:lang w:val="en"/>
        </w:rPr>
        <w:t xml:space="preserve"> di mana peningkatan dosis berkorelasi linier dengan peningkatan efek terapeutik, hingga mencapai dataran tinggi (</w:t>
      </w:r>
      <w:r w:rsidRPr="006810DB">
        <w:rPr>
          <w:rFonts w:ascii="Book Antiqua" w:hAnsi="Book Antiqua"/>
          <w:i/>
          <w:iCs/>
          <w:sz w:val="20"/>
          <w:szCs w:val="20"/>
          <w:lang w:val="en"/>
        </w:rPr>
        <w:t>plateau</w:t>
      </w:r>
      <w:r w:rsidRPr="006810DB">
        <w:rPr>
          <w:rFonts w:ascii="Book Antiqua" w:hAnsi="Book Antiqua"/>
          <w:sz w:val="20"/>
          <w:szCs w:val="20"/>
          <w:lang w:val="en"/>
        </w:rPr>
        <w:t xml:space="preserve">). Studi literatur menunjukkan bahwa pemberian minyak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sebesar 2 ml/kg atau ekstrak etanol 200 mg/kg secara intraperitoneal atau oral memberikan hasil yang paling konsisten dalam menekan skor mukositis (Kazemi et al., 2022).</w:t>
      </w:r>
    </w:p>
    <w:p w14:paraId="4A011E36" w14:textId="2F34FC93"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Pada dosis ini, ketersediaan hayati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di plasma dan jaringan mencapai level yang cukup untuk menghambat fosforilasi IKK dan translokasi </w:t>
      </w:r>
      <w:r w:rsidRPr="006810DB">
        <w:rPr>
          <w:rFonts w:ascii="Book Antiqua" w:hAnsi="Book Antiqua"/>
          <w:sz w:val="20"/>
          <w:szCs w:val="20"/>
          <w:highlight w:val="yellow"/>
          <w:lang w:val="en"/>
        </w:rPr>
        <w:t>NF-κ\kappaκ</w:t>
      </w:r>
      <w:r w:rsidR="00AD1372"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secara signifikan. Data eksperimental sering menunjukkan bahwa dosis ini mampu mengembalikan parameter biokimia (seperti MDA dan GSH) hingga mendekati level kontrol normal, menunjukkan netralisasi stres oksidatif yang hampir total (Kadarullah et al., 2024).</w:t>
      </w:r>
    </w:p>
    <w:p w14:paraId="27F0D98E" w14:textId="782C84B6" w:rsidR="00B258B7" w:rsidRPr="006810DB" w:rsidRDefault="00B258B7" w:rsidP="006810DB">
      <w:pPr>
        <w:pStyle w:val="ListParagraph"/>
        <w:numPr>
          <w:ilvl w:val="0"/>
          <w:numId w:val="86"/>
        </w:numPr>
        <w:spacing w:after="0" w:line="276" w:lineRule="auto"/>
        <w:ind w:left="567" w:hanging="283"/>
        <w:contextualSpacing w:val="0"/>
        <w:jc w:val="both"/>
        <w:rPr>
          <w:rFonts w:ascii="Book Antiqua" w:hAnsi="Book Antiqua"/>
          <w:b/>
          <w:bCs/>
          <w:sz w:val="20"/>
          <w:szCs w:val="20"/>
          <w:lang w:val="en"/>
        </w:rPr>
      </w:pPr>
      <w:bookmarkStart w:id="425" w:name="_judbxeei1tlo" w:colFirst="0" w:colLast="0"/>
      <w:bookmarkEnd w:id="425"/>
      <w:r w:rsidRPr="006810DB">
        <w:rPr>
          <w:rFonts w:ascii="Book Antiqua" w:hAnsi="Book Antiqua"/>
          <w:b/>
          <w:bCs/>
          <w:sz w:val="20"/>
          <w:szCs w:val="20"/>
          <w:lang w:val="en"/>
        </w:rPr>
        <w:t>Sinergi Aktivitas Antioksidan dan Anti-inflamasi</w:t>
      </w:r>
    </w:p>
    <w:p w14:paraId="5DD6F18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Kekuatan dosis optimal terletak pada kemampuannya untuk mengorkestrasi sinergi antara jalur antioksidan dan anti-inflamasi. Pada konsentrasi ini,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tidak hanya menyapu radikal bebas, tetapi juga secara simultan </w:t>
      </w:r>
      <w:r w:rsidRPr="006810DB">
        <w:rPr>
          <w:rFonts w:ascii="Book Antiqua" w:hAnsi="Book Antiqua"/>
          <w:sz w:val="20"/>
          <w:szCs w:val="20"/>
          <w:lang w:val="en"/>
        </w:rPr>
        <w:lastRenderedPageBreak/>
        <w:t>mematikan produksi sitokin pro-inflamasi. Efek ganda ini mencegah kerusakan jaringan dari dua arah: mencegah kerusakan langsung oleh ROS dan mencegah kerusakan sekunder oleh sel imun (Madani et al., 2023).</w:t>
      </w:r>
    </w:p>
    <w:p w14:paraId="19FDADA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Selain itu, dosis optimal juga merangsang jalur penyembuhan, seperti peningkatan ekspresi faktor pertumbuhan (VEGF, EGF) dan polarisasi makrofag ke arah fenotipe M2 yang reparatif. Sinergi ini menciptakan lingkungan mikro yang kondusif bagi re-epitelisasi cepat. Ulkus menutup lebih cepat, dan integritas barier mukosa pulih dalam waktu yang lebih singkat dibandingkan dengan dosis rendah atau kontrol (Belfiore et al., 2024).</w:t>
      </w:r>
    </w:p>
    <w:p w14:paraId="33FC9E90" w14:textId="7BB0D7E4" w:rsidR="00B258B7" w:rsidRPr="006810DB" w:rsidRDefault="00B258B7" w:rsidP="006810DB">
      <w:pPr>
        <w:pStyle w:val="ListParagraph"/>
        <w:numPr>
          <w:ilvl w:val="0"/>
          <w:numId w:val="86"/>
        </w:numPr>
        <w:spacing w:after="0" w:line="276" w:lineRule="auto"/>
        <w:ind w:left="567" w:hanging="283"/>
        <w:contextualSpacing w:val="0"/>
        <w:jc w:val="both"/>
        <w:rPr>
          <w:rFonts w:ascii="Book Antiqua" w:hAnsi="Book Antiqua"/>
          <w:b/>
          <w:bCs/>
          <w:sz w:val="20"/>
          <w:szCs w:val="20"/>
          <w:lang w:val="en"/>
        </w:rPr>
      </w:pPr>
      <w:bookmarkStart w:id="426" w:name="_rlg11b3j7hx4" w:colFirst="0" w:colLast="0"/>
      <w:bookmarkEnd w:id="426"/>
      <w:r w:rsidRPr="006810DB">
        <w:rPr>
          <w:rFonts w:ascii="Book Antiqua" w:hAnsi="Book Antiqua"/>
          <w:b/>
          <w:bCs/>
          <w:sz w:val="20"/>
          <w:szCs w:val="20"/>
          <w:lang w:val="en"/>
        </w:rPr>
        <w:t>Bukti Perbaikan Klinis dan Molekuler yang Signifikan</w:t>
      </w:r>
    </w:p>
    <w:p w14:paraId="7D5BD68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Bukti paling meyakinkan dari dosis optimal terlihat pada luaran klinis. Hewan coba pada kelompok dosis ini menunjukkan penurunan berat badan yang jauh lebih sedikit, asupan makanan yang lebih baik, dan aktivitas yang lebih normal dibandingkan kelompok sakit. Secara makroskopis, mukosa mulut tampak lebih merah muda dan sehat, dengan sedikit atau tanpa ulserasi yang terlihat (Salcan et al., 2025).</w:t>
      </w:r>
    </w:p>
    <w:p w14:paraId="5BAFF320" w14:textId="3D5ADAB3"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Analisis molekuler mengkonfirmasi observasi ini. Ekspresi protein p65 nuklear sangat rendah, kadar </w:t>
      </w:r>
      <w:r w:rsidRPr="006810DB">
        <w:rPr>
          <w:rFonts w:ascii="Book Antiqua" w:hAnsi="Book Antiqua"/>
          <w:sz w:val="20"/>
          <w:szCs w:val="20"/>
          <w:highlight w:val="yellow"/>
          <w:lang w:val="en"/>
        </w:rPr>
        <w:t>TNF-α\alphaα</w:t>
      </w:r>
      <w:r w:rsidR="00AD1372" w:rsidRPr="006810DB">
        <w:rPr>
          <w:rFonts w:ascii="Book Antiqua" w:hAnsi="Book Antiqua"/>
          <w:sz w:val="20"/>
          <w:szCs w:val="20"/>
          <w:lang w:val="en"/>
        </w:rPr>
        <w:t xml:space="preserve"> </w:t>
      </w:r>
      <w:r w:rsidRPr="006810DB">
        <w:rPr>
          <w:rFonts w:ascii="Book Antiqua" w:hAnsi="Book Antiqua"/>
          <w:sz w:val="20"/>
          <w:szCs w:val="20"/>
          <w:lang w:val="en"/>
        </w:rPr>
        <w:t>dan IL-6 serum turun drastis, dan gambaran histopatologis menunjukkan epitel yang tebal dan utuh dengan stratum korneum yang terjaga. Korelasi kuat antara perbaikan parameter molekuler dan klinis pada dosis ini memvalidasi posisinya sebagai rejimen dosis yang paling direkomendasikan untuk studi translasi lebih lanjut ke manusia (Hannan et al., 2021).</w:t>
      </w:r>
    </w:p>
    <w:p w14:paraId="1E5B037F" w14:textId="77777777" w:rsidR="00E936D5" w:rsidRPr="006810DB" w:rsidRDefault="00E936D5" w:rsidP="006810DB">
      <w:pPr>
        <w:spacing w:after="0" w:line="276" w:lineRule="auto"/>
        <w:jc w:val="both"/>
        <w:rPr>
          <w:rFonts w:ascii="Book Antiqua" w:hAnsi="Book Antiqua"/>
          <w:sz w:val="20"/>
          <w:szCs w:val="20"/>
          <w:lang w:val="en"/>
        </w:rPr>
      </w:pPr>
    </w:p>
    <w:p w14:paraId="080EFE87" w14:textId="094B313B" w:rsidR="00B258B7" w:rsidRPr="006810DB" w:rsidRDefault="00B258B7" w:rsidP="006810DB">
      <w:pPr>
        <w:pStyle w:val="Heading2"/>
        <w:numPr>
          <w:ilvl w:val="0"/>
          <w:numId w:val="32"/>
        </w:numPr>
        <w:ind w:left="284" w:hanging="284"/>
        <w:rPr>
          <w:bCs/>
          <w:szCs w:val="20"/>
          <w:lang w:val="en"/>
        </w:rPr>
      </w:pPr>
      <w:bookmarkStart w:id="427" w:name="_yqirtdnk9eni" w:colFirst="0" w:colLast="0"/>
      <w:bookmarkStart w:id="428" w:name="_Toc223088991"/>
      <w:bookmarkEnd w:id="427"/>
      <w:r w:rsidRPr="006810DB">
        <w:rPr>
          <w:bCs/>
          <w:szCs w:val="20"/>
          <w:lang w:val="en"/>
        </w:rPr>
        <w:t>Evaluasi Keamanan pada Dosis Tinggi</w:t>
      </w:r>
      <w:bookmarkEnd w:id="428"/>
    </w:p>
    <w:p w14:paraId="424723BC"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Meskipun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dikenal sebagai bahan alam yang aman (GRAS - </w:t>
      </w:r>
      <w:r w:rsidRPr="006810DB">
        <w:rPr>
          <w:rFonts w:ascii="Book Antiqua" w:hAnsi="Book Antiqua"/>
          <w:i/>
          <w:iCs/>
          <w:sz w:val="20"/>
          <w:szCs w:val="20"/>
          <w:lang w:val="en"/>
        </w:rPr>
        <w:t>Generally Recognized As Safe</w:t>
      </w:r>
      <w:r w:rsidRPr="006810DB">
        <w:rPr>
          <w:rFonts w:ascii="Book Antiqua" w:hAnsi="Book Antiqua"/>
          <w:sz w:val="20"/>
          <w:szCs w:val="20"/>
          <w:lang w:val="en"/>
        </w:rPr>
        <w:t xml:space="preserve">), prinsip toksikologi tetap berlaku: zat apa pun dapat menjadi racun pada dosis yang cukup tinggi. Evaluasi keamanan pada dosis tinggi (misalnya, </w:t>
      </w:r>
      <w:r w:rsidRPr="006810DB">
        <w:rPr>
          <w:rFonts w:ascii="Book Antiqua" w:hAnsi="Book Antiqua"/>
          <w:sz w:val="20"/>
          <w:szCs w:val="20"/>
          <w:lang w:val="en"/>
        </w:rPr>
        <w:lastRenderedPageBreak/>
        <w:t>&gt;2000 mg/kgBB atau dosis kronis berlebih) diperlukan untuk menentukan batas atas keamanan (</w:t>
      </w:r>
      <w:r w:rsidRPr="006810DB">
        <w:rPr>
          <w:rFonts w:ascii="Book Antiqua" w:hAnsi="Book Antiqua"/>
          <w:i/>
          <w:iCs/>
          <w:sz w:val="20"/>
          <w:szCs w:val="20"/>
          <w:lang w:val="en"/>
        </w:rPr>
        <w:t>upper safety limit</w:t>
      </w:r>
      <w:r w:rsidRPr="006810DB">
        <w:rPr>
          <w:rFonts w:ascii="Book Antiqua" w:hAnsi="Book Antiqua"/>
          <w:sz w:val="20"/>
          <w:szCs w:val="20"/>
          <w:lang w:val="en"/>
        </w:rPr>
        <w:t>). Hal ini penting untuk memastikan bahwa upaya meningkatkan efek terapeutik tidak secara tidak sengaja menimbulkan bahaya baru, terutama pada pasien kanker yang fungsi organ detoksifikasinya (hati dan ginjal) mungkin sudah terganggu oleh kemoterapi.</w:t>
      </w:r>
    </w:p>
    <w:p w14:paraId="3E32C0F5"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Dosis tinggi ibarat meminum terlalu banyak vitamin. Vitamin C baik untuk tubuh, tetapi jika dikonsumsi dalam jumlah masif (megadosis) secara terus-menerus, ia bisa menyebabkan gangguan pencernaan atau bahkan batu ginjal. Demikian pula, membanjiri tubuh dengan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secara berlebihan bisa membebani hati yang harus memetabolisme senyawa-senyawa kompleks tersebut. Alih-alih menyembuhkan, dosis berlebih ini menjadi "pekerjaan tambahan" yang berat bagi organ tubuh yang sedang sakit, berpotensi menyebabkan kelelahan organ atau reaksi hipersensitivitas.</w:t>
      </w:r>
    </w:p>
    <w:p w14:paraId="3C2152CB" w14:textId="486549F8" w:rsidR="00B258B7" w:rsidRPr="006810DB" w:rsidRDefault="00B258B7" w:rsidP="006810DB">
      <w:pPr>
        <w:pStyle w:val="ListParagraph"/>
        <w:numPr>
          <w:ilvl w:val="0"/>
          <w:numId w:val="87"/>
        </w:numPr>
        <w:spacing w:after="0" w:line="276" w:lineRule="auto"/>
        <w:ind w:left="567" w:hanging="283"/>
        <w:contextualSpacing w:val="0"/>
        <w:jc w:val="both"/>
        <w:rPr>
          <w:rFonts w:ascii="Book Antiqua" w:hAnsi="Book Antiqua"/>
          <w:b/>
          <w:bCs/>
          <w:sz w:val="20"/>
          <w:szCs w:val="20"/>
          <w:lang w:val="en"/>
        </w:rPr>
      </w:pPr>
      <w:bookmarkStart w:id="429" w:name="_4h3ef1kwesto" w:colFirst="0" w:colLast="0"/>
      <w:bookmarkEnd w:id="429"/>
      <w:r w:rsidRPr="006810DB">
        <w:rPr>
          <w:rFonts w:ascii="Book Antiqua" w:hAnsi="Book Antiqua"/>
          <w:b/>
          <w:bCs/>
          <w:sz w:val="20"/>
          <w:szCs w:val="20"/>
          <w:lang w:val="en"/>
        </w:rPr>
        <w:t>Analisis Kemungkinan Efek Samping Ekstrak</w:t>
      </w:r>
    </w:p>
    <w:p w14:paraId="6571FCC7"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Pada dosis yang sangat tinggi, beberapa studi toksisitas akut melaporkan potensi efek samping ringan hingga sedang. Minyak atsiri </w:t>
      </w:r>
      <w:r w:rsidRPr="006810DB">
        <w:rPr>
          <w:rFonts w:ascii="Book Antiqua" w:hAnsi="Book Antiqua"/>
          <w:i/>
          <w:iCs/>
          <w:sz w:val="20"/>
          <w:szCs w:val="20"/>
          <w:lang w:val="en"/>
        </w:rPr>
        <w:t>Nigella sativa</w:t>
      </w:r>
      <w:r w:rsidRPr="006810DB">
        <w:rPr>
          <w:rFonts w:ascii="Book Antiqua" w:hAnsi="Book Antiqua"/>
          <w:sz w:val="20"/>
          <w:szCs w:val="20"/>
          <w:lang w:val="en"/>
        </w:rPr>
        <w:t>, jika dikonsumsi dalam jumlah besar, dapat menyebabkan iritasi gastrointestinal, mual, dan gangguan pencernaan. Ini disebabkan oleh sifat iritan lokal dari beberapa komponen terpenoidnya. Pada pasien mukositis yang mukosanya sudah sensitif, efek iritasi lokal dari sediaan oral dosis tinggi harus diwaspadai agar tidak memperburuk nyeri (Shafodino et al., 2022).</w:t>
      </w:r>
    </w:p>
    <w:p w14:paraId="60FB3FA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Selain itu, ada perdebatan teoritis mengenai potensi efek pro-oksidan dari antioksidan dosis tinggi. Dalam kondisi tertentu, konsentrasi antioksidan yang berlebihan dapat mengganggu keseimbangan redoks fisiologis yang diperlukan untuk fungsi seluler normal, termasuk sinyal untuk apoptosis sel kanker. Namun, bukti untuk efek pro-oksidan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in vivo masih terbatas dan umumnya </w:t>
      </w:r>
      <w:r w:rsidRPr="006810DB">
        <w:rPr>
          <w:rFonts w:ascii="Book Antiqua" w:hAnsi="Book Antiqua"/>
          <w:sz w:val="20"/>
          <w:szCs w:val="20"/>
          <w:lang w:val="en"/>
        </w:rPr>
        <w:lastRenderedPageBreak/>
        <w:t>hanya terjadi pada dosis yang jauh melampaui rentang terapeutik (Sobhannizadeh et al., 2025).</w:t>
      </w:r>
    </w:p>
    <w:p w14:paraId="21C4B518" w14:textId="6184D294" w:rsidR="00B258B7" w:rsidRPr="006810DB" w:rsidRDefault="00B258B7" w:rsidP="006810DB">
      <w:pPr>
        <w:pStyle w:val="ListParagraph"/>
        <w:numPr>
          <w:ilvl w:val="0"/>
          <w:numId w:val="87"/>
        </w:numPr>
        <w:spacing w:after="0" w:line="276" w:lineRule="auto"/>
        <w:ind w:left="567" w:hanging="283"/>
        <w:contextualSpacing w:val="0"/>
        <w:jc w:val="both"/>
        <w:rPr>
          <w:rFonts w:ascii="Book Antiqua" w:hAnsi="Book Antiqua"/>
          <w:b/>
          <w:bCs/>
          <w:sz w:val="20"/>
          <w:szCs w:val="20"/>
          <w:lang w:val="en"/>
        </w:rPr>
      </w:pPr>
      <w:bookmarkStart w:id="430" w:name="_2w4lo4ijnc06" w:colFirst="0" w:colLast="0"/>
      <w:bookmarkEnd w:id="430"/>
      <w:r w:rsidRPr="006810DB">
        <w:rPr>
          <w:rFonts w:ascii="Book Antiqua" w:hAnsi="Book Antiqua"/>
          <w:b/>
          <w:bCs/>
          <w:sz w:val="20"/>
          <w:szCs w:val="20"/>
          <w:lang w:val="en"/>
        </w:rPr>
        <w:t>Studi Toksisitas Sub-kronis pada Organ Vital</w:t>
      </w:r>
    </w:p>
    <w:p w14:paraId="126416A3"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Studi toksisitas sub-kronis (pemberian berulang selama 28-90 hari) pada hewan coba umumnya menunjukkan bahwa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memiliki profil keamanan yang sangat baik. Dosis hingga 1-2 g/kgBB ekstrak biji biasanya tidak menyebabkan kematian atau perubahan histologis patologis pada hati dan ginjal. Bahkan, sering kali ditemukan efek hepatoprotektif dan nefroprotektif pada dosis tersebut (Hannan et al., 2021).</w:t>
      </w:r>
    </w:p>
    <w:p w14:paraId="24C5388B"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Nilai LD50 (dosis letal yang membunuh 50% populasi hewan) untuk minyak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melalui rute oral dilaporkan sangat tinggi (misalnya, &gt;28 ml/kg pada tikus), yang mengindikasikan toksisitas akut yang sangat rendah. Namun, pemantauan enzim hati (ALT, AST) dan fungsi ginjal (kreatinin) tetap disarankan dalam uji klinis manusia yang menggunakan dosis tinggi, terutama jika dikombinasikan dengan obat-obatan lain yang memiliki metabolisme hepatik (Yimer et al., 2019).</w:t>
      </w:r>
    </w:p>
    <w:p w14:paraId="3D16F15B" w14:textId="7CB9DD9A" w:rsidR="00B258B7" w:rsidRPr="006810DB" w:rsidRDefault="00B258B7" w:rsidP="006810DB">
      <w:pPr>
        <w:pStyle w:val="ListParagraph"/>
        <w:numPr>
          <w:ilvl w:val="0"/>
          <w:numId w:val="87"/>
        </w:numPr>
        <w:spacing w:after="0" w:line="276" w:lineRule="auto"/>
        <w:ind w:left="567" w:hanging="283"/>
        <w:contextualSpacing w:val="0"/>
        <w:jc w:val="both"/>
        <w:rPr>
          <w:rFonts w:ascii="Book Antiqua" w:hAnsi="Book Antiqua"/>
          <w:b/>
          <w:bCs/>
          <w:i/>
          <w:iCs/>
          <w:sz w:val="20"/>
          <w:szCs w:val="20"/>
          <w:lang w:val="en"/>
        </w:rPr>
      </w:pPr>
      <w:bookmarkStart w:id="431" w:name="_epxp8ltabxb1" w:colFirst="0" w:colLast="0"/>
      <w:bookmarkEnd w:id="431"/>
      <w:r w:rsidRPr="006810DB">
        <w:rPr>
          <w:rFonts w:ascii="Book Antiqua" w:hAnsi="Book Antiqua"/>
          <w:b/>
          <w:bCs/>
          <w:sz w:val="20"/>
          <w:szCs w:val="20"/>
          <w:lang w:val="en"/>
        </w:rPr>
        <w:t xml:space="preserve">Indeks Terapi dan </w:t>
      </w:r>
      <w:r w:rsidRPr="006810DB">
        <w:rPr>
          <w:rFonts w:ascii="Book Antiqua" w:hAnsi="Book Antiqua"/>
          <w:b/>
          <w:bCs/>
          <w:i/>
          <w:iCs/>
          <w:sz w:val="20"/>
          <w:szCs w:val="20"/>
          <w:lang w:val="en"/>
        </w:rPr>
        <w:t>Margin of Safety</w:t>
      </w:r>
    </w:p>
    <w:p w14:paraId="3436072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Indeks terapi yang lebar adalah salah satu keunggulan utama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Jarak antara dosis efektif (misalnya, 200 mg/kg) dan dosis toksik (misalnya, &gt;2000 mg/kg) sangat besar, memberikan </w:t>
      </w:r>
      <w:r w:rsidRPr="006810DB">
        <w:rPr>
          <w:rFonts w:ascii="Book Antiqua" w:hAnsi="Book Antiqua"/>
          <w:i/>
          <w:iCs/>
          <w:sz w:val="20"/>
          <w:szCs w:val="20"/>
          <w:lang w:val="en"/>
        </w:rPr>
        <w:t>margin of safety</w:t>
      </w:r>
      <w:r w:rsidRPr="006810DB">
        <w:rPr>
          <w:rFonts w:ascii="Book Antiqua" w:hAnsi="Book Antiqua"/>
          <w:sz w:val="20"/>
          <w:szCs w:val="20"/>
          <w:lang w:val="en"/>
        </w:rPr>
        <w:t xml:space="preserve"> yang luas. Ini berarti bahwa variasi kecil dalam dosis atau metabolisme individual pasien kecil kemungkinannya menyebabkan toksisitas serius.</w:t>
      </w:r>
    </w:p>
    <w:p w14:paraId="07F9A4B0" w14:textId="3DC4FD92" w:rsidR="00AD1372" w:rsidRPr="006810DB" w:rsidRDefault="00B258B7" w:rsidP="00A95863">
      <w:pPr>
        <w:spacing w:after="0" w:line="276" w:lineRule="auto"/>
        <w:ind w:left="567" w:firstLine="567"/>
        <w:jc w:val="both"/>
        <w:rPr>
          <w:rFonts w:ascii="Book Antiqua" w:hAnsi="Book Antiqua"/>
          <w:b/>
          <w:bCs/>
          <w:sz w:val="20"/>
          <w:szCs w:val="20"/>
          <w:lang w:val="en"/>
        </w:rPr>
      </w:pPr>
      <w:r w:rsidRPr="006810DB">
        <w:rPr>
          <w:rFonts w:ascii="Book Antiqua" w:hAnsi="Book Antiqua"/>
          <w:sz w:val="20"/>
          <w:szCs w:val="20"/>
          <w:lang w:val="en"/>
        </w:rPr>
        <w:t>Kelebihan ini sangat penting dalam pengaturan klinis onkologi, di mana pasien sering kali memiliki kondisi fisik yang rapuh dan mengonsumsi berbagai macam obat (</w:t>
      </w:r>
      <w:r w:rsidRPr="006810DB">
        <w:rPr>
          <w:rFonts w:ascii="Book Antiqua" w:hAnsi="Book Antiqua"/>
          <w:i/>
          <w:iCs/>
          <w:sz w:val="20"/>
          <w:szCs w:val="20"/>
          <w:lang w:val="en"/>
        </w:rPr>
        <w:t>polifarmasi</w:t>
      </w:r>
      <w:r w:rsidRPr="006810DB">
        <w:rPr>
          <w:rFonts w:ascii="Book Antiqua" w:hAnsi="Book Antiqua"/>
          <w:sz w:val="20"/>
          <w:szCs w:val="20"/>
          <w:lang w:val="en"/>
        </w:rPr>
        <w:t xml:space="preserve">). Profil keamanan yang luas memungkinkan fleksibilitas dalam penyesuaian dosis untuk mencapai respons klinis yang diinginkan tanpa ketakutan berlebih akan efek samping berat, menjadikan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kandidat ajuvan yang ideal dibandingkan dengan agen sintetik yang memiliki jendela terapi sempit (Belfiore et al., 2024).</w:t>
      </w:r>
      <w:bookmarkStart w:id="432" w:name="_t67j6ygj4grj" w:colFirst="0" w:colLast="0"/>
      <w:bookmarkEnd w:id="432"/>
      <w:r w:rsidR="00AD1372" w:rsidRPr="006810DB">
        <w:rPr>
          <w:rFonts w:ascii="Book Antiqua" w:hAnsi="Book Antiqua"/>
          <w:b/>
          <w:bCs/>
          <w:sz w:val="20"/>
          <w:szCs w:val="20"/>
          <w:lang w:val="en"/>
        </w:rPr>
        <w:br w:type="page"/>
      </w:r>
    </w:p>
    <w:p w14:paraId="29FDD282" w14:textId="7837991B" w:rsidR="00B258B7" w:rsidRPr="006810DB" w:rsidRDefault="00B258B7" w:rsidP="006810DB">
      <w:pPr>
        <w:pStyle w:val="Heading2"/>
        <w:jc w:val="center"/>
      </w:pPr>
      <w:bookmarkStart w:id="433" w:name="_Toc223088992"/>
      <w:r w:rsidRPr="006810DB">
        <w:lastRenderedPageBreak/>
        <w:t>KESIMPULAN</w:t>
      </w:r>
      <w:bookmarkEnd w:id="433"/>
    </w:p>
    <w:p w14:paraId="306A73E0" w14:textId="77777777" w:rsidR="00AD1372" w:rsidRPr="006810DB" w:rsidRDefault="00AD1372" w:rsidP="006810DB">
      <w:pPr>
        <w:spacing w:after="0" w:line="276" w:lineRule="auto"/>
        <w:jc w:val="both"/>
        <w:rPr>
          <w:rFonts w:ascii="Book Antiqua" w:hAnsi="Book Antiqua"/>
          <w:sz w:val="20"/>
          <w:szCs w:val="20"/>
          <w:lang w:val="en"/>
        </w:rPr>
      </w:pPr>
    </w:p>
    <w:p w14:paraId="09818598" w14:textId="0F2F9B6E" w:rsidR="00B258B7" w:rsidRPr="006810DB" w:rsidRDefault="00B258B7" w:rsidP="006810DB">
      <w:pPr>
        <w:spacing w:after="0" w:line="276" w:lineRule="auto"/>
        <w:ind w:firstLine="567"/>
        <w:jc w:val="both"/>
        <w:rPr>
          <w:rFonts w:ascii="Book Antiqua" w:hAnsi="Book Antiqua"/>
          <w:sz w:val="20"/>
          <w:szCs w:val="20"/>
          <w:lang w:val="en"/>
        </w:rPr>
      </w:pPr>
      <w:r w:rsidRPr="006810DB">
        <w:rPr>
          <w:rFonts w:ascii="Book Antiqua" w:hAnsi="Book Antiqua"/>
          <w:sz w:val="20"/>
          <w:szCs w:val="20"/>
          <w:lang w:val="en"/>
        </w:rPr>
        <w:t xml:space="preserve">Evaluasi efek protektif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pada berbagai tingkatan dosis menunjukkan pola respons yang jelas. Dosis rendah memberikan perlindungan minimal yang mungkin tidak memadai untuk fase akut mukositis cisplatin. Dosis optimal, yang berada pada kisaran menengah, secara konsisten menunjukkan efikasi tertinggi dalam menekan stres oksidatif, inflamasi, dan kerusakan jaringan, dengan dukungan bukti biokimia dan histologis yang kuat. Sementara itu, dosis tinggi menunjukkan profil keamanan yang baik dengan indeks terapi yang lebar, meskipun potensi iritasi lokal dan beban metabolik harus tetap dipertimbangkan. Kesimpulannya, penggunaan dosis optimal yang terstandarisasi adalah kunci untuk memaksimalkan manfaat terapeutik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sebagai agen mukoprotektif yang aman dan efektif.</w:t>
      </w:r>
    </w:p>
    <w:p w14:paraId="2D327F54" w14:textId="77777777" w:rsidR="00E936D5" w:rsidRPr="006810DB" w:rsidRDefault="00E936D5" w:rsidP="006810DB">
      <w:pPr>
        <w:spacing w:line="276" w:lineRule="auto"/>
        <w:rPr>
          <w:rFonts w:ascii="Book Antiqua" w:hAnsi="Book Antiqua"/>
          <w:b/>
          <w:bCs/>
          <w:sz w:val="20"/>
          <w:szCs w:val="20"/>
          <w:lang w:val="en"/>
        </w:rPr>
      </w:pPr>
      <w:bookmarkStart w:id="434" w:name="_7ygaychpnmg4" w:colFirst="0" w:colLast="0"/>
      <w:bookmarkEnd w:id="434"/>
      <w:r w:rsidRPr="006810DB">
        <w:rPr>
          <w:rFonts w:ascii="Book Antiqua" w:hAnsi="Book Antiqua"/>
          <w:b/>
          <w:bCs/>
          <w:sz w:val="20"/>
          <w:szCs w:val="20"/>
          <w:lang w:val="en"/>
        </w:rPr>
        <w:br w:type="page"/>
      </w:r>
    </w:p>
    <w:p w14:paraId="6F8813F1" w14:textId="77777777" w:rsidR="00824155" w:rsidRPr="006810DB" w:rsidRDefault="00824155" w:rsidP="00824155">
      <w:pPr>
        <w:pStyle w:val="Heading2"/>
        <w:jc w:val="center"/>
        <w:rPr>
          <w:rFonts w:eastAsia="DengXian"/>
          <w:lang w:eastAsia="zh-CN"/>
        </w:rPr>
      </w:pPr>
      <w:bookmarkStart w:id="435" w:name="_Toc223088993"/>
      <w:r w:rsidRPr="006810DB">
        <w:lastRenderedPageBreak/>
        <w:t>GLOSARIUM</w:t>
      </w:r>
      <w:bookmarkEnd w:id="435"/>
    </w:p>
    <w:p w14:paraId="5271EF8C" w14:textId="77777777" w:rsidR="00824155" w:rsidRPr="006810DB" w:rsidRDefault="00824155" w:rsidP="00824155">
      <w:pPr>
        <w:spacing w:after="0" w:line="276" w:lineRule="auto"/>
        <w:jc w:val="both"/>
        <w:rPr>
          <w:rFonts w:ascii="Book Antiqua" w:hAnsi="Book Antiqua"/>
          <w:b/>
          <w:bCs/>
          <w:sz w:val="20"/>
          <w:szCs w:val="20"/>
          <w:lang w:val="en"/>
        </w:rPr>
      </w:pPr>
    </w:p>
    <w:p w14:paraId="77FFB662"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Dosis Optimal</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Jumlah obat atau agen terapeutik yang memberikan efek penyembuhan maksimal dengan efek samping minimal.</w:t>
      </w:r>
    </w:p>
    <w:p w14:paraId="2804B65A"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Indeks Terapi</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Rasio antara dosis toksik dan dosis terapeutik obat; semakin besar rasionya, semakin aman obat tersebut.</w:t>
      </w:r>
    </w:p>
    <w:p w14:paraId="57D47223"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LD50 (</w:t>
      </w:r>
      <w:r w:rsidRPr="006810DB">
        <w:rPr>
          <w:rFonts w:ascii="Book Antiqua" w:hAnsi="Book Antiqua"/>
          <w:b/>
          <w:bCs/>
          <w:i/>
          <w:iCs/>
          <w:sz w:val="20"/>
          <w:szCs w:val="20"/>
          <w:lang w:val="en"/>
        </w:rPr>
        <w:t>Lethal Dose 50%</w:t>
      </w:r>
      <w:r w:rsidRPr="006810DB">
        <w:rPr>
          <w:rFonts w:ascii="Book Antiqua" w:hAnsi="Book Antiqua"/>
          <w:b/>
          <w:bCs/>
          <w:sz w:val="20"/>
          <w:szCs w:val="20"/>
          <w:lang w:val="en"/>
        </w:rPr>
        <w:t>)</w:t>
      </w:r>
      <w:r w:rsidRPr="006810DB">
        <w:rPr>
          <w:rFonts w:ascii="Book Antiqua" w:hAnsi="Book Antiqua"/>
          <w:sz w:val="20"/>
          <w:szCs w:val="20"/>
          <w:lang w:val="en"/>
        </w:rPr>
        <w:t>: Dosis tunggal suatu zat yang menyebabkan kematian pada 50% populasi hewan uji, digunakan sebagai ukuran toksisitas akut.</w:t>
      </w:r>
    </w:p>
    <w:p w14:paraId="0C2B8195"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i/>
          <w:iCs/>
          <w:sz w:val="20"/>
          <w:szCs w:val="20"/>
          <w:lang w:val="en"/>
        </w:rPr>
        <w:t>Margin of Safety</w:t>
      </w:r>
      <w:r w:rsidRPr="006810DB">
        <w:rPr>
          <w:rFonts w:ascii="Book Antiqua" w:hAnsi="Book Antiqua"/>
          <w:b/>
          <w:bCs/>
          <w:i/>
          <w:i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Rentang antara dosis efektif dan dosis yang mulai menimbulkan efek samping toksik.</w:t>
      </w:r>
    </w:p>
    <w:p w14:paraId="7C16F4F0"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Respons-Dosis (</w:t>
      </w:r>
      <w:r w:rsidRPr="006810DB">
        <w:rPr>
          <w:rFonts w:ascii="Book Antiqua" w:hAnsi="Book Antiqua"/>
          <w:b/>
          <w:bCs/>
          <w:i/>
          <w:iCs/>
          <w:sz w:val="20"/>
          <w:szCs w:val="20"/>
          <w:lang w:val="en"/>
        </w:rPr>
        <w:t>Dose-Response</w:t>
      </w:r>
      <w:r w:rsidRPr="006810DB">
        <w:rPr>
          <w:rFonts w:ascii="Book Antiqua" w:hAnsi="Book Antiqua"/>
          <w:b/>
          <w:bCs/>
          <w:sz w:val="20"/>
          <w:szCs w:val="20"/>
          <w:lang w:val="en"/>
        </w:rPr>
        <w:t>)</w:t>
      </w:r>
      <w:r w:rsidRPr="006810DB">
        <w:rPr>
          <w:rFonts w:ascii="Book Antiqua" w:hAnsi="Book Antiqua"/>
          <w:sz w:val="20"/>
          <w:szCs w:val="20"/>
          <w:lang w:val="en"/>
        </w:rPr>
        <w:t>: Hubungan antara besarnya dosis zat yang diberikan dan besarnya respons biologis yang dihasilkan.</w:t>
      </w:r>
    </w:p>
    <w:p w14:paraId="17BF83CA" w14:textId="77777777" w:rsidR="00824155" w:rsidRPr="006810DB" w:rsidRDefault="00824155" w:rsidP="00824155">
      <w:pPr>
        <w:spacing w:line="276" w:lineRule="auto"/>
        <w:rPr>
          <w:rFonts w:ascii="Book Antiqua" w:hAnsi="Book Antiqua"/>
          <w:b/>
          <w:bCs/>
          <w:sz w:val="20"/>
          <w:szCs w:val="20"/>
          <w:lang w:val="en"/>
        </w:rPr>
      </w:pPr>
      <w:bookmarkStart w:id="436" w:name="_92yd6gf0y32w" w:colFirst="0" w:colLast="0"/>
      <w:bookmarkEnd w:id="436"/>
      <w:r w:rsidRPr="006810DB">
        <w:rPr>
          <w:rFonts w:ascii="Book Antiqua" w:hAnsi="Book Antiqua"/>
          <w:b/>
          <w:bCs/>
          <w:sz w:val="20"/>
          <w:szCs w:val="20"/>
          <w:lang w:val="en"/>
        </w:rPr>
        <w:br w:type="page"/>
      </w:r>
    </w:p>
    <w:p w14:paraId="4AF863E0" w14:textId="77777777" w:rsidR="00004DEE" w:rsidRPr="006810DB" w:rsidRDefault="00004DEE" w:rsidP="006810DB">
      <w:pPr>
        <w:pStyle w:val="Heading2"/>
        <w:jc w:val="center"/>
      </w:pPr>
      <w:bookmarkStart w:id="437" w:name="_Toc223088994"/>
      <w:r w:rsidRPr="006810DB">
        <w:lastRenderedPageBreak/>
        <w:t>DAFTAR PUSTAKA</w:t>
      </w:r>
      <w:bookmarkEnd w:id="437"/>
    </w:p>
    <w:p w14:paraId="361C65D0" w14:textId="77777777" w:rsidR="00004DEE" w:rsidRPr="006810DB" w:rsidRDefault="00004DEE" w:rsidP="006810DB">
      <w:pPr>
        <w:spacing w:after="0" w:line="276" w:lineRule="auto"/>
        <w:jc w:val="both"/>
        <w:rPr>
          <w:rFonts w:ascii="Book Antiqua" w:hAnsi="Book Antiqua"/>
          <w:b/>
          <w:bCs/>
          <w:sz w:val="20"/>
          <w:szCs w:val="20"/>
          <w:lang w:val="en"/>
        </w:rPr>
      </w:pPr>
    </w:p>
    <w:p w14:paraId="7A7AB1D4"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Belfiore, E., Di Prima, G., Angellotti, G., Panzarella, V., &amp; De Caro, V. (2024). Plant-Derived Polyphenols to Prevent and Treat Oral Mucositis Induced by Chemo- and Radiotherapy in Head and Neck Cancers Management. </w:t>
      </w:r>
      <w:r w:rsidRPr="006810DB">
        <w:rPr>
          <w:rFonts w:ascii="Book Antiqua" w:hAnsi="Book Antiqua"/>
          <w:i/>
          <w:iCs/>
          <w:color w:val="000000" w:themeColor="text1"/>
          <w:sz w:val="20"/>
          <w:szCs w:val="20"/>
          <w:lang w:val="en"/>
        </w:rPr>
        <w:t>Cancers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16</w:t>
      </w:r>
      <w:r w:rsidRPr="006810DB">
        <w:rPr>
          <w:rFonts w:ascii="Book Antiqua" w:hAnsi="Book Antiqua"/>
          <w:color w:val="000000" w:themeColor="text1"/>
          <w:sz w:val="20"/>
          <w:szCs w:val="20"/>
          <w:lang w:val="en"/>
        </w:rPr>
        <w:t>(2), 260.</w:t>
      </w:r>
      <w:hyperlink r:id="rId309">
        <w:r w:rsidRPr="006810DB">
          <w:rPr>
            <w:rStyle w:val="Hyperlink"/>
            <w:rFonts w:ascii="Book Antiqua" w:hAnsi="Book Antiqua"/>
            <w:color w:val="000000" w:themeColor="text1"/>
            <w:sz w:val="20"/>
            <w:szCs w:val="20"/>
            <w:u w:val="none"/>
            <w:lang w:val="en"/>
          </w:rPr>
          <w:t xml:space="preserve"> </w:t>
        </w:r>
      </w:hyperlink>
      <w:hyperlink r:id="rId310">
        <w:r w:rsidRPr="006810DB">
          <w:rPr>
            <w:rStyle w:val="Hyperlink"/>
            <w:rFonts w:ascii="Book Antiqua" w:hAnsi="Book Antiqua"/>
            <w:color w:val="000000" w:themeColor="text1"/>
            <w:sz w:val="20"/>
            <w:szCs w:val="20"/>
            <w:u w:val="none"/>
            <w:lang w:val="en"/>
          </w:rPr>
          <w:t>https://doi.org/10.3390/cancers16020260</w:t>
        </w:r>
      </w:hyperlink>
    </w:p>
    <w:p w14:paraId="500506FA"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Hannan, M. A., Sohag, A. A. M., Uddin, M. J., Dash, R., Sikder, M. H., Rahman, M. S., ... &amp; Kim, B. (2021). Black Cumin (Nigella sativa L.): A Comprehensive Review on Phytochemistry, Health Benefits, Molecular Pharmacology, and Safety. </w:t>
      </w:r>
      <w:r w:rsidRPr="006810DB">
        <w:rPr>
          <w:rFonts w:ascii="Book Antiqua" w:hAnsi="Book Antiqua"/>
          <w:i/>
          <w:iCs/>
          <w:color w:val="000000" w:themeColor="text1"/>
          <w:sz w:val="20"/>
          <w:szCs w:val="20"/>
          <w:lang w:val="en"/>
        </w:rPr>
        <w:t>Nutrients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13</w:t>
      </w:r>
      <w:r w:rsidRPr="006810DB">
        <w:rPr>
          <w:rFonts w:ascii="Book Antiqua" w:hAnsi="Book Antiqua"/>
          <w:color w:val="000000" w:themeColor="text1"/>
          <w:sz w:val="20"/>
          <w:szCs w:val="20"/>
          <w:lang w:val="en"/>
        </w:rPr>
        <w:t>(6), 1784.</w:t>
      </w:r>
      <w:hyperlink r:id="rId311">
        <w:r w:rsidRPr="006810DB">
          <w:rPr>
            <w:rStyle w:val="Hyperlink"/>
            <w:rFonts w:ascii="Book Antiqua" w:hAnsi="Book Antiqua"/>
            <w:color w:val="000000" w:themeColor="text1"/>
            <w:sz w:val="20"/>
            <w:szCs w:val="20"/>
            <w:u w:val="none"/>
            <w:lang w:val="en"/>
          </w:rPr>
          <w:t xml:space="preserve"> </w:t>
        </w:r>
      </w:hyperlink>
      <w:hyperlink r:id="rId312">
        <w:r w:rsidRPr="006810DB">
          <w:rPr>
            <w:rStyle w:val="Hyperlink"/>
            <w:rFonts w:ascii="Book Antiqua" w:hAnsi="Book Antiqua"/>
            <w:color w:val="000000" w:themeColor="text1"/>
            <w:sz w:val="20"/>
            <w:szCs w:val="20"/>
            <w:u w:val="none"/>
            <w:lang w:val="en"/>
          </w:rPr>
          <w:t>https://doi.org/10.3390/nu13061784</w:t>
        </w:r>
      </w:hyperlink>
    </w:p>
    <w:p w14:paraId="6BE9937D"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Kadarullah, O., Tamtomo, D., Wasita, B., Setiamika, M., Prayitno, A., Widyaningsih, V., &amp; Soetrisno, S. (2024). Cisplatin-Induced Oral Mucositis Prevention: Nigella sativa’s Anti-Inflammatory Role through NFκB Pathway. </w:t>
      </w:r>
      <w:r w:rsidRPr="006810DB">
        <w:rPr>
          <w:rFonts w:ascii="Book Antiqua" w:hAnsi="Book Antiqua"/>
          <w:i/>
          <w:iCs/>
          <w:color w:val="000000" w:themeColor="text1"/>
          <w:sz w:val="20"/>
          <w:szCs w:val="20"/>
          <w:lang w:val="en"/>
        </w:rPr>
        <w:t>Trends in Sciences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21</w:t>
      </w:r>
      <w:r w:rsidRPr="006810DB">
        <w:rPr>
          <w:rFonts w:ascii="Book Antiqua" w:hAnsi="Book Antiqua"/>
          <w:color w:val="000000" w:themeColor="text1"/>
          <w:sz w:val="20"/>
          <w:szCs w:val="20"/>
          <w:lang w:val="en"/>
        </w:rPr>
        <w:t>(1), 8105.</w:t>
      </w:r>
      <w:hyperlink r:id="rId313">
        <w:r w:rsidRPr="006810DB">
          <w:rPr>
            <w:rStyle w:val="Hyperlink"/>
            <w:rFonts w:ascii="Book Antiqua" w:hAnsi="Book Antiqua"/>
            <w:color w:val="000000" w:themeColor="text1"/>
            <w:sz w:val="20"/>
            <w:szCs w:val="20"/>
            <w:u w:val="none"/>
            <w:lang w:val="en"/>
          </w:rPr>
          <w:t xml:space="preserve"> </w:t>
        </w:r>
      </w:hyperlink>
      <w:hyperlink r:id="rId314">
        <w:r w:rsidRPr="006810DB">
          <w:rPr>
            <w:rStyle w:val="Hyperlink"/>
            <w:rFonts w:ascii="Book Antiqua" w:hAnsi="Book Antiqua"/>
            <w:color w:val="000000" w:themeColor="text1"/>
            <w:sz w:val="20"/>
            <w:szCs w:val="20"/>
            <w:u w:val="none"/>
            <w:lang w:val="en"/>
          </w:rPr>
          <w:t>https://doi.org/10.48048/tis.2024.8105</w:t>
        </w:r>
      </w:hyperlink>
    </w:p>
    <w:p w14:paraId="7ACC071C"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Kazemi, S., Moghadamnia, A., Saebnouri, H., Roudsari, S., &amp; Afraz, E. (2022). Effect of intraperitoneal injection of Nigella sativa oil on 5-fluorouracil-induced oral mucositis in rats. </w:t>
      </w:r>
      <w:r w:rsidRPr="006810DB">
        <w:rPr>
          <w:rFonts w:ascii="Book Antiqua" w:hAnsi="Book Antiqua"/>
          <w:i/>
          <w:iCs/>
          <w:color w:val="000000" w:themeColor="text1"/>
          <w:sz w:val="20"/>
          <w:szCs w:val="20"/>
          <w:lang w:val="en"/>
        </w:rPr>
        <w:t>Journal of Biological Studies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w:t>
      </w:r>
      <w:r w:rsidRPr="006810DB">
        <w:rPr>
          <w:rFonts w:ascii="Book Antiqua" w:hAnsi="Book Antiqua"/>
          <w:color w:val="000000" w:themeColor="text1"/>
          <w:sz w:val="20"/>
          <w:szCs w:val="20"/>
          <w:lang w:val="en"/>
        </w:rPr>
        <w:t>(1), 6365.</w:t>
      </w:r>
      <w:hyperlink r:id="rId315">
        <w:r w:rsidRPr="006810DB">
          <w:rPr>
            <w:rStyle w:val="Hyperlink"/>
            <w:rFonts w:ascii="Book Antiqua" w:hAnsi="Book Antiqua"/>
            <w:color w:val="000000" w:themeColor="text1"/>
            <w:sz w:val="20"/>
            <w:szCs w:val="20"/>
            <w:u w:val="none"/>
            <w:lang w:val="en"/>
          </w:rPr>
          <w:t xml:space="preserve"> </w:t>
        </w:r>
      </w:hyperlink>
      <w:hyperlink r:id="rId316">
        <w:r w:rsidRPr="006810DB">
          <w:rPr>
            <w:rStyle w:val="Hyperlink"/>
            <w:rFonts w:ascii="Book Antiqua" w:hAnsi="Book Antiqua"/>
            <w:color w:val="000000" w:themeColor="text1"/>
            <w:sz w:val="20"/>
            <w:szCs w:val="20"/>
            <w:u w:val="none"/>
            <w:lang w:val="en"/>
          </w:rPr>
          <w:t>https://doi.org/10.62400/jbs.v5i1.6365</w:t>
        </w:r>
      </w:hyperlink>
    </w:p>
    <w:p w14:paraId="0039C22C"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Madani, F., Kazemi, S., Shirafkan, F., Lotfi, M., Hosseini, S., &amp; Moghadamnia, A. (2023). Thymoquinone protects against 5</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Fluorouracil</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induced mucositis by NF</w:t>
      </w:r>
      <w:r w:rsidRPr="006810DB">
        <w:rPr>
          <w:rFonts w:ascii="Times New Roman" w:hAnsi="Times New Roman" w:cs="Times New Roman"/>
          <w:color w:val="000000" w:themeColor="text1"/>
          <w:sz w:val="20"/>
          <w:szCs w:val="20"/>
          <w:lang w:val="en"/>
        </w:rPr>
        <w:t>‐</w:t>
      </w:r>
      <w:r w:rsidRPr="006810DB">
        <w:rPr>
          <w:rFonts w:ascii="Book Antiqua" w:hAnsi="Book Antiqua" w:cs="Book Antiqua"/>
          <w:color w:val="000000" w:themeColor="text1"/>
          <w:sz w:val="20"/>
          <w:szCs w:val="20"/>
          <w:lang w:val="en"/>
        </w:rPr>
        <w:t>κβ</w:t>
      </w:r>
      <w:r w:rsidRPr="006810DB">
        <w:rPr>
          <w:rFonts w:ascii="Book Antiqua" w:hAnsi="Book Antiqua"/>
          <w:color w:val="000000" w:themeColor="text1"/>
          <w:sz w:val="20"/>
          <w:szCs w:val="20"/>
          <w:lang w:val="en"/>
        </w:rPr>
        <w:t xml:space="preserve"> and HIF</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 xml:space="preserve">1 mechanisms in mice. </w:t>
      </w:r>
      <w:r w:rsidRPr="006810DB">
        <w:rPr>
          <w:rFonts w:ascii="Book Antiqua" w:hAnsi="Book Antiqua"/>
          <w:i/>
          <w:iCs/>
          <w:color w:val="000000" w:themeColor="text1"/>
          <w:sz w:val="20"/>
          <w:szCs w:val="20"/>
          <w:lang w:val="en"/>
        </w:rPr>
        <w:t>Journal of Biochemical and Molecular Toxicology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37</w:t>
      </w:r>
      <w:r w:rsidRPr="006810DB">
        <w:rPr>
          <w:rFonts w:ascii="Book Antiqua" w:hAnsi="Book Antiqua"/>
          <w:color w:val="000000" w:themeColor="text1"/>
          <w:sz w:val="20"/>
          <w:szCs w:val="20"/>
          <w:lang w:val="en"/>
        </w:rPr>
        <w:t>(6), e23405.</w:t>
      </w:r>
      <w:hyperlink r:id="rId317">
        <w:r w:rsidRPr="006810DB">
          <w:rPr>
            <w:rStyle w:val="Hyperlink"/>
            <w:rFonts w:ascii="Book Antiqua" w:hAnsi="Book Antiqua"/>
            <w:color w:val="000000" w:themeColor="text1"/>
            <w:sz w:val="20"/>
            <w:szCs w:val="20"/>
            <w:u w:val="none"/>
            <w:lang w:val="en"/>
          </w:rPr>
          <w:t xml:space="preserve"> </w:t>
        </w:r>
      </w:hyperlink>
      <w:hyperlink r:id="rId318">
        <w:r w:rsidRPr="006810DB">
          <w:rPr>
            <w:rStyle w:val="Hyperlink"/>
            <w:rFonts w:ascii="Book Antiqua" w:hAnsi="Book Antiqua"/>
            <w:color w:val="000000" w:themeColor="text1"/>
            <w:sz w:val="20"/>
            <w:szCs w:val="20"/>
            <w:u w:val="none"/>
            <w:lang w:val="en"/>
          </w:rPr>
          <w:t>https://doi.org/10.1002/jbt.23405</w:t>
        </w:r>
      </w:hyperlink>
    </w:p>
    <w:p w14:paraId="42DAD558"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Putra, K. P., Prayitno, A., &amp; Widodo, A. D. (2022). The effect of Nigella sativa oil on malondialdehyde levels in wistar rats induced with cisplatin. </w:t>
      </w:r>
      <w:r w:rsidRPr="006810DB">
        <w:rPr>
          <w:rFonts w:ascii="Book Antiqua" w:hAnsi="Book Antiqua"/>
          <w:i/>
          <w:iCs/>
          <w:color w:val="000000" w:themeColor="text1"/>
          <w:sz w:val="20"/>
          <w:szCs w:val="20"/>
          <w:lang w:val="en"/>
        </w:rPr>
        <w:t>Journal of Medicine and Health</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4</w:t>
      </w:r>
      <w:r w:rsidRPr="006810DB">
        <w:rPr>
          <w:rFonts w:ascii="Book Antiqua" w:hAnsi="Book Antiqua"/>
          <w:color w:val="000000" w:themeColor="text1"/>
          <w:sz w:val="20"/>
          <w:szCs w:val="20"/>
          <w:lang w:val="en"/>
        </w:rPr>
        <w:t>(2), 176-183.</w:t>
      </w:r>
      <w:hyperlink r:id="rId319">
        <w:r w:rsidRPr="006810DB">
          <w:rPr>
            <w:rStyle w:val="Hyperlink"/>
            <w:rFonts w:ascii="Book Antiqua" w:hAnsi="Book Antiqua"/>
            <w:color w:val="000000" w:themeColor="text1"/>
            <w:sz w:val="20"/>
            <w:szCs w:val="20"/>
            <w:u w:val="none"/>
            <w:lang w:val="en"/>
          </w:rPr>
          <w:t xml:space="preserve"> </w:t>
        </w:r>
      </w:hyperlink>
      <w:hyperlink r:id="rId320">
        <w:r w:rsidRPr="006810DB">
          <w:rPr>
            <w:rStyle w:val="Hyperlink"/>
            <w:rFonts w:ascii="Book Antiqua" w:hAnsi="Book Antiqua"/>
            <w:color w:val="000000" w:themeColor="text1"/>
            <w:sz w:val="20"/>
            <w:szCs w:val="20"/>
            <w:u w:val="none"/>
            <w:lang w:val="en"/>
          </w:rPr>
          <w:t>https://doi.org/10.28932/jmh.v4i2.4632</w:t>
        </w:r>
      </w:hyperlink>
    </w:p>
    <w:p w14:paraId="6037761F"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Salcan, I., Dilber, M., Suleyman, Z., Yucel, N., Salcan, S., Kesan, S., Yazici, G., Çelik, F., Koseturk, M., Alp, N., &amp; Suleyman, H. (2025). Protective effect of adenosine triphosphate against </w:t>
      </w:r>
      <w:r w:rsidRPr="006810DB">
        <w:rPr>
          <w:rFonts w:ascii="Book Antiqua" w:hAnsi="Book Antiqua"/>
          <w:color w:val="000000" w:themeColor="text1"/>
          <w:sz w:val="20"/>
          <w:szCs w:val="20"/>
          <w:lang w:val="en"/>
        </w:rPr>
        <w:lastRenderedPageBreak/>
        <w:t xml:space="preserve">cisplatin-induced necrotic and degenerative oral mucositis in rats. </w:t>
      </w:r>
      <w:r w:rsidRPr="006810DB">
        <w:rPr>
          <w:rFonts w:ascii="Book Antiqua" w:hAnsi="Book Antiqua"/>
          <w:i/>
          <w:iCs/>
          <w:color w:val="000000" w:themeColor="text1"/>
          <w:sz w:val="20"/>
          <w:szCs w:val="20"/>
          <w:lang w:val="en"/>
        </w:rPr>
        <w:t>Journal of Applied Oral Science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33</w:t>
      </w:r>
      <w:r w:rsidRPr="006810DB">
        <w:rPr>
          <w:rFonts w:ascii="Book Antiqua" w:hAnsi="Book Antiqua"/>
          <w:color w:val="000000" w:themeColor="text1"/>
          <w:sz w:val="20"/>
          <w:szCs w:val="20"/>
          <w:lang w:val="en"/>
        </w:rPr>
        <w:t>, e20240366.</w:t>
      </w:r>
      <w:hyperlink r:id="rId321">
        <w:r w:rsidRPr="006810DB">
          <w:rPr>
            <w:rStyle w:val="Hyperlink"/>
            <w:rFonts w:ascii="Book Antiqua" w:hAnsi="Book Antiqua"/>
            <w:color w:val="000000" w:themeColor="text1"/>
            <w:sz w:val="20"/>
            <w:szCs w:val="20"/>
            <w:u w:val="none"/>
            <w:lang w:val="en"/>
          </w:rPr>
          <w:t xml:space="preserve"> </w:t>
        </w:r>
      </w:hyperlink>
      <w:hyperlink r:id="rId322">
        <w:r w:rsidRPr="006810DB">
          <w:rPr>
            <w:rStyle w:val="Hyperlink"/>
            <w:rFonts w:ascii="Book Antiqua" w:hAnsi="Book Antiqua"/>
            <w:color w:val="000000" w:themeColor="text1"/>
            <w:sz w:val="20"/>
            <w:szCs w:val="20"/>
            <w:u w:val="none"/>
            <w:lang w:val="en"/>
          </w:rPr>
          <w:t>https://doi.org/10.1590/1678-7757-2025-0007</w:t>
        </w:r>
      </w:hyperlink>
    </w:p>
    <w:p w14:paraId="4ABB73BB"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Shafodino, F., Lusilao, J. G., &amp; Mwapagha, L. M. (2022). Phytochemical characterization and antimicrobial activity of Nigella sativa seeds. </w:t>
      </w:r>
      <w:r w:rsidRPr="006810DB">
        <w:rPr>
          <w:rFonts w:ascii="Book Antiqua" w:hAnsi="Book Antiqua"/>
          <w:i/>
          <w:iCs/>
          <w:color w:val="000000" w:themeColor="text1"/>
          <w:sz w:val="20"/>
          <w:szCs w:val="20"/>
          <w:lang w:val="en"/>
        </w:rPr>
        <w:t>PLoS ONE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17</w:t>
      </w:r>
      <w:r w:rsidRPr="006810DB">
        <w:rPr>
          <w:rFonts w:ascii="Book Antiqua" w:hAnsi="Book Antiqua"/>
          <w:color w:val="000000" w:themeColor="text1"/>
          <w:sz w:val="20"/>
          <w:szCs w:val="20"/>
          <w:lang w:val="en"/>
        </w:rPr>
        <w:t>(10), e0272457.</w:t>
      </w:r>
      <w:hyperlink r:id="rId323">
        <w:r w:rsidRPr="006810DB">
          <w:rPr>
            <w:rStyle w:val="Hyperlink"/>
            <w:rFonts w:ascii="Book Antiqua" w:hAnsi="Book Antiqua"/>
            <w:color w:val="000000" w:themeColor="text1"/>
            <w:sz w:val="20"/>
            <w:szCs w:val="20"/>
            <w:u w:val="none"/>
            <w:lang w:val="en"/>
          </w:rPr>
          <w:t xml:space="preserve"> </w:t>
        </w:r>
      </w:hyperlink>
      <w:hyperlink r:id="rId324">
        <w:r w:rsidRPr="006810DB">
          <w:rPr>
            <w:rStyle w:val="Hyperlink"/>
            <w:rFonts w:ascii="Book Antiqua" w:hAnsi="Book Antiqua"/>
            <w:color w:val="000000" w:themeColor="text1"/>
            <w:sz w:val="20"/>
            <w:szCs w:val="20"/>
            <w:u w:val="none"/>
            <w:lang w:val="en"/>
          </w:rPr>
          <w:t>https://doi.org/10.1371/journal.pone.0272457</w:t>
        </w:r>
      </w:hyperlink>
    </w:p>
    <w:p w14:paraId="14539910"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Sobhannizadeh, A., Giglou, M. F., Behnamian, M., Estaji, A., Majdi, M., &amp; Szumny, A. (2025). The effect of plant growth regulators, FeO3-CTs nanoparticles and LEDs light on the growth and biochemical compounds of black seed (Nigella sativa L.) callus in vitro. </w:t>
      </w:r>
      <w:r w:rsidRPr="006810DB">
        <w:rPr>
          <w:rFonts w:ascii="Book Antiqua" w:hAnsi="Book Antiqua"/>
          <w:i/>
          <w:iCs/>
          <w:color w:val="000000" w:themeColor="text1"/>
          <w:sz w:val="20"/>
          <w:szCs w:val="20"/>
          <w:lang w:val="en"/>
        </w:rPr>
        <w:t>BMC Plant Biology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25</w:t>
      </w:r>
      <w:r w:rsidRPr="006810DB">
        <w:rPr>
          <w:rFonts w:ascii="Book Antiqua" w:hAnsi="Book Antiqua"/>
          <w:color w:val="000000" w:themeColor="text1"/>
          <w:sz w:val="20"/>
          <w:szCs w:val="20"/>
          <w:lang w:val="en"/>
        </w:rPr>
        <w:t>(1), 263.</w:t>
      </w:r>
      <w:hyperlink r:id="rId325">
        <w:r w:rsidRPr="006810DB">
          <w:rPr>
            <w:rStyle w:val="Hyperlink"/>
            <w:rFonts w:ascii="Book Antiqua" w:hAnsi="Book Antiqua"/>
            <w:color w:val="000000" w:themeColor="text1"/>
            <w:sz w:val="20"/>
            <w:szCs w:val="20"/>
            <w:u w:val="none"/>
            <w:lang w:val="en"/>
          </w:rPr>
          <w:t xml:space="preserve"> </w:t>
        </w:r>
      </w:hyperlink>
      <w:hyperlink r:id="rId326">
        <w:r w:rsidRPr="006810DB">
          <w:rPr>
            <w:rStyle w:val="Hyperlink"/>
            <w:rFonts w:ascii="Book Antiqua" w:hAnsi="Book Antiqua"/>
            <w:color w:val="000000" w:themeColor="text1"/>
            <w:sz w:val="20"/>
            <w:szCs w:val="20"/>
            <w:u w:val="none"/>
            <w:lang w:val="en"/>
          </w:rPr>
          <w:t>https://doi.org/10.1186/s12870-025-06423-y</w:t>
        </w:r>
      </w:hyperlink>
    </w:p>
    <w:p w14:paraId="6623C344"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Yimer, E. M., Tuem, K. B., Karim, A., Ur-Rehman, N., &amp; Anwar, F. (2019). Nigella sativa L. (black cumin): a promising natural remedy for wide range of illnesses. </w:t>
      </w:r>
      <w:r w:rsidRPr="006810DB">
        <w:rPr>
          <w:rFonts w:ascii="Book Antiqua" w:hAnsi="Book Antiqua"/>
          <w:i/>
          <w:iCs/>
          <w:color w:val="000000" w:themeColor="text1"/>
          <w:sz w:val="20"/>
          <w:szCs w:val="20"/>
          <w:lang w:val="en"/>
        </w:rPr>
        <w:t>Evidence-Based Complementary and Alternative Medicine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2019</w:t>
      </w:r>
      <w:r w:rsidRPr="006810DB">
        <w:rPr>
          <w:rFonts w:ascii="Book Antiqua" w:hAnsi="Book Antiqua"/>
          <w:color w:val="000000" w:themeColor="text1"/>
          <w:sz w:val="20"/>
          <w:szCs w:val="20"/>
          <w:lang w:val="en"/>
        </w:rPr>
        <w:t>, 1528635.</w:t>
      </w:r>
      <w:hyperlink r:id="rId327">
        <w:r w:rsidRPr="006810DB">
          <w:rPr>
            <w:rStyle w:val="Hyperlink"/>
            <w:rFonts w:ascii="Book Antiqua" w:hAnsi="Book Antiqua"/>
            <w:color w:val="000000" w:themeColor="text1"/>
            <w:sz w:val="20"/>
            <w:szCs w:val="20"/>
            <w:u w:val="none"/>
            <w:lang w:val="en"/>
          </w:rPr>
          <w:t xml:space="preserve"> </w:t>
        </w:r>
      </w:hyperlink>
      <w:hyperlink r:id="rId328">
        <w:r w:rsidRPr="006810DB">
          <w:rPr>
            <w:rStyle w:val="Hyperlink"/>
            <w:rFonts w:ascii="Book Antiqua" w:hAnsi="Book Antiqua"/>
            <w:color w:val="000000" w:themeColor="text1"/>
            <w:sz w:val="20"/>
            <w:szCs w:val="20"/>
            <w:u w:val="none"/>
            <w:lang w:val="en"/>
          </w:rPr>
          <w:t>https://doi.org/10.1155/2019/1528635</w:t>
        </w:r>
      </w:hyperlink>
    </w:p>
    <w:p w14:paraId="0506FA59" w14:textId="77777777" w:rsidR="00004DEE" w:rsidRPr="006810DB" w:rsidRDefault="00004DEE" w:rsidP="006810DB">
      <w:pPr>
        <w:spacing w:after="0" w:line="276" w:lineRule="auto"/>
        <w:jc w:val="both"/>
        <w:rPr>
          <w:rFonts w:ascii="Book Antiqua" w:hAnsi="Book Antiqua"/>
          <w:b/>
          <w:bCs/>
          <w:sz w:val="20"/>
          <w:szCs w:val="20"/>
          <w:lang w:val="en"/>
        </w:rPr>
      </w:pPr>
      <w:bookmarkStart w:id="438" w:name="_eeqih9s7di5" w:colFirst="0" w:colLast="0"/>
      <w:bookmarkEnd w:id="438"/>
    </w:p>
    <w:p w14:paraId="77BED85C" w14:textId="77777777" w:rsidR="00004DEE" w:rsidRPr="006810DB" w:rsidRDefault="00004DEE"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7E8587DF" w14:textId="2468C282" w:rsidR="00D0395B" w:rsidRPr="006810DB" w:rsidRDefault="00D0395B" w:rsidP="006810DB">
      <w:pPr>
        <w:pStyle w:val="Heading1"/>
        <w:spacing w:before="0" w:line="276" w:lineRule="auto"/>
        <w:ind w:firstLine="142"/>
        <w:rPr>
          <w:b/>
          <w:bCs/>
          <w:szCs w:val="20"/>
          <w:lang w:val="en"/>
        </w:rPr>
      </w:pPr>
      <w:bookmarkStart w:id="439" w:name="_Toc223088995"/>
      <w:r w:rsidRPr="006810DB">
        <w:rPr>
          <w:b/>
          <w:noProof/>
          <w:sz w:val="48"/>
          <w:szCs w:val="20"/>
          <w:lang w:val="en-US"/>
        </w:rPr>
        <w:lastRenderedPageBreak/>
        <mc:AlternateContent>
          <mc:Choice Requires="wps">
            <w:drawing>
              <wp:anchor distT="0" distB="0" distL="114300" distR="114300" simplePos="0" relativeHeight="251718656" behindDoc="0" locked="0" layoutInCell="1" allowOverlap="1" wp14:anchorId="63BA6D85" wp14:editId="02087CBC">
                <wp:simplePos x="0" y="0"/>
                <wp:positionH relativeFrom="column">
                  <wp:posOffset>910590</wp:posOffset>
                </wp:positionH>
                <wp:positionV relativeFrom="paragraph">
                  <wp:posOffset>133350</wp:posOffset>
                </wp:positionV>
                <wp:extent cx="2820035" cy="1066800"/>
                <wp:effectExtent l="0" t="0" r="0" b="0"/>
                <wp:wrapNone/>
                <wp:docPr id="38" name="Rectangle 38"/>
                <wp:cNvGraphicFramePr/>
                <a:graphic xmlns:a="http://schemas.openxmlformats.org/drawingml/2006/main">
                  <a:graphicData uri="http://schemas.microsoft.com/office/word/2010/wordprocessingShape">
                    <wps:wsp>
                      <wps:cNvSpPr/>
                      <wps:spPr>
                        <a:xfrm>
                          <a:off x="0" y="0"/>
                          <a:ext cx="2820035" cy="1066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8353004" w14:textId="3E75E3BA" w:rsidR="00D0395B" w:rsidRPr="00004DEE" w:rsidRDefault="00D0395B" w:rsidP="00D0395B">
                            <w:pPr>
                              <w:spacing w:after="0" w:line="276" w:lineRule="auto"/>
                              <w:jc w:val="center"/>
                              <w:rPr>
                                <w:rFonts w:ascii="Book Antiqua" w:hAnsi="Book Antiqua"/>
                                <w:b/>
                                <w:bCs/>
                                <w:sz w:val="32"/>
                                <w:szCs w:val="36"/>
                                <w:lang w:val="en"/>
                              </w:rPr>
                            </w:pPr>
                            <w:r w:rsidRPr="00004DEE">
                              <w:rPr>
                                <w:rFonts w:ascii="Book Antiqua" w:hAnsi="Book Antiqua"/>
                                <w:b/>
                                <w:bCs/>
                                <w:sz w:val="32"/>
                                <w:szCs w:val="36"/>
                                <w:lang w:val="en"/>
                              </w:rPr>
                              <w:t>PERBANDINGAN DENGAN TERAPI SUPORTIF STANDAR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3BA6D85" id="Rectangle 38" o:spid="_x0000_s1043" style="position:absolute;left:0;text-align:left;margin-left:71.7pt;margin-top:10.5pt;width:222.05pt;height:8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RISZgIAABEFAAAOAAAAZHJzL2Uyb0RvYy54bWysVN1P2zAQf5+0/8Hy+0hSoLCKFFUgpklo&#10;INi0Z9ex22i2zzu7Tbu/fmcnDbD1adpLct8fv7vz1fXOGrZVGFpwNa9OSs6Uk9C0blXzb1/vPlxy&#10;FqJwjTDgVM33KvDr+ft3V52fqQmswTQKGQVxYdb5mq9j9LOiCHKtrAgn4JUjpQa0IhKLq6JB0VF0&#10;a4pJWU6LDrDxCFKFQNLbXsnnOb7WSsYHrYOKzNScaov5i/m7TN9ifiVmKxR+3cqhDPEPVVjROko6&#10;hroVUbANtn+Fsq1ECKDjiQRbgNatVLkH6qYq/+jmeS28yr0QOMGPMIX/F1Z+2T4ia5uan9KknLA0&#10;oydCTbiVUYxkBFDnw4zsnv0jDlwgMnW702jTn/pguwzqfgRV7SKTJJxc0pxOzzmTpKvK6fSyzLAX&#10;L+4eQ/ykwLJE1BwpfwZTbO9DpJRkejBJ2RzctcbkyRn3RkCGSVKkivsaMxX3RiU7456UpmZTVTlB&#10;XjN1Y5BtBS2IkFK5OE0950hkndw0ZRsdq2OOJlaD02Cb3FRev9GxPOb4NuPokbOCi6OzbR3gsQDN&#10;jzFzb3/ovu85tR93y12ecHVxmOYSmj2NHaG/h+DlXUvQ34sQHwXSAdCp0FHHB/poA13NYaA4WwP+&#10;OiZP9rSXpOWso4Oqefi5Eag4M58dbezH6uwsXWBmzs4vJsTga83ytcZt7A3QSCp6PrzMZLKP5kBq&#10;BPudbn+RspJKOEm5ay4jHpib2B86vR5SLRbZjK7Oi3jvnr1MwRPQDhabCLrNm5YA69EZgKS7y9sw&#10;vBHpsF/z2erlJZv/BgAA//8DAFBLAwQUAAYACAAAACEA+saja94AAAAKAQAADwAAAGRycy9kb3du&#10;cmV2LnhtbEyPzU7DMBCE70i8g7VI3KjT0kIIcSpAQgj1gCjt3XG2SUS8jmznp2/PcoLjaEYz3+Tb&#10;2XZiRB9aRwqWiwQEknFVS7WCw9frTQoiRE2V7hyhgjMG2BaXF7nOKjfRJ477WAsuoZBpBU2MfSZl&#10;MA1aHRauR2Lv5LzVkaWvZeX1xOW2k6skuZNWt8QLje7xpUHzvR+sgqM7PU/WlPQ+nj/a4W3njUl3&#10;Sl1fzU+PICLO8S8Mv/iMDgUzlW6gKoiO9fp2zVEFqyV/4sAmvd+AKNlJHxKQRS7/Xyh+AAAA//8D&#10;AFBLAQItABQABgAIAAAAIQC2gziS/gAAAOEBAAATAAAAAAAAAAAAAAAAAAAAAABbQ29udGVudF9U&#10;eXBlc10ueG1sUEsBAi0AFAAGAAgAAAAhADj9If/WAAAAlAEAAAsAAAAAAAAAAAAAAAAALwEAAF9y&#10;ZWxzLy5yZWxzUEsBAi0AFAAGAAgAAAAhADw1EhJmAgAAEQUAAA4AAAAAAAAAAAAAAAAALgIAAGRy&#10;cy9lMm9Eb2MueG1sUEsBAi0AFAAGAAgAAAAhAPrGo2veAAAACgEAAA8AAAAAAAAAAAAAAAAAwAQA&#10;AGRycy9kb3ducmV2LnhtbFBLBQYAAAAABAAEAPMAAADLBQAAAAA=&#10;" filled="f" stroked="f" strokeweight="1pt">
                <v:textbox>
                  <w:txbxContent>
                    <w:p w14:paraId="18353004" w14:textId="3E75E3BA" w:rsidR="00D0395B" w:rsidRPr="00004DEE" w:rsidRDefault="00D0395B" w:rsidP="00D0395B">
                      <w:pPr>
                        <w:spacing w:after="0" w:line="276" w:lineRule="auto"/>
                        <w:jc w:val="center"/>
                        <w:rPr>
                          <w:rFonts w:ascii="Book Antiqua" w:hAnsi="Book Antiqua"/>
                          <w:b/>
                          <w:bCs/>
                          <w:sz w:val="32"/>
                          <w:szCs w:val="36"/>
                          <w:lang w:val="en"/>
                        </w:rPr>
                      </w:pPr>
                      <w:r w:rsidRPr="00004DEE">
                        <w:rPr>
                          <w:rFonts w:ascii="Book Antiqua" w:hAnsi="Book Antiqua"/>
                          <w:b/>
                          <w:bCs/>
                          <w:sz w:val="32"/>
                          <w:szCs w:val="36"/>
                          <w:lang w:val="en"/>
                        </w:rPr>
                        <w:t>PERBANDINGAN DENGAN TERAPI SUPORTIF STANDAR</w:t>
                      </w:r>
                    </w:p>
                  </w:txbxContent>
                </v:textbox>
              </v:rect>
            </w:pict>
          </mc:Fallback>
        </mc:AlternateContent>
      </w:r>
      <w:r w:rsidRPr="006810DB">
        <w:rPr>
          <w:b/>
          <w:noProof/>
          <w:sz w:val="48"/>
          <w:szCs w:val="20"/>
          <w:lang w:val="en-US"/>
        </w:rPr>
        <mc:AlternateContent>
          <mc:Choice Requires="wps">
            <w:drawing>
              <wp:anchor distT="0" distB="0" distL="114300" distR="114300" simplePos="0" relativeHeight="251717632" behindDoc="0" locked="0" layoutInCell="1" allowOverlap="1" wp14:anchorId="1AA5DD9D" wp14:editId="6833950B">
                <wp:simplePos x="0" y="0"/>
                <wp:positionH relativeFrom="column">
                  <wp:posOffset>884555</wp:posOffset>
                </wp:positionH>
                <wp:positionV relativeFrom="paragraph">
                  <wp:posOffset>76835</wp:posOffset>
                </wp:positionV>
                <wp:extent cx="0" cy="1152000"/>
                <wp:effectExtent l="19050" t="0" r="38100" b="48260"/>
                <wp:wrapNone/>
                <wp:docPr id="39" name="Straight Connector 39"/>
                <wp:cNvGraphicFramePr/>
                <a:graphic xmlns:a="http://schemas.openxmlformats.org/drawingml/2006/main">
                  <a:graphicData uri="http://schemas.microsoft.com/office/word/2010/wordprocessingShape">
                    <wps:wsp>
                      <wps:cNvCnPr/>
                      <wps:spPr>
                        <a:xfrm>
                          <a:off x="0" y="0"/>
                          <a:ext cx="0" cy="1152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9842539" id="Straight Connector 39" o:spid="_x0000_s1026" style="position:absolute;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VFY2QEAAA8EAAAOAAAAZHJzL2Uyb0RvYy54bWysU9uO0zAQfUfiHyy/0yS7Kpeo6T50tbwg&#10;qFj4AK8zbiz5prFp0r9n7LTpChASaF+czHjO8Zzj8eZusoYdAaP2ruPNquYMnPS9doeOf//28OY9&#10;ZzEJ1wvjHXT8BJHfbV+/2oyhhRs/eNMDMiJxsR1Dx4eUQltVUQ5gRVz5AI42lUcrEoV4qHoUI7Fb&#10;U93U9dtq9NgH9BJipOz9vMm3hV8pkOmLUhESMx2n3lJZsaxPea22G9EeUIRBy3Mb4j+6sEI7OnSh&#10;uhdJsB+of6OyWqKPXqWV9LbySmkJRQOpaepf1DwOIkDRQubEsNgUX45Wfj7ukem+47cfOHPC0h09&#10;JhT6MCS2886Rgx4ZbZJTY4gtAXZuj+cohj1m2ZNCm78kiE3F3dPiLkyJyTkpKds0a7q44nx1BQaM&#10;6SN4y/JPx412WbhoxfFTTHQYlV5Kcto4NnZ8/a5Z16UseqP7B21M3izDAzuD7Cjo2tPU5OaJ4VkV&#10;RcZRMkuaRZS/dDIw838FRbZQ2818QB7IK6eQEly68BpH1RmmqIMFeO7sb8BzfYZCGdZ/AS+IcrJ3&#10;aQFb7Tz+qe2rFWquvzgw684WPPn+VK63WENTV5w7v5A81s/jAr++4+1PAAAA//8DAFBLAwQUAAYA&#10;CAAAACEAR2iGzNoAAAAKAQAADwAAAGRycy9kb3ducmV2LnhtbExPTUvDQBC9C/6HZQRvdtOGiInZ&#10;lCIU6UVoK3jdZMdkMTsbsts0/vtOvdTbezOP91GuZ9eLCcdgPSlYLhIQSI03lloFn8ft0wuIEDUZ&#10;3XtCBb8YYF3d35W6MP5Me5wOsRVsQqHQCroYh0LK0HTodFj4AYl/3350OjIdW2lGfWZz18tVkjxL&#10;py1xQqcHfOuw+TmcHIdkX807Brsz201WZ1Nu6+TDKvX4MG9eQUSc400M1/pcHSruVPsTmSB65mme&#10;spTBagniKvg71AzyNANZlfL/hOoCAAD//wMAUEsBAi0AFAAGAAgAAAAhALaDOJL+AAAA4QEAABMA&#10;AAAAAAAAAAAAAAAAAAAAAFtDb250ZW50X1R5cGVzXS54bWxQSwECLQAUAAYACAAAACEAOP0h/9YA&#10;AACUAQAACwAAAAAAAAAAAAAAAAAvAQAAX3JlbHMvLnJlbHNQSwECLQAUAAYACAAAACEAm01RWNkB&#10;AAAPBAAADgAAAAAAAAAAAAAAAAAuAgAAZHJzL2Uyb0RvYy54bWxQSwECLQAUAAYACAAAACEAR2iG&#10;zNoAAAAKAQAADwAAAAAAAAAAAAAAAAAzBAAAZHJzL2Rvd25yZXYueG1sUEsFBgAAAAAEAAQA8wAA&#10;ADoFA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30"/>
          <w:szCs w:val="130"/>
          <w:lang w:val="en-US"/>
        </w:rPr>
        <w:t>18</w:t>
      </w:r>
      <w:r w:rsidRPr="006810DB">
        <w:rPr>
          <w:b/>
          <w:szCs w:val="20"/>
          <w:lang w:val="en-US"/>
        </w:rPr>
        <w:t xml:space="preserve"> </w:t>
      </w:r>
      <w:r w:rsidRPr="006810DB">
        <w:rPr>
          <w:b/>
          <w:szCs w:val="20"/>
          <w:lang w:val="en-US"/>
        </w:rPr>
        <w:tab/>
      </w:r>
      <w:r w:rsidRPr="006810DB">
        <w:rPr>
          <w:b/>
          <w:color w:val="FFFFFF" w:themeColor="background1"/>
          <w:sz w:val="14"/>
          <w:szCs w:val="14"/>
          <w:lang w:val="en-US"/>
        </w:rPr>
        <w:t>PERBANDINGAN DENGAN TERAPI SUPORTIF STANDAR</w:t>
      </w:r>
      <w:bookmarkEnd w:id="439"/>
    </w:p>
    <w:p w14:paraId="31D4E03C" w14:textId="77777777" w:rsidR="00D0395B" w:rsidRPr="006810DB" w:rsidRDefault="00D0395B" w:rsidP="006810DB">
      <w:pPr>
        <w:spacing w:after="0" w:line="276" w:lineRule="auto"/>
        <w:jc w:val="both"/>
        <w:rPr>
          <w:rFonts w:ascii="Book Antiqua" w:hAnsi="Book Antiqua"/>
          <w:sz w:val="20"/>
          <w:szCs w:val="20"/>
          <w:lang w:val="en"/>
        </w:rPr>
      </w:pPr>
    </w:p>
    <w:p w14:paraId="17F2ABDE" w14:textId="77777777" w:rsidR="00D0395B" w:rsidRPr="006810DB" w:rsidRDefault="00D0395B" w:rsidP="006810DB">
      <w:pPr>
        <w:spacing w:after="0" w:line="276" w:lineRule="auto"/>
        <w:jc w:val="both"/>
        <w:rPr>
          <w:rFonts w:ascii="Book Antiqua" w:hAnsi="Book Antiqua"/>
          <w:sz w:val="20"/>
          <w:szCs w:val="20"/>
          <w:lang w:val="en"/>
        </w:rPr>
      </w:pPr>
    </w:p>
    <w:p w14:paraId="3A7E4198" w14:textId="483EB42F" w:rsidR="00B258B7" w:rsidRPr="006810DB" w:rsidRDefault="009B5356" w:rsidP="00B9360C">
      <w:pPr>
        <w:pStyle w:val="Heading2"/>
        <w:numPr>
          <w:ilvl w:val="0"/>
          <w:numId w:val="33"/>
        </w:numPr>
        <w:ind w:left="284" w:hanging="284"/>
      </w:pPr>
      <w:bookmarkStart w:id="440" w:name="_ncawnwafdvwz" w:colFirst="0" w:colLast="0"/>
      <w:bookmarkStart w:id="441" w:name="_Toc223088996"/>
      <w:bookmarkEnd w:id="440"/>
      <w:r w:rsidRPr="006810DB">
        <w:t>Pendahuluan</w:t>
      </w:r>
      <w:bookmarkEnd w:id="441"/>
    </w:p>
    <w:p w14:paraId="18A7313F"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Dalam lanskap onkologi suportif saat ini, manajemen mukositis oral tetap menjadi tantangan klinis yang kompleks dan sering kali frustasi bagi para praktisi kesehatan. Meskipun kemajuan pesat telah dicapai dalam pengembangan agen kemoterapi yang lebih efektif, strategi untuk menanggulangi kerusakan kolateral pada jaringan mukosa belum berkembang dengan kecepatan yang sama. Standar perawatan (</w:t>
      </w:r>
      <w:r w:rsidRPr="006810DB">
        <w:rPr>
          <w:rFonts w:ascii="Book Antiqua" w:hAnsi="Book Antiqua"/>
          <w:i/>
          <w:iCs/>
          <w:sz w:val="20"/>
          <w:szCs w:val="20"/>
          <w:lang w:val="en"/>
        </w:rPr>
        <w:t>Standard of Care</w:t>
      </w:r>
      <w:r w:rsidRPr="006810DB">
        <w:rPr>
          <w:rFonts w:ascii="Book Antiqua" w:hAnsi="Book Antiqua"/>
          <w:sz w:val="20"/>
          <w:szCs w:val="20"/>
          <w:lang w:val="en"/>
        </w:rPr>
        <w:t>/SOC) yang ada saat ini sebagian besar bersifat paliatif, berfokus pada pengurangan gejala nyeri dan pencegahan infeksi sekunder, daripada menargetkan mekanisme patofisiologis yang mendasari penyakit itu sendiri. Kesenjangan terapeutik ini menciptakan kebutuhan mendesak akan agen baru yang tidak hanya efektif dan aman, tetapi juga menargetkan akar penyebab kerusakan jaringan pada tingkat molekuler.</w:t>
      </w:r>
    </w:p>
    <w:p w14:paraId="61190D3C"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Terapi suportif standar untuk mukositis oral mencakup spektrum yang luas, mulai dari intervensi dasar seperti kebersihan mulut yang ketat dan penggunaan larutan kumur saline, hingga intervensi farmakologis canggih seperti faktor pertumbuhan keratinosit rekombinan (</w:t>
      </w:r>
      <w:r w:rsidRPr="006810DB">
        <w:rPr>
          <w:rFonts w:ascii="Book Antiqua" w:hAnsi="Book Antiqua"/>
          <w:i/>
          <w:iCs/>
          <w:sz w:val="20"/>
          <w:szCs w:val="20"/>
          <w:lang w:val="en"/>
        </w:rPr>
        <w:t>palifermin</w:t>
      </w:r>
      <w:r w:rsidRPr="006810DB">
        <w:rPr>
          <w:rFonts w:ascii="Book Antiqua" w:hAnsi="Book Antiqua"/>
          <w:sz w:val="20"/>
          <w:szCs w:val="20"/>
          <w:lang w:val="en"/>
        </w:rPr>
        <w:t xml:space="preserve">). Namun, setiap modalitas ini memiliki keterbatasan yang signifikan. Agen antiseptik seperti </w:t>
      </w:r>
      <w:r w:rsidRPr="006810DB">
        <w:rPr>
          <w:rFonts w:ascii="Book Antiqua" w:hAnsi="Book Antiqua"/>
          <w:i/>
          <w:iCs/>
          <w:sz w:val="20"/>
          <w:szCs w:val="20"/>
          <w:lang w:val="en"/>
        </w:rPr>
        <w:t>chlorhexidine</w:t>
      </w:r>
      <w:r w:rsidRPr="006810DB">
        <w:rPr>
          <w:rFonts w:ascii="Book Antiqua" w:hAnsi="Book Antiqua"/>
          <w:sz w:val="20"/>
          <w:szCs w:val="20"/>
          <w:lang w:val="en"/>
        </w:rPr>
        <w:t xml:space="preserve">, misalnya, meskipun efektif membunuh bakteri, dapat menghambat migrasi fibroblas yang diperlukan untuk penyembuhan luka. Di sisi lain, agen biologis seperti palifermin memiliki biaya yang sangat tinggi dan profil </w:t>
      </w:r>
      <w:r w:rsidRPr="006810DB">
        <w:rPr>
          <w:rFonts w:ascii="Book Antiqua" w:hAnsi="Book Antiqua"/>
          <w:sz w:val="20"/>
          <w:szCs w:val="20"/>
          <w:lang w:val="en"/>
        </w:rPr>
        <w:lastRenderedPageBreak/>
        <w:t>efek samping yang spesifik, membatasi penggunaannya hanya pada populasi pasien tertentu yang sangat sempit.</w:t>
      </w:r>
    </w:p>
    <w:p w14:paraId="191D9E5A"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Di tengah keterbatasan terapi konvensional inilah,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muncul sebagai kandidat yang menarik untuk dibandingkan. Berbeda dengan pendekatan "satu obat, satu target" yang mendominasi farmakologi Barat,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menawarkan pendekatan pleiotropik atau multi-target. Seperti yang telah dibahas pada bab-bab sebelumnya, senyawa bioaktif dalam jintan hitam, terutama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bekerja secara simultan sebagai antioksidan, anti-inflamasi, dan imunomodulator. Pertanyaan kritis yang muncul adalah: bagaimana efikasi agen herbal ini jika disandingkan </w:t>
      </w:r>
      <w:r w:rsidRPr="006810DB">
        <w:rPr>
          <w:rFonts w:ascii="Book Antiqua" w:hAnsi="Book Antiqua"/>
          <w:i/>
          <w:iCs/>
          <w:sz w:val="20"/>
          <w:szCs w:val="20"/>
          <w:lang w:val="en"/>
        </w:rPr>
        <w:t>head-to-head</w:t>
      </w:r>
      <w:r w:rsidRPr="006810DB">
        <w:rPr>
          <w:rFonts w:ascii="Book Antiqua" w:hAnsi="Book Antiqua"/>
          <w:sz w:val="20"/>
          <w:szCs w:val="20"/>
          <w:lang w:val="en"/>
        </w:rPr>
        <w:t xml:space="preserve"> dengan terapi standar yang sudah mapan?</w:t>
      </w:r>
    </w:p>
    <w:p w14:paraId="20509739"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Bab ini bertujuan untuk melakukan analisis komparatif yang kritis dan objektif antara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dan terapi suportif standar. Evaluasi ini tidak hanya didasarkan pada efikasi biologis, seperti kemampuan mengurangi skor ulserasi atau menekan sitokin, tetapi juga mencakup dimensi lain yang sama pentingnya dalam pengambilan keputusan klinis, yaitu profil keamanan dan farmakoekonomi. Keamanan jangka panjang adalah pertimbangan utama, mengingat pasien kanker sering kali harus menjalani pengobatan suportif dalam durasi yang lama.</w:t>
      </w:r>
    </w:p>
    <w:p w14:paraId="4EC625D8"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Selain itu, aspek biaya-efektivitas (</w:t>
      </w:r>
      <w:r w:rsidRPr="006810DB">
        <w:rPr>
          <w:rFonts w:ascii="Book Antiqua" w:hAnsi="Book Antiqua"/>
          <w:i/>
          <w:iCs/>
          <w:sz w:val="20"/>
          <w:szCs w:val="20"/>
          <w:lang w:val="en"/>
        </w:rPr>
        <w:t>cost-effectiveness</w:t>
      </w:r>
      <w:r w:rsidRPr="006810DB">
        <w:rPr>
          <w:rFonts w:ascii="Book Antiqua" w:hAnsi="Book Antiqua"/>
          <w:sz w:val="20"/>
          <w:szCs w:val="20"/>
          <w:lang w:val="en"/>
        </w:rPr>
        <w:t xml:space="preserve">) menjadi sangat relevan, terutama di negara-negara berkembang di mana akses terhadap obat-obatan biologis mahal sangat terbatas. </w:t>
      </w:r>
      <w:r w:rsidRPr="006810DB">
        <w:rPr>
          <w:rFonts w:ascii="Book Antiqua" w:hAnsi="Book Antiqua"/>
          <w:i/>
          <w:iCs/>
          <w:sz w:val="20"/>
          <w:szCs w:val="20"/>
          <w:lang w:val="en"/>
        </w:rPr>
        <w:t>Nigella sativa</w:t>
      </w:r>
      <w:r w:rsidRPr="006810DB">
        <w:rPr>
          <w:rFonts w:ascii="Book Antiqua" w:hAnsi="Book Antiqua"/>
          <w:sz w:val="20"/>
          <w:szCs w:val="20"/>
          <w:lang w:val="en"/>
        </w:rPr>
        <w:t>, sebagai tanaman yang tumbuh subur di banyak wilayah Asia dan Afrika serta memiliki biaya produksi yang relatif rendah, menawarkan potensi solusi yang lebih demokratis dan mudah diakses. Bab ini akan menguraikan argumen bahwa herbal ini mungkin tidak hanya menjadi alternatif, tetapi bahkan lebih unggul dalam aspek-aspek tertentu dibandingkan standar perawatan saat ini.</w:t>
      </w:r>
    </w:p>
    <w:p w14:paraId="22A6BBE4"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Namun, pembahasan ini tidak dimaksudkan untuk membenturkan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melawan kedokteran modern dalam dikotomi "herbal vs kimia". Sebaliknya, perspektif yang </w:t>
      </w:r>
      <w:r w:rsidRPr="006810DB">
        <w:rPr>
          <w:rFonts w:ascii="Book Antiqua" w:hAnsi="Book Antiqua"/>
          <w:sz w:val="20"/>
          <w:szCs w:val="20"/>
          <w:lang w:val="en"/>
        </w:rPr>
        <w:lastRenderedPageBreak/>
        <w:t xml:space="preserve">diambil adalah integrasi. Bab ini akan mengeksplorasi potensi sinergi dalam terapi kombinasi, di mana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digunakan bersamaan dengan agen standar untuk meningkatkan hasil klinis. Konsep "penghematan obat" (</w:t>
      </w:r>
      <w:r w:rsidRPr="006810DB">
        <w:rPr>
          <w:rFonts w:ascii="Book Antiqua" w:hAnsi="Book Antiqua"/>
          <w:i/>
          <w:iCs/>
          <w:sz w:val="20"/>
          <w:szCs w:val="20"/>
          <w:lang w:val="en"/>
        </w:rPr>
        <w:t>drug-sparing effect</w:t>
      </w:r>
      <w:r w:rsidRPr="006810DB">
        <w:rPr>
          <w:rFonts w:ascii="Book Antiqua" w:hAnsi="Book Antiqua"/>
          <w:sz w:val="20"/>
          <w:szCs w:val="20"/>
          <w:lang w:val="en"/>
        </w:rPr>
        <w:t>), di mana penambahan herbal memungkinkan pengurangan dosis obat sintetik toksik, akan menjadi sorotan penting.</w:t>
      </w:r>
    </w:p>
    <w:p w14:paraId="7182ED4C"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Analisis komparatif ini merupakan langkah validasi eksternal yang penting. Membuktikan mekanisme molekuler di laboratorium adalah satu hal, namun menempatkan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dalam konteks standar klinis yang ada adalah langkah yang diperlukan untuk meyakinkan komunitas medis agar mempertimbangkannya sebagai bagian dari armamentarium terapi kanker yang holistik.</w:t>
      </w:r>
    </w:p>
    <w:p w14:paraId="46D663C9" w14:textId="3C287354"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Pada akhirnya, bab ini akan memberikan wawasan tentang bagaimana mengintegrasikan kearifan pengobatan tradisional yang telah terstandardisasi ke dalam protokol onkologi modern yang berbasis bukti, demi tercapainya kualitas hidup pasien yang lebih baik.</w:t>
      </w:r>
    </w:p>
    <w:p w14:paraId="76DD42F7" w14:textId="77777777" w:rsidR="00D0395B" w:rsidRPr="006810DB" w:rsidRDefault="00D0395B" w:rsidP="006810DB">
      <w:pPr>
        <w:spacing w:after="0" w:line="276" w:lineRule="auto"/>
        <w:jc w:val="both"/>
        <w:rPr>
          <w:rFonts w:ascii="Book Antiqua" w:hAnsi="Book Antiqua"/>
          <w:sz w:val="20"/>
          <w:szCs w:val="20"/>
          <w:lang w:val="en"/>
        </w:rPr>
      </w:pPr>
    </w:p>
    <w:p w14:paraId="29BEF481" w14:textId="412FF46A" w:rsidR="00B258B7" w:rsidRPr="006810DB" w:rsidRDefault="00B258B7" w:rsidP="006810DB">
      <w:pPr>
        <w:pStyle w:val="Heading2"/>
        <w:numPr>
          <w:ilvl w:val="0"/>
          <w:numId w:val="33"/>
        </w:numPr>
        <w:ind w:left="284" w:hanging="284"/>
      </w:pPr>
      <w:bookmarkStart w:id="442" w:name="_ny2uspirlm9c" w:colFirst="0" w:colLast="0"/>
      <w:bookmarkStart w:id="443" w:name="_Toc223088997"/>
      <w:bookmarkEnd w:id="442"/>
      <w:r w:rsidRPr="006810DB">
        <w:t>Penggunaan Agen Topikal dan Sistemik Saat Ini</w:t>
      </w:r>
      <w:bookmarkEnd w:id="443"/>
    </w:p>
    <w:p w14:paraId="1DB6D494"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Protokol manajemen mukositis oral saat ini sangat bervariasi antar institusi, namun umumnya mengikuti pedoman yang ditetapkan oleh organisasi seperti </w:t>
      </w:r>
      <w:r w:rsidRPr="006810DB">
        <w:rPr>
          <w:rFonts w:ascii="Book Antiqua" w:hAnsi="Book Antiqua"/>
          <w:i/>
          <w:iCs/>
          <w:sz w:val="20"/>
          <w:szCs w:val="20"/>
          <w:lang w:val="en"/>
        </w:rPr>
        <w:t>Multinational Association of Supportive Care in Cancer</w:t>
      </w:r>
      <w:r w:rsidRPr="006810DB">
        <w:rPr>
          <w:rFonts w:ascii="Book Antiqua" w:hAnsi="Book Antiqua"/>
          <w:sz w:val="20"/>
          <w:szCs w:val="20"/>
          <w:lang w:val="en"/>
        </w:rPr>
        <w:t xml:space="preserve"> (MASCC) dan </w:t>
      </w:r>
      <w:r w:rsidRPr="006810DB">
        <w:rPr>
          <w:rFonts w:ascii="Book Antiqua" w:hAnsi="Book Antiqua"/>
          <w:i/>
          <w:iCs/>
          <w:sz w:val="20"/>
          <w:szCs w:val="20"/>
          <w:lang w:val="en"/>
        </w:rPr>
        <w:t>International Society of Oral Oncology</w:t>
      </w:r>
      <w:r w:rsidRPr="006810DB">
        <w:rPr>
          <w:rFonts w:ascii="Book Antiqua" w:hAnsi="Book Antiqua"/>
          <w:sz w:val="20"/>
          <w:szCs w:val="20"/>
          <w:lang w:val="en"/>
        </w:rPr>
        <w:t xml:space="preserve"> (ISOO). Pedoman ini merekomendasikan intervensi bertingkat berdasarkan tingkat keparahan penyakit dan jenis terapi kanker yang diterima pasien. Tiga pilar utama dalam terapi farmakologis saat ini adalah penggunaan agen anti-inflamasi lokal, faktor pertumbuhan biologis, dan antiseptik topikal. Meskipun memberikan manfaat, masing-masing pendekatan ini memiliki "tumit Achilles" atau kelemahan yang membuka peluang bagi masuknya terapi alternatif seperti </w:t>
      </w:r>
      <w:r w:rsidRPr="006810DB">
        <w:rPr>
          <w:rFonts w:ascii="Book Antiqua" w:hAnsi="Book Antiqua"/>
          <w:i/>
          <w:iCs/>
          <w:sz w:val="20"/>
          <w:szCs w:val="20"/>
          <w:lang w:val="en"/>
        </w:rPr>
        <w:t>Nigella sativa</w:t>
      </w:r>
      <w:r w:rsidRPr="006810DB">
        <w:rPr>
          <w:rFonts w:ascii="Book Antiqua" w:hAnsi="Book Antiqua"/>
          <w:sz w:val="20"/>
          <w:szCs w:val="20"/>
          <w:lang w:val="en"/>
        </w:rPr>
        <w:t>.</w:t>
      </w:r>
    </w:p>
    <w:p w14:paraId="0A05F1D5"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Membandingkan terapi standar mukositis dengan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ibarat membandingkan kotak peralatan tukang. Agen antiseptik (</w:t>
      </w:r>
      <w:r w:rsidRPr="006810DB">
        <w:rPr>
          <w:rFonts w:ascii="Book Antiqua" w:hAnsi="Book Antiqua"/>
          <w:i/>
          <w:iCs/>
          <w:sz w:val="20"/>
          <w:szCs w:val="20"/>
          <w:lang w:val="en"/>
        </w:rPr>
        <w:t>chlorhexidine</w:t>
      </w:r>
      <w:r w:rsidRPr="006810DB">
        <w:rPr>
          <w:rFonts w:ascii="Book Antiqua" w:hAnsi="Book Antiqua"/>
          <w:sz w:val="20"/>
          <w:szCs w:val="20"/>
          <w:lang w:val="en"/>
        </w:rPr>
        <w:t xml:space="preserve">) adalah seperti </w:t>
      </w:r>
      <w:r w:rsidRPr="006810DB">
        <w:rPr>
          <w:rFonts w:ascii="Book Antiqua" w:hAnsi="Book Antiqua"/>
          <w:sz w:val="20"/>
          <w:szCs w:val="20"/>
          <w:lang w:val="en"/>
        </w:rPr>
        <w:lastRenderedPageBreak/>
        <w:t xml:space="preserve">sabun pembersih; penting untuk mencegah infeksi tapi tidak memperbaiki kerusakan. </w:t>
      </w:r>
      <w:r w:rsidRPr="006810DB">
        <w:rPr>
          <w:rFonts w:ascii="Book Antiqua" w:hAnsi="Book Antiqua"/>
          <w:i/>
          <w:iCs/>
          <w:sz w:val="20"/>
          <w:szCs w:val="20"/>
          <w:lang w:val="en"/>
        </w:rPr>
        <w:t>Benzydamine</w:t>
      </w:r>
      <w:r w:rsidRPr="006810DB">
        <w:rPr>
          <w:rFonts w:ascii="Book Antiqua" w:hAnsi="Book Antiqua"/>
          <w:sz w:val="20"/>
          <w:szCs w:val="20"/>
          <w:lang w:val="en"/>
        </w:rPr>
        <w:t xml:space="preserve"> adalah seperti semprotan pereda nyeri; membuat Anda merasa lebih baik sementara waktu, tapi tidak membangun kembali dinding yang runtuh. </w:t>
      </w:r>
      <w:r w:rsidRPr="006810DB">
        <w:rPr>
          <w:rFonts w:ascii="Book Antiqua" w:hAnsi="Book Antiqua"/>
          <w:i/>
          <w:iCs/>
          <w:sz w:val="20"/>
          <w:szCs w:val="20"/>
          <w:lang w:val="en"/>
        </w:rPr>
        <w:t>Palifermin</w:t>
      </w:r>
      <w:r w:rsidRPr="006810DB">
        <w:rPr>
          <w:rFonts w:ascii="Book Antiqua" w:hAnsi="Book Antiqua"/>
          <w:sz w:val="20"/>
          <w:szCs w:val="20"/>
          <w:lang w:val="en"/>
        </w:rPr>
        <w:t xml:space="preserve"> adalah tim konstruksi elit dengan peralatan laser; sangat efektif membangun kembali dinding, tetapi biayanya setara dengan harga seluruh rumah dan hanya bisa disewa untuk proyek khusus.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adalah seperti "pisau tentara Swiss" yang multifungsi: ia memiliki obeng untuk memperbaiki kerusakan, pisau untuk membuang bagian busuk, dan sekaligus memberikan lapisan pelindung anti-karat, semuanya dalam satu alat yang terjangkau dan mudah dibawa.</w:t>
      </w:r>
    </w:p>
    <w:p w14:paraId="211B3779" w14:textId="247F7C18" w:rsidR="00B258B7" w:rsidRPr="006810DB" w:rsidRDefault="00B258B7" w:rsidP="006810DB">
      <w:pPr>
        <w:pStyle w:val="ListParagraph"/>
        <w:numPr>
          <w:ilvl w:val="0"/>
          <w:numId w:val="88"/>
        </w:numPr>
        <w:spacing w:after="0" w:line="276" w:lineRule="auto"/>
        <w:ind w:left="567" w:hanging="283"/>
        <w:contextualSpacing w:val="0"/>
        <w:jc w:val="both"/>
        <w:rPr>
          <w:rFonts w:ascii="Book Antiqua" w:hAnsi="Book Antiqua"/>
          <w:b/>
          <w:bCs/>
          <w:sz w:val="20"/>
          <w:szCs w:val="20"/>
          <w:lang w:val="en"/>
        </w:rPr>
      </w:pPr>
      <w:bookmarkStart w:id="444" w:name="_o0xbmten345g" w:colFirst="0" w:colLast="0"/>
      <w:bookmarkEnd w:id="444"/>
      <w:r w:rsidRPr="006810DB">
        <w:rPr>
          <w:rFonts w:ascii="Book Antiqua" w:hAnsi="Book Antiqua"/>
          <w:b/>
          <w:bCs/>
          <w:sz w:val="20"/>
          <w:szCs w:val="20"/>
          <w:lang w:val="en"/>
        </w:rPr>
        <w:t xml:space="preserve">Efektivitas </w:t>
      </w:r>
      <w:r w:rsidRPr="006810DB">
        <w:rPr>
          <w:rFonts w:ascii="Book Antiqua" w:hAnsi="Book Antiqua"/>
          <w:b/>
          <w:bCs/>
          <w:i/>
          <w:iCs/>
          <w:sz w:val="20"/>
          <w:szCs w:val="20"/>
          <w:lang w:val="en"/>
        </w:rPr>
        <w:t>Benzydamine Hydrochloride</w:t>
      </w:r>
    </w:p>
    <w:p w14:paraId="66B10E73" w14:textId="08A4F47F"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i/>
          <w:iCs/>
          <w:sz w:val="20"/>
          <w:szCs w:val="20"/>
          <w:lang w:val="en"/>
        </w:rPr>
        <w:t>Benzydamine hydrochloride</w:t>
      </w:r>
      <w:r w:rsidRPr="006810DB">
        <w:rPr>
          <w:rFonts w:ascii="Book Antiqua" w:hAnsi="Book Antiqua"/>
          <w:sz w:val="20"/>
          <w:szCs w:val="20"/>
          <w:lang w:val="en"/>
        </w:rPr>
        <w:t xml:space="preserve"> adalah obat anti-inflamasi non-steroid (NSAID) yang sering diresepkan dalam bentuk obat kumur untuk mencegah atau mengobati mukositis, terutama pada pasien kanker kepala dan leher yang menjalani radioterapi. Mekanisme kerjanya melibatkan penghambatan produksi sitokin pro-inflamasi seperti </w:t>
      </w:r>
      <w:r w:rsidRPr="006810DB">
        <w:rPr>
          <w:rFonts w:ascii="Book Antiqua" w:hAnsi="Book Antiqua"/>
          <w:sz w:val="20"/>
          <w:szCs w:val="20"/>
          <w:highlight w:val="yellow"/>
          <w:lang w:val="en"/>
        </w:rPr>
        <w:t>TNF-α\alphaα</w:t>
      </w:r>
      <w:r w:rsidR="00AD1372"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dan IL-1</w:t>
      </w:r>
      <w:r w:rsidR="00B627C0"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β\betaβ</w:t>
      </w:r>
      <w:r w:rsidRPr="006810DB">
        <w:rPr>
          <w:rFonts w:ascii="Book Antiqua" w:hAnsi="Book Antiqua"/>
          <w:sz w:val="20"/>
          <w:szCs w:val="20"/>
          <w:lang w:val="en"/>
        </w:rPr>
        <w:t>, serta menstabilkan membran sel. Secara klinis, benzydamine memberikan efek anestesi lokal ringan yang membantu mengurangi rasa sakit saat makan dan menelan (Lalla et al., 2014).</w:t>
      </w:r>
    </w:p>
    <w:p w14:paraId="318443D2"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Namun, efektivitas benzydamine pada mukositis yang diinduksi oleh kemoterapi dosis tinggi, seperti cisplatin, kurang konsisten dibandingkan pada radiomukositis. Selain itu, penggunaan jangka panjang dapat menyebabkan efek samping lokal seperti rasa baal atau terbakar di mulut, yang ironisnya dapat memperburuk ketidaknyamanan pasien. Keterbatasan spektrum efikasi ini menunjukkan bahwa benzydamine mungkin tidak cukup kuat untuk menanggulangi kerusakan jaringan masif akibat kemoterapi sistemik tanpa bantuan modalitas lain.</w:t>
      </w:r>
    </w:p>
    <w:p w14:paraId="1B9A47EE" w14:textId="77777777" w:rsidR="00A95863" w:rsidRDefault="00A95863">
      <w:pPr>
        <w:rPr>
          <w:rFonts w:ascii="Book Antiqua" w:hAnsi="Book Antiqua"/>
          <w:b/>
          <w:bCs/>
          <w:sz w:val="20"/>
          <w:szCs w:val="20"/>
          <w:lang w:val="en"/>
        </w:rPr>
      </w:pPr>
      <w:bookmarkStart w:id="445" w:name="_v3oem44g5wt9" w:colFirst="0" w:colLast="0"/>
      <w:bookmarkEnd w:id="445"/>
      <w:r>
        <w:rPr>
          <w:rFonts w:ascii="Book Antiqua" w:hAnsi="Book Antiqua"/>
          <w:b/>
          <w:bCs/>
          <w:sz w:val="20"/>
          <w:szCs w:val="20"/>
          <w:lang w:val="en"/>
        </w:rPr>
        <w:br w:type="page"/>
      </w:r>
    </w:p>
    <w:p w14:paraId="3A2A944C" w14:textId="2881EE28" w:rsidR="00B258B7" w:rsidRPr="006810DB" w:rsidRDefault="00B258B7" w:rsidP="006810DB">
      <w:pPr>
        <w:pStyle w:val="ListParagraph"/>
        <w:numPr>
          <w:ilvl w:val="0"/>
          <w:numId w:val="88"/>
        </w:numPr>
        <w:spacing w:after="0" w:line="276" w:lineRule="auto"/>
        <w:ind w:left="567" w:hanging="283"/>
        <w:contextualSpacing w:val="0"/>
        <w:jc w:val="both"/>
        <w:rPr>
          <w:rFonts w:ascii="Book Antiqua" w:hAnsi="Book Antiqua"/>
          <w:b/>
          <w:bCs/>
          <w:sz w:val="20"/>
          <w:szCs w:val="20"/>
          <w:lang w:val="en"/>
        </w:rPr>
      </w:pPr>
      <w:r w:rsidRPr="006810DB">
        <w:rPr>
          <w:rFonts w:ascii="Book Antiqua" w:hAnsi="Book Antiqua"/>
          <w:b/>
          <w:bCs/>
          <w:sz w:val="20"/>
          <w:szCs w:val="20"/>
          <w:lang w:val="en"/>
        </w:rPr>
        <w:lastRenderedPageBreak/>
        <w:t xml:space="preserve">Peran </w:t>
      </w:r>
      <w:r w:rsidRPr="006810DB">
        <w:rPr>
          <w:rFonts w:ascii="Book Antiqua" w:hAnsi="Book Antiqua"/>
          <w:b/>
          <w:bCs/>
          <w:i/>
          <w:iCs/>
          <w:sz w:val="20"/>
          <w:szCs w:val="20"/>
          <w:lang w:val="en"/>
        </w:rPr>
        <w:t>Palifermin</w:t>
      </w:r>
      <w:r w:rsidRPr="006810DB">
        <w:rPr>
          <w:rFonts w:ascii="Book Antiqua" w:hAnsi="Book Antiqua"/>
          <w:b/>
          <w:bCs/>
          <w:sz w:val="20"/>
          <w:szCs w:val="20"/>
          <w:lang w:val="en"/>
        </w:rPr>
        <w:t xml:space="preserve"> dalam Stimulasi Epitel</w:t>
      </w:r>
    </w:p>
    <w:p w14:paraId="0E880C9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i/>
          <w:iCs/>
          <w:sz w:val="20"/>
          <w:szCs w:val="20"/>
          <w:lang w:val="en"/>
        </w:rPr>
        <w:t>Palifermin</w:t>
      </w:r>
      <w:r w:rsidRPr="006810DB">
        <w:rPr>
          <w:rFonts w:ascii="Book Antiqua" w:hAnsi="Book Antiqua"/>
          <w:sz w:val="20"/>
          <w:szCs w:val="20"/>
          <w:lang w:val="en"/>
        </w:rPr>
        <w:t xml:space="preserve"> adalah bentuk rekombinan dari </w:t>
      </w:r>
      <w:r w:rsidRPr="006810DB">
        <w:rPr>
          <w:rFonts w:ascii="Book Antiqua" w:hAnsi="Book Antiqua"/>
          <w:i/>
          <w:iCs/>
          <w:sz w:val="20"/>
          <w:szCs w:val="20"/>
          <w:lang w:val="en"/>
        </w:rPr>
        <w:t>Keratinocyte Growth Factor</w:t>
      </w:r>
      <w:r w:rsidRPr="006810DB">
        <w:rPr>
          <w:rFonts w:ascii="Book Antiqua" w:hAnsi="Book Antiqua"/>
          <w:sz w:val="20"/>
          <w:szCs w:val="20"/>
          <w:lang w:val="en"/>
        </w:rPr>
        <w:t xml:space="preserve"> (KGF) manusia. Ini adalah agen biologis pertama yang disetujui FDA secara spesifik untuk mencegah mukositis oral parah pada pasien keganasan hematologi yang menjalani transplantasi sel punca. Palifermin bekerja dengan merangsang proliferasi, diferensiasi, dan migrasi sel-sel epitel mukosa, sehingga mempertebal lapisan mukosa sebelum kemoterapi dimulai dan mempercepat penyembuhan jika kerusakan terjadi (Sonis, 2010).</w:t>
      </w:r>
    </w:p>
    <w:p w14:paraId="1458B72F"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Meskipun sangat efektif, palifermin memiliki keterbatasan besar: spesifisitas indikasi dan biaya. Saat ini, pedoman MASCC/ISOO hanya merekomendasikannya untuk populasi pasien transplantasi tertentu, bukan untuk pasien tumor solid yang menerima kemoterapi standar seperti cisplatin. Selain itu, biaya satu siklus terapi palifermin dapat mencapai ribuan dolar, membuatnya tidak terjangkau bagi sebagian besar pasien di negara berkembang. Ada juga kekhawatiran teoretis tentang potensi stimulasi pertumbuhan sel kanker yang mengekspresikan reseptor KGF, meskipun belum terbukti secara klinis (Elad et al., 2020).</w:t>
      </w:r>
    </w:p>
    <w:p w14:paraId="2A7838E1" w14:textId="3516AA7C" w:rsidR="00B258B7" w:rsidRPr="006810DB" w:rsidRDefault="00B258B7" w:rsidP="006810DB">
      <w:pPr>
        <w:pStyle w:val="ListParagraph"/>
        <w:numPr>
          <w:ilvl w:val="0"/>
          <w:numId w:val="88"/>
        </w:numPr>
        <w:spacing w:after="0" w:line="276" w:lineRule="auto"/>
        <w:ind w:left="567" w:hanging="283"/>
        <w:contextualSpacing w:val="0"/>
        <w:jc w:val="both"/>
        <w:rPr>
          <w:rFonts w:ascii="Book Antiqua" w:hAnsi="Book Antiqua"/>
          <w:b/>
          <w:bCs/>
          <w:sz w:val="20"/>
          <w:szCs w:val="20"/>
          <w:lang w:val="en"/>
        </w:rPr>
      </w:pPr>
      <w:bookmarkStart w:id="446" w:name="_qkrwzy8jyyiw" w:colFirst="0" w:colLast="0"/>
      <w:bookmarkEnd w:id="446"/>
      <w:r w:rsidRPr="006810DB">
        <w:rPr>
          <w:rFonts w:ascii="Book Antiqua" w:hAnsi="Book Antiqua"/>
          <w:b/>
          <w:bCs/>
          <w:sz w:val="20"/>
          <w:szCs w:val="20"/>
          <w:lang w:val="en"/>
        </w:rPr>
        <w:t>Penggunaan Larutan Kumur Antiseptik</w:t>
      </w:r>
    </w:p>
    <w:p w14:paraId="612AC90F"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Larutan kumur antiseptik, seperti </w:t>
      </w:r>
      <w:r w:rsidRPr="006810DB">
        <w:rPr>
          <w:rFonts w:ascii="Book Antiqua" w:hAnsi="Book Antiqua"/>
          <w:i/>
          <w:iCs/>
          <w:sz w:val="20"/>
          <w:szCs w:val="20"/>
          <w:lang w:val="en"/>
        </w:rPr>
        <w:t>chlorhexidine digluconate</w:t>
      </w:r>
      <w:r w:rsidRPr="006810DB">
        <w:rPr>
          <w:rFonts w:ascii="Book Antiqua" w:hAnsi="Book Antiqua"/>
          <w:sz w:val="20"/>
          <w:szCs w:val="20"/>
          <w:lang w:val="en"/>
        </w:rPr>
        <w:t>, povidone-iodine, atau larutan saline sederhana, merupakan standar perawatan dasar di banyak rumah sakit. Tujuan utamanya adalah untuk mengurangi beban mikroba di rongga mulut, mencegah infeksi sekunder pada ulkus yang terbuka. Infeksi sekunder diketahui memperburuk peradangan dan memperlambat penyembuhan (Khan et al., 2021).</w:t>
      </w:r>
    </w:p>
    <w:p w14:paraId="41701C91" w14:textId="65BD4600"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Namun, penggunaan </w:t>
      </w:r>
      <w:r w:rsidRPr="006810DB">
        <w:rPr>
          <w:rFonts w:ascii="Book Antiqua" w:hAnsi="Book Antiqua"/>
          <w:i/>
          <w:iCs/>
          <w:sz w:val="20"/>
          <w:szCs w:val="20"/>
          <w:lang w:val="en"/>
        </w:rPr>
        <w:t>chlorhexidine</w:t>
      </w:r>
      <w:r w:rsidRPr="006810DB">
        <w:rPr>
          <w:rFonts w:ascii="Book Antiqua" w:hAnsi="Book Antiqua"/>
          <w:sz w:val="20"/>
          <w:szCs w:val="20"/>
          <w:lang w:val="en"/>
        </w:rPr>
        <w:t xml:space="preserve"> masih kontroversial dalam pencegahan mukositis. Beberapa studi menunjukkan bahwa </w:t>
      </w:r>
      <w:r w:rsidRPr="006810DB">
        <w:rPr>
          <w:rFonts w:ascii="Book Antiqua" w:hAnsi="Book Antiqua"/>
          <w:i/>
          <w:iCs/>
          <w:sz w:val="20"/>
          <w:szCs w:val="20"/>
          <w:lang w:val="en"/>
        </w:rPr>
        <w:t>chlorhexidine</w:t>
      </w:r>
      <w:r w:rsidRPr="006810DB">
        <w:rPr>
          <w:rFonts w:ascii="Book Antiqua" w:hAnsi="Book Antiqua"/>
          <w:sz w:val="20"/>
          <w:szCs w:val="20"/>
          <w:lang w:val="en"/>
        </w:rPr>
        <w:t xml:space="preserve"> dapat bersifat sitotoksik terhadap fibroblas dan keratinosit yang sedang beregenerasi, serta dapat mengganggu persepsi rasa dan menyebabkan </w:t>
      </w:r>
      <w:r w:rsidRPr="006810DB">
        <w:rPr>
          <w:rFonts w:ascii="Book Antiqua" w:hAnsi="Book Antiqua"/>
          <w:sz w:val="20"/>
          <w:szCs w:val="20"/>
          <w:lang w:val="en"/>
        </w:rPr>
        <w:lastRenderedPageBreak/>
        <w:t xml:space="preserve">pewarnaan gigi. Pedoman terbaru bahkan menyarankan untuk tidak menggunakan </w:t>
      </w:r>
      <w:r w:rsidRPr="006810DB">
        <w:rPr>
          <w:rFonts w:ascii="Book Antiqua" w:hAnsi="Book Antiqua"/>
          <w:i/>
          <w:iCs/>
          <w:sz w:val="20"/>
          <w:szCs w:val="20"/>
          <w:lang w:val="en"/>
        </w:rPr>
        <w:t>chlorhexidine</w:t>
      </w:r>
      <w:r w:rsidRPr="006810DB">
        <w:rPr>
          <w:rFonts w:ascii="Book Antiqua" w:hAnsi="Book Antiqua"/>
          <w:sz w:val="20"/>
          <w:szCs w:val="20"/>
          <w:lang w:val="en"/>
        </w:rPr>
        <w:t xml:space="preserve"> untuk pencegahan mukositis akibat radiasi. Larutan saline dan soda kue aman dan menenangkan, tetapi tidak memiliki aktivitas biologis aktif untuk melawan mekanisme patofisiologis mukositis; mereka hanya membersihkan debris (Lalla et al., 2014).</w:t>
      </w:r>
    </w:p>
    <w:p w14:paraId="29335FF8" w14:textId="77777777" w:rsidR="00E936D5" w:rsidRPr="006810DB" w:rsidRDefault="00E936D5" w:rsidP="006810DB">
      <w:pPr>
        <w:spacing w:after="0" w:line="276" w:lineRule="auto"/>
        <w:jc w:val="both"/>
        <w:rPr>
          <w:rFonts w:ascii="Book Antiqua" w:hAnsi="Book Antiqua"/>
          <w:sz w:val="20"/>
          <w:szCs w:val="20"/>
          <w:lang w:val="en"/>
        </w:rPr>
      </w:pPr>
    </w:p>
    <w:p w14:paraId="0504B188" w14:textId="30D6792F" w:rsidR="00B258B7" w:rsidRPr="006810DB" w:rsidRDefault="00B258B7" w:rsidP="006810DB">
      <w:pPr>
        <w:pStyle w:val="Heading2"/>
        <w:numPr>
          <w:ilvl w:val="0"/>
          <w:numId w:val="33"/>
        </w:numPr>
        <w:ind w:left="284" w:hanging="284"/>
        <w:rPr>
          <w:bCs/>
          <w:szCs w:val="20"/>
          <w:lang w:val="en"/>
        </w:rPr>
      </w:pPr>
      <w:bookmarkStart w:id="447" w:name="_xlmn0pm4fe59" w:colFirst="0" w:colLast="0"/>
      <w:bookmarkStart w:id="448" w:name="_Toc223088998"/>
      <w:bookmarkEnd w:id="447"/>
      <w:r w:rsidRPr="006810DB">
        <w:rPr>
          <w:bCs/>
          <w:szCs w:val="20"/>
          <w:lang w:val="en"/>
        </w:rPr>
        <w:t xml:space="preserve">Keunggulan </w:t>
      </w:r>
      <w:r w:rsidRPr="006810DB">
        <w:rPr>
          <w:bCs/>
          <w:i/>
          <w:iCs/>
          <w:szCs w:val="20"/>
          <w:lang w:val="en"/>
        </w:rPr>
        <w:t>Nigella sativa</w:t>
      </w:r>
      <w:r w:rsidRPr="006810DB">
        <w:rPr>
          <w:bCs/>
          <w:szCs w:val="20"/>
          <w:lang w:val="en"/>
        </w:rPr>
        <w:t xml:space="preserve"> </w:t>
      </w:r>
      <w:r w:rsidR="00004DEE" w:rsidRPr="006810DB">
        <w:rPr>
          <w:bCs/>
          <w:szCs w:val="20"/>
          <w:lang w:val="en"/>
        </w:rPr>
        <w:t>Dibandin</w:t>
      </w:r>
      <w:r w:rsidRPr="006810DB">
        <w:rPr>
          <w:bCs/>
          <w:szCs w:val="20"/>
          <w:lang w:val="en"/>
        </w:rPr>
        <w:t>gkan Terapi Konvensional</w:t>
      </w:r>
      <w:bookmarkEnd w:id="448"/>
    </w:p>
    <w:p w14:paraId="201B737E"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Ketika dibandingkan dengan terapi standar,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menonjol karena profil farmakologisnya yang unik. Keunggulan utamanya bukan terletak pada kekuatan tunggal yang ekstrem (seperti palifermin), melainkan pada kemampuannya untuk memodulasi berbagai jalur penyakit secara bersamaan dengan profil keamanan yang superior. Dalam konteks penyakit multifaktorial seperti mukositis, yang melibatkan radikal bebas, sitokin, bakteri, dan nyeri, pendekatan "satu obat untuk semua masalah" yang ditawarkan oleh ekstrak fitokimia kompleks sering kali lebih efektif secara holistik daripada pendekatan target tunggal.</w:t>
      </w:r>
    </w:p>
    <w:p w14:paraId="582A6E61"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Dalam menangani kebakaran hutan (mukositis), terapi konvensional sering kali bekerja secara terpisah. Antiseptik membersihkan puing-puing, analgesik meredakan panas, dan anti-inflamasi mencoba memadamkan api.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bertindak seperti hujan deras yang merata. Hujan ini memadamkan api (anti-inflamasi), mendinginkan suhu (antioksidan), membersihkan udara dari asap (detoksifikasi), dan sekaligus memberi air bagi benih baru untuk tumbuh (pro-regeneratif). Hujan tidak perlu diarahkan ke satu titik; ia bekerja secara sistemik menyelesaikan banyak masalah sekaligus.</w:t>
      </w:r>
    </w:p>
    <w:p w14:paraId="6ED9759F" w14:textId="4B303AB6" w:rsidR="00B258B7" w:rsidRPr="006810DB" w:rsidRDefault="00B258B7" w:rsidP="006810DB">
      <w:pPr>
        <w:pStyle w:val="ListParagraph"/>
        <w:numPr>
          <w:ilvl w:val="0"/>
          <w:numId w:val="89"/>
        </w:numPr>
        <w:spacing w:after="0" w:line="276" w:lineRule="auto"/>
        <w:ind w:left="567" w:hanging="283"/>
        <w:contextualSpacing w:val="0"/>
        <w:jc w:val="both"/>
        <w:rPr>
          <w:rFonts w:ascii="Book Antiqua" w:hAnsi="Book Antiqua"/>
          <w:b/>
          <w:bCs/>
          <w:sz w:val="20"/>
          <w:szCs w:val="20"/>
          <w:lang w:val="en"/>
        </w:rPr>
      </w:pPr>
      <w:bookmarkStart w:id="449" w:name="_c8j21060cxek" w:colFirst="0" w:colLast="0"/>
      <w:bookmarkEnd w:id="449"/>
      <w:r w:rsidRPr="006810DB">
        <w:rPr>
          <w:rFonts w:ascii="Book Antiqua" w:hAnsi="Book Antiqua"/>
          <w:b/>
          <w:bCs/>
          <w:sz w:val="20"/>
          <w:szCs w:val="20"/>
          <w:lang w:val="en"/>
        </w:rPr>
        <w:t>Mekanisme Kerja Multitarget (Anti-oksidan &amp; Anti-inflamasi)</w:t>
      </w:r>
    </w:p>
    <w:p w14:paraId="6AC40580" w14:textId="5F83F330"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Keunggulan farmakologis terbesar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adalah pleiotropi. Sebagaimana dirinci dalam Bab 10 hingga 13,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dan konstituen lainnya bekerja secara </w:t>
      </w:r>
      <w:r w:rsidRPr="006810DB">
        <w:rPr>
          <w:rFonts w:ascii="Book Antiqua" w:hAnsi="Book Antiqua"/>
          <w:sz w:val="20"/>
          <w:szCs w:val="20"/>
          <w:lang w:val="en"/>
        </w:rPr>
        <w:lastRenderedPageBreak/>
        <w:t xml:space="preserve">sinergis untuk menghambat stres oksidatif (melalui </w:t>
      </w:r>
      <w:r w:rsidRPr="006810DB">
        <w:rPr>
          <w:rFonts w:ascii="Book Antiqua" w:hAnsi="Book Antiqua"/>
          <w:i/>
          <w:iCs/>
          <w:sz w:val="20"/>
          <w:szCs w:val="20"/>
          <w:lang w:val="en"/>
        </w:rPr>
        <w:t>scavenging</w:t>
      </w:r>
      <w:r w:rsidRPr="006810DB">
        <w:rPr>
          <w:rFonts w:ascii="Book Antiqua" w:hAnsi="Book Antiqua"/>
          <w:sz w:val="20"/>
          <w:szCs w:val="20"/>
          <w:lang w:val="en"/>
        </w:rPr>
        <w:t xml:space="preserve"> ROS dan peningkatan SOD) dan peradangan (melalui blokade </w:t>
      </w:r>
      <w:r w:rsidRPr="006810DB">
        <w:rPr>
          <w:rFonts w:ascii="Book Antiqua" w:hAnsi="Book Antiqua"/>
          <w:sz w:val="20"/>
          <w:szCs w:val="20"/>
          <w:highlight w:val="yellow"/>
          <w:lang w:val="en"/>
        </w:rPr>
        <w:t>NF-κ\kappaκ</w:t>
      </w:r>
      <w:r w:rsidR="00AD1372"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dan COX-2). Sebagian besar obat standar hanya menargetkan satu sisi: benzydamine menargetkan inflamasi, amifostine menargetkan radikal bebas.</w:t>
      </w:r>
    </w:p>
    <w:p w14:paraId="7D140013"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Kombinasi aktivitas ini sangat krusial karena dalam patofisiologi mukositis, stres oksidatif dan inflamasi saling memperkuat dalam lingkaran setan. Dengan memutus kedua jalur ini secara bersamaan,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memberikan perlindungan yang lebih komprehensif. Selain itu, aktivitas antimikroba intrinsik dari minyak jintan hitam (terhadap bakteri dan jamur </w:t>
      </w:r>
      <w:r w:rsidRPr="006810DB">
        <w:rPr>
          <w:rFonts w:ascii="Book Antiqua" w:hAnsi="Book Antiqua"/>
          <w:i/>
          <w:iCs/>
          <w:sz w:val="20"/>
          <w:szCs w:val="20"/>
          <w:lang w:val="en"/>
        </w:rPr>
        <w:t>Candida</w:t>
      </w:r>
      <w:r w:rsidRPr="006810DB">
        <w:rPr>
          <w:rFonts w:ascii="Book Antiqua" w:hAnsi="Book Antiqua"/>
          <w:sz w:val="20"/>
          <w:szCs w:val="20"/>
          <w:lang w:val="en"/>
        </w:rPr>
        <w:t>) memberikan manfaat tambahan yang setara dengan antiseptik, tanpa efek samping sitotoksik pada sel epitel (Shafodino et al., 2022).</w:t>
      </w:r>
    </w:p>
    <w:p w14:paraId="0353CD6B" w14:textId="4F1A2DFB" w:rsidR="00B258B7" w:rsidRPr="006810DB" w:rsidRDefault="00B258B7" w:rsidP="006810DB">
      <w:pPr>
        <w:pStyle w:val="ListParagraph"/>
        <w:numPr>
          <w:ilvl w:val="0"/>
          <w:numId w:val="89"/>
        </w:numPr>
        <w:spacing w:after="0" w:line="276" w:lineRule="auto"/>
        <w:ind w:left="567" w:hanging="283"/>
        <w:contextualSpacing w:val="0"/>
        <w:jc w:val="both"/>
        <w:rPr>
          <w:rFonts w:ascii="Book Antiqua" w:hAnsi="Book Antiqua"/>
          <w:b/>
          <w:bCs/>
          <w:sz w:val="20"/>
          <w:szCs w:val="20"/>
          <w:lang w:val="en"/>
        </w:rPr>
      </w:pPr>
      <w:bookmarkStart w:id="450" w:name="_oe5nhqrerpov" w:colFirst="0" w:colLast="0"/>
      <w:bookmarkEnd w:id="450"/>
      <w:r w:rsidRPr="006810DB">
        <w:rPr>
          <w:rFonts w:ascii="Book Antiqua" w:hAnsi="Book Antiqua"/>
          <w:b/>
          <w:bCs/>
          <w:sz w:val="20"/>
          <w:szCs w:val="20"/>
          <w:lang w:val="en"/>
        </w:rPr>
        <w:t>Keamanan Konsumsi Jangka Panjang sebagai Bahan Alam</w:t>
      </w:r>
    </w:p>
    <w:p w14:paraId="40FC46BB"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Pasien kanker sering kali menjalani rejimen pengobatan yang panjang dan melelahkan, membuat keamanan terapi suportif menjadi prioritas. Obat-obatan sintetik sering membawa risiko akumulasi toksisitas atau interaksi obat yang tidak diinginkan. Sebagai bahan pangan yang telah dikonsumsi selama ribuan tahun,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memiliki profil keamanan yang mapan (</w:t>
      </w:r>
      <w:r w:rsidRPr="006810DB">
        <w:rPr>
          <w:rFonts w:ascii="Book Antiqua" w:hAnsi="Book Antiqua"/>
          <w:i/>
          <w:iCs/>
          <w:sz w:val="20"/>
          <w:szCs w:val="20"/>
          <w:lang w:val="en"/>
        </w:rPr>
        <w:t>Generally Recognized As Safe</w:t>
      </w:r>
      <w:r w:rsidRPr="006810DB">
        <w:rPr>
          <w:rFonts w:ascii="Book Antiqua" w:hAnsi="Book Antiqua"/>
          <w:sz w:val="20"/>
          <w:szCs w:val="20"/>
          <w:lang w:val="en"/>
        </w:rPr>
        <w:t>/GRAS).</w:t>
      </w:r>
    </w:p>
    <w:p w14:paraId="29324B0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Studi praklinis dan klinis menunjukkan bahwa efek samping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umumnya ringan (seperti gangguan gastrointestinal minor) dan jarang terjadi. Lebih penting lagi, tidak seperti beberapa antioksidan sintetik yang dikhawatirkan dapat melindungi sel kanker dari kemoterapi (</w:t>
      </w:r>
      <w:r w:rsidRPr="006810DB">
        <w:rPr>
          <w:rFonts w:ascii="Book Antiqua" w:hAnsi="Book Antiqua"/>
          <w:i/>
          <w:iCs/>
          <w:sz w:val="20"/>
          <w:szCs w:val="20"/>
          <w:lang w:val="en"/>
        </w:rPr>
        <w:t>tumor protection</w:t>
      </w:r>
      <w:r w:rsidRPr="006810DB">
        <w:rPr>
          <w:rFonts w:ascii="Book Antiqua" w:hAnsi="Book Antiqua"/>
          <w:sz w:val="20"/>
          <w:szCs w:val="20"/>
          <w:lang w:val="en"/>
        </w:rPr>
        <w:t xml:space="preserve">), bukti saat ini menunjukkan bahwa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justru memiliki efek antikanker sinergis atau setidaknya netral terhadap efikasi cisplatin, sambil melindungi jaringan normal (Hannan et al., 2021). Hal ini memberikan ketenangan pikiran bagi onkolog dan pasien.</w:t>
      </w:r>
    </w:p>
    <w:p w14:paraId="3611A5DE" w14:textId="77777777" w:rsidR="00A95863" w:rsidRDefault="00A95863">
      <w:pPr>
        <w:rPr>
          <w:rFonts w:ascii="Book Antiqua" w:hAnsi="Book Antiqua"/>
          <w:b/>
          <w:bCs/>
          <w:sz w:val="20"/>
          <w:szCs w:val="20"/>
          <w:lang w:val="en"/>
        </w:rPr>
      </w:pPr>
      <w:bookmarkStart w:id="451" w:name="_59tcv5qsqgc0" w:colFirst="0" w:colLast="0"/>
      <w:bookmarkEnd w:id="451"/>
      <w:r>
        <w:rPr>
          <w:rFonts w:ascii="Book Antiqua" w:hAnsi="Book Antiqua"/>
          <w:b/>
          <w:bCs/>
          <w:sz w:val="20"/>
          <w:szCs w:val="20"/>
          <w:lang w:val="en"/>
        </w:rPr>
        <w:br w:type="page"/>
      </w:r>
    </w:p>
    <w:p w14:paraId="09743265" w14:textId="08C62F4F" w:rsidR="00B258B7" w:rsidRPr="006810DB" w:rsidRDefault="00B258B7" w:rsidP="006810DB">
      <w:pPr>
        <w:pStyle w:val="ListParagraph"/>
        <w:numPr>
          <w:ilvl w:val="0"/>
          <w:numId w:val="89"/>
        </w:numPr>
        <w:spacing w:after="0" w:line="276" w:lineRule="auto"/>
        <w:ind w:left="567" w:hanging="283"/>
        <w:contextualSpacing w:val="0"/>
        <w:jc w:val="both"/>
        <w:rPr>
          <w:rFonts w:ascii="Book Antiqua" w:hAnsi="Book Antiqua"/>
          <w:b/>
          <w:bCs/>
          <w:sz w:val="20"/>
          <w:szCs w:val="20"/>
          <w:lang w:val="en"/>
        </w:rPr>
      </w:pPr>
      <w:r w:rsidRPr="006810DB">
        <w:rPr>
          <w:rFonts w:ascii="Book Antiqua" w:hAnsi="Book Antiqua"/>
          <w:b/>
          <w:bCs/>
          <w:sz w:val="20"/>
          <w:szCs w:val="20"/>
          <w:lang w:val="en"/>
        </w:rPr>
        <w:lastRenderedPageBreak/>
        <w:t>Analisis Efisiensi Biaya (</w:t>
      </w:r>
      <w:r w:rsidRPr="006810DB">
        <w:rPr>
          <w:rFonts w:ascii="Book Antiqua" w:hAnsi="Book Antiqua"/>
          <w:b/>
          <w:bCs/>
          <w:i/>
          <w:iCs/>
          <w:sz w:val="20"/>
          <w:szCs w:val="20"/>
          <w:lang w:val="en"/>
        </w:rPr>
        <w:t>Cost-Effectiveness</w:t>
      </w:r>
      <w:r w:rsidRPr="006810DB">
        <w:rPr>
          <w:rFonts w:ascii="Book Antiqua" w:hAnsi="Book Antiqua"/>
          <w:b/>
          <w:bCs/>
          <w:sz w:val="20"/>
          <w:szCs w:val="20"/>
          <w:lang w:val="en"/>
        </w:rPr>
        <w:t>)</w:t>
      </w:r>
    </w:p>
    <w:p w14:paraId="49BDF5A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Aspek ekonomi sering kali menjadi penentu dalam aksesibilitas layanan kesehatan. Terapi biologis seperti palifermin sangat mahal dan membebani sistem kesehatan. Sebaliknya,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adalah tanaman yang mudah dibudidayakan, tersedia secara luas, dan proses ekstraksinya relatif murah.</w:t>
      </w:r>
    </w:p>
    <w:p w14:paraId="1786D567" w14:textId="28F3BDEE"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Analisis farmakoekonomi sederhana menunjukkan bahwa biaya pengobatan profilaksis dengan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terstandar hanya sebagian kecil dari biaya perawatan suportif intensif untuk mukositis derajat 3 atau 4 (yang meliputi rawat inap, nutrisi parenteral, dan antibiotik sistemik). Bagi negara-negara berpenghasilan rendah dan menengah, di mana beban kanker meningkat pesat, ketersediaan terapi suportif yang efektif dan murah (low-cost, high-impact) seperti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dapat secara signifikan meningkatkan ekuitas kesehatan (Yimer et al., 2019).</w:t>
      </w:r>
    </w:p>
    <w:p w14:paraId="29CA1D44" w14:textId="77777777" w:rsidR="00E936D5" w:rsidRPr="006810DB" w:rsidRDefault="00E936D5" w:rsidP="006810DB">
      <w:pPr>
        <w:spacing w:after="0" w:line="276" w:lineRule="auto"/>
        <w:jc w:val="both"/>
        <w:rPr>
          <w:rFonts w:ascii="Book Antiqua" w:hAnsi="Book Antiqua"/>
          <w:sz w:val="20"/>
          <w:szCs w:val="20"/>
          <w:lang w:val="en"/>
        </w:rPr>
      </w:pPr>
    </w:p>
    <w:p w14:paraId="2AB584F2" w14:textId="4C28C13B" w:rsidR="00B258B7" w:rsidRPr="006810DB" w:rsidRDefault="00B258B7" w:rsidP="006810DB">
      <w:pPr>
        <w:pStyle w:val="Heading2"/>
        <w:numPr>
          <w:ilvl w:val="0"/>
          <w:numId w:val="33"/>
        </w:numPr>
        <w:ind w:left="284" w:hanging="284"/>
        <w:rPr>
          <w:bCs/>
          <w:szCs w:val="20"/>
          <w:lang w:val="en"/>
        </w:rPr>
      </w:pPr>
      <w:bookmarkStart w:id="452" w:name="_cdbb2nq50vft" w:colFirst="0" w:colLast="0"/>
      <w:bookmarkStart w:id="453" w:name="_Toc223088999"/>
      <w:bookmarkEnd w:id="452"/>
      <w:r w:rsidRPr="006810DB">
        <w:rPr>
          <w:bCs/>
          <w:szCs w:val="20"/>
          <w:lang w:val="en"/>
        </w:rPr>
        <w:t>Potensi Terapi Kombinasi</w:t>
      </w:r>
      <w:bookmarkEnd w:id="453"/>
    </w:p>
    <w:p w14:paraId="10B9F80E"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Masa depan onkologi suportif kemungkinan besar bukan terletak pada penggantian total obat konvensional dengan herbal, melainkan pada integrasi cerdas keduanya. Terapi kombinasi menawarkan peluang untuk memaksimalkan efikasi terapeutik sambil meminimalkan toksisitas. Dengan menggabungkan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ke dalam protokol standar, kita dapat memanfaatkan mekanisme kerja uniknya untuk melengkapi atau memperkuat efek obat-obatan yang sudah ada, menciptakan rejimen manajemen mukositis yang lebih tangguh dan adaptif.</w:t>
      </w:r>
    </w:p>
    <w:p w14:paraId="496DF725"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Terapi kombinasi mirip dengan orkestra simfoni. Obat standar (misalnya analgesik opioid) adalah instrumen perkusi yang kuat dan dominan, namun jika dimainkan terlalu keras bisa memekakkan telinga (efek samping).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adalah bagian string (biola/cello) yang memberikan harmoni dan melengkapi melodi. Ketika </w:t>
      </w:r>
      <w:r w:rsidRPr="006810DB">
        <w:rPr>
          <w:rFonts w:ascii="Book Antiqua" w:hAnsi="Book Antiqua"/>
          <w:sz w:val="20"/>
          <w:szCs w:val="20"/>
          <w:lang w:val="en"/>
        </w:rPr>
        <w:lastRenderedPageBreak/>
        <w:t>dimainkan bersama, perkusi tidak perlu dipukul sekeras mungkin untuk didengar karena didukung oleh bagian string. Hasilnya adalah musik (terapi) yang lebih indah, seimbang, dan dapat dinikmati dalam waktu lama tanpa menyebabkan kelelahan pendengaran.</w:t>
      </w:r>
    </w:p>
    <w:p w14:paraId="1AAF19EA" w14:textId="25DEE4E7" w:rsidR="00B258B7" w:rsidRPr="006810DB" w:rsidRDefault="00B258B7" w:rsidP="006810DB">
      <w:pPr>
        <w:pStyle w:val="ListParagraph"/>
        <w:numPr>
          <w:ilvl w:val="0"/>
          <w:numId w:val="90"/>
        </w:numPr>
        <w:spacing w:after="0" w:line="276" w:lineRule="auto"/>
        <w:ind w:left="567" w:hanging="283"/>
        <w:contextualSpacing w:val="0"/>
        <w:jc w:val="both"/>
        <w:rPr>
          <w:rFonts w:ascii="Book Antiqua" w:hAnsi="Book Antiqua"/>
          <w:b/>
          <w:bCs/>
          <w:sz w:val="20"/>
          <w:szCs w:val="20"/>
          <w:lang w:val="en"/>
        </w:rPr>
      </w:pPr>
      <w:bookmarkStart w:id="454" w:name="_g1yfzz2gdswv" w:colFirst="0" w:colLast="0"/>
      <w:bookmarkEnd w:id="454"/>
      <w:r w:rsidRPr="006810DB">
        <w:rPr>
          <w:rFonts w:ascii="Book Antiqua" w:hAnsi="Book Antiqua"/>
          <w:b/>
          <w:bCs/>
          <w:sz w:val="20"/>
          <w:szCs w:val="20"/>
          <w:lang w:val="en"/>
        </w:rPr>
        <w:t xml:space="preserve">Sinergi </w:t>
      </w:r>
      <w:r w:rsidRPr="006810DB">
        <w:rPr>
          <w:rFonts w:ascii="Book Antiqua" w:hAnsi="Book Antiqua"/>
          <w:b/>
          <w:bCs/>
          <w:i/>
          <w:iCs/>
          <w:sz w:val="20"/>
          <w:szCs w:val="20"/>
          <w:lang w:val="en"/>
        </w:rPr>
        <w:t>Nigella sativa</w:t>
      </w:r>
      <w:r w:rsidRPr="006810DB">
        <w:rPr>
          <w:rFonts w:ascii="Book Antiqua" w:hAnsi="Book Antiqua"/>
          <w:b/>
          <w:bCs/>
          <w:sz w:val="20"/>
          <w:szCs w:val="20"/>
          <w:lang w:val="en"/>
        </w:rPr>
        <w:t xml:space="preserve"> dengan Obat Anti-inflamasi Standar</w:t>
      </w:r>
    </w:p>
    <w:p w14:paraId="18E31F31" w14:textId="27E755D3"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Penggunaan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bersamaan dengan agen anti-inflamasi standar seperti benzydamine atau bahkan kortikosteroid topikal dapat menghasilkan efek aditif atau sinergis. Karena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bekerja melalui jalur penghambatan </w:t>
      </w:r>
      <w:r w:rsidRPr="006810DB">
        <w:rPr>
          <w:rFonts w:ascii="Book Antiqua" w:hAnsi="Book Antiqua"/>
          <w:sz w:val="20"/>
          <w:szCs w:val="20"/>
          <w:highlight w:val="yellow"/>
          <w:lang w:val="en"/>
        </w:rPr>
        <w:t>NF-κ\kappaκ</w:t>
      </w:r>
      <w:r w:rsidR="00AD1372"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yang berbeda atau komplementer dengan mekanisme kerja NSAID (yang fokus pada COX), kombinasi ini dapat memberikan penekanan peradangan yang lebih kuat pada dosis masing-masing obat yang lebih rendah (Amin &amp; Hosseinzadeh, 2016).</w:t>
      </w:r>
    </w:p>
    <w:p w14:paraId="5C30607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Sinergi ini juga relevan dalam manajemen nyeri. Efek analgesik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yang dimediasi melalui sistem opioid dan anti-inflamasi dapat mengurangi kebutuhan akan analgesik sistemik yang kuat. Hal ini sangat menguntungkan karena mengurangi risiko efek samping opioid seperti konstipasi dan depresi pernapasan pada pasien kanker yang rentan (Goyal et al., 2017).</w:t>
      </w:r>
    </w:p>
    <w:p w14:paraId="46F24C0A" w14:textId="6F7D5EFE" w:rsidR="00B258B7" w:rsidRPr="006810DB" w:rsidRDefault="00B258B7" w:rsidP="006810DB">
      <w:pPr>
        <w:pStyle w:val="ListParagraph"/>
        <w:numPr>
          <w:ilvl w:val="0"/>
          <w:numId w:val="90"/>
        </w:numPr>
        <w:spacing w:after="0" w:line="276" w:lineRule="auto"/>
        <w:ind w:left="567" w:hanging="283"/>
        <w:contextualSpacing w:val="0"/>
        <w:jc w:val="both"/>
        <w:rPr>
          <w:rFonts w:ascii="Book Antiqua" w:hAnsi="Book Antiqua"/>
          <w:b/>
          <w:bCs/>
          <w:sz w:val="20"/>
          <w:szCs w:val="20"/>
          <w:lang w:val="en"/>
        </w:rPr>
      </w:pPr>
      <w:bookmarkStart w:id="455" w:name="_7kwojd7j8mmw" w:colFirst="0" w:colLast="0"/>
      <w:bookmarkEnd w:id="455"/>
      <w:r w:rsidRPr="006810DB">
        <w:rPr>
          <w:rFonts w:ascii="Book Antiqua" w:hAnsi="Book Antiqua"/>
          <w:b/>
          <w:bCs/>
          <w:sz w:val="20"/>
          <w:szCs w:val="20"/>
          <w:lang w:val="en"/>
        </w:rPr>
        <w:t>Integrasi Herbal dalam Protokol Onkologi Modern</w:t>
      </w:r>
    </w:p>
    <w:p w14:paraId="585BF10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Integrasi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ke dalam protokol klinis memerlukan pendekatan berbasis bukti. Strategi yang paling menjanjikan adalah penggunaan profilaksis: memberikan suplemen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(misalnya dalam bentuk kapsul minyak atau </w:t>
      </w:r>
      <w:r w:rsidRPr="006810DB">
        <w:rPr>
          <w:rFonts w:ascii="Book Antiqua" w:hAnsi="Book Antiqua"/>
          <w:i/>
          <w:iCs/>
          <w:sz w:val="20"/>
          <w:szCs w:val="20"/>
          <w:lang w:val="en"/>
        </w:rPr>
        <w:t>lozenge</w:t>
      </w:r>
      <w:r w:rsidRPr="006810DB">
        <w:rPr>
          <w:rFonts w:ascii="Book Antiqua" w:hAnsi="Book Antiqua"/>
          <w:sz w:val="20"/>
          <w:szCs w:val="20"/>
          <w:lang w:val="en"/>
        </w:rPr>
        <w:t>) beberapa hari sebelum dimulainya siklus kemoterapi cisplatin dan melanjutkannya selama periode risiko tinggi.</w:t>
      </w:r>
    </w:p>
    <w:p w14:paraId="5A3B5C42"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Pendekatan ini bertujuan untuk "mengkondisikan" jaringan mukosa, meningkatkan cadangan antioksidan endogen (seperti GSH dan SOD) sebelum serangan oksidatif terjadi. Integrasi ini tidak mengganggu jadwal pemberian cisplatin, tetapi menambahkan lapisan perlindungan biologis. Uji klinis fase awal diperlukan untuk menetapkan </w:t>
      </w:r>
      <w:r w:rsidRPr="006810DB">
        <w:rPr>
          <w:rFonts w:ascii="Book Antiqua" w:hAnsi="Book Antiqua"/>
          <w:sz w:val="20"/>
          <w:szCs w:val="20"/>
          <w:lang w:val="en"/>
        </w:rPr>
        <w:lastRenderedPageBreak/>
        <w:t>protokol waktu dan dosis yang tepat agar tidak berinteraksi negatif dengan farmakokinetik obat kemoterapi (Belfiore et al., 2024).</w:t>
      </w:r>
    </w:p>
    <w:p w14:paraId="324F3654" w14:textId="70D4567E" w:rsidR="00B258B7" w:rsidRPr="006810DB" w:rsidRDefault="00B258B7" w:rsidP="006810DB">
      <w:pPr>
        <w:pStyle w:val="ListParagraph"/>
        <w:numPr>
          <w:ilvl w:val="0"/>
          <w:numId w:val="90"/>
        </w:numPr>
        <w:spacing w:after="0" w:line="276" w:lineRule="auto"/>
        <w:ind w:left="567" w:hanging="283"/>
        <w:contextualSpacing w:val="0"/>
        <w:jc w:val="both"/>
        <w:rPr>
          <w:rFonts w:ascii="Book Antiqua" w:hAnsi="Book Antiqua"/>
          <w:b/>
          <w:bCs/>
          <w:sz w:val="20"/>
          <w:szCs w:val="20"/>
          <w:lang w:val="en"/>
        </w:rPr>
      </w:pPr>
      <w:bookmarkStart w:id="456" w:name="_3nxxrwcu7zc" w:colFirst="0" w:colLast="0"/>
      <w:bookmarkEnd w:id="456"/>
      <w:r w:rsidRPr="006810DB">
        <w:rPr>
          <w:rFonts w:ascii="Book Antiqua" w:hAnsi="Book Antiqua"/>
          <w:b/>
          <w:bCs/>
          <w:sz w:val="20"/>
          <w:szCs w:val="20"/>
          <w:lang w:val="en"/>
        </w:rPr>
        <w:t>Strategi Pengurangan Dosis Obat Kimia dengan Ajuvan Herbal</w:t>
      </w:r>
    </w:p>
    <w:p w14:paraId="23E4130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Konsep "drug-sparing" atau penghematan obat adalah salah satu manfaat paling menarik dari terapi kombinasi. Jika penambahan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terbukti secara signifikan mengurangi keparahan mukositis, maka kebutuhan akan intervensi medis agresif, seperti antibiotik sistemik untuk infeksi sekunder, nutrisi parenteral total (TPN) karena ketidakmampuan makan, atau penundaan dosis kemoterapi, dapat dikurangi (Madani et al., 2023).</w:t>
      </w:r>
    </w:p>
    <w:p w14:paraId="7FB9C2B5"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Selain itu, karena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juga memiliki efek nefroprotektif (melindungi ginjal), penggunaannya dapat memungkinkan onkolog untuk mempertahankan dosis cisplatin yang optimal tanpa ketakutan berlebih akan gagal ginjal atau mukositis parah yang membatasi dosis (</w:t>
      </w:r>
      <w:r w:rsidRPr="006810DB">
        <w:rPr>
          <w:rFonts w:ascii="Book Antiqua" w:hAnsi="Book Antiqua"/>
          <w:i/>
          <w:iCs/>
          <w:sz w:val="20"/>
          <w:szCs w:val="20"/>
          <w:lang w:val="en"/>
        </w:rPr>
        <w:t>dose-limiting toxicity</w:t>
      </w:r>
      <w:r w:rsidRPr="006810DB">
        <w:rPr>
          <w:rFonts w:ascii="Book Antiqua" w:hAnsi="Book Antiqua"/>
          <w:sz w:val="20"/>
          <w:szCs w:val="20"/>
          <w:lang w:val="en"/>
        </w:rPr>
        <w:t>). Ini secara tidak langsung berkontribusi pada keberhasilan terapi kanker itu sendiri, karena pasien dapat menyelesaikan rejimen kemoterapi mereka tepat waktu dan dengan dosis penuh (Cascella et al., 2018).</w:t>
      </w:r>
    </w:p>
    <w:p w14:paraId="1A6EC095" w14:textId="77777777" w:rsidR="00E936D5" w:rsidRPr="006810DB" w:rsidRDefault="00E936D5" w:rsidP="006810DB">
      <w:pPr>
        <w:spacing w:after="0" w:line="276" w:lineRule="auto"/>
        <w:jc w:val="both"/>
        <w:rPr>
          <w:rFonts w:ascii="Book Antiqua" w:hAnsi="Book Antiqua"/>
          <w:b/>
          <w:bCs/>
          <w:sz w:val="20"/>
          <w:szCs w:val="20"/>
          <w:lang w:val="en"/>
        </w:rPr>
      </w:pPr>
      <w:bookmarkStart w:id="457" w:name="_xz8c1ghblpxk" w:colFirst="0" w:colLast="0"/>
      <w:bookmarkEnd w:id="457"/>
    </w:p>
    <w:p w14:paraId="4BED82CD" w14:textId="77777777" w:rsidR="00AD1372" w:rsidRPr="006810DB" w:rsidRDefault="00AD1372"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146FA68C" w14:textId="3FDE3D96" w:rsidR="00B258B7" w:rsidRPr="006810DB" w:rsidRDefault="00B258B7" w:rsidP="006810DB">
      <w:pPr>
        <w:pStyle w:val="Heading2"/>
        <w:jc w:val="center"/>
        <w:rPr>
          <w:rFonts w:eastAsia="DengXian"/>
          <w:lang w:eastAsia="zh-CN"/>
        </w:rPr>
      </w:pPr>
      <w:bookmarkStart w:id="458" w:name="_Toc223089000"/>
      <w:r w:rsidRPr="006810DB">
        <w:rPr>
          <w:rFonts w:eastAsia="DengXian"/>
          <w:lang w:eastAsia="zh-CN"/>
        </w:rPr>
        <w:lastRenderedPageBreak/>
        <w:t>KESIMPULAN</w:t>
      </w:r>
      <w:bookmarkEnd w:id="458"/>
    </w:p>
    <w:p w14:paraId="1730A2B2" w14:textId="77777777" w:rsidR="00AD1372" w:rsidRPr="006810DB" w:rsidRDefault="00AD1372" w:rsidP="006810DB">
      <w:pPr>
        <w:spacing w:after="0" w:line="276" w:lineRule="auto"/>
        <w:jc w:val="both"/>
        <w:rPr>
          <w:rFonts w:ascii="Book Antiqua" w:hAnsi="Book Antiqua"/>
          <w:b/>
          <w:bCs/>
          <w:sz w:val="20"/>
          <w:szCs w:val="20"/>
          <w:lang w:val="en"/>
        </w:rPr>
      </w:pPr>
    </w:p>
    <w:p w14:paraId="1A550807" w14:textId="77777777" w:rsidR="00B258B7" w:rsidRPr="006810DB" w:rsidRDefault="00B258B7" w:rsidP="006810DB">
      <w:pPr>
        <w:spacing w:after="0" w:line="276" w:lineRule="auto"/>
        <w:ind w:firstLine="567"/>
        <w:jc w:val="both"/>
        <w:rPr>
          <w:rFonts w:ascii="Book Antiqua" w:hAnsi="Book Antiqua"/>
          <w:sz w:val="20"/>
          <w:szCs w:val="20"/>
          <w:lang w:val="en"/>
        </w:rPr>
      </w:pPr>
      <w:r w:rsidRPr="006810DB">
        <w:rPr>
          <w:rFonts w:ascii="Book Antiqua" w:hAnsi="Book Antiqua"/>
          <w:sz w:val="20"/>
          <w:szCs w:val="20"/>
          <w:lang w:val="en"/>
        </w:rPr>
        <w:t xml:space="preserve">Perbandingan komprehensif antara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dan terapi suportif standar mengungkapkan bahwa herbal ini bukan sekadar alternatif tradisional, melainkan pesaing farmakologis yang serius. Dengan mekanisme kerja multitarget yang mengatasi keterbatasan agen tunggal, profil keamanan yang superior untuk penggunaan jangka panjang, dan efisiensi biaya yang tinggi,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menawarkan nilai tambah yang signifikan. Potensi terbesarnya mungkin terletak pada terapi kombinasi, di mana ia dapat berintegrasi dengan protokol standar untuk meningkatkan perlindungan mukosa dan memungkinkan strategi pengobatan kanker yang lebih efektif dan manusiawi.</w:t>
      </w:r>
    </w:p>
    <w:p w14:paraId="0D65A4A7" w14:textId="77777777" w:rsidR="00E936D5" w:rsidRPr="006810DB" w:rsidRDefault="00E936D5" w:rsidP="006810DB">
      <w:pPr>
        <w:spacing w:line="276" w:lineRule="auto"/>
        <w:rPr>
          <w:rFonts w:ascii="Book Antiqua" w:hAnsi="Book Antiqua"/>
          <w:b/>
          <w:bCs/>
          <w:sz w:val="20"/>
          <w:szCs w:val="20"/>
          <w:lang w:val="en"/>
        </w:rPr>
      </w:pPr>
      <w:bookmarkStart w:id="459" w:name="_2d6vzsoznd1g" w:colFirst="0" w:colLast="0"/>
      <w:bookmarkEnd w:id="459"/>
      <w:r w:rsidRPr="006810DB">
        <w:rPr>
          <w:rFonts w:ascii="Book Antiqua" w:hAnsi="Book Antiqua"/>
          <w:b/>
          <w:bCs/>
          <w:sz w:val="20"/>
          <w:szCs w:val="20"/>
          <w:lang w:val="en"/>
        </w:rPr>
        <w:br w:type="page"/>
      </w:r>
    </w:p>
    <w:p w14:paraId="4EDF7465" w14:textId="77777777" w:rsidR="00824155" w:rsidRPr="006810DB" w:rsidRDefault="00824155" w:rsidP="00824155">
      <w:pPr>
        <w:pStyle w:val="Heading2"/>
        <w:jc w:val="center"/>
        <w:rPr>
          <w:rFonts w:eastAsia="DengXian"/>
          <w:lang w:eastAsia="zh-CN"/>
        </w:rPr>
      </w:pPr>
      <w:bookmarkStart w:id="460" w:name="_Toc223089001"/>
      <w:r w:rsidRPr="006810DB">
        <w:lastRenderedPageBreak/>
        <w:t>GLOSARIUM</w:t>
      </w:r>
      <w:bookmarkEnd w:id="460"/>
    </w:p>
    <w:p w14:paraId="6D813043" w14:textId="77777777" w:rsidR="00824155" w:rsidRPr="006810DB" w:rsidRDefault="00824155" w:rsidP="00824155">
      <w:pPr>
        <w:spacing w:after="0" w:line="276" w:lineRule="auto"/>
        <w:jc w:val="both"/>
        <w:rPr>
          <w:rFonts w:ascii="Book Antiqua" w:hAnsi="Book Antiqua"/>
          <w:b/>
          <w:bCs/>
          <w:sz w:val="20"/>
          <w:szCs w:val="20"/>
          <w:lang w:val="en"/>
        </w:rPr>
      </w:pPr>
    </w:p>
    <w:p w14:paraId="102577EC"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Benzydamine Hydrochloride</w:t>
      </w:r>
      <w:r w:rsidRPr="006810DB">
        <w:rPr>
          <w:rFonts w:ascii="Book Antiqua" w:hAnsi="Book Antiqua"/>
          <w:sz w:val="20"/>
          <w:szCs w:val="20"/>
          <w:lang w:val="en"/>
        </w:rPr>
        <w:t>: Obat anti-inflamasi non-steroid (NSAID) dengan sifat analgesik dan anestesi lokal, sering digunakan sebagai obat kumur untuk meredakan nyeri mukositis.</w:t>
      </w:r>
    </w:p>
    <w:p w14:paraId="08765CB3"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Cost-Effectiveness (Efektivitas Biaya)</w:t>
      </w:r>
      <w:r w:rsidRPr="006810DB">
        <w:rPr>
          <w:rFonts w:ascii="Book Antiqua" w:hAnsi="Book Antiqua"/>
          <w:sz w:val="20"/>
          <w:szCs w:val="20"/>
          <w:lang w:val="en"/>
        </w:rPr>
        <w:t>: Analisis ekonomi yang membandingkan biaya relatif dan hasil (efek) dari dua atau lebih rangkaian tindakan (misalnya, obat herbal vs obat sintetik).</w:t>
      </w:r>
    </w:p>
    <w:p w14:paraId="3FCEE8D6"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Palifermin</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Faktor pertumbuhan keratinosit (KGF) rekombinan manusia yang digunakan untuk menstimulasi pertumbuhan sel epitel dan mencegah mukositis pada pasien transplantasi sel punca.</w:t>
      </w:r>
    </w:p>
    <w:p w14:paraId="7FC74137"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Pleiotropik</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Kemampuan suatu obat atau gen untuk memiliki beberapa efek atau menargetkan beberapa jalur biologis yang berbeda secara bersamaan.</w:t>
      </w:r>
    </w:p>
    <w:p w14:paraId="1A1DD544"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Standard of Care (SOC)</w:t>
      </w:r>
      <w:r w:rsidRPr="006810DB">
        <w:rPr>
          <w:rFonts w:ascii="Book Antiqua" w:hAnsi="Book Antiqua"/>
          <w:sz w:val="20"/>
          <w:szCs w:val="20"/>
          <w:lang w:val="en"/>
        </w:rPr>
        <w:t>: Rejimen diagnostik dan perawatan medis yang diterima secara luas sebagai yang paling tepat untuk penyakit tertentu oleh para ahli medis.</w:t>
      </w:r>
    </w:p>
    <w:p w14:paraId="058B55F7" w14:textId="77777777" w:rsidR="00824155" w:rsidRPr="006810DB" w:rsidRDefault="00824155" w:rsidP="00824155">
      <w:pPr>
        <w:spacing w:line="276" w:lineRule="auto"/>
        <w:rPr>
          <w:rFonts w:ascii="Book Antiqua" w:hAnsi="Book Antiqua"/>
          <w:b/>
          <w:bCs/>
          <w:sz w:val="20"/>
          <w:szCs w:val="20"/>
          <w:lang w:val="en"/>
        </w:rPr>
      </w:pPr>
      <w:bookmarkStart w:id="461" w:name="_pgudcgjwx9ua" w:colFirst="0" w:colLast="0"/>
      <w:bookmarkEnd w:id="461"/>
      <w:r w:rsidRPr="006810DB">
        <w:rPr>
          <w:rFonts w:ascii="Book Antiqua" w:hAnsi="Book Antiqua"/>
          <w:b/>
          <w:bCs/>
          <w:sz w:val="20"/>
          <w:szCs w:val="20"/>
          <w:lang w:val="en"/>
        </w:rPr>
        <w:br w:type="page"/>
      </w:r>
    </w:p>
    <w:p w14:paraId="4F4A1CCB" w14:textId="77777777" w:rsidR="00004DEE" w:rsidRPr="006810DB" w:rsidRDefault="00004DEE" w:rsidP="006810DB">
      <w:pPr>
        <w:pStyle w:val="Heading2"/>
        <w:jc w:val="center"/>
      </w:pPr>
      <w:bookmarkStart w:id="462" w:name="_Toc223089002"/>
      <w:r w:rsidRPr="006810DB">
        <w:lastRenderedPageBreak/>
        <w:t>DAFTAR PUSTAKA</w:t>
      </w:r>
      <w:bookmarkEnd w:id="462"/>
    </w:p>
    <w:p w14:paraId="693F8464" w14:textId="77777777" w:rsidR="00004DEE" w:rsidRPr="006810DB" w:rsidRDefault="00004DEE" w:rsidP="006810DB">
      <w:pPr>
        <w:spacing w:after="0" w:line="276" w:lineRule="auto"/>
        <w:jc w:val="both"/>
        <w:rPr>
          <w:rFonts w:ascii="Book Antiqua" w:hAnsi="Book Antiqua"/>
          <w:b/>
          <w:bCs/>
          <w:sz w:val="20"/>
          <w:szCs w:val="20"/>
          <w:lang w:val="en"/>
        </w:rPr>
      </w:pPr>
    </w:p>
    <w:p w14:paraId="44C6D8B4"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Amin, B., &amp; Hosseinzadeh, H. (2016). Black Cumin (Nigella sativa) and its active constituent, thymoquinone: an overview on the analgesic and anti-inflammatory effects. </w:t>
      </w:r>
      <w:r w:rsidRPr="006810DB">
        <w:rPr>
          <w:rFonts w:ascii="Book Antiqua" w:hAnsi="Book Antiqua"/>
          <w:i/>
          <w:iCs/>
          <w:color w:val="000000" w:themeColor="text1"/>
          <w:sz w:val="20"/>
          <w:szCs w:val="20"/>
          <w:lang w:val="en"/>
        </w:rPr>
        <w:t>Planta Medica</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82</w:t>
      </w:r>
      <w:r w:rsidRPr="006810DB">
        <w:rPr>
          <w:rFonts w:ascii="Book Antiqua" w:hAnsi="Book Antiqua"/>
          <w:color w:val="000000" w:themeColor="text1"/>
          <w:sz w:val="20"/>
          <w:szCs w:val="20"/>
          <w:lang w:val="en"/>
        </w:rPr>
        <w:t>(1-2), 8–16.</w:t>
      </w:r>
      <w:hyperlink r:id="rId329">
        <w:r w:rsidRPr="006810DB">
          <w:rPr>
            <w:rStyle w:val="Hyperlink"/>
            <w:rFonts w:ascii="Book Antiqua" w:hAnsi="Book Antiqua"/>
            <w:color w:val="000000" w:themeColor="text1"/>
            <w:sz w:val="20"/>
            <w:szCs w:val="20"/>
            <w:u w:val="none"/>
            <w:lang w:val="en"/>
          </w:rPr>
          <w:t xml:space="preserve"> </w:t>
        </w:r>
      </w:hyperlink>
      <w:hyperlink r:id="rId330">
        <w:r w:rsidRPr="006810DB">
          <w:rPr>
            <w:rStyle w:val="Hyperlink"/>
            <w:rFonts w:ascii="Book Antiqua" w:hAnsi="Book Antiqua"/>
            <w:color w:val="000000" w:themeColor="text1"/>
            <w:sz w:val="20"/>
            <w:szCs w:val="20"/>
            <w:u w:val="none"/>
            <w:lang w:val="en"/>
          </w:rPr>
          <w:t>https://doi.org/10.1055/s-0035-1557838</w:t>
        </w:r>
      </w:hyperlink>
    </w:p>
    <w:p w14:paraId="1B744C35"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Belfiore, E., Di Prima, G., Angellotti, G., Panzarella, V., &amp; De Caro, V. (2024). Plant-Derived Polyphenols to Prevent and Treat Oral Mucositis Induced by Chemo- and Radiotherapy in Head and Neck Cancers Management. </w:t>
      </w:r>
      <w:r w:rsidRPr="006810DB">
        <w:rPr>
          <w:rFonts w:ascii="Book Antiqua" w:hAnsi="Book Antiqua"/>
          <w:i/>
          <w:iCs/>
          <w:color w:val="000000" w:themeColor="text1"/>
          <w:sz w:val="20"/>
          <w:szCs w:val="20"/>
          <w:lang w:val="en"/>
        </w:rPr>
        <w:t>Cancers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16</w:t>
      </w:r>
      <w:r w:rsidRPr="006810DB">
        <w:rPr>
          <w:rFonts w:ascii="Book Antiqua" w:hAnsi="Book Antiqua"/>
          <w:color w:val="000000" w:themeColor="text1"/>
          <w:sz w:val="20"/>
          <w:szCs w:val="20"/>
          <w:lang w:val="en"/>
        </w:rPr>
        <w:t>(2), 260.</w:t>
      </w:r>
      <w:hyperlink r:id="rId331">
        <w:r w:rsidRPr="006810DB">
          <w:rPr>
            <w:rStyle w:val="Hyperlink"/>
            <w:rFonts w:ascii="Book Antiqua" w:hAnsi="Book Antiqua"/>
            <w:color w:val="000000" w:themeColor="text1"/>
            <w:sz w:val="20"/>
            <w:szCs w:val="20"/>
            <w:u w:val="none"/>
            <w:lang w:val="en"/>
          </w:rPr>
          <w:t xml:space="preserve"> </w:t>
        </w:r>
      </w:hyperlink>
      <w:hyperlink r:id="rId332">
        <w:r w:rsidRPr="006810DB">
          <w:rPr>
            <w:rStyle w:val="Hyperlink"/>
            <w:rFonts w:ascii="Book Antiqua" w:hAnsi="Book Antiqua"/>
            <w:color w:val="000000" w:themeColor="text1"/>
            <w:sz w:val="20"/>
            <w:szCs w:val="20"/>
            <w:u w:val="none"/>
            <w:lang w:val="en"/>
          </w:rPr>
          <w:t>https://doi.org/10.3390/cancers16020260</w:t>
        </w:r>
      </w:hyperlink>
    </w:p>
    <w:p w14:paraId="579C466C"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Cascella, M., Palma, G., Barbieri, A., Bimonte, S., Amruthraj, N. J., &amp; Muzio, M. R. (2018). Role of Nigella sativa and its constituent thymoquinone on chemotherapy-induced nephrotoxicity: Evidences from experimental animal studies. </w:t>
      </w:r>
      <w:r w:rsidRPr="006810DB">
        <w:rPr>
          <w:rFonts w:ascii="Book Antiqua" w:hAnsi="Book Antiqua"/>
          <w:i/>
          <w:iCs/>
          <w:color w:val="000000" w:themeColor="text1"/>
          <w:sz w:val="20"/>
          <w:szCs w:val="20"/>
          <w:lang w:val="en"/>
        </w:rPr>
        <w:t>Nutrients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9</w:t>
      </w:r>
      <w:r w:rsidRPr="006810DB">
        <w:rPr>
          <w:rFonts w:ascii="Book Antiqua" w:hAnsi="Book Antiqua"/>
          <w:color w:val="000000" w:themeColor="text1"/>
          <w:sz w:val="20"/>
          <w:szCs w:val="20"/>
          <w:lang w:val="en"/>
        </w:rPr>
        <w:t>(6), 625.</w:t>
      </w:r>
      <w:hyperlink r:id="rId333">
        <w:r w:rsidRPr="006810DB">
          <w:rPr>
            <w:rStyle w:val="Hyperlink"/>
            <w:rFonts w:ascii="Book Antiqua" w:hAnsi="Book Antiqua"/>
            <w:color w:val="000000" w:themeColor="text1"/>
            <w:sz w:val="20"/>
            <w:szCs w:val="20"/>
            <w:u w:val="none"/>
            <w:lang w:val="en"/>
          </w:rPr>
          <w:t xml:space="preserve"> </w:t>
        </w:r>
      </w:hyperlink>
      <w:hyperlink r:id="rId334">
        <w:r w:rsidRPr="006810DB">
          <w:rPr>
            <w:rStyle w:val="Hyperlink"/>
            <w:rFonts w:ascii="Book Antiqua" w:hAnsi="Book Antiqua"/>
            <w:color w:val="000000" w:themeColor="text1"/>
            <w:sz w:val="20"/>
            <w:szCs w:val="20"/>
            <w:u w:val="none"/>
            <w:lang w:val="en"/>
          </w:rPr>
          <w:t>https://doi.org/10.3390/nu9060625</w:t>
        </w:r>
      </w:hyperlink>
    </w:p>
    <w:p w14:paraId="21468DC7"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Elad, S., Cheng, K. K. F., Lalla, R. V., Yarom, N., Hong, C., Logan, R. M., ... &amp; Zadik, Y. (2020). MASCC/ISOO clinical practice guidelines for the management of mucositis secondary to cancer therapy. </w:t>
      </w:r>
      <w:r w:rsidRPr="006810DB">
        <w:rPr>
          <w:rFonts w:ascii="Book Antiqua" w:hAnsi="Book Antiqua"/>
          <w:i/>
          <w:iCs/>
          <w:color w:val="000000" w:themeColor="text1"/>
          <w:sz w:val="20"/>
          <w:szCs w:val="20"/>
          <w:lang w:val="en"/>
        </w:rPr>
        <w:t>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126</w:t>
      </w:r>
      <w:r w:rsidRPr="006810DB">
        <w:rPr>
          <w:rFonts w:ascii="Book Antiqua" w:hAnsi="Book Antiqua"/>
          <w:color w:val="000000" w:themeColor="text1"/>
          <w:sz w:val="20"/>
          <w:szCs w:val="20"/>
          <w:lang w:val="en"/>
        </w:rPr>
        <w:t>(19), 4423-4431.</w:t>
      </w:r>
      <w:hyperlink r:id="rId335">
        <w:r w:rsidRPr="006810DB">
          <w:rPr>
            <w:rStyle w:val="Hyperlink"/>
            <w:rFonts w:ascii="Book Antiqua" w:hAnsi="Book Antiqua"/>
            <w:color w:val="000000" w:themeColor="text1"/>
            <w:sz w:val="20"/>
            <w:szCs w:val="20"/>
            <w:u w:val="none"/>
            <w:lang w:val="en"/>
          </w:rPr>
          <w:t xml:space="preserve"> </w:t>
        </w:r>
      </w:hyperlink>
      <w:hyperlink r:id="rId336">
        <w:r w:rsidRPr="006810DB">
          <w:rPr>
            <w:rStyle w:val="Hyperlink"/>
            <w:rFonts w:ascii="Book Antiqua" w:hAnsi="Book Antiqua"/>
            <w:color w:val="000000" w:themeColor="text1"/>
            <w:sz w:val="20"/>
            <w:szCs w:val="20"/>
            <w:u w:val="none"/>
            <w:lang w:val="en"/>
          </w:rPr>
          <w:t>https://doi.org/10.1002/cncr.33100</w:t>
        </w:r>
      </w:hyperlink>
    </w:p>
    <w:p w14:paraId="2AB9DE64"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Goyal, S. N., Prajapati, C. P., Gore, P. R., &amp; Patil, C. R. (2017). Therapeutic potential and pharmaceutical development of thymoquinone: a multitargeted molecule of natural origin. </w:t>
      </w:r>
      <w:r w:rsidRPr="006810DB">
        <w:rPr>
          <w:rFonts w:ascii="Book Antiqua" w:hAnsi="Book Antiqua"/>
          <w:i/>
          <w:iCs/>
          <w:color w:val="000000" w:themeColor="text1"/>
          <w:sz w:val="20"/>
          <w:szCs w:val="20"/>
          <w:lang w:val="en"/>
        </w:rPr>
        <w:t>Frontiers in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w:t>
      </w:r>
      <w:r w:rsidRPr="006810DB">
        <w:rPr>
          <w:rFonts w:ascii="Book Antiqua" w:hAnsi="Book Antiqua"/>
          <w:color w:val="000000" w:themeColor="text1"/>
          <w:sz w:val="20"/>
          <w:szCs w:val="20"/>
          <w:lang w:val="en"/>
        </w:rPr>
        <w:t>, 656.</w:t>
      </w:r>
      <w:hyperlink r:id="rId337">
        <w:r w:rsidRPr="006810DB">
          <w:rPr>
            <w:rStyle w:val="Hyperlink"/>
            <w:rFonts w:ascii="Book Antiqua" w:hAnsi="Book Antiqua"/>
            <w:color w:val="000000" w:themeColor="text1"/>
            <w:sz w:val="20"/>
            <w:szCs w:val="20"/>
            <w:u w:val="none"/>
            <w:lang w:val="en"/>
          </w:rPr>
          <w:t xml:space="preserve"> </w:t>
        </w:r>
      </w:hyperlink>
      <w:hyperlink r:id="rId338">
        <w:r w:rsidRPr="006810DB">
          <w:rPr>
            <w:rStyle w:val="Hyperlink"/>
            <w:rFonts w:ascii="Book Antiqua" w:hAnsi="Book Antiqua"/>
            <w:color w:val="000000" w:themeColor="text1"/>
            <w:sz w:val="20"/>
            <w:szCs w:val="20"/>
            <w:u w:val="none"/>
            <w:lang w:val="en"/>
          </w:rPr>
          <w:t>https://doi.org/10.3389/fphar.2017.00656</w:t>
        </w:r>
      </w:hyperlink>
    </w:p>
    <w:p w14:paraId="379566AA"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Hannan, M. A., Sohag, A. A. M., Uddin, M. J., Dash, R., Sikder, M. H., Rahman, M. S., ... &amp; Kim, B. (2021). Black Cumin (Nigella sativa L.): A Comprehensive Review on Phytochemistry, Health Benefits, Molecular Pharmacology, and Safety. </w:t>
      </w:r>
      <w:r w:rsidRPr="006810DB">
        <w:rPr>
          <w:rFonts w:ascii="Book Antiqua" w:hAnsi="Book Antiqua"/>
          <w:i/>
          <w:iCs/>
          <w:color w:val="000000" w:themeColor="text1"/>
          <w:sz w:val="20"/>
          <w:szCs w:val="20"/>
          <w:lang w:val="en"/>
        </w:rPr>
        <w:t>Nutrients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13</w:t>
      </w:r>
      <w:r w:rsidRPr="006810DB">
        <w:rPr>
          <w:rFonts w:ascii="Book Antiqua" w:hAnsi="Book Antiqua"/>
          <w:color w:val="000000" w:themeColor="text1"/>
          <w:sz w:val="20"/>
          <w:szCs w:val="20"/>
          <w:lang w:val="en"/>
        </w:rPr>
        <w:t>(6), 1784.</w:t>
      </w:r>
      <w:hyperlink r:id="rId339">
        <w:r w:rsidRPr="006810DB">
          <w:rPr>
            <w:rStyle w:val="Hyperlink"/>
            <w:rFonts w:ascii="Book Antiqua" w:hAnsi="Book Antiqua"/>
            <w:color w:val="000000" w:themeColor="text1"/>
            <w:sz w:val="20"/>
            <w:szCs w:val="20"/>
            <w:u w:val="none"/>
            <w:lang w:val="en"/>
          </w:rPr>
          <w:t xml:space="preserve"> </w:t>
        </w:r>
      </w:hyperlink>
      <w:hyperlink r:id="rId340">
        <w:r w:rsidRPr="006810DB">
          <w:rPr>
            <w:rStyle w:val="Hyperlink"/>
            <w:rFonts w:ascii="Book Antiqua" w:hAnsi="Book Antiqua"/>
            <w:color w:val="000000" w:themeColor="text1"/>
            <w:sz w:val="20"/>
            <w:szCs w:val="20"/>
            <w:u w:val="none"/>
            <w:lang w:val="en"/>
          </w:rPr>
          <w:t>https://doi.org/10.3390/nu13061784</w:t>
        </w:r>
      </w:hyperlink>
    </w:p>
    <w:p w14:paraId="79905468" w14:textId="77777777" w:rsidR="00004DEE" w:rsidRPr="006810DB" w:rsidRDefault="00004DEE" w:rsidP="006810DB">
      <w:pPr>
        <w:spacing w:line="276" w:lineRule="auto"/>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br w:type="page"/>
      </w:r>
    </w:p>
    <w:p w14:paraId="31031304"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Khan, J., Siddiqui, M. F., &amp; Ahmad, R. (2021). Role of oral microbiome in the pathogenesis of oral mucositis. </w:t>
      </w:r>
      <w:r w:rsidRPr="006810DB">
        <w:rPr>
          <w:rFonts w:ascii="Book Antiqua" w:hAnsi="Book Antiqua"/>
          <w:i/>
          <w:iCs/>
          <w:color w:val="000000" w:themeColor="text1"/>
          <w:sz w:val="20"/>
          <w:szCs w:val="20"/>
          <w:lang w:val="en"/>
        </w:rPr>
        <w:t>Journal of Oral Biology and Craniofacial Research</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11</w:t>
      </w:r>
      <w:r w:rsidRPr="006810DB">
        <w:rPr>
          <w:rFonts w:ascii="Book Antiqua" w:hAnsi="Book Antiqua"/>
          <w:color w:val="000000" w:themeColor="text1"/>
          <w:sz w:val="20"/>
          <w:szCs w:val="20"/>
          <w:lang w:val="en"/>
        </w:rPr>
        <w:t>(4), 548-553.</w:t>
      </w:r>
      <w:hyperlink r:id="rId341">
        <w:r w:rsidRPr="006810DB">
          <w:rPr>
            <w:rStyle w:val="Hyperlink"/>
            <w:rFonts w:ascii="Book Antiqua" w:hAnsi="Book Antiqua"/>
            <w:color w:val="000000" w:themeColor="text1"/>
            <w:sz w:val="20"/>
            <w:szCs w:val="20"/>
            <w:u w:val="none"/>
            <w:lang w:val="en"/>
          </w:rPr>
          <w:t xml:space="preserve"> </w:t>
        </w:r>
      </w:hyperlink>
      <w:hyperlink r:id="rId342">
        <w:r w:rsidRPr="006810DB">
          <w:rPr>
            <w:rStyle w:val="Hyperlink"/>
            <w:rFonts w:ascii="Book Antiqua" w:hAnsi="Book Antiqua"/>
            <w:color w:val="000000" w:themeColor="text1"/>
            <w:sz w:val="20"/>
            <w:szCs w:val="20"/>
            <w:u w:val="none"/>
            <w:lang w:val="en"/>
          </w:rPr>
          <w:t>https://doi.org/10.1016/j.jobcr.2021.08.006</w:t>
        </w:r>
      </w:hyperlink>
    </w:p>
    <w:p w14:paraId="5DFD5665"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Lalla, R. V., Bowen, J., Barasch, A., Elting, L., Epstein, J., Keefe, D. M., ... &amp; Elad, S. (2014). MASCC/ISOO clinical practice guidelines for the management of mucositis secondary to cancer therapy. </w:t>
      </w:r>
      <w:r w:rsidRPr="006810DB">
        <w:rPr>
          <w:rFonts w:ascii="Book Antiqua" w:hAnsi="Book Antiqua"/>
          <w:i/>
          <w:iCs/>
          <w:color w:val="000000" w:themeColor="text1"/>
          <w:sz w:val="20"/>
          <w:szCs w:val="20"/>
          <w:lang w:val="en"/>
        </w:rPr>
        <w:t>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120</w:t>
      </w:r>
      <w:r w:rsidRPr="006810DB">
        <w:rPr>
          <w:rFonts w:ascii="Book Antiqua" w:hAnsi="Book Antiqua"/>
          <w:color w:val="000000" w:themeColor="text1"/>
          <w:sz w:val="20"/>
          <w:szCs w:val="20"/>
          <w:lang w:val="en"/>
        </w:rPr>
        <w:t>(10), 1453-1461.</w:t>
      </w:r>
      <w:hyperlink r:id="rId343">
        <w:r w:rsidRPr="006810DB">
          <w:rPr>
            <w:rStyle w:val="Hyperlink"/>
            <w:rFonts w:ascii="Book Antiqua" w:hAnsi="Book Antiqua"/>
            <w:color w:val="000000" w:themeColor="text1"/>
            <w:sz w:val="20"/>
            <w:szCs w:val="20"/>
            <w:u w:val="none"/>
            <w:lang w:val="en"/>
          </w:rPr>
          <w:t xml:space="preserve"> </w:t>
        </w:r>
      </w:hyperlink>
      <w:hyperlink r:id="rId344">
        <w:r w:rsidRPr="006810DB">
          <w:rPr>
            <w:rStyle w:val="Hyperlink"/>
            <w:rFonts w:ascii="Book Antiqua" w:hAnsi="Book Antiqua"/>
            <w:color w:val="000000" w:themeColor="text1"/>
            <w:sz w:val="20"/>
            <w:szCs w:val="20"/>
            <w:u w:val="none"/>
            <w:lang w:val="en"/>
          </w:rPr>
          <w:t>https://doi.org/10.1002/cncr.28592</w:t>
        </w:r>
      </w:hyperlink>
    </w:p>
    <w:p w14:paraId="5AE847A4"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Madani, F., Kazemi, S., Shirafkan, F., Lotfi, M., Hosseini, S., &amp; Moghadamnia, A. (2023). Thymoquinone protects against 5</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Fluorouracil</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induced mucositis by NF</w:t>
      </w:r>
      <w:r w:rsidRPr="006810DB">
        <w:rPr>
          <w:rFonts w:ascii="Times New Roman" w:hAnsi="Times New Roman" w:cs="Times New Roman"/>
          <w:color w:val="000000" w:themeColor="text1"/>
          <w:sz w:val="20"/>
          <w:szCs w:val="20"/>
          <w:lang w:val="en"/>
        </w:rPr>
        <w:t>‐</w:t>
      </w:r>
      <w:r w:rsidRPr="006810DB">
        <w:rPr>
          <w:rFonts w:ascii="Book Antiqua" w:hAnsi="Book Antiqua" w:cs="Book Antiqua"/>
          <w:color w:val="000000" w:themeColor="text1"/>
          <w:sz w:val="20"/>
          <w:szCs w:val="20"/>
          <w:lang w:val="en"/>
        </w:rPr>
        <w:t>κβ</w:t>
      </w:r>
      <w:r w:rsidRPr="006810DB">
        <w:rPr>
          <w:rFonts w:ascii="Book Antiqua" w:hAnsi="Book Antiqua"/>
          <w:color w:val="000000" w:themeColor="text1"/>
          <w:sz w:val="20"/>
          <w:szCs w:val="20"/>
          <w:lang w:val="en"/>
        </w:rPr>
        <w:t xml:space="preserve"> and HIF</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 xml:space="preserve">1 mechanisms in mice. </w:t>
      </w:r>
      <w:r w:rsidRPr="006810DB">
        <w:rPr>
          <w:rFonts w:ascii="Book Antiqua" w:hAnsi="Book Antiqua"/>
          <w:i/>
          <w:iCs/>
          <w:color w:val="000000" w:themeColor="text1"/>
          <w:sz w:val="20"/>
          <w:szCs w:val="20"/>
          <w:lang w:val="en"/>
        </w:rPr>
        <w:t>Journal of Biochemical and Molecular Toxicology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37</w:t>
      </w:r>
      <w:r w:rsidRPr="006810DB">
        <w:rPr>
          <w:rFonts w:ascii="Book Antiqua" w:hAnsi="Book Antiqua"/>
          <w:color w:val="000000" w:themeColor="text1"/>
          <w:sz w:val="20"/>
          <w:szCs w:val="20"/>
          <w:lang w:val="en"/>
        </w:rPr>
        <w:t>(6), e23405.</w:t>
      </w:r>
      <w:hyperlink r:id="rId345">
        <w:r w:rsidRPr="006810DB">
          <w:rPr>
            <w:rStyle w:val="Hyperlink"/>
            <w:rFonts w:ascii="Book Antiqua" w:hAnsi="Book Antiqua"/>
            <w:color w:val="000000" w:themeColor="text1"/>
            <w:sz w:val="20"/>
            <w:szCs w:val="20"/>
            <w:u w:val="none"/>
            <w:lang w:val="en"/>
          </w:rPr>
          <w:t xml:space="preserve"> </w:t>
        </w:r>
      </w:hyperlink>
      <w:hyperlink r:id="rId346">
        <w:r w:rsidRPr="006810DB">
          <w:rPr>
            <w:rStyle w:val="Hyperlink"/>
            <w:rFonts w:ascii="Book Antiqua" w:hAnsi="Book Antiqua"/>
            <w:color w:val="000000" w:themeColor="text1"/>
            <w:sz w:val="20"/>
            <w:szCs w:val="20"/>
            <w:u w:val="none"/>
            <w:lang w:val="en"/>
          </w:rPr>
          <w:t>https://doi.org/10.1002/jbt.23405</w:t>
        </w:r>
      </w:hyperlink>
    </w:p>
    <w:p w14:paraId="1C114E73"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Shafodino, F., Lusilao, J. G., &amp; Mwapagha, L. M. (2022). Phytochemical characterization and antimicrobial activity of Nigella sativa seeds. </w:t>
      </w:r>
      <w:r w:rsidRPr="006810DB">
        <w:rPr>
          <w:rFonts w:ascii="Book Antiqua" w:hAnsi="Book Antiqua"/>
          <w:i/>
          <w:iCs/>
          <w:color w:val="000000" w:themeColor="text1"/>
          <w:sz w:val="20"/>
          <w:szCs w:val="20"/>
          <w:lang w:val="en"/>
        </w:rPr>
        <w:t>PLoS ONE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17</w:t>
      </w:r>
      <w:r w:rsidRPr="006810DB">
        <w:rPr>
          <w:rFonts w:ascii="Book Antiqua" w:hAnsi="Book Antiqua"/>
          <w:color w:val="000000" w:themeColor="text1"/>
          <w:sz w:val="20"/>
          <w:szCs w:val="20"/>
          <w:lang w:val="en"/>
        </w:rPr>
        <w:t>(10), e0272457.</w:t>
      </w:r>
      <w:hyperlink r:id="rId347">
        <w:r w:rsidRPr="006810DB">
          <w:rPr>
            <w:rStyle w:val="Hyperlink"/>
            <w:rFonts w:ascii="Book Antiqua" w:hAnsi="Book Antiqua"/>
            <w:color w:val="000000" w:themeColor="text1"/>
            <w:sz w:val="20"/>
            <w:szCs w:val="20"/>
            <w:u w:val="none"/>
            <w:lang w:val="en"/>
          </w:rPr>
          <w:t xml:space="preserve"> </w:t>
        </w:r>
      </w:hyperlink>
      <w:hyperlink r:id="rId348">
        <w:r w:rsidRPr="006810DB">
          <w:rPr>
            <w:rStyle w:val="Hyperlink"/>
            <w:rFonts w:ascii="Book Antiqua" w:hAnsi="Book Antiqua"/>
            <w:color w:val="000000" w:themeColor="text1"/>
            <w:sz w:val="20"/>
            <w:szCs w:val="20"/>
            <w:u w:val="none"/>
            <w:lang w:val="en"/>
          </w:rPr>
          <w:t>https://doi.org/10.1371/journal.pone.0272457</w:t>
        </w:r>
      </w:hyperlink>
    </w:p>
    <w:p w14:paraId="5EFB4C85"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Sonis, S. T. (2010). The pathobiology of mucositis. </w:t>
      </w:r>
      <w:r w:rsidRPr="006810DB">
        <w:rPr>
          <w:rFonts w:ascii="Book Antiqua" w:hAnsi="Book Antiqua"/>
          <w:i/>
          <w:iCs/>
          <w:color w:val="000000" w:themeColor="text1"/>
          <w:sz w:val="20"/>
          <w:szCs w:val="20"/>
          <w:lang w:val="en"/>
        </w:rPr>
        <w:t>Nature Reviews 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w:t>
      </w:r>
      <w:r w:rsidRPr="006810DB">
        <w:rPr>
          <w:rFonts w:ascii="Book Antiqua" w:hAnsi="Book Antiqua"/>
          <w:color w:val="000000" w:themeColor="text1"/>
          <w:sz w:val="20"/>
          <w:szCs w:val="20"/>
          <w:lang w:val="en"/>
        </w:rPr>
        <w:t>(4), 277-284.</w:t>
      </w:r>
      <w:hyperlink r:id="rId349">
        <w:r w:rsidRPr="006810DB">
          <w:rPr>
            <w:rStyle w:val="Hyperlink"/>
            <w:rFonts w:ascii="Book Antiqua" w:hAnsi="Book Antiqua"/>
            <w:color w:val="000000" w:themeColor="text1"/>
            <w:sz w:val="20"/>
            <w:szCs w:val="20"/>
            <w:u w:val="none"/>
            <w:lang w:val="en"/>
          </w:rPr>
          <w:t xml:space="preserve"> </w:t>
        </w:r>
      </w:hyperlink>
      <w:hyperlink r:id="rId350">
        <w:r w:rsidRPr="006810DB">
          <w:rPr>
            <w:rStyle w:val="Hyperlink"/>
            <w:rFonts w:ascii="Book Antiqua" w:hAnsi="Book Antiqua"/>
            <w:color w:val="000000" w:themeColor="text1"/>
            <w:sz w:val="20"/>
            <w:szCs w:val="20"/>
            <w:u w:val="none"/>
            <w:lang w:val="en"/>
          </w:rPr>
          <w:t>https://doi.org/10.1038/nrc2812</w:t>
        </w:r>
      </w:hyperlink>
    </w:p>
    <w:p w14:paraId="69B373BD"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Yimer, E. M., Tuem, K. B., Karim, A., Ur-Rehman, N., &amp; Anwar, F. (2019). Nigella sativa L. (black cumin): a promising natural remedy for wide range of illnesses. </w:t>
      </w:r>
      <w:r w:rsidRPr="006810DB">
        <w:rPr>
          <w:rFonts w:ascii="Book Antiqua" w:hAnsi="Book Antiqua"/>
          <w:i/>
          <w:iCs/>
          <w:color w:val="000000" w:themeColor="text1"/>
          <w:sz w:val="20"/>
          <w:szCs w:val="20"/>
          <w:lang w:val="en"/>
        </w:rPr>
        <w:t>Evidence-Based Complementary and Alternative Medicine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2019</w:t>
      </w:r>
      <w:r w:rsidRPr="006810DB">
        <w:rPr>
          <w:rFonts w:ascii="Book Antiqua" w:hAnsi="Book Antiqua"/>
          <w:color w:val="000000" w:themeColor="text1"/>
          <w:sz w:val="20"/>
          <w:szCs w:val="20"/>
          <w:lang w:val="en"/>
        </w:rPr>
        <w:t>, 1528635.</w:t>
      </w:r>
      <w:hyperlink r:id="rId351">
        <w:r w:rsidRPr="006810DB">
          <w:rPr>
            <w:rStyle w:val="Hyperlink"/>
            <w:rFonts w:ascii="Book Antiqua" w:hAnsi="Book Antiqua"/>
            <w:color w:val="000000" w:themeColor="text1"/>
            <w:sz w:val="20"/>
            <w:szCs w:val="20"/>
            <w:u w:val="none"/>
            <w:lang w:val="en"/>
          </w:rPr>
          <w:t xml:space="preserve"> </w:t>
        </w:r>
      </w:hyperlink>
      <w:hyperlink r:id="rId352">
        <w:r w:rsidRPr="006810DB">
          <w:rPr>
            <w:rStyle w:val="Hyperlink"/>
            <w:rFonts w:ascii="Book Antiqua" w:hAnsi="Book Antiqua"/>
            <w:color w:val="000000" w:themeColor="text1"/>
            <w:sz w:val="20"/>
            <w:szCs w:val="20"/>
            <w:u w:val="none"/>
            <w:lang w:val="en"/>
          </w:rPr>
          <w:t>https://doi.org/10.1155/2019/1528635</w:t>
        </w:r>
      </w:hyperlink>
    </w:p>
    <w:p w14:paraId="246C094E" w14:textId="77777777" w:rsidR="00004DEE" w:rsidRPr="006810DB" w:rsidRDefault="00004DEE" w:rsidP="006810DB">
      <w:pPr>
        <w:spacing w:after="0" w:line="276" w:lineRule="auto"/>
        <w:jc w:val="both"/>
        <w:rPr>
          <w:rFonts w:ascii="Book Antiqua" w:hAnsi="Book Antiqua"/>
          <w:b/>
          <w:bCs/>
          <w:sz w:val="20"/>
          <w:szCs w:val="20"/>
          <w:lang w:val="en"/>
        </w:rPr>
      </w:pPr>
      <w:bookmarkStart w:id="463" w:name="_8gvee5tw89ku" w:colFirst="0" w:colLast="0"/>
      <w:bookmarkEnd w:id="463"/>
    </w:p>
    <w:p w14:paraId="5FADC189" w14:textId="77777777" w:rsidR="00004DEE" w:rsidRPr="006810DB" w:rsidRDefault="00004DEE"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1420596F" w14:textId="731C2938" w:rsidR="00D0395B" w:rsidRPr="006810DB" w:rsidRDefault="00D0395B" w:rsidP="00B9360C">
      <w:pPr>
        <w:pStyle w:val="Heading1"/>
        <w:spacing w:before="0" w:line="276" w:lineRule="auto"/>
        <w:ind w:firstLine="142"/>
        <w:rPr>
          <w:b/>
          <w:bCs/>
          <w:szCs w:val="20"/>
          <w:lang w:val="en"/>
        </w:rPr>
      </w:pPr>
      <w:bookmarkStart w:id="464" w:name="_Toc223089003"/>
      <w:r w:rsidRPr="006810DB">
        <w:rPr>
          <w:b/>
          <w:noProof/>
          <w:sz w:val="48"/>
          <w:szCs w:val="20"/>
          <w:lang w:val="en-US"/>
        </w:rPr>
        <w:lastRenderedPageBreak/>
        <mc:AlternateContent>
          <mc:Choice Requires="wps">
            <w:drawing>
              <wp:anchor distT="0" distB="0" distL="114300" distR="114300" simplePos="0" relativeHeight="251721728" behindDoc="0" locked="0" layoutInCell="1" allowOverlap="1" wp14:anchorId="3813BB36" wp14:editId="6801CFD2">
                <wp:simplePos x="0" y="0"/>
                <wp:positionH relativeFrom="column">
                  <wp:posOffset>910590</wp:posOffset>
                </wp:positionH>
                <wp:positionV relativeFrom="paragraph">
                  <wp:posOffset>133350</wp:posOffset>
                </wp:positionV>
                <wp:extent cx="2820035" cy="1066800"/>
                <wp:effectExtent l="0" t="0" r="0" b="0"/>
                <wp:wrapNone/>
                <wp:docPr id="40" name="Rectangle 40"/>
                <wp:cNvGraphicFramePr/>
                <a:graphic xmlns:a="http://schemas.openxmlformats.org/drawingml/2006/main">
                  <a:graphicData uri="http://schemas.microsoft.com/office/word/2010/wordprocessingShape">
                    <wps:wsp>
                      <wps:cNvSpPr/>
                      <wps:spPr>
                        <a:xfrm>
                          <a:off x="0" y="0"/>
                          <a:ext cx="2820035" cy="1066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91950EA" w14:textId="27E69A8F" w:rsidR="00D0395B" w:rsidRPr="00004DEE" w:rsidRDefault="00D0395B" w:rsidP="00D0395B">
                            <w:pPr>
                              <w:spacing w:after="0" w:line="276" w:lineRule="auto"/>
                              <w:jc w:val="center"/>
                              <w:rPr>
                                <w:rFonts w:ascii="Book Antiqua" w:hAnsi="Book Antiqua"/>
                                <w:b/>
                                <w:bCs/>
                                <w:sz w:val="32"/>
                                <w:szCs w:val="36"/>
                                <w:lang w:val="en"/>
                              </w:rPr>
                            </w:pPr>
                            <w:r w:rsidRPr="00004DEE">
                              <w:rPr>
                                <w:rFonts w:ascii="Book Antiqua" w:hAnsi="Book Antiqua"/>
                                <w:b/>
                                <w:bCs/>
                                <w:sz w:val="32"/>
                                <w:szCs w:val="36"/>
                                <w:lang w:val="en"/>
                              </w:rPr>
                              <w:t xml:space="preserve">TANTANGAN DAN PROSPEK KLINIS </w:t>
                            </w:r>
                            <w:r w:rsidR="00004DEE">
                              <w:rPr>
                                <w:rFonts w:ascii="Book Antiqua" w:hAnsi="Book Antiqua"/>
                                <w:b/>
                                <w:bCs/>
                                <w:sz w:val="32"/>
                                <w:szCs w:val="36"/>
                                <w:lang w:val="en"/>
                              </w:rPr>
                              <w:br/>
                            </w:r>
                            <w:r w:rsidRPr="00004DEE">
                              <w:rPr>
                                <w:rFonts w:ascii="Book Antiqua" w:hAnsi="Book Antiqua"/>
                                <w:b/>
                                <w:bCs/>
                                <w:sz w:val="32"/>
                                <w:szCs w:val="36"/>
                                <w:lang w:val="en"/>
                              </w:rPr>
                              <w:t>DI MASA DEPAN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813BB36" id="Rectangle 40" o:spid="_x0000_s1044" style="position:absolute;left:0;text-align:left;margin-left:71.7pt;margin-top:10.5pt;width:222.05pt;height:8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XctZQIAABEFAAAOAAAAZHJzL2Uyb0RvYy54bWysVN1v0zAQf0fif7D8zpKUrZRq6VRtGkKa&#10;2LSBeHYdu42wfca+Ni1/PWcnzTboE+Ilue+P39358mpvDdupEFtwNa/OSs6Uk9C0bl3zb19v3804&#10;iyhcIww4VfODivxq8fbNZefnagIbMI0KjIK4OO98zTeIfl4UUW6UFfEMvHKk1BCsQGLDumiC6Ci6&#10;NcWkLKdFB6HxAaSKkaQ3vZIvcnytlcR7raNCZmpOtWH+hvxdpW+xuBTzdRB+08qhDPEPVVjROko6&#10;hroRKNg2tH+Fsq0MEEHjmQRbgNatVLkH6qYq/+jmaSO8yr0QONGPMMX/F1Z+2T0E1jY1Pyd4nLA0&#10;o0dCTbi1UYxkBFDn45zsnvxDGLhIZOp2r4NNf+qD7TOohxFUtUcmSTiZ0ZzeX3AmSVeV0+mszFGL&#10;Z3cfIn5SYFkiah4ofwZT7O4iUkoyPZqkbA5uW2Py5Ix7JSDDJClSxX2NmcKDUcnOuEelqdlUVU6Q&#10;10xdm8B2ghZESKkcTlPPORJZJzdN2UbH6pSjwWpwGmyTm8rrNzqWpxxfZxw9clZwODrb1kE4FaD5&#10;MWbu7Y/d9z2n9nG/2ucJV7PjNFfQHGjsAfp7iF7etgT9nYj4IAIdAO0CHTXe00cb6GoOA8XZBsKv&#10;U/JkT3tJWs46Oqiax59bERRn5rOjjf1YnacVw8ycX3yYEBNealYvNW5rr4FGUtHz4WUmkz2aI6kD&#10;2O90+8uUlVTCScpdc4nhyFxjf+j0eki1XGYzujov8M49eZmCJ6AdLLcIus2blgDr0RmApLvL2zC8&#10;EemwX/LZ6vklW/wGAAD//wMAUEsDBBQABgAIAAAAIQD6xqNr3gAAAAoBAAAPAAAAZHJzL2Rvd25y&#10;ZXYueG1sTI/NTsMwEITvSLyDtUjcqNPSQghxKkBCCPWAKO3dcbZJRLyObOenb89yguNoRjPf5NvZ&#10;dmJEH1pHCpaLBASScVVLtYLD1+tNCiJETZXuHKGCMwbYFpcXuc4qN9EnjvtYCy6hkGkFTYx9JmUw&#10;DVodFq5HYu/kvNWRpa9l5fXE5baTqyS5k1a3xAuN7vGlQfO9H6yCozs9T9aU9D6eP9rhbeeNSXdK&#10;XV/NT48gIs7xLwy/+IwOBTOVbqAqiI71+nbNUQWrJX/iwCa934Ao2UkfEpBFLv9fKH4AAAD//wMA&#10;UEsBAi0AFAAGAAgAAAAhALaDOJL+AAAA4QEAABMAAAAAAAAAAAAAAAAAAAAAAFtDb250ZW50X1R5&#10;cGVzXS54bWxQSwECLQAUAAYACAAAACEAOP0h/9YAAACUAQAACwAAAAAAAAAAAAAAAAAvAQAAX3Jl&#10;bHMvLnJlbHNQSwECLQAUAAYACAAAACEAUHV3LWUCAAARBQAADgAAAAAAAAAAAAAAAAAuAgAAZHJz&#10;L2Uyb0RvYy54bWxQSwECLQAUAAYACAAAACEA+saja94AAAAKAQAADwAAAAAAAAAAAAAAAAC/BAAA&#10;ZHJzL2Rvd25yZXYueG1sUEsFBgAAAAAEAAQA8wAAAMoFAAAAAA==&#10;" filled="f" stroked="f" strokeweight="1pt">
                <v:textbox>
                  <w:txbxContent>
                    <w:p w14:paraId="791950EA" w14:textId="27E69A8F" w:rsidR="00D0395B" w:rsidRPr="00004DEE" w:rsidRDefault="00D0395B" w:rsidP="00D0395B">
                      <w:pPr>
                        <w:spacing w:after="0" w:line="276" w:lineRule="auto"/>
                        <w:jc w:val="center"/>
                        <w:rPr>
                          <w:rFonts w:ascii="Book Antiqua" w:hAnsi="Book Antiqua"/>
                          <w:b/>
                          <w:bCs/>
                          <w:sz w:val="32"/>
                          <w:szCs w:val="36"/>
                          <w:lang w:val="en"/>
                        </w:rPr>
                      </w:pPr>
                      <w:r w:rsidRPr="00004DEE">
                        <w:rPr>
                          <w:rFonts w:ascii="Book Antiqua" w:hAnsi="Book Antiqua"/>
                          <w:b/>
                          <w:bCs/>
                          <w:sz w:val="32"/>
                          <w:szCs w:val="36"/>
                          <w:lang w:val="en"/>
                        </w:rPr>
                        <w:t xml:space="preserve">TANTANGAN DAN PROSPEK KLINIS </w:t>
                      </w:r>
                      <w:r w:rsidR="00004DEE">
                        <w:rPr>
                          <w:rFonts w:ascii="Book Antiqua" w:hAnsi="Book Antiqua"/>
                          <w:b/>
                          <w:bCs/>
                          <w:sz w:val="32"/>
                          <w:szCs w:val="36"/>
                          <w:lang w:val="en"/>
                        </w:rPr>
                        <w:br/>
                      </w:r>
                      <w:r w:rsidRPr="00004DEE">
                        <w:rPr>
                          <w:rFonts w:ascii="Book Antiqua" w:hAnsi="Book Antiqua"/>
                          <w:b/>
                          <w:bCs/>
                          <w:sz w:val="32"/>
                          <w:szCs w:val="36"/>
                          <w:lang w:val="en"/>
                        </w:rPr>
                        <w:t>DI MASA DEPAN</w:t>
                      </w:r>
                    </w:p>
                  </w:txbxContent>
                </v:textbox>
              </v:rect>
            </w:pict>
          </mc:Fallback>
        </mc:AlternateContent>
      </w:r>
      <w:r w:rsidRPr="006810DB">
        <w:rPr>
          <w:b/>
          <w:noProof/>
          <w:sz w:val="48"/>
          <w:szCs w:val="20"/>
          <w:lang w:val="en-US"/>
        </w:rPr>
        <mc:AlternateContent>
          <mc:Choice Requires="wps">
            <w:drawing>
              <wp:anchor distT="0" distB="0" distL="114300" distR="114300" simplePos="0" relativeHeight="251720704" behindDoc="0" locked="0" layoutInCell="1" allowOverlap="1" wp14:anchorId="288E96E3" wp14:editId="013F5604">
                <wp:simplePos x="0" y="0"/>
                <wp:positionH relativeFrom="column">
                  <wp:posOffset>884555</wp:posOffset>
                </wp:positionH>
                <wp:positionV relativeFrom="paragraph">
                  <wp:posOffset>76835</wp:posOffset>
                </wp:positionV>
                <wp:extent cx="0" cy="1152000"/>
                <wp:effectExtent l="19050" t="0" r="38100" b="48260"/>
                <wp:wrapNone/>
                <wp:docPr id="41" name="Straight Connector 41"/>
                <wp:cNvGraphicFramePr/>
                <a:graphic xmlns:a="http://schemas.openxmlformats.org/drawingml/2006/main">
                  <a:graphicData uri="http://schemas.microsoft.com/office/word/2010/wordprocessingShape">
                    <wps:wsp>
                      <wps:cNvCnPr/>
                      <wps:spPr>
                        <a:xfrm>
                          <a:off x="0" y="0"/>
                          <a:ext cx="0" cy="1152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5A86D1F" id="Straight Connector 41" o:spid="_x0000_s1026" style="position:absolute;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C+N2AEAAA8EAAAOAAAAZHJzL2Uyb0RvYy54bWysU8GO0zAQvSPxD5bvNM2KAoqa7qGr5YKg&#10;YtkP8Dp2Y8n2WGPTpH/P2EnTFSAkVntx4pl5z/Oex9vb0Vl2UhgN+JbXqzVnykvojD+2/PHH/btP&#10;nMUkfCcseNXys4r8dvf2zXYIjbqBHmynkBGJj80QWt6nFJqqirJXTsQVBOUpqQGdSLTFY9WhGIjd&#10;2epmvf5QDYBdQJAqRoreTUm+K/xaK5m+aR1VYrbl1FsqK5b1Ka/VbiuaI4rQGzm3IV7QhRPG06EL&#10;1Z1Igv1E8weVMxIhgk4rCa4CrY1URQOpqde/qXnoRVBFC5kTw2JTfD1a+fV0QGa6lr+vOfPC0R09&#10;JBTm2Ce2B+/JQUBGSXJqCLEhwN4fcN7FcMAse9To8pcEsbG4e17cVWNicgpKitb1hi6uOF9dgQFj&#10;+qzAsfzTcmt8Fi4acfoSEx1GpZeSHLaeDS3ffKw361IWwZru3libk2V41N4iOwm69jSW5onhWRXt&#10;rCfaLGkSUf7S2aqJ/7vSZAu1XU8H5IG8cgoplU8XXuupOsM0dbAA587+BZzrM1SVYf0f8IIoJ4NP&#10;C9gZD/i3tq9W6Kn+4sCkO1vwBN25XG+xhqaueD+/kDzWz/cFfn3Hu18AAAD//wMAUEsDBBQABgAI&#10;AAAAIQBHaIbM2gAAAAoBAAAPAAAAZHJzL2Rvd25yZXYueG1sTE9NS8NAEL0L/odlBG9204aIidmU&#10;IhTpRWgreN1kx2QxOxuy2zT++0691Nt7M4/3Ua5n14sJx2A9KVguEhBIjTeWWgWfx+3TC4gQNRnd&#10;e0IFvxhgXd3flbow/kx7nA6xFWxCodAKuhiHQsrQdOh0WPgBiX/ffnQ6Mh1baUZ9ZnPXy1WSPEun&#10;LXFCpwd867D5OZwch2RfzTsGuzPbTVZnU27r5MMq9fgwb15BRJzjTQzX+lwdKu5U+xOZIHrmaZ6y&#10;lMFqCeIq+DvUDPI0A1mV8v+E6gIAAP//AwBQSwECLQAUAAYACAAAACEAtoM4kv4AAADhAQAAEwAA&#10;AAAAAAAAAAAAAAAAAAAAW0NvbnRlbnRfVHlwZXNdLnhtbFBLAQItABQABgAIAAAAIQA4/SH/1gAA&#10;AJQBAAALAAAAAAAAAAAAAAAAAC8BAABfcmVscy8ucmVsc1BLAQItABQABgAIAAAAIQAiUC+N2AEA&#10;AA8EAAAOAAAAAAAAAAAAAAAAAC4CAABkcnMvZTJvRG9jLnhtbFBLAQItABQABgAIAAAAIQBHaIbM&#10;2gAAAAoBAAAPAAAAAAAAAAAAAAAAADIEAABkcnMvZG93bnJldi54bWxQSwUGAAAAAAQABADzAAAA&#10;OQU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30"/>
          <w:szCs w:val="130"/>
          <w:lang w:val="en-US"/>
        </w:rPr>
        <w:t>19</w:t>
      </w:r>
      <w:r w:rsidRPr="006810DB">
        <w:rPr>
          <w:b/>
          <w:szCs w:val="20"/>
          <w:lang w:val="en-US"/>
        </w:rPr>
        <w:t xml:space="preserve"> </w:t>
      </w:r>
      <w:r w:rsidRPr="006810DB">
        <w:rPr>
          <w:b/>
          <w:szCs w:val="20"/>
          <w:lang w:val="en-US"/>
        </w:rPr>
        <w:tab/>
      </w:r>
      <w:r w:rsidRPr="006810DB">
        <w:rPr>
          <w:b/>
          <w:color w:val="FFFFFF" w:themeColor="background1"/>
          <w:sz w:val="14"/>
          <w:szCs w:val="14"/>
          <w:lang w:val="en-US"/>
        </w:rPr>
        <w:t>TANTANGAN DAN PROSPEK KLINIS DI MASA DEPAN</w:t>
      </w:r>
      <w:bookmarkEnd w:id="464"/>
    </w:p>
    <w:p w14:paraId="4FF5E473" w14:textId="77777777" w:rsidR="00D0395B" w:rsidRPr="006810DB" w:rsidRDefault="00D0395B" w:rsidP="006810DB">
      <w:pPr>
        <w:spacing w:after="0" w:line="276" w:lineRule="auto"/>
        <w:jc w:val="both"/>
        <w:rPr>
          <w:rFonts w:ascii="Book Antiqua" w:hAnsi="Book Antiqua"/>
          <w:sz w:val="20"/>
          <w:szCs w:val="20"/>
          <w:lang w:val="en"/>
        </w:rPr>
      </w:pPr>
    </w:p>
    <w:p w14:paraId="5ACD75F9" w14:textId="77777777" w:rsidR="00D0395B" w:rsidRPr="006810DB" w:rsidRDefault="00D0395B" w:rsidP="006810DB">
      <w:pPr>
        <w:spacing w:after="0" w:line="276" w:lineRule="auto"/>
        <w:jc w:val="both"/>
        <w:rPr>
          <w:rFonts w:ascii="Book Antiqua" w:hAnsi="Book Antiqua"/>
          <w:sz w:val="20"/>
          <w:szCs w:val="20"/>
          <w:lang w:val="en"/>
        </w:rPr>
      </w:pPr>
    </w:p>
    <w:p w14:paraId="002A02CF" w14:textId="3788F1DA" w:rsidR="00B258B7" w:rsidRPr="006810DB" w:rsidRDefault="009B5356" w:rsidP="00B9360C">
      <w:pPr>
        <w:pStyle w:val="Heading2"/>
        <w:numPr>
          <w:ilvl w:val="0"/>
          <w:numId w:val="34"/>
        </w:numPr>
        <w:ind w:left="284" w:hanging="284"/>
      </w:pPr>
      <w:bookmarkStart w:id="465" w:name="_p5r8i3ri8jd8" w:colFirst="0" w:colLast="0"/>
      <w:bookmarkStart w:id="466" w:name="_Toc223089004"/>
      <w:bookmarkEnd w:id="465"/>
      <w:r w:rsidRPr="006810DB">
        <w:t>Pendahuluan</w:t>
      </w:r>
      <w:bookmarkEnd w:id="466"/>
    </w:p>
    <w:p w14:paraId="737A45AD" w14:textId="15C55016"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eastAsia="zh-CN"/>
        </w:rPr>
        <w:t xml:space="preserve">Perjalanan penemuan obat sering kali digambarkan sebagai sebuah odisei yang panjang dan berliku, di mana keberhasilan di laboratorium hanyalah langkah awal dari ribuan langkah menuju aplikasi klinis yang nyata. </w:t>
      </w:r>
      <w:r w:rsidRPr="006810DB">
        <w:rPr>
          <w:rFonts w:ascii="Book Antiqua" w:hAnsi="Book Antiqua"/>
          <w:sz w:val="20"/>
          <w:szCs w:val="20"/>
          <w:lang w:val="en"/>
        </w:rPr>
        <w:t xml:space="preserve">Data yang telah dipaparkan dalam bab-bab sebelumnya melukiskan gambaran yang sangat optimis mengenai potensi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Dari bukti molekuler penghambatan jalur </w:t>
      </w:r>
      <w:r w:rsidRPr="006810DB">
        <w:rPr>
          <w:rFonts w:ascii="Book Antiqua" w:hAnsi="Book Antiqua"/>
          <w:sz w:val="20"/>
          <w:szCs w:val="20"/>
          <w:highlight w:val="yellow"/>
          <w:lang w:val="en"/>
        </w:rPr>
        <w:t>NF-κ\kappaκ</w:t>
      </w:r>
      <w:r w:rsidR="00AD1372"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hingga perbaikan dramatis pada gambaran histopatologis mukosa hewan coba, semuanya menunjukkan bahwa ekstrak biji jintan hitam memiliki kapasitas biologis yang kuat untuk melawan mukositis akibat cisplatin. Namun, transisi dari "kandang tikus" menuju "bangsal rumah sakit" bukanlah proses yang linear atau sederhana. Terdapat jurang pemisah yang lebar, yang sering disebut dalam industri farmasi sebagai "lembah kematian" (</w:t>
      </w:r>
      <w:r w:rsidRPr="006810DB">
        <w:rPr>
          <w:rFonts w:ascii="Book Antiqua" w:hAnsi="Book Antiqua"/>
          <w:i/>
          <w:iCs/>
          <w:sz w:val="20"/>
          <w:szCs w:val="20"/>
          <w:lang w:val="en"/>
        </w:rPr>
        <w:t>valley of death</w:t>
      </w:r>
      <w:r w:rsidRPr="006810DB">
        <w:rPr>
          <w:rFonts w:ascii="Book Antiqua" w:hAnsi="Book Antiqua"/>
          <w:sz w:val="20"/>
          <w:szCs w:val="20"/>
          <w:lang w:val="en"/>
        </w:rPr>
        <w:t>), di mana banyak kandidat obat potensial gagal membuktikan efikasinya pada manusia meskipun menunjukkan hasil gemilang pada model praklinis.</w:t>
      </w:r>
    </w:p>
    <w:p w14:paraId="34CFEF37"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highlight w:val="cyan"/>
          <w:lang w:val="en"/>
        </w:rPr>
        <w:t>Tantangan utama dalam penerjemahan (</w:t>
      </w:r>
      <w:r w:rsidRPr="006810DB">
        <w:rPr>
          <w:rFonts w:ascii="Book Antiqua" w:hAnsi="Book Antiqua"/>
          <w:i/>
          <w:iCs/>
          <w:sz w:val="20"/>
          <w:szCs w:val="20"/>
          <w:highlight w:val="cyan"/>
          <w:lang w:val="en"/>
        </w:rPr>
        <w:t>translation</w:t>
      </w:r>
      <w:r w:rsidRPr="006810DB">
        <w:rPr>
          <w:rFonts w:ascii="Book Antiqua" w:hAnsi="Book Antiqua"/>
          <w:sz w:val="20"/>
          <w:szCs w:val="20"/>
          <w:highlight w:val="cyan"/>
          <w:lang w:val="en"/>
        </w:rPr>
        <w:t>) hasil penelitian ini berakar pada kompleksitas biologis manusia yang jauh melampaui model hewan pengerat.</w:t>
      </w:r>
      <w:r w:rsidRPr="006810DB">
        <w:rPr>
          <w:rFonts w:ascii="Book Antiqua" w:hAnsi="Book Antiqua"/>
          <w:sz w:val="20"/>
          <w:szCs w:val="20"/>
          <w:lang w:val="en"/>
        </w:rPr>
        <w:t xml:space="preserve"> Meskipun tikus Wistar berbagi homologi genetik yang tinggi dengan manusia, perbedaan dalam laju metabolisme, anatomi mukosa, dan respons imun tetap menjadi variabel perancu yang signifikan. Apa yang efektif pada organisme seberat 200 gram dengan diet terkontrol mungkin tidak memberikan dampak yang sama pada </w:t>
      </w:r>
      <w:r w:rsidRPr="006810DB">
        <w:rPr>
          <w:rFonts w:ascii="Book Antiqua" w:hAnsi="Book Antiqua"/>
          <w:sz w:val="20"/>
          <w:szCs w:val="20"/>
          <w:lang w:val="en"/>
        </w:rPr>
        <w:lastRenderedPageBreak/>
        <w:t>pasien kanker seberat 70 kg dengan variabilitas genetik dan gaya hidup yang beragam. Oleh karena itu, optimisme ilmiah harus diimbangi dengan kehati-hatian klinis dalam menginterpretasikan data yang ada.</w:t>
      </w:r>
    </w:p>
    <w:p w14:paraId="2818E414"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Selain perbedaan biologis, tantangan farmasetik juga menjadi hambatan besar. </w:t>
      </w:r>
      <w:r w:rsidRPr="006810DB">
        <w:rPr>
          <w:rFonts w:ascii="Book Antiqua" w:hAnsi="Book Antiqua"/>
          <w:i/>
          <w:iCs/>
          <w:sz w:val="20"/>
          <w:szCs w:val="20"/>
          <w:lang w:val="en"/>
        </w:rPr>
        <w:t>Thymoquinone</w:t>
      </w:r>
      <w:r w:rsidRPr="006810DB">
        <w:rPr>
          <w:rFonts w:ascii="Book Antiqua" w:hAnsi="Book Antiqua"/>
          <w:sz w:val="20"/>
          <w:szCs w:val="20"/>
          <w:lang w:val="en"/>
        </w:rPr>
        <w:t>, sebagai senyawa aktif utama, memiliki sifat fisikokimia yang menantang, seperti kelarutan dalam air yang rendah dan ketidakstabilan terhadap cahaya serta panas. Mengembangkan formulasi sediaan yang mampu menghantarkan senyawa ini ke jaringan target di dalam rongga mulut yang selalu basah oleh saliva adalah sebuah rekayasa farmasi yang rumit. Sediaan minyak konvensional mungkin cepat terbilas sebelum sempat diserap, mengurangi bioavailabilitas dan efikasi terapeutik secara drastis. Inovasi dalam sistem penghantaran obat (</w:t>
      </w:r>
      <w:r w:rsidRPr="006810DB">
        <w:rPr>
          <w:rFonts w:ascii="Book Antiqua" w:hAnsi="Book Antiqua"/>
          <w:i/>
          <w:iCs/>
          <w:sz w:val="20"/>
          <w:szCs w:val="20"/>
          <w:lang w:val="en"/>
        </w:rPr>
        <w:t>drug delivery systems</w:t>
      </w:r>
      <w:r w:rsidRPr="006810DB">
        <w:rPr>
          <w:rFonts w:ascii="Book Antiqua" w:hAnsi="Book Antiqua"/>
          <w:sz w:val="20"/>
          <w:szCs w:val="20"/>
          <w:lang w:val="en"/>
        </w:rPr>
        <w:t>) menjadi kunci untuk mengatasi keterbatasan ini.</w:t>
      </w:r>
    </w:p>
    <w:p w14:paraId="5DF29799"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Di sisi lain, pelaksanaan uji klinis pada pasien kanker menghadirkan dilema etis dan logistik tersendiri. Pasien yang menjalani kemoterapi cisplatin sering kali berada dalam kondisi fisik dan psikologis yang rapuh. Merancang studi yang etis, yang tidak menambah beban penderitaan mereka namun tetap mampu menghasilkan data ilmiah yang valid, memerlukan perencanaan yang sangat matang. Isu-isu seperti penggunaan plasebo pada pasien yang kesakitan dan standarisasi metode penilaian subjektif seperti nyeri menjadi perdebatan yang harus diselesaikan.</w:t>
      </w:r>
    </w:p>
    <w:p w14:paraId="3EAEBB99"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Namun, di balik semua tantangan ini, prospek klinis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tetap bersinar terang. Kemajuan dalam nanoteknologi membuka peluang baru untuk meningkatkan stabilitas dan penyerapan senyawa aktif herbal. Pengembangan nanoemulsi, liposom, dan sistem mukoadhesif menjanjikan penghantaran obat yang lebih presisi dan berkelanjutan. Jika hambatan formulasi ini dapat diatasi, potensi herbal ini untuk menjadi terapi ajuvan standar menjadi semakin realistis.</w:t>
      </w:r>
    </w:p>
    <w:p w14:paraId="505FAF74"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Selain itu, tren global menuju pengobatan integratif yang menggabungkan terapi konvensional dan komplementer </w:t>
      </w:r>
      <w:r w:rsidRPr="006810DB">
        <w:rPr>
          <w:rFonts w:ascii="Book Antiqua" w:hAnsi="Book Antiqua"/>
          <w:sz w:val="20"/>
          <w:szCs w:val="20"/>
          <w:lang w:val="en"/>
        </w:rPr>
        <w:lastRenderedPageBreak/>
        <w:t xml:space="preserve">memberikan angin segar bagi penerimaan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di kalangan onkolog. Bukti ilmiah yang semakin kuat mengenai mekanisme molekuler spesifik, seperti modulasi sitokin pro-inflamasi, memberikan legitimasi yang diperlukan untuk mengangkat statusnya dari sekadar "obat tradisional" menjadi "fitofarmaka".</w:t>
      </w:r>
    </w:p>
    <w:p w14:paraId="01DACAF0"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Bab ini didedikasikan untuk membedah secara kritis tantangan-tantangan translasi tersebut dan mengeksplorasi inovasi teknologi yang sedang dikembangkan untuk mengatasinya. Kita akan membahas kesenjangan fisiologis antara hewan dan manusia, kompleksitas desain uji klinis, serta terobosan terbaru dalam formulasi farmasi.</w:t>
      </w:r>
    </w:p>
    <w:p w14:paraId="41A80BD7" w14:textId="2006543A"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Tujuan akhirnya adalah memberikan peta jalan yang realistis bagi pengembangan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di masa depan, memastikan bahwa potensi besar yang tersimpan dalam biji hitam ini dapat benar-benar dirasakan manfaatnya oleh jutaan pasien kanker di seluruh dunia.</w:t>
      </w:r>
    </w:p>
    <w:p w14:paraId="2DD9F1EA" w14:textId="77777777" w:rsidR="00D0395B" w:rsidRPr="006810DB" w:rsidRDefault="00D0395B" w:rsidP="006810DB">
      <w:pPr>
        <w:spacing w:after="0" w:line="276" w:lineRule="auto"/>
        <w:jc w:val="both"/>
        <w:rPr>
          <w:rFonts w:ascii="Book Antiqua" w:hAnsi="Book Antiqua"/>
          <w:sz w:val="20"/>
          <w:szCs w:val="20"/>
          <w:lang w:val="en"/>
        </w:rPr>
      </w:pPr>
    </w:p>
    <w:p w14:paraId="66DB08DA" w14:textId="77EC0754" w:rsidR="00B258B7" w:rsidRPr="006810DB" w:rsidRDefault="00B258B7" w:rsidP="006810DB">
      <w:pPr>
        <w:pStyle w:val="Heading2"/>
        <w:numPr>
          <w:ilvl w:val="0"/>
          <w:numId w:val="34"/>
        </w:numPr>
        <w:ind w:left="284" w:hanging="284"/>
      </w:pPr>
      <w:bookmarkStart w:id="467" w:name="_7xeke0tkc61r" w:colFirst="0" w:colLast="0"/>
      <w:bookmarkStart w:id="468" w:name="_Toc223089005"/>
      <w:bookmarkEnd w:id="467"/>
      <w:r w:rsidRPr="006810DB">
        <w:t>Hambatan dalam Translasi dari Hewan ke Manusia</w:t>
      </w:r>
      <w:bookmarkEnd w:id="468"/>
    </w:p>
    <w:p w14:paraId="7BEF8A8E"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Menerjemahkan temuan dari model hewan ke aplikasi klinis manusia adalah salah satu hambatan terbesar dalam biomedis. Meskipun model tikus telah memberikan wawasan tak ternilai mengenai mekanisme penyakit, mereka tetaplah simulasi yang tidak sempurna dari realitas klinis. Kegagalan banyak uji klinis fase III sering kali disebabkan oleh asumsi yang terlalu menyederhanakan bahwa manusia hanyalah "tikus berukuran besar". Padahal, terdapat perbedaan fundamental dalam fisiologi pencernaan, metabolisme obat, dan struktur jaringan yang memengaruhi bagaimana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diproses dan bekerja di dalam tubuh manusia. Memahami nuansa perbedaan ini adalah langkah pertama untuk memitigasi risiko kegagalan klinis.</w:t>
      </w:r>
    </w:p>
    <w:p w14:paraId="2FA350FD"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Proses translasi obat dari tikus ke manusia mirip dengan upaya menerbangkan pesawat komersial besar berdasarkan pengalaman menerbangkan </w:t>
      </w:r>
      <w:r w:rsidRPr="00A95863">
        <w:rPr>
          <w:rFonts w:ascii="Book Antiqua" w:hAnsi="Book Antiqua"/>
          <w:sz w:val="20"/>
          <w:szCs w:val="20"/>
          <w:lang w:val="en"/>
        </w:rPr>
        <w:t>drone</w:t>
      </w:r>
      <w:r w:rsidRPr="006810DB">
        <w:rPr>
          <w:rFonts w:ascii="Book Antiqua" w:hAnsi="Book Antiqua"/>
          <w:sz w:val="20"/>
          <w:szCs w:val="20"/>
          <w:lang w:val="en"/>
        </w:rPr>
        <w:t xml:space="preserve"> mainan. Keduanya memiliki prinsip aerodinamika yang sama (sayap, </w:t>
      </w:r>
      <w:r w:rsidRPr="006810DB">
        <w:rPr>
          <w:rFonts w:ascii="Book Antiqua" w:hAnsi="Book Antiqua"/>
          <w:sz w:val="20"/>
          <w:szCs w:val="20"/>
          <w:lang w:val="en"/>
        </w:rPr>
        <w:lastRenderedPageBreak/>
        <w:t xml:space="preserve">daya dorong, gravitasi), dan </w:t>
      </w:r>
      <w:r w:rsidRPr="006810DB">
        <w:rPr>
          <w:rFonts w:ascii="Book Antiqua" w:hAnsi="Book Antiqua"/>
          <w:i/>
          <w:iCs/>
          <w:sz w:val="20"/>
          <w:szCs w:val="20"/>
          <w:lang w:val="en"/>
        </w:rPr>
        <w:t>drone</w:t>
      </w:r>
      <w:r w:rsidRPr="006810DB">
        <w:rPr>
          <w:rFonts w:ascii="Book Antiqua" w:hAnsi="Book Antiqua"/>
          <w:sz w:val="20"/>
          <w:szCs w:val="20"/>
          <w:lang w:val="en"/>
        </w:rPr>
        <w:t xml:space="preserve"> bisa digunakan untuk menguji konsep dasar penerbangan. Namun, pesawat komersial menghadapi variabel yang jauh lebih kompleks: tekanan kabin, turbulensi di ketinggian ekstrem, kebutuhan bahan bakar yang masif, dan keselamatan ratusan penumpang. Jika insinyur hanya mengandalkan data </w:t>
      </w:r>
      <w:r w:rsidRPr="006810DB">
        <w:rPr>
          <w:rFonts w:ascii="Book Antiqua" w:hAnsi="Book Antiqua"/>
          <w:i/>
          <w:iCs/>
          <w:sz w:val="20"/>
          <w:szCs w:val="20"/>
          <w:lang w:val="en"/>
        </w:rPr>
        <w:t>drone</w:t>
      </w:r>
      <w:r w:rsidRPr="006810DB">
        <w:rPr>
          <w:rFonts w:ascii="Book Antiqua" w:hAnsi="Book Antiqua"/>
          <w:sz w:val="20"/>
          <w:szCs w:val="20"/>
          <w:lang w:val="en"/>
        </w:rPr>
        <w:t xml:space="preserve"> tanpa memperhitungkan kompleksitas skala besar tersebut, pesawat itu mungkin akan gagal lepas landas atau jatuh. Demikian pula, obat yang menyembuhkan tikus (</w:t>
      </w:r>
      <w:r w:rsidRPr="006810DB">
        <w:rPr>
          <w:rFonts w:ascii="Book Antiqua" w:hAnsi="Book Antiqua"/>
          <w:i/>
          <w:iCs/>
          <w:sz w:val="20"/>
          <w:szCs w:val="20"/>
          <w:lang w:val="en"/>
        </w:rPr>
        <w:t>drone</w:t>
      </w:r>
      <w:r w:rsidRPr="006810DB">
        <w:rPr>
          <w:rFonts w:ascii="Book Antiqua" w:hAnsi="Book Antiqua"/>
          <w:sz w:val="20"/>
          <w:szCs w:val="20"/>
          <w:lang w:val="en"/>
        </w:rPr>
        <w:t>) mungkin gagal pada manusia (pesawat) jika perbedaan skala fisiologis dan kompleksitas sistemik tidak diperhitungkan dengan cermat.</w:t>
      </w:r>
    </w:p>
    <w:p w14:paraId="2766C6DD" w14:textId="5D2D5CA5" w:rsidR="00B258B7" w:rsidRPr="006810DB" w:rsidRDefault="00B258B7" w:rsidP="006810DB">
      <w:pPr>
        <w:pStyle w:val="ListParagraph"/>
        <w:numPr>
          <w:ilvl w:val="0"/>
          <w:numId w:val="91"/>
        </w:numPr>
        <w:spacing w:after="0" w:line="276" w:lineRule="auto"/>
        <w:ind w:left="567" w:hanging="283"/>
        <w:contextualSpacing w:val="0"/>
        <w:jc w:val="both"/>
        <w:rPr>
          <w:rFonts w:ascii="Book Antiqua" w:hAnsi="Book Antiqua"/>
          <w:b/>
          <w:bCs/>
          <w:sz w:val="20"/>
          <w:szCs w:val="20"/>
          <w:lang w:val="en"/>
        </w:rPr>
      </w:pPr>
      <w:bookmarkStart w:id="469" w:name="_t3lj554bxfys" w:colFirst="0" w:colLast="0"/>
      <w:bookmarkEnd w:id="469"/>
      <w:r w:rsidRPr="006810DB">
        <w:rPr>
          <w:rFonts w:ascii="Book Antiqua" w:hAnsi="Book Antiqua"/>
          <w:b/>
          <w:bCs/>
          <w:sz w:val="20"/>
          <w:szCs w:val="20"/>
          <w:lang w:val="en"/>
        </w:rPr>
        <w:t>Perbedaan Fisiologis Mukosa Tikus dan Manusia</w:t>
      </w:r>
    </w:p>
    <w:p w14:paraId="2CE7D4AB"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Salah satu perbedaan anatomis yang paling mencolok terletak pada struktur mukosa mulut itu sendiri. Pada tikus, sebagian besar epitel rongga mulut mengalami keratinisasi yang tebal sebagai adaptasi terhadap diet mereka yang kasar. Sebaliknya, pada manusia, mukosa bukal (pipi dalam) dan dasar mulut bersifat non-keratinisasi. Perbedaan ini memengaruhi permeabilitas mukosa terhadap obat yang diberikan secara topikal. Mukosa non-keratinisasi manusia umumnya lebih permeabel, yang bisa menjadi keuntungan untuk penyerapan obat, tetapi juga membuatnya lebih rentan terhadap iritasi lokal dari senyawa konsentrasi tinggi (Whittaker et al., 2021).</w:t>
      </w:r>
    </w:p>
    <w:p w14:paraId="54D6696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Selain itu, laju pergantian (</w:t>
      </w:r>
      <w:r w:rsidRPr="006810DB">
        <w:rPr>
          <w:rFonts w:ascii="Book Antiqua" w:hAnsi="Book Antiqua"/>
          <w:i/>
          <w:iCs/>
          <w:sz w:val="20"/>
          <w:szCs w:val="20"/>
          <w:lang w:val="en"/>
        </w:rPr>
        <w:t>turnover</w:t>
      </w:r>
      <w:r w:rsidRPr="006810DB">
        <w:rPr>
          <w:rFonts w:ascii="Book Antiqua" w:hAnsi="Book Antiqua"/>
          <w:sz w:val="20"/>
          <w:szCs w:val="20"/>
          <w:lang w:val="en"/>
        </w:rPr>
        <w:t>) sel epitel pada tikus jauh lebih cepat dibandingkan manusia. Hal ini berarti proses penyembuhan luka pada tikus secara alami terjadi lebih cepat, yang mungkin memberikan kesan efikasi obat yang berlebihan (</w:t>
      </w:r>
      <w:r w:rsidRPr="006810DB">
        <w:rPr>
          <w:rFonts w:ascii="Book Antiqua" w:hAnsi="Book Antiqua"/>
          <w:i/>
          <w:iCs/>
          <w:sz w:val="20"/>
          <w:szCs w:val="20"/>
          <w:lang w:val="en"/>
        </w:rPr>
        <w:t>overestimation</w:t>
      </w:r>
      <w:r w:rsidRPr="006810DB">
        <w:rPr>
          <w:rFonts w:ascii="Book Antiqua" w:hAnsi="Book Antiqua"/>
          <w:sz w:val="20"/>
          <w:szCs w:val="20"/>
          <w:lang w:val="en"/>
        </w:rPr>
        <w:t>) dalam studi praklinis. Durasi mukositis pada tikus model sering kali hanya berlangsung beberapa hari, sedangkan pada pasien manusia bisa bertahan berminggu-minggu selama siklus kemoterapi.</w:t>
      </w:r>
    </w:p>
    <w:p w14:paraId="40977B79"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Perbedaan dalam komposisi saliva dan pH mulut juga berperan penting. Tikus memiliki pH saliva yang sedikit berbeda dan komposisi enzim yang mungkin memengaruhi stabilitas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sebelum diserap. Aktivitas </w:t>
      </w:r>
      <w:r w:rsidRPr="006810DB">
        <w:rPr>
          <w:rFonts w:ascii="Book Antiqua" w:hAnsi="Book Antiqua"/>
          <w:sz w:val="20"/>
          <w:szCs w:val="20"/>
          <w:lang w:val="en"/>
        </w:rPr>
        <w:lastRenderedPageBreak/>
        <w:t>enzim amilase dan protease dalam saliva manusia dapat mendegradasi komponen protein atau glikosida tertentu dalam ekstrak herbal lebih cepat daripada pada hewan pengerat.</w:t>
      </w:r>
    </w:p>
    <w:p w14:paraId="0E68BAF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Faktor mikrobioma oral juga tidak boleh diabaikan. Spesies bakteri yang menghuni rongga mulut tikus berbeda secara signifikan dengan manusia. Karena mikrobioma berperan dalam patogenesis mukositis (melalui infeksi sekunder dan pelepasan endotoksin), perbedaan ekosistem mikroba ini dapat memengaruhi respons peradangan dan efektivitas agen antimikroba dalam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(Khan et al., 2021).</w:t>
      </w:r>
    </w:p>
    <w:p w14:paraId="62DA09D8"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Terakhir, luas permukaan relatif mukosa terhadap volume tubuh pada tikus jauh lebih besar daripada manusia. Hal ini memengaruhi dosis per satuan luas permukaan yang diterima jaringan. Konversi dosis dari hewan ke manusia (misalnya menggunakan </w:t>
      </w:r>
      <w:r w:rsidRPr="006810DB">
        <w:rPr>
          <w:rFonts w:ascii="Book Antiqua" w:hAnsi="Book Antiqua"/>
          <w:i/>
          <w:iCs/>
          <w:sz w:val="20"/>
          <w:szCs w:val="20"/>
          <w:lang w:val="en"/>
        </w:rPr>
        <w:t>Body Surface Area</w:t>
      </w:r>
      <w:r w:rsidRPr="006810DB">
        <w:rPr>
          <w:rFonts w:ascii="Book Antiqua" w:hAnsi="Book Antiqua"/>
          <w:sz w:val="20"/>
          <w:szCs w:val="20"/>
          <w:lang w:val="en"/>
        </w:rPr>
        <w:t>/BSA) harus dilakukan dengan hati-hati untuk memastikan bahwa konsentrasi jaringan yang dicapai pada manusia setara dengan yang efektif pada hewan.</w:t>
      </w:r>
    </w:p>
    <w:p w14:paraId="61B89B6D" w14:textId="14298BAC" w:rsidR="00B258B7" w:rsidRPr="006810DB" w:rsidRDefault="00B258B7" w:rsidP="006810DB">
      <w:pPr>
        <w:pStyle w:val="ListParagraph"/>
        <w:numPr>
          <w:ilvl w:val="0"/>
          <w:numId w:val="91"/>
        </w:numPr>
        <w:spacing w:after="0" w:line="276" w:lineRule="auto"/>
        <w:ind w:left="567" w:hanging="283"/>
        <w:contextualSpacing w:val="0"/>
        <w:jc w:val="both"/>
        <w:rPr>
          <w:rFonts w:ascii="Book Antiqua" w:hAnsi="Book Antiqua"/>
          <w:b/>
          <w:bCs/>
          <w:sz w:val="20"/>
          <w:szCs w:val="20"/>
          <w:lang w:val="en"/>
        </w:rPr>
      </w:pPr>
      <w:bookmarkStart w:id="470" w:name="_gsl8pvy11vf8" w:colFirst="0" w:colLast="0"/>
      <w:bookmarkEnd w:id="470"/>
      <w:r w:rsidRPr="006810DB">
        <w:rPr>
          <w:rFonts w:ascii="Book Antiqua" w:hAnsi="Book Antiqua"/>
          <w:b/>
          <w:bCs/>
          <w:sz w:val="20"/>
          <w:szCs w:val="20"/>
          <w:lang w:val="en"/>
        </w:rPr>
        <w:t>Tantangan dalam Formulasi Sediaan Farmasi (Drug Delivery)</w:t>
      </w:r>
    </w:p>
    <w:p w14:paraId="022F9D63"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Sifat fisikokimia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(TQ) menghadirkan tantangan formulasi yang signifikan. TQ adalah senyawa yang sangat lipofilik (suka lemak) dan hidrofobik (takut air), dengan kelarutan dalam air yang sangat buruk. Lingkungan rongga mulut manusia didominasi oleh saliva yang berair. Ketika ekstrak minyak atau TQ murni diaplikasikan, ia cenderung sulit larut dan menyebar di permukaan mukosa, membatasi kontak dengan sel target dan mengurangi penyerapannya (Belfiore et al., 2024).</w:t>
      </w:r>
    </w:p>
    <w:p w14:paraId="77B58AF2"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Selain masalah kelarutan, stabilitas TQ adalah isu kritis. Senyawa ini sensitif terhadap oksidasi, cahaya, dan perubahan pH. Dalam formulasi cair atau gel konvensional, TQ dapat terdegradasi dengan cepat sebelum mencapai masa kedaluwarsa produk, atau bahkan terdegradasi saat </w:t>
      </w:r>
      <w:r w:rsidRPr="006810DB">
        <w:rPr>
          <w:rFonts w:ascii="Book Antiqua" w:hAnsi="Book Antiqua"/>
          <w:sz w:val="20"/>
          <w:szCs w:val="20"/>
          <w:lang w:val="en"/>
        </w:rPr>
        <w:lastRenderedPageBreak/>
        <w:t xml:space="preserve">diaplikasikan di mulut akibat interaksi dengan enzim saliva atau perubahan pH. Degradasi ini menghasilkan produk sampingan seperti </w:t>
      </w:r>
      <w:r w:rsidRPr="006810DB">
        <w:rPr>
          <w:rFonts w:ascii="Book Antiqua" w:hAnsi="Book Antiqua"/>
          <w:i/>
          <w:iCs/>
          <w:sz w:val="20"/>
          <w:szCs w:val="20"/>
          <w:lang w:val="en"/>
        </w:rPr>
        <w:t>dithymoquinone</w:t>
      </w:r>
      <w:r w:rsidRPr="006810DB">
        <w:rPr>
          <w:rFonts w:ascii="Book Antiqua" w:hAnsi="Book Antiqua"/>
          <w:sz w:val="20"/>
          <w:szCs w:val="20"/>
          <w:lang w:val="en"/>
        </w:rPr>
        <w:t xml:space="preserve"> yang mungkin memiliki aktivitas farmakologis yang berbeda atau lebih rendah.</w:t>
      </w:r>
    </w:p>
    <w:p w14:paraId="0AA057A9"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Waktu kontak (</w:t>
      </w:r>
      <w:r w:rsidRPr="006810DB">
        <w:rPr>
          <w:rFonts w:ascii="Book Antiqua" w:hAnsi="Book Antiqua"/>
          <w:i/>
          <w:iCs/>
          <w:sz w:val="20"/>
          <w:szCs w:val="20"/>
          <w:lang w:val="en"/>
        </w:rPr>
        <w:t>residence time</w:t>
      </w:r>
      <w:r w:rsidRPr="006810DB">
        <w:rPr>
          <w:rFonts w:ascii="Book Antiqua" w:hAnsi="Book Antiqua"/>
          <w:sz w:val="20"/>
          <w:szCs w:val="20"/>
          <w:lang w:val="en"/>
        </w:rPr>
        <w:t>) adalah tantangan lain dalam penghantaran obat bukal. Aliran saliva yang terus-menerus dan gerakan lidah serta pipi cenderung membilas sediaan obat dengan cepat dari permukaan mukosa. Sediaan kumur atau gel biasa mungkin hanya bertahan beberapa menit di dalam mulut, waktu yang mungkin tidak cukup untuk penyerapan terapeutik yang optimal ke dalam jaringan yang meradang.</w:t>
      </w:r>
    </w:p>
    <w:p w14:paraId="444FAE9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Rasa yang kuat dan karakteristik organoleptik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juga menjadi pertimbangan formulasi untuk manusia. Rasa pahit dan pedas yang khas mungkin tidak dapat ditoleransi oleh pasien kemoterapi yang sering mengalami perubahan persepsi rasa (</w:t>
      </w:r>
      <w:r w:rsidRPr="006810DB">
        <w:rPr>
          <w:rFonts w:ascii="Book Antiqua" w:hAnsi="Book Antiqua"/>
          <w:i/>
          <w:iCs/>
          <w:sz w:val="20"/>
          <w:szCs w:val="20"/>
          <w:lang w:val="en"/>
        </w:rPr>
        <w:t>dysgeusia</w:t>
      </w:r>
      <w:r w:rsidRPr="006810DB">
        <w:rPr>
          <w:rFonts w:ascii="Book Antiqua" w:hAnsi="Book Antiqua"/>
          <w:sz w:val="20"/>
          <w:szCs w:val="20"/>
          <w:lang w:val="en"/>
        </w:rPr>
        <w:t>) dan mual. Formulasi harus mampu menutupi rasa (</w:t>
      </w:r>
      <w:r w:rsidRPr="006810DB">
        <w:rPr>
          <w:rFonts w:ascii="Book Antiqua" w:hAnsi="Book Antiqua"/>
          <w:i/>
          <w:iCs/>
          <w:sz w:val="20"/>
          <w:szCs w:val="20"/>
          <w:lang w:val="en"/>
        </w:rPr>
        <w:t>taste masking</w:t>
      </w:r>
      <w:r w:rsidRPr="006810DB">
        <w:rPr>
          <w:rFonts w:ascii="Book Antiqua" w:hAnsi="Book Antiqua"/>
          <w:sz w:val="20"/>
          <w:szCs w:val="20"/>
          <w:lang w:val="en"/>
        </w:rPr>
        <w:t>) tanpa mengurangi efikasi, sebuah tantangan teknis dalam pengembangan sediaan oral (Hannan et al., 2021).</w:t>
      </w:r>
    </w:p>
    <w:p w14:paraId="3FEA63B3"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Variabilitas antar </w:t>
      </w:r>
      <w:r w:rsidRPr="006810DB">
        <w:rPr>
          <w:rFonts w:ascii="Book Antiqua" w:hAnsi="Book Antiqua"/>
          <w:i/>
          <w:iCs/>
          <w:sz w:val="20"/>
          <w:szCs w:val="20"/>
          <w:lang w:val="en"/>
        </w:rPr>
        <w:t>batch</w:t>
      </w:r>
      <w:r w:rsidRPr="006810DB">
        <w:rPr>
          <w:rFonts w:ascii="Book Antiqua" w:hAnsi="Book Antiqua"/>
          <w:sz w:val="20"/>
          <w:szCs w:val="20"/>
          <w:lang w:val="en"/>
        </w:rPr>
        <w:t xml:space="preserve"> bahan baku herbal, seperti yang dibahas pada Bab 9, juga mempersulit formulasi. Menciptakan produk farmasi yang memiliki profil pelepasan obat yang konsisten dari bahan baku yang bervariasi memerlukan teknologi formulasi yang canggih dan kontrol kualitas yang ketat.</w:t>
      </w:r>
    </w:p>
    <w:p w14:paraId="1DFF9961" w14:textId="437E5F03" w:rsidR="00B258B7" w:rsidRPr="006810DB" w:rsidRDefault="00B258B7" w:rsidP="006810DB">
      <w:pPr>
        <w:pStyle w:val="ListParagraph"/>
        <w:numPr>
          <w:ilvl w:val="0"/>
          <w:numId w:val="91"/>
        </w:numPr>
        <w:spacing w:after="0" w:line="276" w:lineRule="auto"/>
        <w:ind w:left="567" w:hanging="283"/>
        <w:contextualSpacing w:val="0"/>
        <w:jc w:val="both"/>
        <w:rPr>
          <w:rFonts w:ascii="Book Antiqua" w:hAnsi="Book Antiqua"/>
          <w:b/>
          <w:bCs/>
          <w:sz w:val="20"/>
          <w:szCs w:val="20"/>
          <w:lang w:val="en"/>
        </w:rPr>
      </w:pPr>
      <w:bookmarkStart w:id="471" w:name="_dktjrc2j0l9" w:colFirst="0" w:colLast="0"/>
      <w:bookmarkEnd w:id="471"/>
      <w:r w:rsidRPr="006810DB">
        <w:rPr>
          <w:rFonts w:ascii="Book Antiqua" w:hAnsi="Book Antiqua"/>
          <w:b/>
          <w:bCs/>
          <w:sz w:val="20"/>
          <w:szCs w:val="20"/>
          <w:lang w:val="en"/>
        </w:rPr>
        <w:t>Variabilitas Respon Individual pada Pasien Kanker</w:t>
      </w:r>
    </w:p>
    <w:p w14:paraId="71ABDF6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Pasien kanker bukanlah populasi yang homogen. Variabilitas genetik antar individu dapat memengaruhi metabolisme obat (farmakogenomik), termasuk bagaimana tubuh memproses senyawa dalam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dan cisplatin. Polimorfisme pada gen enzim sitokrom P450 atau transporter obat dapat menyebabkan perbedaan signifikan dalam kadar obat dalam darah dan jaringan, yang pada gilirannya memengaruhi efikasi dan toksisitas (Yimer et al., 2019).</w:t>
      </w:r>
    </w:p>
    <w:p w14:paraId="69A7337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lastRenderedPageBreak/>
        <w:t xml:space="preserve">Status nutrisi dan imunologi pasien juga sangat bervariasi. Pasien dengan malnutrisi berat atau sistem imun yang sangat tertekan (neutropenia berat) mungkin memiliki respons penyembuhan luka yang jauh lebih lambat, terlepas dari intervensi </w:t>
      </w:r>
      <w:r w:rsidRPr="006810DB">
        <w:rPr>
          <w:rFonts w:ascii="Book Antiqua" w:hAnsi="Book Antiqua"/>
          <w:i/>
          <w:iCs/>
          <w:sz w:val="20"/>
          <w:szCs w:val="20"/>
          <w:lang w:val="en"/>
        </w:rPr>
        <w:t>Nigella sativa</w:t>
      </w:r>
      <w:r w:rsidRPr="006810DB">
        <w:rPr>
          <w:rFonts w:ascii="Book Antiqua" w:hAnsi="Book Antiqua"/>
          <w:sz w:val="20"/>
          <w:szCs w:val="20"/>
          <w:lang w:val="en"/>
        </w:rPr>
        <w:t>. Faktor komorbiditas seperti diabetes atau penyakit kardiovaskular dapat semakin memperumit respons fisiologis terhadap terapi ajuvan.</w:t>
      </w:r>
    </w:p>
    <w:p w14:paraId="4E6F02A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Interaksi obat (</w:t>
      </w:r>
      <w:r w:rsidRPr="006810DB">
        <w:rPr>
          <w:rFonts w:ascii="Book Antiqua" w:hAnsi="Book Antiqua"/>
          <w:i/>
          <w:iCs/>
          <w:sz w:val="20"/>
          <w:szCs w:val="20"/>
          <w:lang w:val="en"/>
        </w:rPr>
        <w:t>drug-drug interactions</w:t>
      </w:r>
      <w:r w:rsidRPr="006810DB">
        <w:rPr>
          <w:rFonts w:ascii="Book Antiqua" w:hAnsi="Book Antiqua"/>
          <w:sz w:val="20"/>
          <w:szCs w:val="20"/>
          <w:lang w:val="en"/>
        </w:rPr>
        <w:t xml:space="preserve">) adalah tantangan besar lainnya. Pasien kemoterapi biasanya menerima berbagai macam obat (polifarmasi), termasuk antiemetik, analgesik, dan antibiotik. Potensi interaksi antara senyawa bioaktif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dengan obat-obatan ini belum sepenuhnya dipetakan. Ada risiko teoretis bahwa komponen herbal dapat menginduksi atau menghambat enzim metabolisme hati, mengubah efikasi obat lain yang dikonsumsi pasien.</w:t>
      </w:r>
    </w:p>
    <w:p w14:paraId="13C48128"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Variabilitas dalam mikrobioma usus dan oral antar individu juga dapat memengaruhi biotransformasi senyawa herbal. Beberapa senyawa polifenol memerlukan aktivasi oleh bakteri usus agar dapat diserap. Jika kemoterapi telah merusak mikrobioma pasien (disbiosis), bioavailabilitas metabolit aktif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mungkin berkurang secara drastis (Sobhannizadeh et al., 2025).</w:t>
      </w:r>
    </w:p>
    <w:p w14:paraId="749B8484" w14:textId="2F7B9BCC"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Faktor psikologis dan kepatuhan pasien juga memainkan peran. Tingkat stres, ekspektasi terhadap pengobatan (efek plasebo/nocebo), dan kepatuhan dalam menggunakan sediaan herbal secara teratur dapat menyebabkan variasi hasil klinis yang luas, yang sulit dikendalikan dalam uji klinis dibandingkan dengan lingkungan laboratorium hewan yang terkontrol ketat.</w:t>
      </w:r>
    </w:p>
    <w:p w14:paraId="3414BC99" w14:textId="77777777" w:rsidR="00E936D5" w:rsidRPr="006810DB" w:rsidRDefault="00E936D5" w:rsidP="006810DB">
      <w:pPr>
        <w:spacing w:after="0" w:line="276" w:lineRule="auto"/>
        <w:jc w:val="both"/>
        <w:rPr>
          <w:rFonts w:ascii="Book Antiqua" w:hAnsi="Book Antiqua"/>
          <w:sz w:val="20"/>
          <w:szCs w:val="20"/>
          <w:lang w:val="en"/>
        </w:rPr>
      </w:pPr>
    </w:p>
    <w:p w14:paraId="0D37A382" w14:textId="03238EE7" w:rsidR="00B258B7" w:rsidRPr="006810DB" w:rsidRDefault="00B258B7" w:rsidP="006810DB">
      <w:pPr>
        <w:pStyle w:val="Heading2"/>
        <w:numPr>
          <w:ilvl w:val="0"/>
          <w:numId w:val="34"/>
        </w:numPr>
        <w:ind w:left="284" w:hanging="284"/>
        <w:rPr>
          <w:bCs/>
          <w:szCs w:val="20"/>
          <w:lang w:val="en"/>
        </w:rPr>
      </w:pPr>
      <w:bookmarkStart w:id="472" w:name="_x778fogulel6" w:colFirst="0" w:colLast="0"/>
      <w:bookmarkStart w:id="473" w:name="_Toc223089006"/>
      <w:bookmarkEnd w:id="472"/>
      <w:r w:rsidRPr="006810DB">
        <w:rPr>
          <w:bCs/>
          <w:szCs w:val="20"/>
          <w:lang w:val="en"/>
        </w:rPr>
        <w:t>Kebutuhan Uji Klinis Fase Lanjutan</w:t>
      </w:r>
      <w:bookmarkEnd w:id="473"/>
    </w:p>
    <w:p w14:paraId="2A8866E7"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Setelah data praklinis yang meyakinkan terkumpul, langkah wajib berikutnya adalah pengujian pada manusia melalui uji klinis yang dirancang dengan ketat. Uji klinis bukan sekadar formalitas regulasi, tetapi merupakan satu-satunya cara </w:t>
      </w:r>
      <w:r w:rsidRPr="006810DB">
        <w:rPr>
          <w:rFonts w:ascii="Book Antiqua" w:hAnsi="Book Antiqua"/>
          <w:sz w:val="20"/>
          <w:szCs w:val="20"/>
          <w:lang w:val="en"/>
        </w:rPr>
        <w:lastRenderedPageBreak/>
        <w:t xml:space="preserve">untuk membuktikan secara definitif apakah rasio manfaat-risiko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dapat diterima dalam praktik medis nyata. Desain penelitian harus mampu menjawab pertanyaan spesifik tentang dosis, keamanan, dan efikasi dengan tingkat kepercayaan statistik yang tinggi, sambil menavigasi kompleksitas etis yang melekat pada penelitian yang melibatkan pasien rentan.</w:t>
      </w:r>
    </w:p>
    <w:p w14:paraId="4DE079FE"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Uji klinis fase lanjutan ibarat penerbangan perdana sebuah pesawat baru dengan penumpang sungguhan, setelah ribuan jam simulasi komputer (studi in silico) dan uji terowongan angin (studi in vitro/in vivo). Dalam simulasi, kita bisa me-reset kondisi jika terjadi kesalahan. Dalam penerbangan nyata, tidak ada tombol reset; nyawa manusia menjadi taruhannya. Pilot (peneliti) harus mengikuti protokol penerbangan (desain studi) yang sangat ketat, memantau setiap instrumen (endpoint klinis), dan siap menghadapi cuaca buruk yang tidak terduga (efek samping). Keberhasilan penerbangan ini akan menentukan apakah pesawat tersebut layak diproduksi massal untuk mengangkut jutaan orang, atau harus kembali ke hanggar untuk perbaikan desain.</w:t>
      </w:r>
    </w:p>
    <w:p w14:paraId="37B4E974" w14:textId="429724A8" w:rsidR="00B258B7" w:rsidRPr="006810DB" w:rsidRDefault="00B258B7" w:rsidP="006810DB">
      <w:pPr>
        <w:pStyle w:val="ListParagraph"/>
        <w:numPr>
          <w:ilvl w:val="0"/>
          <w:numId w:val="92"/>
        </w:numPr>
        <w:spacing w:after="0" w:line="276" w:lineRule="auto"/>
        <w:ind w:left="567" w:hanging="283"/>
        <w:contextualSpacing w:val="0"/>
        <w:jc w:val="both"/>
        <w:rPr>
          <w:rFonts w:ascii="Book Antiqua" w:hAnsi="Book Antiqua"/>
          <w:b/>
          <w:bCs/>
          <w:sz w:val="20"/>
          <w:szCs w:val="20"/>
          <w:lang w:val="en"/>
        </w:rPr>
      </w:pPr>
      <w:bookmarkStart w:id="474" w:name="_innun52wdwp8" w:colFirst="0" w:colLast="0"/>
      <w:bookmarkEnd w:id="474"/>
      <w:r w:rsidRPr="006810DB">
        <w:rPr>
          <w:rFonts w:ascii="Book Antiqua" w:hAnsi="Book Antiqua"/>
          <w:b/>
          <w:bCs/>
          <w:sz w:val="20"/>
          <w:szCs w:val="20"/>
          <w:lang w:val="en"/>
        </w:rPr>
        <w:t xml:space="preserve">Desain Penelitian </w:t>
      </w:r>
      <w:r w:rsidRPr="006810DB">
        <w:rPr>
          <w:rFonts w:ascii="Book Antiqua" w:hAnsi="Book Antiqua"/>
          <w:b/>
          <w:bCs/>
          <w:i/>
          <w:iCs/>
          <w:sz w:val="20"/>
          <w:szCs w:val="20"/>
          <w:lang w:val="en"/>
        </w:rPr>
        <w:t>Randomised Controlled Trial</w:t>
      </w:r>
      <w:r w:rsidRPr="006810DB">
        <w:rPr>
          <w:rFonts w:ascii="Book Antiqua" w:hAnsi="Book Antiqua"/>
          <w:b/>
          <w:bCs/>
          <w:sz w:val="20"/>
          <w:szCs w:val="20"/>
          <w:lang w:val="en"/>
        </w:rPr>
        <w:t xml:space="preserve"> (RCT)</w:t>
      </w:r>
    </w:p>
    <w:p w14:paraId="326CDB5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i/>
          <w:iCs/>
          <w:sz w:val="20"/>
          <w:szCs w:val="20"/>
          <w:lang w:val="en"/>
        </w:rPr>
        <w:t>Randomised Controlled Trial</w:t>
      </w:r>
      <w:r w:rsidRPr="006810DB">
        <w:rPr>
          <w:rFonts w:ascii="Book Antiqua" w:hAnsi="Book Antiqua"/>
          <w:sz w:val="20"/>
          <w:szCs w:val="20"/>
          <w:lang w:val="en"/>
        </w:rPr>
        <w:t xml:space="preserve"> (RCT) adalah standar emas dalam pembuktian klinis. Untuk </w:t>
      </w:r>
      <w:r w:rsidRPr="006810DB">
        <w:rPr>
          <w:rFonts w:ascii="Book Antiqua" w:hAnsi="Book Antiqua"/>
          <w:i/>
          <w:iCs/>
          <w:sz w:val="20"/>
          <w:szCs w:val="20"/>
          <w:lang w:val="en"/>
        </w:rPr>
        <w:t>Nigella sativa</w:t>
      </w:r>
      <w:r w:rsidRPr="006810DB">
        <w:rPr>
          <w:rFonts w:ascii="Book Antiqua" w:hAnsi="Book Antiqua"/>
          <w:sz w:val="20"/>
          <w:szCs w:val="20"/>
          <w:lang w:val="en"/>
        </w:rPr>
        <w:t>, desain RCT yang ideal harus bersifat acak, terkontrol plasebo, dan tersamar ganda (</w:t>
      </w:r>
      <w:r w:rsidRPr="006810DB">
        <w:rPr>
          <w:rFonts w:ascii="Book Antiqua" w:hAnsi="Book Antiqua"/>
          <w:i/>
          <w:iCs/>
          <w:sz w:val="20"/>
          <w:szCs w:val="20"/>
          <w:lang w:val="en"/>
        </w:rPr>
        <w:t>double-blind</w:t>
      </w:r>
      <w:r w:rsidRPr="006810DB">
        <w:rPr>
          <w:rFonts w:ascii="Book Antiqua" w:hAnsi="Book Antiqua"/>
          <w:sz w:val="20"/>
          <w:szCs w:val="20"/>
          <w:lang w:val="en"/>
        </w:rPr>
        <w:t>). Pengacakan (</w:t>
      </w:r>
      <w:r w:rsidRPr="006810DB">
        <w:rPr>
          <w:rFonts w:ascii="Book Antiqua" w:hAnsi="Book Antiqua"/>
          <w:i/>
          <w:iCs/>
          <w:sz w:val="20"/>
          <w:szCs w:val="20"/>
          <w:lang w:val="en"/>
        </w:rPr>
        <w:t>randomization</w:t>
      </w:r>
      <w:r w:rsidRPr="006810DB">
        <w:rPr>
          <w:rFonts w:ascii="Book Antiqua" w:hAnsi="Book Antiqua"/>
          <w:sz w:val="20"/>
          <w:szCs w:val="20"/>
          <w:lang w:val="en"/>
        </w:rPr>
        <w:t>) memastikan bahwa setiap perbedaan hasil antara kelompok perlakuan dan kontrol disebabkan oleh intervensi obat, bukan karena perbedaan karakteristik awal pasien. Penyamaran ganda, di mana baik pasien maupun dokter tidak tahu siapa yang menerima herbal atau plasebo, sangat penting untuk menghilangkan bias subjektif dalam penilaian nyeri dan kualitas hidup (Hannan et al., 2021).</w:t>
      </w:r>
    </w:p>
    <w:p w14:paraId="1528388F"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Namun, membuat plasebo untuk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adalah tantangan tersendiri karena aroma dan rasanya yang sangat khas. Jika pasien dapat menebak bahwa mereka menerima obat aktif karena baunya, prinsip penyamaran akan rusak. Inovasi dalam formulasi, seperti enkapsulasi canggih atau </w:t>
      </w:r>
      <w:r w:rsidRPr="006810DB">
        <w:rPr>
          <w:rFonts w:ascii="Book Antiqua" w:hAnsi="Book Antiqua"/>
          <w:sz w:val="20"/>
          <w:szCs w:val="20"/>
          <w:lang w:val="en"/>
        </w:rPr>
        <w:lastRenderedPageBreak/>
        <w:t xml:space="preserve">penggunaan perasa penutup yang kuat pada kedua kelompok (aktif dan plasebo), diperlukan untuk menjaga integritas </w:t>
      </w:r>
      <w:r w:rsidRPr="006810DB">
        <w:rPr>
          <w:rFonts w:ascii="Book Antiqua" w:hAnsi="Book Antiqua"/>
          <w:i/>
          <w:iCs/>
          <w:sz w:val="20"/>
          <w:szCs w:val="20"/>
          <w:lang w:val="en"/>
        </w:rPr>
        <w:t>blinding</w:t>
      </w:r>
      <w:r w:rsidRPr="006810DB">
        <w:rPr>
          <w:rFonts w:ascii="Book Antiqua" w:hAnsi="Book Antiqua"/>
          <w:sz w:val="20"/>
          <w:szCs w:val="20"/>
          <w:lang w:val="en"/>
        </w:rPr>
        <w:t>.</w:t>
      </w:r>
    </w:p>
    <w:p w14:paraId="430E7B2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Ukuran sampel (</w:t>
      </w:r>
      <w:r w:rsidRPr="006810DB">
        <w:rPr>
          <w:rFonts w:ascii="Book Antiqua" w:hAnsi="Book Antiqua"/>
          <w:i/>
          <w:iCs/>
          <w:sz w:val="20"/>
          <w:szCs w:val="20"/>
          <w:lang w:val="en"/>
        </w:rPr>
        <w:t>sample size</w:t>
      </w:r>
      <w:r w:rsidRPr="006810DB">
        <w:rPr>
          <w:rFonts w:ascii="Book Antiqua" w:hAnsi="Book Antiqua"/>
          <w:sz w:val="20"/>
          <w:szCs w:val="20"/>
          <w:lang w:val="en"/>
        </w:rPr>
        <w:t>) harus dihitung dengan cermat untuk memastikan kekuatan statistik (</w:t>
      </w:r>
      <w:r w:rsidRPr="006810DB">
        <w:rPr>
          <w:rFonts w:ascii="Book Antiqua" w:hAnsi="Book Antiqua"/>
          <w:i/>
          <w:iCs/>
          <w:sz w:val="20"/>
          <w:szCs w:val="20"/>
          <w:lang w:val="en"/>
        </w:rPr>
        <w:t>statistical power</w:t>
      </w:r>
      <w:r w:rsidRPr="006810DB">
        <w:rPr>
          <w:rFonts w:ascii="Book Antiqua" w:hAnsi="Book Antiqua"/>
          <w:sz w:val="20"/>
          <w:szCs w:val="20"/>
          <w:lang w:val="en"/>
        </w:rPr>
        <w:t>) yang cukup. Karena variabilitas respons manusia tinggi, jumlah pasien yang direkrut harus cukup besar untuk mendeteksi perbedaan klinis yang bermakna. Studi multisenter (melibatkan beberapa rumah sakit) sering kali diperlukan untuk mencapai target rekrutmen ini dan untuk memastikan bahwa hasil studi dapat digeneralisasi ke populasi yang lebih luas.</w:t>
      </w:r>
    </w:p>
    <w:p w14:paraId="1D97394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Stratifikasi pasien berdasarkan rejimen kemoterapi dan faktor risiko juga penting. Pasien yang menerima cisplatin dosis tinggi atau kombinasi radioterapi memiliki risiko mukositis yang berbeda dengan yang menerima dosis rendah. Analisis sub-kelompok yang direncanakan dengan baik akan membantu mengidentifikasi populasi pasien mana yang paling mendapat manfaat dari intervensi </w:t>
      </w:r>
      <w:r w:rsidRPr="006810DB">
        <w:rPr>
          <w:rFonts w:ascii="Book Antiqua" w:hAnsi="Book Antiqua"/>
          <w:i/>
          <w:iCs/>
          <w:sz w:val="20"/>
          <w:szCs w:val="20"/>
          <w:lang w:val="en"/>
        </w:rPr>
        <w:t>Nigella sativa</w:t>
      </w:r>
      <w:r w:rsidRPr="006810DB">
        <w:rPr>
          <w:rFonts w:ascii="Book Antiqua" w:hAnsi="Book Antiqua"/>
          <w:sz w:val="20"/>
          <w:szCs w:val="20"/>
          <w:lang w:val="en"/>
        </w:rPr>
        <w:t>.</w:t>
      </w:r>
    </w:p>
    <w:p w14:paraId="4D7DDFF1" w14:textId="33914772" w:rsidR="00B258B7" w:rsidRPr="006810DB" w:rsidRDefault="00B258B7" w:rsidP="006810DB">
      <w:pPr>
        <w:pStyle w:val="ListParagraph"/>
        <w:numPr>
          <w:ilvl w:val="0"/>
          <w:numId w:val="92"/>
        </w:numPr>
        <w:spacing w:after="0" w:line="276" w:lineRule="auto"/>
        <w:ind w:left="567" w:hanging="283"/>
        <w:contextualSpacing w:val="0"/>
        <w:jc w:val="both"/>
        <w:rPr>
          <w:rFonts w:ascii="Book Antiqua" w:hAnsi="Book Antiqua"/>
          <w:b/>
          <w:bCs/>
          <w:sz w:val="20"/>
          <w:szCs w:val="20"/>
          <w:lang w:val="en"/>
        </w:rPr>
      </w:pPr>
      <w:bookmarkStart w:id="475" w:name="_ug6gzwktq8wh" w:colFirst="0" w:colLast="0"/>
      <w:bookmarkEnd w:id="475"/>
      <w:r w:rsidRPr="006810DB">
        <w:rPr>
          <w:rFonts w:ascii="Book Antiqua" w:hAnsi="Book Antiqua"/>
          <w:b/>
          <w:bCs/>
          <w:sz w:val="20"/>
          <w:szCs w:val="20"/>
          <w:lang w:val="en"/>
        </w:rPr>
        <w:t xml:space="preserve">Penentuan </w:t>
      </w:r>
      <w:r w:rsidRPr="006810DB">
        <w:rPr>
          <w:rFonts w:ascii="Book Antiqua" w:hAnsi="Book Antiqua"/>
          <w:b/>
          <w:bCs/>
          <w:i/>
          <w:iCs/>
          <w:sz w:val="20"/>
          <w:szCs w:val="20"/>
          <w:lang w:val="en"/>
        </w:rPr>
        <w:t>Endpoint</w:t>
      </w:r>
      <w:r w:rsidRPr="006810DB">
        <w:rPr>
          <w:rFonts w:ascii="Book Antiqua" w:hAnsi="Book Antiqua"/>
          <w:b/>
          <w:bCs/>
          <w:sz w:val="20"/>
          <w:szCs w:val="20"/>
          <w:lang w:val="en"/>
        </w:rPr>
        <w:t xml:space="preserve"> Klinis pada Pasien Manusia</w:t>
      </w:r>
    </w:p>
    <w:p w14:paraId="7104F76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Pemilihan titik akhir (</w:t>
      </w:r>
      <w:r w:rsidRPr="006810DB">
        <w:rPr>
          <w:rFonts w:ascii="Book Antiqua" w:hAnsi="Book Antiqua"/>
          <w:i/>
          <w:iCs/>
          <w:sz w:val="20"/>
          <w:szCs w:val="20"/>
          <w:lang w:val="en"/>
        </w:rPr>
        <w:t>endpoint</w:t>
      </w:r>
      <w:r w:rsidRPr="006810DB">
        <w:rPr>
          <w:rFonts w:ascii="Book Antiqua" w:hAnsi="Book Antiqua"/>
          <w:sz w:val="20"/>
          <w:szCs w:val="20"/>
          <w:lang w:val="en"/>
        </w:rPr>
        <w:t xml:space="preserve">) yang tepat menentukan keberhasilan interpretasi uji klinis. </w:t>
      </w:r>
      <w:r w:rsidRPr="006810DB">
        <w:rPr>
          <w:rFonts w:ascii="Book Antiqua" w:hAnsi="Book Antiqua"/>
          <w:i/>
          <w:iCs/>
          <w:sz w:val="20"/>
          <w:szCs w:val="20"/>
          <w:lang w:val="en"/>
        </w:rPr>
        <w:t>Endpoint</w:t>
      </w:r>
      <w:r w:rsidRPr="006810DB">
        <w:rPr>
          <w:rFonts w:ascii="Book Antiqua" w:hAnsi="Book Antiqua"/>
          <w:sz w:val="20"/>
          <w:szCs w:val="20"/>
          <w:lang w:val="en"/>
        </w:rPr>
        <w:t xml:space="preserve"> primer haruslah parameter klinis yang objektif dan relevan secara medis. Untuk mukositis, skala penilaian standar seperti </w:t>
      </w:r>
      <w:r w:rsidRPr="006810DB">
        <w:rPr>
          <w:rFonts w:ascii="Book Antiqua" w:hAnsi="Book Antiqua"/>
          <w:i/>
          <w:iCs/>
          <w:sz w:val="20"/>
          <w:szCs w:val="20"/>
          <w:lang w:val="en"/>
        </w:rPr>
        <w:t>Oral Mucositis Assessment Scale</w:t>
      </w:r>
      <w:r w:rsidRPr="006810DB">
        <w:rPr>
          <w:rFonts w:ascii="Book Antiqua" w:hAnsi="Book Antiqua"/>
          <w:sz w:val="20"/>
          <w:szCs w:val="20"/>
          <w:lang w:val="en"/>
        </w:rPr>
        <w:t xml:space="preserve"> (OMAS) atau kriteria WHO/NCI-CTCAE adalah pilihan utama. Penilaian ini harus dilakukan oleh klinisi terlatih yang telah dikalibrasi untuk memastikan konsistensi antar penilai (</w:t>
      </w:r>
      <w:r w:rsidRPr="006810DB">
        <w:rPr>
          <w:rFonts w:ascii="Book Antiqua" w:hAnsi="Book Antiqua"/>
          <w:i/>
          <w:iCs/>
          <w:sz w:val="20"/>
          <w:szCs w:val="20"/>
          <w:lang w:val="en"/>
        </w:rPr>
        <w:t>inter-rater reliability</w:t>
      </w:r>
      <w:r w:rsidRPr="006810DB">
        <w:rPr>
          <w:rFonts w:ascii="Book Antiqua" w:hAnsi="Book Antiqua"/>
          <w:sz w:val="20"/>
          <w:szCs w:val="20"/>
          <w:lang w:val="en"/>
        </w:rPr>
        <w:t>) (Lalla et al., 2014).</w:t>
      </w:r>
    </w:p>
    <w:p w14:paraId="6693A52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Selain skor keparahan lesi, </w:t>
      </w:r>
      <w:r w:rsidRPr="006810DB">
        <w:rPr>
          <w:rFonts w:ascii="Book Antiqua" w:hAnsi="Book Antiqua"/>
          <w:i/>
          <w:iCs/>
          <w:sz w:val="20"/>
          <w:szCs w:val="20"/>
          <w:lang w:val="en"/>
        </w:rPr>
        <w:t>endpoint</w:t>
      </w:r>
      <w:r w:rsidRPr="006810DB">
        <w:rPr>
          <w:rFonts w:ascii="Book Antiqua" w:hAnsi="Book Antiqua"/>
          <w:sz w:val="20"/>
          <w:szCs w:val="20"/>
          <w:lang w:val="en"/>
        </w:rPr>
        <w:t xml:space="preserve"> sekunder yang bersifat fungsional dan subjektif juga sangat penting. Skala nyeri (</w:t>
      </w:r>
      <w:r w:rsidRPr="006810DB">
        <w:rPr>
          <w:rFonts w:ascii="Book Antiqua" w:hAnsi="Book Antiqua"/>
          <w:i/>
          <w:iCs/>
          <w:sz w:val="20"/>
          <w:szCs w:val="20"/>
          <w:lang w:val="en"/>
        </w:rPr>
        <w:t>Visual Analog Scale</w:t>
      </w:r>
      <w:r w:rsidRPr="006810DB">
        <w:rPr>
          <w:rFonts w:ascii="Book Antiqua" w:hAnsi="Book Antiqua"/>
          <w:sz w:val="20"/>
          <w:szCs w:val="20"/>
          <w:lang w:val="en"/>
        </w:rPr>
        <w:t>/VAS) dan kuesioner kualitas hidup (</w:t>
      </w:r>
      <w:r w:rsidRPr="006810DB">
        <w:rPr>
          <w:rFonts w:ascii="Book Antiqua" w:hAnsi="Book Antiqua"/>
          <w:i/>
          <w:iCs/>
          <w:sz w:val="20"/>
          <w:szCs w:val="20"/>
          <w:lang w:val="en"/>
        </w:rPr>
        <w:t>Quality of Life</w:t>
      </w:r>
      <w:r w:rsidRPr="006810DB">
        <w:rPr>
          <w:rFonts w:ascii="Book Antiqua" w:hAnsi="Book Antiqua"/>
          <w:sz w:val="20"/>
          <w:szCs w:val="20"/>
          <w:lang w:val="en"/>
        </w:rPr>
        <w:t xml:space="preserve">) memberikan perspektif pasien tentang manfaat terapi. Apakah pengurangan ukuran ulkus benar-benar membuat pasien merasa lebih baik dan bisa makan </w:t>
      </w:r>
      <w:r w:rsidRPr="006810DB">
        <w:rPr>
          <w:rFonts w:ascii="Book Antiqua" w:hAnsi="Book Antiqua"/>
          <w:sz w:val="20"/>
          <w:szCs w:val="20"/>
          <w:lang w:val="en"/>
        </w:rPr>
        <w:lastRenderedPageBreak/>
        <w:t>lebih nyaman? Data ini sering kali lebih bermakna bagi pasien daripada sekadar skor klinis.</w:t>
      </w:r>
    </w:p>
    <w:p w14:paraId="49346DEA" w14:textId="4D9E2293"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Penggunaan analgesik penyelamatan (</w:t>
      </w:r>
      <w:r w:rsidRPr="006810DB">
        <w:rPr>
          <w:rFonts w:ascii="Book Antiqua" w:hAnsi="Book Antiqua"/>
          <w:i/>
          <w:iCs/>
          <w:sz w:val="20"/>
          <w:szCs w:val="20"/>
          <w:lang w:val="en"/>
        </w:rPr>
        <w:t>rescue analgesic</w:t>
      </w:r>
      <w:r w:rsidRPr="006810DB">
        <w:rPr>
          <w:rFonts w:ascii="Book Antiqua" w:hAnsi="Book Antiqua"/>
          <w:sz w:val="20"/>
          <w:szCs w:val="20"/>
          <w:lang w:val="en"/>
        </w:rPr>
        <w:t xml:space="preserve">) juga bisa menjadi </w:t>
      </w:r>
      <w:r w:rsidRPr="006810DB">
        <w:rPr>
          <w:rFonts w:ascii="Book Antiqua" w:hAnsi="Book Antiqua"/>
          <w:i/>
          <w:iCs/>
          <w:sz w:val="20"/>
          <w:szCs w:val="20"/>
          <w:lang w:val="en"/>
        </w:rPr>
        <w:t>endpoint</w:t>
      </w:r>
      <w:r w:rsidRPr="006810DB">
        <w:rPr>
          <w:rFonts w:ascii="Book Antiqua" w:hAnsi="Book Antiqua"/>
          <w:sz w:val="20"/>
          <w:szCs w:val="20"/>
          <w:lang w:val="en"/>
        </w:rPr>
        <w:t xml:space="preserve"> pengganti yang valid. Jika kelompok yang menerima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mengonsumsi lebih sedikit morfin atau opioid lain dibandingkan kelompok plasebo, itu adalah bukti kuat efikasi analgesik dan anti-inflamasi, serta memiliki implikasi positif dalam mengurangi efek samping opioid.</w:t>
      </w:r>
    </w:p>
    <w:p w14:paraId="7B69772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Parameter nutrisi, seperti perubahan berat badan dan kemampuan asupan oral, juga harus dipantau. Pencegahan penurunan berat badan yang signifikan selama kemoterapi adalah indikator keberhasilan manajemen mukositis yang berdampak langsung pada prognosis pasien kanker secara keseluruhan.</w:t>
      </w:r>
    </w:p>
    <w:p w14:paraId="180E235D" w14:textId="43364D29" w:rsidR="00B258B7" w:rsidRPr="006810DB" w:rsidRDefault="00B258B7" w:rsidP="006810DB">
      <w:pPr>
        <w:pStyle w:val="ListParagraph"/>
        <w:numPr>
          <w:ilvl w:val="0"/>
          <w:numId w:val="92"/>
        </w:numPr>
        <w:spacing w:after="0" w:line="276" w:lineRule="auto"/>
        <w:ind w:left="567" w:hanging="283"/>
        <w:contextualSpacing w:val="0"/>
        <w:jc w:val="both"/>
        <w:rPr>
          <w:rFonts w:ascii="Book Antiqua" w:hAnsi="Book Antiqua"/>
          <w:b/>
          <w:bCs/>
          <w:sz w:val="20"/>
          <w:szCs w:val="20"/>
          <w:lang w:val="en"/>
        </w:rPr>
      </w:pPr>
      <w:bookmarkStart w:id="476" w:name="_jvvjs3lw84w" w:colFirst="0" w:colLast="0"/>
      <w:bookmarkEnd w:id="476"/>
      <w:r w:rsidRPr="006810DB">
        <w:rPr>
          <w:rFonts w:ascii="Book Antiqua" w:hAnsi="Book Antiqua"/>
          <w:b/>
          <w:bCs/>
          <w:sz w:val="20"/>
          <w:szCs w:val="20"/>
          <w:lang w:val="en"/>
        </w:rPr>
        <w:t>Etika Penelitian Klinis pada Pasien Rentan</w:t>
      </w:r>
    </w:p>
    <w:p w14:paraId="716F5FC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Melakukan penelitian pada pasien kanker yang sedang menderita mukositis mengangkat isu etika yang serius. Prinsip </w:t>
      </w:r>
      <w:r w:rsidRPr="006810DB">
        <w:rPr>
          <w:rFonts w:ascii="Book Antiqua" w:hAnsi="Book Antiqua"/>
          <w:i/>
          <w:iCs/>
          <w:sz w:val="20"/>
          <w:szCs w:val="20"/>
          <w:lang w:val="en"/>
        </w:rPr>
        <w:t>beneficence</w:t>
      </w:r>
      <w:r w:rsidRPr="006810DB">
        <w:rPr>
          <w:rFonts w:ascii="Book Antiqua" w:hAnsi="Book Antiqua"/>
          <w:sz w:val="20"/>
          <w:szCs w:val="20"/>
          <w:lang w:val="en"/>
        </w:rPr>
        <w:t xml:space="preserve"> (berbuat baik) dan </w:t>
      </w:r>
      <w:r w:rsidRPr="006810DB">
        <w:rPr>
          <w:rFonts w:ascii="Book Antiqua" w:hAnsi="Book Antiqua"/>
          <w:i/>
          <w:iCs/>
          <w:sz w:val="20"/>
          <w:szCs w:val="20"/>
          <w:lang w:val="en"/>
        </w:rPr>
        <w:t>non-maleficence</w:t>
      </w:r>
      <w:r w:rsidRPr="006810DB">
        <w:rPr>
          <w:rFonts w:ascii="Book Antiqua" w:hAnsi="Book Antiqua"/>
          <w:sz w:val="20"/>
          <w:szCs w:val="20"/>
          <w:lang w:val="en"/>
        </w:rPr>
        <w:t xml:space="preserve"> (tidak membahayakan) harus menjadi panduan utama. Pertanyaan etis utama adalah penggunaan kelompok kontrol plasebo. Apakah etis memberikan plasebo kepada pasien yang menderita nyeri hebat tanpa memberikan terapi aktif? (Elad et al., 2020).</w:t>
      </w:r>
    </w:p>
    <w:p w14:paraId="58BB4471"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Untuk mengatasi ini, desain studi sering kali menggunakan </w:t>
      </w:r>
      <w:r w:rsidRPr="006810DB">
        <w:rPr>
          <w:rFonts w:ascii="Book Antiqua" w:hAnsi="Book Antiqua"/>
          <w:i/>
          <w:iCs/>
          <w:sz w:val="20"/>
          <w:szCs w:val="20"/>
          <w:lang w:val="en"/>
        </w:rPr>
        <w:t>add-on</w:t>
      </w:r>
      <w:r w:rsidRPr="006810DB">
        <w:rPr>
          <w:rFonts w:ascii="Book Antiqua" w:hAnsi="Book Antiqua"/>
          <w:sz w:val="20"/>
          <w:szCs w:val="20"/>
          <w:lang w:val="en"/>
        </w:rPr>
        <w:t xml:space="preserve"> atau </w:t>
      </w:r>
      <w:r w:rsidRPr="006810DB">
        <w:rPr>
          <w:rFonts w:ascii="Book Antiqua" w:hAnsi="Book Antiqua"/>
          <w:i/>
          <w:iCs/>
          <w:sz w:val="20"/>
          <w:szCs w:val="20"/>
          <w:lang w:val="en"/>
        </w:rPr>
        <w:t>adjuvant design</w:t>
      </w:r>
      <w:r w:rsidRPr="006810DB">
        <w:rPr>
          <w:rFonts w:ascii="Book Antiqua" w:hAnsi="Book Antiqua"/>
          <w:sz w:val="20"/>
          <w:szCs w:val="20"/>
          <w:lang w:val="en"/>
        </w:rPr>
        <w:t xml:space="preserve">. Semua pasien, baik dalam kelompok kontrol maupun intervensi, tetap menerima standar perawatan dasar (seperti kebersihan mulut, obat kumur saline, dan analgesik standar). Kelompok intervensi mendapatkan tambahan </w:t>
      </w:r>
      <w:r w:rsidRPr="006810DB">
        <w:rPr>
          <w:rFonts w:ascii="Book Antiqua" w:hAnsi="Book Antiqua"/>
          <w:i/>
          <w:iCs/>
          <w:sz w:val="20"/>
          <w:szCs w:val="20"/>
          <w:lang w:val="en"/>
        </w:rPr>
        <w:t>Nigella sativa</w:t>
      </w:r>
      <w:r w:rsidRPr="006810DB">
        <w:rPr>
          <w:rFonts w:ascii="Book Antiqua" w:hAnsi="Book Antiqua"/>
          <w:sz w:val="20"/>
          <w:szCs w:val="20"/>
          <w:lang w:val="en"/>
        </w:rPr>
        <w:t>, sedangkan kelompok kontrol mendapatkan tambahan plasebo. Dengan cara ini, tidak ada pasien yang dibiarkan tanpa pengobatan sama sekali.</w:t>
      </w:r>
    </w:p>
    <w:p w14:paraId="233D7E6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Informed consent (persetujuan setelah penjelasan) harus dilakukan dengan sangat hati-hati. Pasien harus memahami sepenuhnya bahwa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adalah terapi </w:t>
      </w:r>
      <w:r w:rsidRPr="006810DB">
        <w:rPr>
          <w:rFonts w:ascii="Book Antiqua" w:hAnsi="Book Antiqua"/>
          <w:sz w:val="20"/>
          <w:szCs w:val="20"/>
          <w:lang w:val="en"/>
        </w:rPr>
        <w:lastRenderedPageBreak/>
        <w:t>investigasi dan bukan pengganti pengobatan kanker utama mereka. Mereka juga harus diberitahu tentang potensi risiko interaksi obat. Transparansi dan perlindungan hak pasien adalah prioritas mutlak yang diawasi oleh komite etika penelitian.</w:t>
      </w:r>
    </w:p>
    <w:p w14:paraId="092685EB" w14:textId="48F64D7B"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Pemantauan keamanan data (</w:t>
      </w:r>
      <w:r w:rsidRPr="006810DB">
        <w:rPr>
          <w:rFonts w:ascii="Book Antiqua" w:hAnsi="Book Antiqua"/>
          <w:i/>
          <w:iCs/>
          <w:sz w:val="20"/>
          <w:szCs w:val="20"/>
          <w:lang w:val="en"/>
        </w:rPr>
        <w:t>Data Safety Monitoring Board</w:t>
      </w:r>
      <w:r w:rsidRPr="006810DB">
        <w:rPr>
          <w:rFonts w:ascii="Book Antiqua" w:hAnsi="Book Antiqua"/>
          <w:sz w:val="20"/>
          <w:szCs w:val="20"/>
          <w:lang w:val="en"/>
        </w:rPr>
        <w:t>/DSMB) independen harus dibentuk untuk mengawasi jalannya studi. Jika terjadi efek samping serius yang tidak terduga atau jika ada bukti jelas bahwa salah satu kelompok jauh lebih buruk kondisinya, studi harus dihentikan segera demi keselamatan pasien.</w:t>
      </w:r>
    </w:p>
    <w:p w14:paraId="2C0747F8" w14:textId="77777777" w:rsidR="00CA71C5" w:rsidRPr="006810DB" w:rsidRDefault="00CA71C5" w:rsidP="006810DB">
      <w:pPr>
        <w:spacing w:after="0" w:line="276" w:lineRule="auto"/>
        <w:jc w:val="both"/>
        <w:rPr>
          <w:rFonts w:ascii="Book Antiqua" w:hAnsi="Book Antiqua"/>
          <w:sz w:val="20"/>
          <w:szCs w:val="20"/>
          <w:lang w:val="en"/>
        </w:rPr>
      </w:pPr>
    </w:p>
    <w:p w14:paraId="25EC35B4" w14:textId="74DF7186" w:rsidR="00B258B7" w:rsidRPr="006810DB" w:rsidRDefault="00B258B7" w:rsidP="006810DB">
      <w:pPr>
        <w:pStyle w:val="Heading2"/>
        <w:numPr>
          <w:ilvl w:val="0"/>
          <w:numId w:val="34"/>
        </w:numPr>
        <w:ind w:left="284" w:hanging="284"/>
        <w:rPr>
          <w:bCs/>
          <w:szCs w:val="20"/>
          <w:lang w:val="en"/>
        </w:rPr>
      </w:pPr>
      <w:bookmarkStart w:id="477" w:name="_rzwjq5hqhnsi" w:colFirst="0" w:colLast="0"/>
      <w:bookmarkStart w:id="478" w:name="_Toc223089007"/>
      <w:bookmarkEnd w:id="477"/>
      <w:r w:rsidRPr="006810DB">
        <w:rPr>
          <w:bCs/>
          <w:szCs w:val="20"/>
          <w:lang w:val="en"/>
        </w:rPr>
        <w:t xml:space="preserve">Inovasi Formulasi </w:t>
      </w:r>
      <w:r w:rsidRPr="006810DB">
        <w:rPr>
          <w:bCs/>
          <w:i/>
          <w:iCs/>
          <w:szCs w:val="20"/>
          <w:lang w:val="en"/>
        </w:rPr>
        <w:t>Nigella sativa</w:t>
      </w:r>
      <w:bookmarkEnd w:id="478"/>
    </w:p>
    <w:p w14:paraId="71D5101B"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Untuk mengatasi hambatan farmakokinetik dan stabilitas yang disebutkan sebelumnya, penerapan teknologi farmasi modern adalah suatu keharusan. Inovasi formulasi bertujuan untuk mengubah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dari bahan alam mentah menjadi sistem penghantaran obat canggih yang mampu melindungi senyawa aktif dari degradasi, meningkatkan kelarutannya, dan menghantarkannya secara tepat sasaran ke jaringan mukosa yang rusak dengan pelepasan yang terkendali. Transformasi teknologi ini adalah jembatan yang menghubungkan potensi molekuler dengan efikasi klinis.</w:t>
      </w:r>
    </w:p>
    <w:p w14:paraId="15D7D439"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Inovasi formulasi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dapat diibaratkan seperti evolusi pengiriman pesan. Ekstrak mentah adalah seperti "surat dalam botol" yang dilempar ke laut; mungkin sampai, mungkin tidak, tergantung arus, dan kertasnya bisa basah/rusak (degradasi). Nanoemulsi adalah seperti "email terenkripsi"; pesan (senyawa aktif) dipecah menjadi paket data digital kecil (nanopartikel) yang bisa bergerak sangat cepat melewati jaringan internet (membran sel) tanpa hambatan. Patch mukoadhesif adalah seperti "surat tercatat yang ditempel langsung di pintu penerima"; pesan tersebut dijamin sampai di alamat yang tepat (lokasi ulkus) dan tidak akan hilang tertiup angin (terbilas saliva). Tablet lepas lambat adalah seperti "langganan berita harian"; informasi </w:t>
      </w:r>
      <w:r w:rsidRPr="006810DB">
        <w:rPr>
          <w:rFonts w:ascii="Book Antiqua" w:hAnsi="Book Antiqua"/>
          <w:sz w:val="20"/>
          <w:szCs w:val="20"/>
          <w:lang w:val="en"/>
        </w:rPr>
        <w:lastRenderedPageBreak/>
        <w:t>dikirimkan secara berkala dan konsisten, memastikan penerima selalu terupdate (kadar obat stabil dalam darah).</w:t>
      </w:r>
    </w:p>
    <w:p w14:paraId="13F53E4A" w14:textId="29AFAACC" w:rsidR="00B258B7" w:rsidRPr="006810DB" w:rsidRDefault="00B258B7" w:rsidP="006810DB">
      <w:pPr>
        <w:pStyle w:val="ListParagraph"/>
        <w:numPr>
          <w:ilvl w:val="0"/>
          <w:numId w:val="93"/>
        </w:numPr>
        <w:spacing w:after="0" w:line="276" w:lineRule="auto"/>
        <w:ind w:left="567" w:hanging="283"/>
        <w:contextualSpacing w:val="0"/>
        <w:jc w:val="both"/>
        <w:rPr>
          <w:rFonts w:ascii="Book Antiqua" w:hAnsi="Book Antiqua"/>
          <w:b/>
          <w:bCs/>
          <w:sz w:val="20"/>
          <w:szCs w:val="20"/>
          <w:lang w:val="en"/>
        </w:rPr>
      </w:pPr>
      <w:bookmarkStart w:id="479" w:name="_xhhmtqjwfug0" w:colFirst="0" w:colLast="0"/>
      <w:bookmarkEnd w:id="479"/>
      <w:r w:rsidRPr="006810DB">
        <w:rPr>
          <w:rFonts w:ascii="Book Antiqua" w:hAnsi="Book Antiqua"/>
          <w:b/>
          <w:bCs/>
          <w:sz w:val="20"/>
          <w:szCs w:val="20"/>
          <w:lang w:val="en"/>
        </w:rPr>
        <w:t>Pengembangan Nanoemulsi untuk Bioavailabilitas Tinggi</w:t>
      </w:r>
    </w:p>
    <w:p w14:paraId="42635D79"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Nanoemulsi adalah sistem dispersi minyak dalam air (atau sebaliknya) dengan ukuran droplet dalam skala nanometer (biasanya 20-200 nm). Memformulasikan minyak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menjadi nanoemulsi secara drastis meningkatkan luas permukaan kontak obat. Hal ini meningkatkan kelarutan dan laju disolusi </w:t>
      </w:r>
      <w:r w:rsidRPr="006810DB">
        <w:rPr>
          <w:rFonts w:ascii="Book Antiqua" w:hAnsi="Book Antiqua"/>
          <w:i/>
          <w:iCs/>
          <w:sz w:val="20"/>
          <w:szCs w:val="20"/>
          <w:lang w:val="en"/>
        </w:rPr>
        <w:t>thymoquinone</w:t>
      </w:r>
      <w:r w:rsidRPr="006810DB">
        <w:rPr>
          <w:rFonts w:ascii="Book Antiqua" w:hAnsi="Book Antiqua"/>
          <w:sz w:val="20"/>
          <w:szCs w:val="20"/>
          <w:lang w:val="en"/>
        </w:rPr>
        <w:t>, memungkinkannya menembus lapisan mukosa dan membran sel dengan jauh lebih efisien dibandingkan minyak curah (Sobhannizadeh et al., 2025).</w:t>
      </w:r>
    </w:p>
    <w:p w14:paraId="7905B475"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Ukuran partikel yang sangat kecil juga memungkinkan transpor paraseluler dan transeluler yang lebih baik, mengatasi barier epitel. Selain itu, enkapsulasi dalam droplet nano melindungi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dari degradasi oksidatif dan hidrolisis enzimatik di rongga mulut. Studi menunjukkan bahwa formulasi nano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memiliki bioavailabilitas oral dan aktivitas anti-inflamasi yang jauh lebih tinggi daripada bentuk konvensionalnya.</w:t>
      </w:r>
    </w:p>
    <w:p w14:paraId="6AE8F3F9"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Pengembangan </w:t>
      </w:r>
      <w:r w:rsidRPr="006810DB">
        <w:rPr>
          <w:rFonts w:ascii="Book Antiqua" w:hAnsi="Book Antiqua"/>
          <w:i/>
          <w:iCs/>
          <w:sz w:val="20"/>
          <w:szCs w:val="20"/>
          <w:lang w:val="en"/>
        </w:rPr>
        <w:t>Self-Emulsifying Drug Delivery Systems</w:t>
      </w:r>
      <w:r w:rsidRPr="006810DB">
        <w:rPr>
          <w:rFonts w:ascii="Book Antiqua" w:hAnsi="Book Antiqua"/>
          <w:sz w:val="20"/>
          <w:szCs w:val="20"/>
          <w:lang w:val="en"/>
        </w:rPr>
        <w:t xml:space="preserve"> (SEDDS) adalah varian lain yang menjanjikan. Ini adalah campuran isotropik minyak, surfaktan, dan kosurfaktan yang secara spontan membentuk emulsi halus ketika kontak dengan cairan tubuh (seperti saliva atau cairan lambung). Sediaan ini dapat dikemas dalam kapsul lunak yang nyaman dikonsumsi pasien.</w:t>
      </w:r>
    </w:p>
    <w:p w14:paraId="05E480E3"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Aplikasi nanoteknologi lain, seperti nanopartikel lipid padat (</w:t>
      </w:r>
      <w:r w:rsidRPr="006810DB">
        <w:rPr>
          <w:rFonts w:ascii="Book Antiqua" w:hAnsi="Book Antiqua"/>
          <w:i/>
          <w:iCs/>
          <w:sz w:val="20"/>
          <w:szCs w:val="20"/>
          <w:lang w:val="en"/>
        </w:rPr>
        <w:t>Solid Lipid Nanoparticles</w:t>
      </w:r>
      <w:r w:rsidRPr="006810DB">
        <w:rPr>
          <w:rFonts w:ascii="Book Antiqua" w:hAnsi="Book Antiqua"/>
          <w:sz w:val="20"/>
          <w:szCs w:val="20"/>
          <w:lang w:val="en"/>
        </w:rPr>
        <w:t>/SLN) atau pembawa lipid nanostruktur (</w:t>
      </w:r>
      <w:r w:rsidRPr="006810DB">
        <w:rPr>
          <w:rFonts w:ascii="Book Antiqua" w:hAnsi="Book Antiqua"/>
          <w:i/>
          <w:iCs/>
          <w:sz w:val="20"/>
          <w:szCs w:val="20"/>
          <w:lang w:val="en"/>
        </w:rPr>
        <w:t>Nanostructured Lipid Carriers</w:t>
      </w:r>
      <w:r w:rsidRPr="006810DB">
        <w:rPr>
          <w:rFonts w:ascii="Book Antiqua" w:hAnsi="Book Antiqua"/>
          <w:sz w:val="20"/>
          <w:szCs w:val="20"/>
          <w:lang w:val="en"/>
        </w:rPr>
        <w:t>/NLC), juga dieksplorasi untuk memberikan pelepasan obat yang lebih terkontrol dan stabilitas fisik yang lebih baik selama penyimpanan jangka panjang.</w:t>
      </w:r>
    </w:p>
    <w:p w14:paraId="077D5042" w14:textId="77777777" w:rsidR="00A95863" w:rsidRDefault="00A95863">
      <w:pPr>
        <w:rPr>
          <w:rFonts w:ascii="Book Antiqua" w:hAnsi="Book Antiqua"/>
          <w:b/>
          <w:bCs/>
          <w:sz w:val="20"/>
          <w:szCs w:val="20"/>
          <w:lang w:val="en"/>
        </w:rPr>
      </w:pPr>
      <w:bookmarkStart w:id="480" w:name="_1w5fungw6227" w:colFirst="0" w:colLast="0"/>
      <w:bookmarkEnd w:id="480"/>
      <w:r>
        <w:rPr>
          <w:rFonts w:ascii="Book Antiqua" w:hAnsi="Book Antiqua"/>
          <w:b/>
          <w:bCs/>
          <w:sz w:val="20"/>
          <w:szCs w:val="20"/>
          <w:lang w:val="en"/>
        </w:rPr>
        <w:br w:type="page"/>
      </w:r>
    </w:p>
    <w:p w14:paraId="2A312775" w14:textId="0D080390" w:rsidR="00B258B7" w:rsidRPr="006810DB" w:rsidRDefault="00B258B7" w:rsidP="006810DB">
      <w:pPr>
        <w:pStyle w:val="ListParagraph"/>
        <w:numPr>
          <w:ilvl w:val="0"/>
          <w:numId w:val="93"/>
        </w:numPr>
        <w:spacing w:after="0" w:line="276" w:lineRule="auto"/>
        <w:ind w:left="567" w:hanging="283"/>
        <w:contextualSpacing w:val="0"/>
        <w:jc w:val="both"/>
        <w:rPr>
          <w:rFonts w:ascii="Book Antiqua" w:hAnsi="Book Antiqua"/>
          <w:b/>
          <w:bCs/>
          <w:sz w:val="20"/>
          <w:szCs w:val="20"/>
          <w:lang w:val="en"/>
        </w:rPr>
      </w:pPr>
      <w:r w:rsidRPr="006810DB">
        <w:rPr>
          <w:rFonts w:ascii="Book Antiqua" w:hAnsi="Book Antiqua"/>
          <w:b/>
          <w:bCs/>
          <w:sz w:val="20"/>
          <w:szCs w:val="20"/>
          <w:lang w:val="en"/>
        </w:rPr>
        <w:lastRenderedPageBreak/>
        <w:t xml:space="preserve">Sediaan </w:t>
      </w:r>
      <w:r w:rsidRPr="006810DB">
        <w:rPr>
          <w:rFonts w:ascii="Book Antiqua" w:hAnsi="Book Antiqua"/>
          <w:b/>
          <w:bCs/>
          <w:i/>
          <w:iCs/>
          <w:sz w:val="20"/>
          <w:szCs w:val="20"/>
          <w:lang w:val="en"/>
        </w:rPr>
        <w:t>Patch</w:t>
      </w:r>
      <w:r w:rsidRPr="006810DB">
        <w:rPr>
          <w:rFonts w:ascii="Book Antiqua" w:hAnsi="Book Antiqua"/>
          <w:b/>
          <w:bCs/>
          <w:sz w:val="20"/>
          <w:szCs w:val="20"/>
          <w:lang w:val="en"/>
        </w:rPr>
        <w:t xml:space="preserve"> Mukoadhesif untuk Terapi Lokal</w:t>
      </w:r>
    </w:p>
    <w:p w14:paraId="3AC386A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Untuk mengatasi masalah waktu kontak yang singkat akibat pembilasan saliva, pengembangan </w:t>
      </w:r>
      <w:r w:rsidRPr="006810DB">
        <w:rPr>
          <w:rFonts w:ascii="Book Antiqua" w:hAnsi="Book Antiqua"/>
          <w:i/>
          <w:iCs/>
          <w:sz w:val="20"/>
          <w:szCs w:val="20"/>
          <w:lang w:val="en"/>
        </w:rPr>
        <w:t>patch</w:t>
      </w:r>
      <w:r w:rsidRPr="006810DB">
        <w:rPr>
          <w:rFonts w:ascii="Book Antiqua" w:hAnsi="Book Antiqua"/>
          <w:sz w:val="20"/>
          <w:szCs w:val="20"/>
          <w:lang w:val="en"/>
        </w:rPr>
        <w:t xml:space="preserve"> atau film mukoadhesif adalah solusi yang ideal. Sediaan ini dirancang menggunakan polimer bioadhesif (seperti kitosan, karbopol, atau HPMC) yang dapat menempel kuat pada mukosa basah melalui ikatan hidrogen atau interaksi elektrostatik (Belfiore et al., 2024).</w:t>
      </w:r>
    </w:p>
    <w:p w14:paraId="7A126626"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i/>
          <w:iCs/>
          <w:sz w:val="20"/>
          <w:szCs w:val="20"/>
          <w:lang w:val="en"/>
        </w:rPr>
        <w:t>Patch</w:t>
      </w:r>
      <w:r w:rsidRPr="006810DB">
        <w:rPr>
          <w:rFonts w:ascii="Book Antiqua" w:hAnsi="Book Antiqua"/>
          <w:sz w:val="20"/>
          <w:szCs w:val="20"/>
          <w:lang w:val="en"/>
        </w:rPr>
        <w:t xml:space="preserve"> ini dapat ditempelkan langsung di atas lesi ulkus, bertindak sebagai perban pelindung fisik sekaligus gudang obat. Ia melepaskan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secara perlahan dan terarah langsung ke jaringan yang meradang (penghantaran lokal), meminimalkan paparan sistemik dan efek samping potensial di organ lain. Konsentrasi obat di lokasi target bisa dipertahankan tinggi selama berjam-jam.</w:t>
      </w:r>
    </w:p>
    <w:p w14:paraId="2EE5AEB3"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Formulasi ini juga meningkatkan kenyamanan pasien karena menutupi ujung saraf yang terbuka, memberikan efek pereda nyeri mekanis segera. Sediaan film tipis yang cepat larut (</w:t>
      </w:r>
      <w:r w:rsidRPr="006810DB">
        <w:rPr>
          <w:rFonts w:ascii="Book Antiqua" w:hAnsi="Book Antiqua"/>
          <w:i/>
          <w:iCs/>
          <w:sz w:val="20"/>
          <w:szCs w:val="20"/>
          <w:lang w:val="en"/>
        </w:rPr>
        <w:t>fast-dissolving films</w:t>
      </w:r>
      <w:r w:rsidRPr="006810DB">
        <w:rPr>
          <w:rFonts w:ascii="Book Antiqua" w:hAnsi="Book Antiqua"/>
          <w:sz w:val="20"/>
          <w:szCs w:val="20"/>
          <w:lang w:val="en"/>
        </w:rPr>
        <w:t xml:space="preserve">) juga bisa menjadi alternatif bagi pasien yang kesulitan menelan atau memiliki area nyeri yang luas yang sulit ditempeli </w:t>
      </w:r>
      <w:r w:rsidRPr="006810DB">
        <w:rPr>
          <w:rFonts w:ascii="Book Antiqua" w:hAnsi="Book Antiqua"/>
          <w:i/>
          <w:iCs/>
          <w:sz w:val="20"/>
          <w:szCs w:val="20"/>
          <w:lang w:val="en"/>
        </w:rPr>
        <w:t>patch</w:t>
      </w:r>
      <w:r w:rsidRPr="006810DB">
        <w:rPr>
          <w:rFonts w:ascii="Book Antiqua" w:hAnsi="Book Antiqua"/>
          <w:sz w:val="20"/>
          <w:szCs w:val="20"/>
          <w:lang w:val="en"/>
        </w:rPr>
        <w:t xml:space="preserve"> tunggal.</w:t>
      </w:r>
    </w:p>
    <w:p w14:paraId="3C6BDC46" w14:textId="5011CC45" w:rsidR="00B258B7" w:rsidRPr="006810DB" w:rsidRDefault="00B258B7" w:rsidP="006810DB">
      <w:pPr>
        <w:pStyle w:val="ListParagraph"/>
        <w:numPr>
          <w:ilvl w:val="0"/>
          <w:numId w:val="93"/>
        </w:numPr>
        <w:spacing w:after="0" w:line="276" w:lineRule="auto"/>
        <w:ind w:left="567" w:hanging="283"/>
        <w:contextualSpacing w:val="0"/>
        <w:jc w:val="both"/>
        <w:rPr>
          <w:rFonts w:ascii="Book Antiqua" w:hAnsi="Book Antiqua"/>
          <w:b/>
          <w:bCs/>
          <w:sz w:val="20"/>
          <w:szCs w:val="20"/>
          <w:lang w:val="en"/>
        </w:rPr>
      </w:pPr>
      <w:bookmarkStart w:id="481" w:name="_8kwkvv1upfeq" w:colFirst="0" w:colLast="0"/>
      <w:bookmarkEnd w:id="481"/>
      <w:r w:rsidRPr="006810DB">
        <w:rPr>
          <w:rFonts w:ascii="Book Antiqua" w:hAnsi="Book Antiqua"/>
          <w:b/>
          <w:bCs/>
          <w:sz w:val="20"/>
          <w:szCs w:val="20"/>
          <w:lang w:val="en"/>
        </w:rPr>
        <w:t>Tablet Lepas Lambat untuk Efek Sistemik Kontinu</w:t>
      </w:r>
    </w:p>
    <w:p w14:paraId="10EE3BB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Sementara terapi lokal penting untuk lesi mulut, efek sistemik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(seperti antioksidan sistemik dan imunomodulasi) juga bermanfaat untuk melawan toksisitas cisplatin secara umum. Tablet lepas lambat (</w:t>
      </w:r>
      <w:r w:rsidRPr="006810DB">
        <w:rPr>
          <w:rFonts w:ascii="Book Antiqua" w:hAnsi="Book Antiqua"/>
          <w:i/>
          <w:iCs/>
          <w:sz w:val="20"/>
          <w:szCs w:val="20"/>
          <w:lang w:val="en"/>
        </w:rPr>
        <w:t>sustained-release</w:t>
      </w:r>
      <w:r w:rsidRPr="006810DB">
        <w:rPr>
          <w:rFonts w:ascii="Book Antiqua" w:hAnsi="Book Antiqua"/>
          <w:sz w:val="20"/>
          <w:szCs w:val="20"/>
          <w:lang w:val="en"/>
        </w:rPr>
        <w:t xml:space="preserve"> atau </w:t>
      </w:r>
      <w:r w:rsidRPr="006810DB">
        <w:rPr>
          <w:rFonts w:ascii="Book Antiqua" w:hAnsi="Book Antiqua"/>
          <w:i/>
          <w:iCs/>
          <w:sz w:val="20"/>
          <w:szCs w:val="20"/>
          <w:lang w:val="en"/>
        </w:rPr>
        <w:t>controlled-release</w:t>
      </w:r>
      <w:r w:rsidRPr="006810DB">
        <w:rPr>
          <w:rFonts w:ascii="Book Antiqua" w:hAnsi="Book Antiqua"/>
          <w:sz w:val="20"/>
          <w:szCs w:val="20"/>
          <w:lang w:val="en"/>
        </w:rPr>
        <w:t>) dirancang untuk melepaskan senyawa aktif secara bertahap selama periode waktu yang lama (misalnya, 12-24 jam) (Goyal et al., 2017).</w:t>
      </w:r>
    </w:p>
    <w:p w14:paraId="1E752CC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Teknologi ini mempertahankan kadar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dalam plasma tetap stabil dalam rentang terapeutik, menghindari fluktuasi "puncak dan lembah" yang terjadi pada pemberian sediaan konvensional berulang kali. Kestabilan kadar obat ini penting untuk memberikan perlindungan antioksidan yang terus-menerus selama 24 jam penuh, termasuk saat pasien tidur.</w:t>
      </w:r>
    </w:p>
    <w:p w14:paraId="10448819"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lastRenderedPageBreak/>
        <w:t>Formulasi matriks hidrofilik atau penggunaan penyalutan polimer dapat digunakan untuk mengatur laju pelepasan obat. Selain meningkatkan efikasi, sediaan lepas lambat juga meningkatkan kepatuhan pasien karena frekuensi pemberian obat dapat dikurangi (misalnya, dari 3 kali sehari menjadi 1 kali sehari), yang merupakan faktor kenyamanan penting bagi pasien kanker yang sudah terbebani banyak obat.</w:t>
      </w:r>
    </w:p>
    <w:p w14:paraId="196DF0AA" w14:textId="77777777" w:rsidR="00CA71C5" w:rsidRPr="006810DB" w:rsidRDefault="00CA71C5" w:rsidP="006810DB">
      <w:pPr>
        <w:spacing w:after="0" w:line="276" w:lineRule="auto"/>
        <w:jc w:val="both"/>
        <w:rPr>
          <w:rFonts w:ascii="Book Antiqua" w:hAnsi="Book Antiqua"/>
          <w:b/>
          <w:bCs/>
          <w:sz w:val="20"/>
          <w:szCs w:val="20"/>
          <w:lang w:val="en"/>
        </w:rPr>
      </w:pPr>
      <w:bookmarkStart w:id="482" w:name="_6rfdlap0552e" w:colFirst="0" w:colLast="0"/>
      <w:bookmarkEnd w:id="482"/>
    </w:p>
    <w:p w14:paraId="65790C63" w14:textId="77777777" w:rsidR="00AD1372" w:rsidRPr="006810DB" w:rsidRDefault="00AD1372"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3025CF78" w14:textId="1BCEBEC3" w:rsidR="00B258B7" w:rsidRPr="006810DB" w:rsidRDefault="00B258B7" w:rsidP="006810DB">
      <w:pPr>
        <w:pStyle w:val="Heading2"/>
        <w:jc w:val="center"/>
      </w:pPr>
      <w:bookmarkStart w:id="483" w:name="_Toc223089008"/>
      <w:r w:rsidRPr="006810DB">
        <w:lastRenderedPageBreak/>
        <w:t>KESIMPULAN</w:t>
      </w:r>
      <w:bookmarkEnd w:id="483"/>
    </w:p>
    <w:p w14:paraId="7F452CA5" w14:textId="77777777" w:rsidR="00AD1372" w:rsidRPr="006810DB" w:rsidRDefault="00AD1372" w:rsidP="006810DB">
      <w:pPr>
        <w:spacing w:after="0" w:line="276" w:lineRule="auto"/>
        <w:jc w:val="both"/>
        <w:rPr>
          <w:rFonts w:ascii="Book Antiqua" w:hAnsi="Book Antiqua"/>
          <w:b/>
          <w:bCs/>
          <w:sz w:val="20"/>
          <w:szCs w:val="20"/>
          <w:lang w:val="en"/>
        </w:rPr>
      </w:pPr>
    </w:p>
    <w:p w14:paraId="359504C3" w14:textId="77777777" w:rsidR="00B258B7" w:rsidRPr="006810DB" w:rsidRDefault="00B258B7" w:rsidP="006810DB">
      <w:pPr>
        <w:spacing w:after="0" w:line="276" w:lineRule="auto"/>
        <w:ind w:firstLine="567"/>
        <w:jc w:val="both"/>
        <w:rPr>
          <w:rFonts w:ascii="Book Antiqua" w:hAnsi="Book Antiqua"/>
          <w:sz w:val="20"/>
          <w:szCs w:val="20"/>
          <w:lang w:val="en"/>
        </w:rPr>
      </w:pPr>
      <w:r w:rsidRPr="006810DB">
        <w:rPr>
          <w:rFonts w:ascii="Book Antiqua" w:hAnsi="Book Antiqua"/>
          <w:sz w:val="20"/>
          <w:szCs w:val="20"/>
          <w:lang w:val="en"/>
        </w:rPr>
        <w:t xml:space="preserve">Tantangan dalam mentranslasikan potensi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dari laboratorium ke klinik onkologi sangatlah nyata, mencakup perbedaan fisiologis spesies, hambatan formulasi farmasetik, dan kompleksitas uji klinis pada manusia. Namun, tantangan ini bukanlah jalan buntu, melainkan katalis bagi inovasi. Penerapan teknologi farmasi modern seperti nanoemulsi dan sistem mukoadhesif menawarkan solusi elegan untuk meningkatkan bioavailabilitas dan efektivitas target. Dikombinasikan dengan desain uji klinis RCT yang ketat dan etis, prospek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untuk menjadi bagian integral dari terapi suportif kanker yang berbasis bukti sangatlah cerah, menjanjikan masa depan di mana pasien dapat menjalani kemoterapi dengan kualitas hidup yang jauh lebih baik.</w:t>
      </w:r>
    </w:p>
    <w:p w14:paraId="1B9E579D" w14:textId="77777777" w:rsidR="00CA71C5" w:rsidRPr="006810DB" w:rsidRDefault="00CA71C5" w:rsidP="006810DB">
      <w:pPr>
        <w:spacing w:line="276" w:lineRule="auto"/>
        <w:rPr>
          <w:rFonts w:ascii="Book Antiqua" w:hAnsi="Book Antiqua"/>
          <w:b/>
          <w:bCs/>
          <w:sz w:val="20"/>
          <w:szCs w:val="20"/>
          <w:lang w:val="en"/>
        </w:rPr>
      </w:pPr>
      <w:bookmarkStart w:id="484" w:name="_makgc61qz3p" w:colFirst="0" w:colLast="0"/>
      <w:bookmarkEnd w:id="484"/>
      <w:r w:rsidRPr="006810DB">
        <w:rPr>
          <w:rFonts w:ascii="Book Antiqua" w:hAnsi="Book Antiqua"/>
          <w:b/>
          <w:bCs/>
          <w:sz w:val="20"/>
          <w:szCs w:val="20"/>
          <w:lang w:val="en"/>
        </w:rPr>
        <w:br w:type="page"/>
      </w:r>
    </w:p>
    <w:p w14:paraId="2F3C6AFD" w14:textId="77777777" w:rsidR="00824155" w:rsidRPr="006810DB" w:rsidRDefault="00824155" w:rsidP="00824155">
      <w:pPr>
        <w:pStyle w:val="Heading2"/>
        <w:jc w:val="center"/>
      </w:pPr>
      <w:bookmarkStart w:id="485" w:name="_Toc223089009"/>
      <w:r w:rsidRPr="006810DB">
        <w:lastRenderedPageBreak/>
        <w:t>GLOSARIUM</w:t>
      </w:r>
      <w:bookmarkEnd w:id="485"/>
    </w:p>
    <w:p w14:paraId="3BE13258" w14:textId="77777777" w:rsidR="00824155" w:rsidRPr="006810DB" w:rsidRDefault="00824155" w:rsidP="00824155">
      <w:pPr>
        <w:spacing w:after="0" w:line="276" w:lineRule="auto"/>
        <w:jc w:val="both"/>
        <w:rPr>
          <w:rFonts w:ascii="Book Antiqua" w:hAnsi="Book Antiqua"/>
          <w:b/>
          <w:bCs/>
          <w:sz w:val="20"/>
          <w:szCs w:val="20"/>
          <w:lang w:val="en"/>
        </w:rPr>
      </w:pPr>
    </w:p>
    <w:p w14:paraId="495529EB"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Bioavailabilitas</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Fraksi dari dosis obat yang diberikan yang mencapai sirkulasi sistemik dalam bentuk yang tidak berubah dan tersedia untuk memberikan efek terapeutik.</w:t>
      </w:r>
    </w:p>
    <w:p w14:paraId="6335EEF1"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Mukoadhesif</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Sifat suatu bahan (biasanya polimer) yang mampu melekat pada lapisan mukosa biologis, memperpanjang waktu kontak obat dengan jaringan.</w:t>
      </w:r>
    </w:p>
    <w:p w14:paraId="271C73D6"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Nanoemulsi</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Sistem dispersi minyak dan air yang stabil secara termodinamika dengan ukuran droplet dalam skala nanometer, digunakan untuk meningkatkan kelarutan obat hidrofobik.</w:t>
      </w:r>
    </w:p>
    <w:p w14:paraId="09949BE2"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i/>
          <w:iCs/>
          <w:sz w:val="20"/>
          <w:szCs w:val="20"/>
          <w:lang w:val="en"/>
        </w:rPr>
        <w:t>Randomised Controlled Trial</w:t>
      </w:r>
      <w:r w:rsidRPr="006810DB">
        <w:rPr>
          <w:rFonts w:ascii="Book Antiqua" w:hAnsi="Book Antiqua"/>
          <w:b/>
          <w:bCs/>
          <w:sz w:val="20"/>
          <w:szCs w:val="20"/>
          <w:lang w:val="en"/>
        </w:rPr>
        <w:t xml:space="preserve"> (RCT)</w:t>
      </w:r>
      <w:r w:rsidRPr="006810DB">
        <w:rPr>
          <w:rFonts w:ascii="Book Antiqua" w:hAnsi="Book Antiqua"/>
          <w:sz w:val="20"/>
          <w:szCs w:val="20"/>
          <w:lang w:val="en"/>
        </w:rPr>
        <w:t>: Jenis eksperimen ilmiah di mana subjek dialokasikan secara acak ke dalam kelompok yang menerima intervensi atau kelompok kontrol, dianggap sebagai standar emas bukti klinis.</w:t>
      </w:r>
    </w:p>
    <w:p w14:paraId="252CD6FD"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Translasi (</w:t>
      </w:r>
      <w:r w:rsidRPr="006810DB">
        <w:rPr>
          <w:rFonts w:ascii="Book Antiqua" w:hAnsi="Book Antiqua"/>
          <w:b/>
          <w:bCs/>
          <w:i/>
          <w:iCs/>
          <w:sz w:val="20"/>
          <w:szCs w:val="20"/>
          <w:lang w:val="en"/>
        </w:rPr>
        <w:t>Translational Medicine</w:t>
      </w:r>
      <w:r w:rsidRPr="006810DB">
        <w:rPr>
          <w:rFonts w:ascii="Book Antiqua" w:hAnsi="Book Antiqua"/>
          <w:b/>
          <w:bCs/>
          <w:sz w:val="20"/>
          <w:szCs w:val="20"/>
          <w:lang w:val="en"/>
        </w:rPr>
        <w:t>)</w:t>
      </w:r>
      <w:r w:rsidRPr="006810DB">
        <w:rPr>
          <w:rFonts w:ascii="Book Antiqua" w:hAnsi="Book Antiqua"/>
          <w:sz w:val="20"/>
          <w:szCs w:val="20"/>
          <w:lang w:val="en"/>
        </w:rPr>
        <w:t>: Bidang ilmu kedokteran yang berfokus pada penerjemahan penemuan penelitian dasar (laboratorium) menjadi aplikasi klinis praktis bagi pasien.</w:t>
      </w:r>
    </w:p>
    <w:p w14:paraId="44406FFE" w14:textId="77777777" w:rsidR="00824155" w:rsidRPr="006810DB" w:rsidRDefault="00824155" w:rsidP="00824155">
      <w:pPr>
        <w:spacing w:line="276" w:lineRule="auto"/>
        <w:rPr>
          <w:rFonts w:ascii="Book Antiqua" w:hAnsi="Book Antiqua"/>
          <w:b/>
          <w:bCs/>
          <w:sz w:val="20"/>
          <w:szCs w:val="20"/>
          <w:lang w:val="en"/>
        </w:rPr>
      </w:pPr>
      <w:bookmarkStart w:id="486" w:name="_ehmg0pn8kh1b" w:colFirst="0" w:colLast="0"/>
      <w:bookmarkEnd w:id="486"/>
      <w:r w:rsidRPr="006810DB">
        <w:rPr>
          <w:rFonts w:ascii="Book Antiqua" w:hAnsi="Book Antiqua"/>
          <w:b/>
          <w:bCs/>
          <w:sz w:val="20"/>
          <w:szCs w:val="20"/>
          <w:lang w:val="en"/>
        </w:rPr>
        <w:br w:type="page"/>
      </w:r>
    </w:p>
    <w:p w14:paraId="560A487A" w14:textId="77777777" w:rsidR="00004DEE" w:rsidRPr="006810DB" w:rsidRDefault="00004DEE" w:rsidP="006810DB">
      <w:pPr>
        <w:pStyle w:val="Heading2"/>
        <w:jc w:val="center"/>
        <w:rPr>
          <w:rFonts w:eastAsia="DengXian"/>
          <w:lang w:eastAsia="zh-CN"/>
        </w:rPr>
      </w:pPr>
      <w:bookmarkStart w:id="487" w:name="_Toc223089010"/>
      <w:r w:rsidRPr="006810DB">
        <w:lastRenderedPageBreak/>
        <w:t>DAFTAR PUSTAKA</w:t>
      </w:r>
      <w:bookmarkEnd w:id="487"/>
    </w:p>
    <w:p w14:paraId="638B55FF" w14:textId="77777777" w:rsidR="00004DEE" w:rsidRPr="006810DB" w:rsidRDefault="00004DEE" w:rsidP="006810DB">
      <w:pPr>
        <w:spacing w:after="0" w:line="276" w:lineRule="auto"/>
        <w:jc w:val="both"/>
        <w:rPr>
          <w:rFonts w:ascii="Book Antiqua" w:hAnsi="Book Antiqua"/>
          <w:b/>
          <w:bCs/>
          <w:sz w:val="20"/>
          <w:szCs w:val="20"/>
          <w:lang w:val="en"/>
        </w:rPr>
      </w:pPr>
    </w:p>
    <w:p w14:paraId="736F11C4"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Belfiore, E., Di Prima, G., Angellotti, G., Panzarella, V., &amp; De Caro, V. (2024). Plant-Derived Polyphenols to Prevent and Treat Oral Mucositis Induced by Chemo- and Radiotherapy in Head and Neck Cancers Management. </w:t>
      </w:r>
      <w:r w:rsidRPr="006810DB">
        <w:rPr>
          <w:rFonts w:ascii="Book Antiqua" w:hAnsi="Book Antiqua"/>
          <w:i/>
          <w:iCs/>
          <w:color w:val="000000" w:themeColor="text1"/>
          <w:sz w:val="20"/>
          <w:szCs w:val="20"/>
          <w:lang w:val="en"/>
        </w:rPr>
        <w:t>Cancers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16</w:t>
      </w:r>
      <w:r w:rsidRPr="006810DB">
        <w:rPr>
          <w:rFonts w:ascii="Book Antiqua" w:hAnsi="Book Antiqua"/>
          <w:color w:val="000000" w:themeColor="text1"/>
          <w:sz w:val="20"/>
          <w:szCs w:val="20"/>
          <w:lang w:val="en"/>
        </w:rPr>
        <w:t>(2), 260.</w:t>
      </w:r>
      <w:hyperlink r:id="rId353">
        <w:r w:rsidRPr="006810DB">
          <w:rPr>
            <w:rStyle w:val="Hyperlink"/>
            <w:rFonts w:ascii="Book Antiqua" w:hAnsi="Book Antiqua"/>
            <w:color w:val="000000" w:themeColor="text1"/>
            <w:sz w:val="20"/>
            <w:szCs w:val="20"/>
            <w:u w:val="none"/>
            <w:lang w:val="en"/>
          </w:rPr>
          <w:t xml:space="preserve"> </w:t>
        </w:r>
      </w:hyperlink>
      <w:hyperlink r:id="rId354">
        <w:r w:rsidRPr="006810DB">
          <w:rPr>
            <w:rStyle w:val="Hyperlink"/>
            <w:rFonts w:ascii="Book Antiqua" w:hAnsi="Book Antiqua"/>
            <w:color w:val="000000" w:themeColor="text1"/>
            <w:sz w:val="20"/>
            <w:szCs w:val="20"/>
            <w:u w:val="none"/>
            <w:lang w:val="en"/>
          </w:rPr>
          <w:t>https://doi.org/10.3390/cancers16020260</w:t>
        </w:r>
      </w:hyperlink>
    </w:p>
    <w:p w14:paraId="07098F42"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Elad, S., Cheng, K. K. F., Lalla, R. V., Yarom, N., Hong, C., Logan, R. M., ... &amp; Zadik, Y. (2020). MASCC/ISOO clinical practice guidelines for the management of mucositis secondary to cancer therapy. </w:t>
      </w:r>
      <w:r w:rsidRPr="006810DB">
        <w:rPr>
          <w:rFonts w:ascii="Book Antiqua" w:hAnsi="Book Antiqua"/>
          <w:i/>
          <w:iCs/>
          <w:color w:val="000000" w:themeColor="text1"/>
          <w:sz w:val="20"/>
          <w:szCs w:val="20"/>
          <w:lang w:val="en"/>
        </w:rPr>
        <w:t>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126</w:t>
      </w:r>
      <w:r w:rsidRPr="006810DB">
        <w:rPr>
          <w:rFonts w:ascii="Book Antiqua" w:hAnsi="Book Antiqua"/>
          <w:color w:val="000000" w:themeColor="text1"/>
          <w:sz w:val="20"/>
          <w:szCs w:val="20"/>
          <w:lang w:val="en"/>
        </w:rPr>
        <w:t>(19), 4423-4431.</w:t>
      </w:r>
      <w:hyperlink r:id="rId355">
        <w:r w:rsidRPr="006810DB">
          <w:rPr>
            <w:rStyle w:val="Hyperlink"/>
            <w:rFonts w:ascii="Book Antiqua" w:hAnsi="Book Antiqua"/>
            <w:color w:val="000000" w:themeColor="text1"/>
            <w:sz w:val="20"/>
            <w:szCs w:val="20"/>
            <w:u w:val="none"/>
            <w:lang w:val="en"/>
          </w:rPr>
          <w:t xml:space="preserve"> </w:t>
        </w:r>
      </w:hyperlink>
      <w:hyperlink r:id="rId356">
        <w:r w:rsidRPr="006810DB">
          <w:rPr>
            <w:rStyle w:val="Hyperlink"/>
            <w:rFonts w:ascii="Book Antiqua" w:hAnsi="Book Antiqua"/>
            <w:color w:val="000000" w:themeColor="text1"/>
            <w:sz w:val="20"/>
            <w:szCs w:val="20"/>
            <w:u w:val="none"/>
            <w:lang w:val="en"/>
          </w:rPr>
          <w:t>https://doi.org/10.1002/cncr.33100</w:t>
        </w:r>
      </w:hyperlink>
    </w:p>
    <w:p w14:paraId="14C97E9E"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Goyal, S. N., Prajapati, C. P., Gore, P. R., &amp; Patil, C. R. (2017). Therapeutic potential and pharmaceutical development of thymoquinone: a multitargeted molecule of natural origin. </w:t>
      </w:r>
      <w:r w:rsidRPr="006810DB">
        <w:rPr>
          <w:rFonts w:ascii="Book Antiqua" w:hAnsi="Book Antiqua"/>
          <w:i/>
          <w:iCs/>
          <w:color w:val="000000" w:themeColor="text1"/>
          <w:sz w:val="20"/>
          <w:szCs w:val="20"/>
          <w:lang w:val="en"/>
        </w:rPr>
        <w:t>Frontiers in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w:t>
      </w:r>
      <w:r w:rsidRPr="006810DB">
        <w:rPr>
          <w:rFonts w:ascii="Book Antiqua" w:hAnsi="Book Antiqua"/>
          <w:color w:val="000000" w:themeColor="text1"/>
          <w:sz w:val="20"/>
          <w:szCs w:val="20"/>
          <w:lang w:val="en"/>
        </w:rPr>
        <w:t>, 656.</w:t>
      </w:r>
      <w:hyperlink r:id="rId357">
        <w:r w:rsidRPr="006810DB">
          <w:rPr>
            <w:rStyle w:val="Hyperlink"/>
            <w:rFonts w:ascii="Book Antiqua" w:hAnsi="Book Antiqua"/>
            <w:color w:val="000000" w:themeColor="text1"/>
            <w:sz w:val="20"/>
            <w:szCs w:val="20"/>
            <w:u w:val="none"/>
            <w:lang w:val="en"/>
          </w:rPr>
          <w:t xml:space="preserve"> </w:t>
        </w:r>
      </w:hyperlink>
      <w:hyperlink r:id="rId358">
        <w:r w:rsidRPr="006810DB">
          <w:rPr>
            <w:rStyle w:val="Hyperlink"/>
            <w:rFonts w:ascii="Book Antiqua" w:hAnsi="Book Antiqua"/>
            <w:color w:val="000000" w:themeColor="text1"/>
            <w:sz w:val="20"/>
            <w:szCs w:val="20"/>
            <w:u w:val="none"/>
            <w:lang w:val="en"/>
          </w:rPr>
          <w:t>https://doi.org/10.3389/fphar.2017.00656</w:t>
        </w:r>
      </w:hyperlink>
    </w:p>
    <w:p w14:paraId="110B2A40"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Hannan, M. A., Sohag, A. A. M., Uddin, M. J., Dash, R., Sikder, M. H., Rahman, M. S., ... &amp; Kim, B. (2021). Black Cumin (Nigella sativa L.): A Comprehensive Review on Phytochemistry, Health Benefits, Molecular Pharmacology, and Safety. </w:t>
      </w:r>
      <w:r w:rsidRPr="006810DB">
        <w:rPr>
          <w:rFonts w:ascii="Book Antiqua" w:hAnsi="Book Antiqua"/>
          <w:i/>
          <w:iCs/>
          <w:color w:val="000000" w:themeColor="text1"/>
          <w:sz w:val="20"/>
          <w:szCs w:val="20"/>
          <w:lang w:val="en"/>
        </w:rPr>
        <w:t>Nutrients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13</w:t>
      </w:r>
      <w:r w:rsidRPr="006810DB">
        <w:rPr>
          <w:rFonts w:ascii="Book Antiqua" w:hAnsi="Book Antiqua"/>
          <w:color w:val="000000" w:themeColor="text1"/>
          <w:sz w:val="20"/>
          <w:szCs w:val="20"/>
          <w:lang w:val="en"/>
        </w:rPr>
        <w:t>(6), 1784.</w:t>
      </w:r>
      <w:hyperlink r:id="rId359">
        <w:r w:rsidRPr="006810DB">
          <w:rPr>
            <w:rStyle w:val="Hyperlink"/>
            <w:rFonts w:ascii="Book Antiqua" w:hAnsi="Book Antiqua"/>
            <w:color w:val="000000" w:themeColor="text1"/>
            <w:sz w:val="20"/>
            <w:szCs w:val="20"/>
            <w:u w:val="none"/>
            <w:lang w:val="en"/>
          </w:rPr>
          <w:t xml:space="preserve"> </w:t>
        </w:r>
      </w:hyperlink>
      <w:hyperlink r:id="rId360">
        <w:r w:rsidRPr="006810DB">
          <w:rPr>
            <w:rStyle w:val="Hyperlink"/>
            <w:rFonts w:ascii="Book Antiqua" w:hAnsi="Book Antiqua"/>
            <w:color w:val="000000" w:themeColor="text1"/>
            <w:sz w:val="20"/>
            <w:szCs w:val="20"/>
            <w:u w:val="none"/>
            <w:lang w:val="en"/>
          </w:rPr>
          <w:t>https://doi.org/10.3390/nu13061784</w:t>
        </w:r>
      </w:hyperlink>
    </w:p>
    <w:p w14:paraId="74608B39"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Kadarullah, O., Tamtomo, D., Wasita, B., Setiamika, M., Prayitno, A., Widyaningsih, V., &amp; Soetrisno, S. (2024). Cisplatin-Induced Oral Mucositis Prevention: Nigella sativa’s Anti-Inflammatory Role through NFκB Pathway. </w:t>
      </w:r>
      <w:r w:rsidRPr="006810DB">
        <w:rPr>
          <w:rFonts w:ascii="Book Antiqua" w:hAnsi="Book Antiqua"/>
          <w:i/>
          <w:iCs/>
          <w:color w:val="000000" w:themeColor="text1"/>
          <w:sz w:val="20"/>
          <w:szCs w:val="20"/>
          <w:lang w:val="en"/>
        </w:rPr>
        <w:t>Trends in Sciences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21</w:t>
      </w:r>
      <w:r w:rsidRPr="006810DB">
        <w:rPr>
          <w:rFonts w:ascii="Book Antiqua" w:hAnsi="Book Antiqua"/>
          <w:color w:val="000000" w:themeColor="text1"/>
          <w:sz w:val="20"/>
          <w:szCs w:val="20"/>
          <w:lang w:val="en"/>
        </w:rPr>
        <w:t>(1), 8105.</w:t>
      </w:r>
      <w:hyperlink r:id="rId361">
        <w:r w:rsidRPr="006810DB">
          <w:rPr>
            <w:rStyle w:val="Hyperlink"/>
            <w:rFonts w:ascii="Book Antiqua" w:hAnsi="Book Antiqua"/>
            <w:color w:val="000000" w:themeColor="text1"/>
            <w:sz w:val="20"/>
            <w:szCs w:val="20"/>
            <w:u w:val="none"/>
            <w:lang w:val="en"/>
          </w:rPr>
          <w:t xml:space="preserve"> </w:t>
        </w:r>
      </w:hyperlink>
      <w:hyperlink r:id="rId362">
        <w:r w:rsidRPr="006810DB">
          <w:rPr>
            <w:rStyle w:val="Hyperlink"/>
            <w:rFonts w:ascii="Book Antiqua" w:hAnsi="Book Antiqua"/>
            <w:color w:val="000000" w:themeColor="text1"/>
            <w:sz w:val="20"/>
            <w:szCs w:val="20"/>
            <w:u w:val="none"/>
            <w:lang w:val="en"/>
          </w:rPr>
          <w:t>https://doi.org/10.48048/tis.2024.8105</w:t>
        </w:r>
      </w:hyperlink>
    </w:p>
    <w:p w14:paraId="36CA0FD4"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Khan, J., Siddiqui, M. F., &amp; Ahmad, R. (2021). Role of oral microbiome in the pathogenesis of oral mucositis. </w:t>
      </w:r>
      <w:r w:rsidRPr="006810DB">
        <w:rPr>
          <w:rFonts w:ascii="Book Antiqua" w:hAnsi="Book Antiqua"/>
          <w:i/>
          <w:iCs/>
          <w:color w:val="000000" w:themeColor="text1"/>
          <w:sz w:val="20"/>
          <w:szCs w:val="20"/>
          <w:lang w:val="en"/>
        </w:rPr>
        <w:t>Journal of Oral Biology and Craniofacial Research</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11</w:t>
      </w:r>
      <w:r w:rsidRPr="006810DB">
        <w:rPr>
          <w:rFonts w:ascii="Book Antiqua" w:hAnsi="Book Antiqua"/>
          <w:color w:val="000000" w:themeColor="text1"/>
          <w:sz w:val="20"/>
          <w:szCs w:val="20"/>
          <w:lang w:val="en"/>
        </w:rPr>
        <w:t>(4), 548-553.</w:t>
      </w:r>
      <w:hyperlink r:id="rId363">
        <w:r w:rsidRPr="006810DB">
          <w:rPr>
            <w:rStyle w:val="Hyperlink"/>
            <w:rFonts w:ascii="Book Antiqua" w:hAnsi="Book Antiqua"/>
            <w:color w:val="000000" w:themeColor="text1"/>
            <w:sz w:val="20"/>
            <w:szCs w:val="20"/>
            <w:u w:val="none"/>
            <w:lang w:val="en"/>
          </w:rPr>
          <w:t xml:space="preserve"> </w:t>
        </w:r>
      </w:hyperlink>
      <w:hyperlink r:id="rId364">
        <w:r w:rsidRPr="006810DB">
          <w:rPr>
            <w:rStyle w:val="Hyperlink"/>
            <w:rFonts w:ascii="Book Antiqua" w:hAnsi="Book Antiqua"/>
            <w:color w:val="000000" w:themeColor="text1"/>
            <w:sz w:val="20"/>
            <w:szCs w:val="20"/>
            <w:u w:val="none"/>
            <w:lang w:val="en"/>
          </w:rPr>
          <w:t>https://doi.org/10.1016/j.jobcr.2021.08.006</w:t>
        </w:r>
      </w:hyperlink>
    </w:p>
    <w:p w14:paraId="00CE1741"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Lalla, R. V., Bowen, J., Barasch, A., Elting, L., Epstein, J., Keefe, D. M., ... &amp; Elad, S. (2014). MASCC/ISOO clinical practice guidelines for the management of mucositis secondary to </w:t>
      </w:r>
      <w:r w:rsidRPr="006810DB">
        <w:rPr>
          <w:rFonts w:ascii="Book Antiqua" w:hAnsi="Book Antiqua"/>
          <w:color w:val="000000" w:themeColor="text1"/>
          <w:sz w:val="20"/>
          <w:szCs w:val="20"/>
          <w:lang w:val="en"/>
        </w:rPr>
        <w:lastRenderedPageBreak/>
        <w:t xml:space="preserve">cancer therapy. </w:t>
      </w:r>
      <w:r w:rsidRPr="006810DB">
        <w:rPr>
          <w:rFonts w:ascii="Book Antiqua" w:hAnsi="Book Antiqua"/>
          <w:i/>
          <w:iCs/>
          <w:color w:val="000000" w:themeColor="text1"/>
          <w:sz w:val="20"/>
          <w:szCs w:val="20"/>
          <w:lang w:val="en"/>
        </w:rPr>
        <w:t>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120</w:t>
      </w:r>
      <w:r w:rsidRPr="006810DB">
        <w:rPr>
          <w:rFonts w:ascii="Book Antiqua" w:hAnsi="Book Antiqua"/>
          <w:color w:val="000000" w:themeColor="text1"/>
          <w:sz w:val="20"/>
          <w:szCs w:val="20"/>
          <w:lang w:val="en"/>
        </w:rPr>
        <w:t>(10), 1453-1461.</w:t>
      </w:r>
      <w:hyperlink r:id="rId365">
        <w:r w:rsidRPr="006810DB">
          <w:rPr>
            <w:rStyle w:val="Hyperlink"/>
            <w:rFonts w:ascii="Book Antiqua" w:hAnsi="Book Antiqua"/>
            <w:color w:val="000000" w:themeColor="text1"/>
            <w:sz w:val="20"/>
            <w:szCs w:val="20"/>
            <w:u w:val="none"/>
            <w:lang w:val="en"/>
          </w:rPr>
          <w:t xml:space="preserve"> </w:t>
        </w:r>
      </w:hyperlink>
      <w:hyperlink r:id="rId366">
        <w:r w:rsidRPr="006810DB">
          <w:rPr>
            <w:rStyle w:val="Hyperlink"/>
            <w:rFonts w:ascii="Book Antiqua" w:hAnsi="Book Antiqua"/>
            <w:color w:val="000000" w:themeColor="text1"/>
            <w:sz w:val="20"/>
            <w:szCs w:val="20"/>
            <w:u w:val="none"/>
            <w:lang w:val="en"/>
          </w:rPr>
          <w:t>https://doi.org/10.1002/cncr.28592</w:t>
        </w:r>
      </w:hyperlink>
    </w:p>
    <w:p w14:paraId="7D5EC6EA"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Sobhannizadeh, A., Giglou, M. F., Behnamian, M., Estaji, A., Majdi, M., &amp; Szumny, A. (2025). The effect of plant growth regulators, FeO3-CTs nanoparticles and LEDs light on the growth and biochemical compounds of black seed (Nigella sativa L.) callus in vitro. </w:t>
      </w:r>
      <w:r w:rsidRPr="006810DB">
        <w:rPr>
          <w:rFonts w:ascii="Book Antiqua" w:hAnsi="Book Antiqua"/>
          <w:i/>
          <w:iCs/>
          <w:color w:val="000000" w:themeColor="text1"/>
          <w:sz w:val="20"/>
          <w:szCs w:val="20"/>
          <w:lang w:val="en"/>
        </w:rPr>
        <w:t>BMC Plant Biology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25</w:t>
      </w:r>
      <w:r w:rsidRPr="006810DB">
        <w:rPr>
          <w:rFonts w:ascii="Book Antiqua" w:hAnsi="Book Antiqua"/>
          <w:color w:val="000000" w:themeColor="text1"/>
          <w:sz w:val="20"/>
          <w:szCs w:val="20"/>
          <w:lang w:val="en"/>
        </w:rPr>
        <w:t>(1), 263.</w:t>
      </w:r>
      <w:hyperlink r:id="rId367">
        <w:r w:rsidRPr="006810DB">
          <w:rPr>
            <w:rStyle w:val="Hyperlink"/>
            <w:rFonts w:ascii="Book Antiqua" w:hAnsi="Book Antiqua"/>
            <w:color w:val="000000" w:themeColor="text1"/>
            <w:sz w:val="20"/>
            <w:szCs w:val="20"/>
            <w:u w:val="none"/>
            <w:lang w:val="en"/>
          </w:rPr>
          <w:t xml:space="preserve"> </w:t>
        </w:r>
      </w:hyperlink>
      <w:hyperlink r:id="rId368">
        <w:r w:rsidRPr="006810DB">
          <w:rPr>
            <w:rStyle w:val="Hyperlink"/>
            <w:rFonts w:ascii="Book Antiqua" w:hAnsi="Book Antiqua"/>
            <w:color w:val="000000" w:themeColor="text1"/>
            <w:sz w:val="20"/>
            <w:szCs w:val="20"/>
            <w:u w:val="none"/>
            <w:lang w:val="en"/>
          </w:rPr>
          <w:t>https://doi.org/10.1186/s12870-025-06423-y</w:t>
        </w:r>
      </w:hyperlink>
    </w:p>
    <w:p w14:paraId="380208F4"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Whittaker, A. L., Lymn, K. A., &amp; Howarth, G. S. (2021). A review of the methodology of animal models of cancer therapy-induced gastrointestinal mucositis. </w:t>
      </w:r>
      <w:r w:rsidRPr="006810DB">
        <w:rPr>
          <w:rFonts w:ascii="Book Antiqua" w:hAnsi="Book Antiqua"/>
          <w:i/>
          <w:iCs/>
          <w:color w:val="000000" w:themeColor="text1"/>
          <w:sz w:val="20"/>
          <w:szCs w:val="20"/>
          <w:lang w:val="en"/>
        </w:rPr>
        <w:t>Frontiers in Oncology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11</w:t>
      </w:r>
      <w:r w:rsidRPr="006810DB">
        <w:rPr>
          <w:rFonts w:ascii="Book Antiqua" w:hAnsi="Book Antiqua"/>
          <w:color w:val="000000" w:themeColor="text1"/>
          <w:sz w:val="20"/>
          <w:szCs w:val="20"/>
          <w:lang w:val="en"/>
        </w:rPr>
        <w:t>, 645166.</w:t>
      </w:r>
      <w:hyperlink r:id="rId369">
        <w:r w:rsidRPr="006810DB">
          <w:rPr>
            <w:rStyle w:val="Hyperlink"/>
            <w:rFonts w:ascii="Book Antiqua" w:hAnsi="Book Antiqua"/>
            <w:color w:val="000000" w:themeColor="text1"/>
            <w:sz w:val="20"/>
            <w:szCs w:val="20"/>
            <w:u w:val="none"/>
            <w:lang w:val="en"/>
          </w:rPr>
          <w:t xml:space="preserve"> </w:t>
        </w:r>
      </w:hyperlink>
      <w:hyperlink r:id="rId370">
        <w:r w:rsidRPr="006810DB">
          <w:rPr>
            <w:rStyle w:val="Hyperlink"/>
            <w:rFonts w:ascii="Book Antiqua" w:hAnsi="Book Antiqua"/>
            <w:color w:val="000000" w:themeColor="text1"/>
            <w:sz w:val="20"/>
            <w:szCs w:val="20"/>
            <w:u w:val="none"/>
            <w:lang w:val="en"/>
          </w:rPr>
          <w:t>https://doi.org/10.3389/fonc.2021.645166</w:t>
        </w:r>
      </w:hyperlink>
    </w:p>
    <w:p w14:paraId="411E4717" w14:textId="77777777" w:rsidR="00004DEE" w:rsidRPr="006810DB" w:rsidRDefault="00004DEE" w:rsidP="006810DB">
      <w:pPr>
        <w:spacing w:after="120" w:line="276" w:lineRule="auto"/>
        <w:ind w:left="567" w:hanging="567"/>
        <w:jc w:val="both"/>
        <w:rPr>
          <w:rFonts w:ascii="Book Antiqua" w:hAnsi="Book Antiqua"/>
          <w:sz w:val="20"/>
          <w:szCs w:val="20"/>
          <w:lang w:val="en"/>
        </w:rPr>
      </w:pPr>
      <w:r w:rsidRPr="006810DB">
        <w:rPr>
          <w:rFonts w:ascii="Book Antiqua" w:hAnsi="Book Antiqua"/>
          <w:color w:val="000000" w:themeColor="text1"/>
          <w:sz w:val="20"/>
          <w:szCs w:val="20"/>
          <w:lang w:val="en"/>
        </w:rPr>
        <w:t xml:space="preserve">Yimer, E. M., Tuem, K. B., Karim, A., Ur-Rehman, N., &amp; Anwar, F. (2019). Nigella sativa L. (black cumin): a promising natural remedy for wide range of illnesses. </w:t>
      </w:r>
      <w:r w:rsidRPr="006810DB">
        <w:rPr>
          <w:rFonts w:ascii="Book Antiqua" w:hAnsi="Book Antiqua"/>
          <w:i/>
          <w:iCs/>
          <w:color w:val="000000" w:themeColor="text1"/>
          <w:sz w:val="20"/>
          <w:szCs w:val="20"/>
          <w:lang w:val="en"/>
        </w:rPr>
        <w:t>Evidence-Based Complementary and Alternative Medicine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2019</w:t>
      </w:r>
      <w:r w:rsidRPr="006810DB">
        <w:rPr>
          <w:rFonts w:ascii="Book Antiqua" w:hAnsi="Book Antiqua"/>
          <w:color w:val="000000" w:themeColor="text1"/>
          <w:sz w:val="20"/>
          <w:szCs w:val="20"/>
          <w:lang w:val="en"/>
        </w:rPr>
        <w:t>, 1528635.</w:t>
      </w:r>
      <w:hyperlink r:id="rId371">
        <w:r w:rsidRPr="006810DB">
          <w:rPr>
            <w:rStyle w:val="Hyperlink"/>
            <w:rFonts w:ascii="Book Antiqua" w:hAnsi="Book Antiqua"/>
            <w:color w:val="000000" w:themeColor="text1"/>
            <w:sz w:val="20"/>
            <w:szCs w:val="20"/>
            <w:u w:val="none"/>
            <w:lang w:val="en"/>
          </w:rPr>
          <w:t xml:space="preserve"> </w:t>
        </w:r>
      </w:hyperlink>
      <w:hyperlink r:id="rId372">
        <w:r w:rsidRPr="006810DB">
          <w:rPr>
            <w:rStyle w:val="Hyperlink"/>
            <w:rFonts w:ascii="Book Antiqua" w:hAnsi="Book Antiqua"/>
            <w:color w:val="000000" w:themeColor="text1"/>
            <w:sz w:val="20"/>
            <w:szCs w:val="20"/>
            <w:u w:val="none"/>
            <w:lang w:val="en"/>
          </w:rPr>
          <w:t>https://doi.org/10.1155/2019/1528635</w:t>
        </w:r>
      </w:hyperlink>
    </w:p>
    <w:p w14:paraId="419A1E03" w14:textId="77777777" w:rsidR="00004DEE" w:rsidRPr="006810DB" w:rsidRDefault="00004DEE" w:rsidP="006810DB">
      <w:pPr>
        <w:spacing w:after="0" w:line="276" w:lineRule="auto"/>
        <w:jc w:val="both"/>
        <w:rPr>
          <w:rFonts w:ascii="Book Antiqua" w:hAnsi="Book Antiqua"/>
          <w:b/>
          <w:bCs/>
          <w:sz w:val="20"/>
          <w:szCs w:val="20"/>
          <w:lang w:val="en"/>
        </w:rPr>
      </w:pPr>
      <w:bookmarkStart w:id="488" w:name="_61yj10799u90" w:colFirst="0" w:colLast="0"/>
      <w:bookmarkEnd w:id="488"/>
    </w:p>
    <w:p w14:paraId="507E3F11" w14:textId="77777777" w:rsidR="00004DEE" w:rsidRPr="006810DB" w:rsidRDefault="00004DEE"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1E2A7EBA" w14:textId="611EA4B7" w:rsidR="00F52CE9" w:rsidRPr="006810DB" w:rsidRDefault="00F52CE9" w:rsidP="006810DB">
      <w:pPr>
        <w:pStyle w:val="Heading1"/>
        <w:spacing w:before="0" w:line="276" w:lineRule="auto"/>
        <w:ind w:firstLine="142"/>
        <w:rPr>
          <w:b/>
          <w:bCs/>
          <w:szCs w:val="20"/>
          <w:lang w:val="en"/>
        </w:rPr>
      </w:pPr>
      <w:bookmarkStart w:id="489" w:name="_Toc223089011"/>
      <w:r w:rsidRPr="006810DB">
        <w:rPr>
          <w:b/>
          <w:noProof/>
          <w:sz w:val="48"/>
          <w:szCs w:val="20"/>
          <w:lang w:val="en-US"/>
        </w:rPr>
        <w:lastRenderedPageBreak/>
        <mc:AlternateContent>
          <mc:Choice Requires="wps">
            <w:drawing>
              <wp:anchor distT="0" distB="0" distL="114300" distR="114300" simplePos="0" relativeHeight="251724800" behindDoc="0" locked="0" layoutInCell="1" allowOverlap="1" wp14:anchorId="5F4C6555" wp14:editId="10D85DD3">
                <wp:simplePos x="0" y="0"/>
                <wp:positionH relativeFrom="column">
                  <wp:posOffset>910590</wp:posOffset>
                </wp:positionH>
                <wp:positionV relativeFrom="paragraph">
                  <wp:posOffset>133350</wp:posOffset>
                </wp:positionV>
                <wp:extent cx="2820035" cy="1066800"/>
                <wp:effectExtent l="0" t="0" r="0" b="0"/>
                <wp:wrapNone/>
                <wp:docPr id="42" name="Rectangle 42"/>
                <wp:cNvGraphicFramePr/>
                <a:graphic xmlns:a="http://schemas.openxmlformats.org/drawingml/2006/main">
                  <a:graphicData uri="http://schemas.microsoft.com/office/word/2010/wordprocessingShape">
                    <wps:wsp>
                      <wps:cNvSpPr/>
                      <wps:spPr>
                        <a:xfrm>
                          <a:off x="0" y="0"/>
                          <a:ext cx="2820035" cy="1066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DE386F9" w14:textId="7DCA8295" w:rsidR="00F52CE9" w:rsidRPr="009B5356" w:rsidRDefault="00F52CE9" w:rsidP="00F52CE9">
                            <w:pPr>
                              <w:spacing w:after="0" w:line="276" w:lineRule="auto"/>
                              <w:jc w:val="center"/>
                              <w:rPr>
                                <w:rFonts w:ascii="Book Antiqua" w:hAnsi="Book Antiqua"/>
                                <w:b/>
                                <w:bCs/>
                                <w:sz w:val="32"/>
                                <w:szCs w:val="36"/>
                                <w:lang w:val="en"/>
                              </w:rPr>
                            </w:pPr>
                            <w:r w:rsidRPr="009B5356">
                              <w:rPr>
                                <w:rFonts w:ascii="Book Antiqua" w:hAnsi="Book Antiqua"/>
                                <w:b/>
                                <w:bCs/>
                                <w:sz w:val="32"/>
                                <w:szCs w:val="36"/>
                                <w:lang w:val="en"/>
                              </w:rPr>
                              <w:t xml:space="preserve">KESIMPULAN </w:t>
                            </w:r>
                            <w:r w:rsidR="009B5356">
                              <w:rPr>
                                <w:rFonts w:ascii="Book Antiqua" w:hAnsi="Book Antiqua"/>
                                <w:b/>
                                <w:bCs/>
                                <w:sz w:val="32"/>
                                <w:szCs w:val="36"/>
                                <w:lang w:val="en"/>
                              </w:rPr>
                              <w:br/>
                            </w:r>
                            <w:r w:rsidRPr="009B5356">
                              <w:rPr>
                                <w:rFonts w:ascii="Book Antiqua" w:hAnsi="Book Antiqua"/>
                                <w:b/>
                                <w:bCs/>
                                <w:sz w:val="32"/>
                                <w:szCs w:val="36"/>
                                <w:lang w:val="en"/>
                              </w:rPr>
                              <w:t>DAN REKOMENDASI TERINTEGRASI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5F4C6555" id="Rectangle 42" o:spid="_x0000_s1045" style="position:absolute;left:0;text-align:left;margin-left:71.7pt;margin-top:10.5pt;width:222.05pt;height:8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YxpZgIAABEFAAAOAAAAZHJzL2Uyb0RvYy54bWysVN1v0zAQf0fif7D8zpKUrmzV0qnaNIQ0&#10;wbSBeHYdu42wfebsNi1/PWcnzTboE+Ilue+P39356npvDdspDC24mldnJWfKSWhat675t6937y44&#10;C1G4RhhwquYHFfj14u2bq87P1QQ2YBqFjIK4MO98zTcx+nlRBLlRVoQz8MqRUgNaEYnFddGg6Ci6&#10;NcWkLGdFB9h4BKlCIOltr+SLHF9rJeMXrYOKzNScaov5i/m7St9icSXmaxR+08qhDPEPVVjROko6&#10;hroVUbAttn+Fsq1ECKDjmQRbgNatVLkH6qYq/+jmaSO8yr0QOMGPMIX/F1Z+3j0ga5uaTyecOWFp&#10;Ro+EmnBroxjJCKDOhznZPfkHHLhAZOp2r9GmP/XB9hnUwwiq2kcmSTi5oDm9P+dMkq4qZ7OLMsNe&#10;PLt7DPGjAssSUXOk/BlMsbsPkVKS6dEkZXNw1xqTJ2fcKwEZJkmRKu5rzFQ8GJXsjHtUmppNVeUE&#10;ec3UjUG2E7QgQkrl4iz1nCORdXLTlG10rE45mlgNToNtclN5/UbH8pTj64yjR84KLo7OtnWApwI0&#10;P8bMvf2x+77n1H7cr/Z5wtXlcZoraA40doT+HoKXdy1Bfy9CfBBIB0CnQkcdv9BHG+hqDgPF2Qbw&#10;1yl5sqe9JC1nHR1UzcPPrUDFmfnkaGMvq+k0XWBmpucfJsTgS83qpcZt7Q3QSCp6PrzMZLKP5khq&#10;BPudbn+ZspJKOEm5ay4jHpmb2B86vR5SLZfZjK7Oi3jvnrxMwRPQDpbbCLrNm5YA69EZgKS7y9sw&#10;vBHpsF/y2er5JVv8BgAA//8DAFBLAwQUAAYACAAAACEA+saja94AAAAKAQAADwAAAGRycy9kb3du&#10;cmV2LnhtbEyPzU7DMBCE70i8g7VI3KjT0kIIcSpAQgj1gCjt3XG2SUS8jmznp2/PcoLjaEYz3+Tb&#10;2XZiRB9aRwqWiwQEknFVS7WCw9frTQoiRE2V7hyhgjMG2BaXF7nOKjfRJ477WAsuoZBpBU2MfSZl&#10;MA1aHRauR2Lv5LzVkaWvZeX1xOW2k6skuZNWt8QLje7xpUHzvR+sgqM7PU/WlPQ+nj/a4W3njUl3&#10;Sl1fzU+PICLO8S8Mv/iMDgUzlW6gKoiO9fp2zVEFqyV/4sAmvd+AKNlJHxKQRS7/Xyh+AAAA//8D&#10;AFBLAQItABQABgAIAAAAIQC2gziS/gAAAOEBAAATAAAAAAAAAAAAAAAAAAAAAABbQ29udGVudF9U&#10;eXBlc10ueG1sUEsBAi0AFAAGAAgAAAAhADj9If/WAAAAlAEAAAsAAAAAAAAAAAAAAAAALwEAAF9y&#10;ZWxzLy5yZWxzUEsBAi0AFAAGAAgAAAAhAOXxjGlmAgAAEQUAAA4AAAAAAAAAAAAAAAAALgIAAGRy&#10;cy9lMm9Eb2MueG1sUEsBAi0AFAAGAAgAAAAhAPrGo2veAAAACgEAAA8AAAAAAAAAAAAAAAAAwAQA&#10;AGRycy9kb3ducmV2LnhtbFBLBQYAAAAABAAEAPMAAADLBQAAAAA=&#10;" filled="f" stroked="f" strokeweight="1pt">
                <v:textbox>
                  <w:txbxContent>
                    <w:p w14:paraId="5DE386F9" w14:textId="7DCA8295" w:rsidR="00F52CE9" w:rsidRPr="009B5356" w:rsidRDefault="00F52CE9" w:rsidP="00F52CE9">
                      <w:pPr>
                        <w:spacing w:after="0" w:line="276" w:lineRule="auto"/>
                        <w:jc w:val="center"/>
                        <w:rPr>
                          <w:rFonts w:ascii="Book Antiqua" w:hAnsi="Book Antiqua"/>
                          <w:b/>
                          <w:bCs/>
                          <w:sz w:val="32"/>
                          <w:szCs w:val="36"/>
                          <w:lang w:val="en"/>
                        </w:rPr>
                      </w:pPr>
                      <w:r w:rsidRPr="009B5356">
                        <w:rPr>
                          <w:rFonts w:ascii="Book Antiqua" w:hAnsi="Book Antiqua"/>
                          <w:b/>
                          <w:bCs/>
                          <w:sz w:val="32"/>
                          <w:szCs w:val="36"/>
                          <w:lang w:val="en"/>
                        </w:rPr>
                        <w:t xml:space="preserve">KESIMPULAN </w:t>
                      </w:r>
                      <w:r w:rsidR="009B5356">
                        <w:rPr>
                          <w:rFonts w:ascii="Book Antiqua" w:hAnsi="Book Antiqua"/>
                          <w:b/>
                          <w:bCs/>
                          <w:sz w:val="32"/>
                          <w:szCs w:val="36"/>
                          <w:lang w:val="en"/>
                        </w:rPr>
                        <w:br/>
                      </w:r>
                      <w:r w:rsidRPr="009B5356">
                        <w:rPr>
                          <w:rFonts w:ascii="Book Antiqua" w:hAnsi="Book Antiqua"/>
                          <w:b/>
                          <w:bCs/>
                          <w:sz w:val="32"/>
                          <w:szCs w:val="36"/>
                          <w:lang w:val="en"/>
                        </w:rPr>
                        <w:t>DAN REKOMENDASI TERINTEGRASI</w:t>
                      </w:r>
                    </w:p>
                  </w:txbxContent>
                </v:textbox>
              </v:rect>
            </w:pict>
          </mc:Fallback>
        </mc:AlternateContent>
      </w:r>
      <w:r w:rsidRPr="006810DB">
        <w:rPr>
          <w:b/>
          <w:noProof/>
          <w:sz w:val="48"/>
          <w:szCs w:val="20"/>
          <w:lang w:val="en-US"/>
        </w:rPr>
        <mc:AlternateContent>
          <mc:Choice Requires="wps">
            <w:drawing>
              <wp:anchor distT="0" distB="0" distL="114300" distR="114300" simplePos="0" relativeHeight="251723776" behindDoc="0" locked="0" layoutInCell="1" allowOverlap="1" wp14:anchorId="5794295D" wp14:editId="6A03BA16">
                <wp:simplePos x="0" y="0"/>
                <wp:positionH relativeFrom="column">
                  <wp:posOffset>884555</wp:posOffset>
                </wp:positionH>
                <wp:positionV relativeFrom="paragraph">
                  <wp:posOffset>76835</wp:posOffset>
                </wp:positionV>
                <wp:extent cx="0" cy="1152000"/>
                <wp:effectExtent l="19050" t="0" r="38100" b="48260"/>
                <wp:wrapNone/>
                <wp:docPr id="43" name="Straight Connector 43"/>
                <wp:cNvGraphicFramePr/>
                <a:graphic xmlns:a="http://schemas.openxmlformats.org/drawingml/2006/main">
                  <a:graphicData uri="http://schemas.microsoft.com/office/word/2010/wordprocessingShape">
                    <wps:wsp>
                      <wps:cNvCnPr/>
                      <wps:spPr>
                        <a:xfrm>
                          <a:off x="0" y="0"/>
                          <a:ext cx="0" cy="1152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507736" id="Straight Connector 43" o:spid="_x0000_s1026" style="position:absolute;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rip2QEAAA8EAAAOAAAAZHJzL2Uyb0RvYy54bWysU8GO0zAQvSPxD5bvNMkuBRQ13UNXywVB&#10;xcIHeJ1xY8n2WLZp0r9n7LTpChASaC9OZjzved7zeHM3WcOOEKJG1/FmVXMGTmKv3aHj3789vPnA&#10;WUzC9cKgg46fIPK77etXm9G3cIMDmh4CIxIX29F3fEjJt1UV5QBWxBV6cLSpMFiRKAyHqg9iJHZr&#10;qpu6fleNGHofUEKMlL2fN/m28CsFMn1RKkJipuPUWyprKOtTXqvtRrSHIPyg5bkN8R9dWKEdHbpQ&#10;3Ysk2I+gf6OyWgaMqNJKoq1QKS2haCA1Tf2LmsdBeChayJzoF5viy9HKz8d9YLrv+NtbzpywdEeP&#10;KQh9GBLboXPkIAZGm+TU6GNLgJ3bh3MU/T5k2ZMKNn9JEJuKu6fFXZgSk3NSUrZp1nRxxfnqCvQh&#10;po+AluWfjhvtsnDRiuOnmOgwKr2U5LRxbOz4+n2zrktZRKP7B21M3izDAzsT2FHQtaepyc0Tw7Mq&#10;ioyjZJY0iyh/6WRg5v8Kimyhtpv5gDyQV04hJbh04TWOqjNMUQcL8NzZ34Dn+gyFMqz/Al4Q5WR0&#10;aQFb7TD8qe2rFWquvzgw684WPGF/KtdbrKGpK86dX0ge6+dxgV/f8fYnAAAA//8DAFBLAwQUAAYA&#10;CAAAACEAR2iGzNoAAAAKAQAADwAAAGRycy9kb3ducmV2LnhtbExPTUvDQBC9C/6HZQRvdtOGiInZ&#10;lCIU6UVoK3jdZMdkMTsbsts0/vtOvdTbezOP91GuZ9eLCcdgPSlYLhIQSI03lloFn8ft0wuIEDUZ&#10;3XtCBb8YYF3d35W6MP5Me5wOsRVsQqHQCroYh0LK0HTodFj4AYl/3350OjIdW2lGfWZz18tVkjxL&#10;py1xQqcHfOuw+TmcHIdkX807Brsz201WZ1Nu6+TDKvX4MG9eQUSc400M1/pcHSruVPsTmSB65mme&#10;spTBagniKvg71AzyNANZlfL/hOoCAAD//wMAUEsBAi0AFAAGAAgAAAAhALaDOJL+AAAA4QEAABMA&#10;AAAAAAAAAAAAAAAAAAAAAFtDb250ZW50X1R5cGVzXS54bWxQSwECLQAUAAYACAAAACEAOP0h/9YA&#10;AACUAQAACwAAAAAAAAAAAAAAAAAvAQAAX3JlbHMvLnJlbHNQSwECLQAUAAYACAAAACEAffa4qdkB&#10;AAAPBAAADgAAAAAAAAAAAAAAAAAuAgAAZHJzL2Uyb0RvYy54bWxQSwECLQAUAAYACAAAACEAR2iG&#10;zNoAAAAKAQAADwAAAAAAAAAAAAAAAAAzBAAAZHJzL2Rvd25yZXYueG1sUEsFBgAAAAAEAAQA8wAA&#10;ADoFAAAAAA==&#10;" strokecolor="black [3213]" strokeweight="4.5pt">
                <v:stroke joinstyle="miter"/>
              </v:line>
            </w:pict>
          </mc:Fallback>
        </mc:AlternateContent>
      </w:r>
      <w:r w:rsidRPr="006810DB">
        <w:rPr>
          <w:b/>
          <w:sz w:val="48"/>
          <w:szCs w:val="20"/>
          <w:lang w:val="en-US"/>
        </w:rPr>
        <w:t>BAB</w:t>
      </w:r>
      <w:r w:rsidRPr="006810DB">
        <w:rPr>
          <w:b/>
          <w:sz w:val="48"/>
          <w:szCs w:val="20"/>
          <w:lang w:val="id-ID"/>
        </w:rPr>
        <w:br/>
      </w:r>
      <w:r w:rsidRPr="006810DB">
        <w:rPr>
          <w:b/>
          <w:sz w:val="130"/>
          <w:szCs w:val="130"/>
          <w:lang w:val="en-US"/>
        </w:rPr>
        <w:t>20</w:t>
      </w:r>
      <w:r w:rsidRPr="006810DB">
        <w:rPr>
          <w:b/>
          <w:szCs w:val="20"/>
          <w:lang w:val="en-US"/>
        </w:rPr>
        <w:t xml:space="preserve"> </w:t>
      </w:r>
      <w:r w:rsidRPr="006810DB">
        <w:rPr>
          <w:b/>
          <w:szCs w:val="20"/>
          <w:lang w:val="en-US"/>
        </w:rPr>
        <w:tab/>
      </w:r>
      <w:r w:rsidRPr="006810DB">
        <w:rPr>
          <w:b/>
          <w:color w:val="FFFFFF" w:themeColor="background1"/>
          <w:sz w:val="14"/>
          <w:szCs w:val="14"/>
          <w:lang w:val="en-US"/>
        </w:rPr>
        <w:t>KESIMPULAN DAN REKOMENDASI TERINTEGRASI</w:t>
      </w:r>
      <w:bookmarkEnd w:id="489"/>
    </w:p>
    <w:p w14:paraId="2D6F41E5" w14:textId="4F8F4A81" w:rsidR="00F52CE9" w:rsidRPr="006810DB" w:rsidRDefault="00F52CE9" w:rsidP="006810DB">
      <w:pPr>
        <w:spacing w:after="0" w:line="276" w:lineRule="auto"/>
        <w:jc w:val="both"/>
        <w:rPr>
          <w:rFonts w:ascii="Book Antiqua" w:hAnsi="Book Antiqua"/>
          <w:sz w:val="20"/>
          <w:szCs w:val="20"/>
          <w:lang w:val="en"/>
        </w:rPr>
      </w:pPr>
    </w:p>
    <w:p w14:paraId="472A1E30" w14:textId="77777777" w:rsidR="00AD1372" w:rsidRPr="006810DB" w:rsidRDefault="00AD1372" w:rsidP="006810DB">
      <w:pPr>
        <w:spacing w:after="0" w:line="276" w:lineRule="auto"/>
        <w:jc w:val="both"/>
        <w:rPr>
          <w:rFonts w:ascii="Book Antiqua" w:hAnsi="Book Antiqua"/>
          <w:sz w:val="20"/>
          <w:szCs w:val="20"/>
          <w:lang w:val="en"/>
        </w:rPr>
      </w:pPr>
    </w:p>
    <w:p w14:paraId="3396BD22" w14:textId="769564E6" w:rsidR="00B258B7" w:rsidRPr="006810DB" w:rsidRDefault="009B5356" w:rsidP="00B9360C">
      <w:pPr>
        <w:pStyle w:val="Heading2"/>
        <w:numPr>
          <w:ilvl w:val="0"/>
          <w:numId w:val="35"/>
        </w:numPr>
        <w:ind w:left="284" w:hanging="284"/>
      </w:pPr>
      <w:bookmarkStart w:id="490" w:name="_u709q7jrhpfz" w:colFirst="0" w:colLast="0"/>
      <w:bookmarkStart w:id="491" w:name="_Toc223089012"/>
      <w:bookmarkEnd w:id="490"/>
      <w:r w:rsidRPr="006810DB">
        <w:t>Pendahuluan</w:t>
      </w:r>
      <w:bookmarkEnd w:id="491"/>
    </w:p>
    <w:p w14:paraId="38E27FEB"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Penelusuran ilmiah yang telah kita lalui dalam sembilan belas bab sebelumnya membawa kita pada titik konvergensi yang krusial. Kita memulai dengan membedah paradoks kemoterapi cisplatin: sebuah agen sitotoksik yang sangat efektif menyelamatkan nyawa dengan membunuh sel kanker, namun secara bersamaan mengikis kualitas hidup melalui kerusakan kolateral pada jaringan sehat, khususnya mukosa oral. Mukositis bukan sekadar ketidaknyamanan minor; ia adalah manifestasi dari badai molekuler yang melibatkan stres oksidatif masif, disregulasi respon inflamasi, dan kerusakan integritas jaringan yang dapat mengkompromikan keberhasilan terapi kanker itu sendiri. Di seberang spektrum, kita mengeksplorasi </w:t>
      </w:r>
      <w:r w:rsidRPr="006810DB">
        <w:rPr>
          <w:rFonts w:ascii="Book Antiqua" w:hAnsi="Book Antiqua"/>
          <w:i/>
          <w:iCs/>
          <w:sz w:val="20"/>
          <w:szCs w:val="20"/>
          <w:lang w:val="en"/>
        </w:rPr>
        <w:t>Nigella sativa</w:t>
      </w:r>
      <w:r w:rsidRPr="006810DB">
        <w:rPr>
          <w:rFonts w:ascii="Book Antiqua" w:hAnsi="Book Antiqua"/>
          <w:sz w:val="20"/>
          <w:szCs w:val="20"/>
          <w:lang w:val="en"/>
        </w:rPr>
        <w:t>, sebuah entitas botani kuno yang kini divalidasi oleh sains modern sebagai agen pleiotropik yang tangguh.</w:t>
      </w:r>
    </w:p>
    <w:p w14:paraId="6F7E1DA4" w14:textId="6A1251F1"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Bab penutup ini bertujuan untuk menyintesis temuan-temuan terpisah yang telah dibahas, dari standarisasi fisikokimia ekstrak hingga modulasi jalur sinyal </w:t>
      </w:r>
      <w:r w:rsidRPr="006810DB">
        <w:rPr>
          <w:rFonts w:ascii="Book Antiqua" w:hAnsi="Book Antiqua"/>
          <w:sz w:val="20"/>
          <w:szCs w:val="20"/>
          <w:highlight w:val="yellow"/>
          <w:lang w:val="en"/>
        </w:rPr>
        <w:t>NF-κ\kappaκ</w:t>
      </w:r>
      <w:r w:rsidR="00AD1372"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menjadi sebuah kesimpulan holistik yang koheren. Bukti-bukti praklinis yang telah dipaparkan menegaskan bahwa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khususnya senyawa bioaktif utamanya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bekerja sebagai "rem molekuler" yang efektif. Ia tidak hanya menetralkan radikal bebas yang memicu kerusakan, tetapi juga memblokir translokasi faktor transkripsi </w:t>
      </w:r>
      <w:r w:rsidRPr="006810DB">
        <w:rPr>
          <w:rFonts w:ascii="Book Antiqua" w:hAnsi="Book Antiqua"/>
          <w:sz w:val="20"/>
          <w:szCs w:val="20"/>
          <w:highlight w:val="yellow"/>
          <w:lang w:val="en"/>
        </w:rPr>
        <w:t>NF-κ\kappaκ</w:t>
      </w:r>
      <w:r w:rsidR="00AD1372"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ke dalam inti sel, sehingga membungkam ekspresi </w:t>
      </w:r>
      <w:r w:rsidRPr="006810DB">
        <w:rPr>
          <w:rFonts w:ascii="Book Antiqua" w:hAnsi="Book Antiqua"/>
          <w:sz w:val="20"/>
          <w:szCs w:val="20"/>
          <w:lang w:val="en"/>
        </w:rPr>
        <w:lastRenderedPageBreak/>
        <w:t xml:space="preserve">gen-gen pro-inflamasi seperti </w:t>
      </w:r>
      <w:r w:rsidRPr="006810DB">
        <w:rPr>
          <w:rFonts w:ascii="Book Antiqua" w:hAnsi="Book Antiqua"/>
          <w:sz w:val="20"/>
          <w:szCs w:val="20"/>
          <w:highlight w:val="yellow"/>
          <w:lang w:val="en"/>
        </w:rPr>
        <w:t>TNF-α\alphaα</w:t>
      </w:r>
      <w:r w:rsidR="00AD1372"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dan IL-1β\betaβ</w:t>
      </w:r>
      <w:r w:rsidR="00AD1372" w:rsidRPr="006810DB">
        <w:rPr>
          <w:rFonts w:ascii="Book Antiqua" w:hAnsi="Book Antiqua"/>
          <w:sz w:val="20"/>
          <w:szCs w:val="20"/>
          <w:lang w:val="en"/>
        </w:rPr>
        <w:t xml:space="preserve"> </w:t>
      </w:r>
      <w:r w:rsidRPr="006810DB">
        <w:rPr>
          <w:rFonts w:ascii="Book Antiqua" w:hAnsi="Book Antiqua"/>
          <w:sz w:val="20"/>
          <w:szCs w:val="20"/>
          <w:lang w:val="en"/>
        </w:rPr>
        <w:t>yang menjadi motor penggerak mukositis.</w:t>
      </w:r>
    </w:p>
    <w:p w14:paraId="5443FF1C"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Lebih dari sekadar ringkasan akademis, bab ini dirancang untuk menerjemahkan data laboratorium menjadi implikasi praktis bagi dunia medis dan farmasi. </w:t>
      </w:r>
      <w:r w:rsidRPr="006810DB">
        <w:rPr>
          <w:rFonts w:ascii="Book Antiqua" w:hAnsi="Book Antiqua"/>
          <w:sz w:val="20"/>
          <w:szCs w:val="20"/>
          <w:highlight w:val="cyan"/>
          <w:lang w:val="en"/>
        </w:rPr>
        <w:t>Kita akan membahas bagaimana temuan ini dapat mengubah paradigma penanganan efek samping kemoterapi, dari pendekatan reaktif yang hanya mengobati gejala, menjadi strategi preventif yang berbasis pada perlindungan seluler.</w:t>
      </w:r>
      <w:r w:rsidRPr="006810DB">
        <w:rPr>
          <w:rFonts w:ascii="Book Antiqua" w:hAnsi="Book Antiqua"/>
          <w:sz w:val="20"/>
          <w:szCs w:val="20"/>
          <w:lang w:val="en"/>
        </w:rPr>
        <w:t xml:space="preserve"> Rekomendasi yang diberikan akan menyoroti pentingnya integrasi fitofarmaka yang terstandarisasi ke dalam protokol onkologi suportif, serta peran krusial edukasi bagi tenaga kesehatan dalam menjembatani kesenjangan antara pengobatan konvensional dan komplementer.</w:t>
      </w:r>
    </w:p>
    <w:p w14:paraId="4F9EA99E" w14:textId="3E49D301"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highlight w:val="cyan"/>
          <w:lang w:val="en"/>
        </w:rPr>
        <w:t>Akhirnya, kita akan menatap ke depan. Penelitian ini bukanlah akhir, melainkan sebuah pijakan untuk eksplorasi lebih lanjut.</w:t>
      </w:r>
      <w:r w:rsidRPr="006810DB">
        <w:rPr>
          <w:rFonts w:ascii="Book Antiqua" w:hAnsi="Book Antiqua"/>
          <w:sz w:val="20"/>
          <w:szCs w:val="20"/>
          <w:lang w:val="en"/>
        </w:rPr>
        <w:t xml:space="preserve"> Tantangan translasi dari hewan ke manusia, kebutuhan akan inovasi formulasi obat, dan urgensi kemandirian bahan baku obat nasional akan diuraikan sebagai arahan strategis bagi riset masa depan. Visi utamanya adalah mewujudkan terapi kanker yang tidak hanya memperpanjang usia harapan hidup, tetapi juga memuliakan kehidupan pasien dengan meminimalkan penderitaan yang tidak perlu.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merepresentasikan harapan tersebut: sebuah harmoni antara kekuatan penyembuhan alam dan ketelitian ilmu pengetahuan modern.</w:t>
      </w:r>
    </w:p>
    <w:p w14:paraId="31309885" w14:textId="77777777" w:rsidR="00F52CE9" w:rsidRPr="006810DB" w:rsidRDefault="00F52CE9" w:rsidP="006810DB">
      <w:pPr>
        <w:spacing w:after="0" w:line="276" w:lineRule="auto"/>
        <w:jc w:val="both"/>
        <w:rPr>
          <w:rFonts w:ascii="Book Antiqua" w:hAnsi="Book Antiqua"/>
          <w:sz w:val="20"/>
          <w:szCs w:val="20"/>
          <w:lang w:val="en"/>
        </w:rPr>
      </w:pPr>
    </w:p>
    <w:p w14:paraId="14DDE113" w14:textId="30839483" w:rsidR="00B258B7" w:rsidRPr="006810DB" w:rsidRDefault="00B258B7" w:rsidP="006810DB">
      <w:pPr>
        <w:pStyle w:val="Heading2"/>
        <w:numPr>
          <w:ilvl w:val="0"/>
          <w:numId w:val="35"/>
        </w:numPr>
        <w:ind w:left="284" w:hanging="284"/>
        <w:rPr>
          <w:highlight w:val="cyan"/>
        </w:rPr>
      </w:pPr>
      <w:bookmarkStart w:id="492" w:name="_j7t9ukkt9grt" w:colFirst="0" w:colLast="0"/>
      <w:bookmarkStart w:id="493" w:name="_Toc223089013"/>
      <w:bookmarkEnd w:id="492"/>
      <w:r w:rsidRPr="006810DB">
        <w:rPr>
          <w:highlight w:val="cyan"/>
        </w:rPr>
        <w:t xml:space="preserve">Sintesis Hasil Penelitian </w:t>
      </w:r>
      <w:r w:rsidR="009B5356" w:rsidRPr="006810DB">
        <w:rPr>
          <w:highlight w:val="cyan"/>
        </w:rPr>
        <w:t>terha</w:t>
      </w:r>
      <w:r w:rsidRPr="006810DB">
        <w:rPr>
          <w:highlight w:val="cyan"/>
        </w:rPr>
        <w:t>dap Mukositis</w:t>
      </w:r>
      <w:bookmarkEnd w:id="493"/>
    </w:p>
    <w:p w14:paraId="1F10651B"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Penelitian mengenai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dalam konteks mukositis oral menawarkan sebuah narasi ilmiah yang lengkap, menghubungkan hulu (karakteristik bahan) hingga hilir (efek klinis). Sintesis hasil ini penting untuk melihat "gambaran besar" (</w:t>
      </w:r>
      <w:r w:rsidRPr="006810DB">
        <w:rPr>
          <w:rFonts w:ascii="Book Antiqua" w:hAnsi="Book Antiqua"/>
          <w:i/>
          <w:iCs/>
          <w:sz w:val="20"/>
          <w:szCs w:val="20"/>
          <w:lang w:val="en"/>
        </w:rPr>
        <w:t>big picture</w:t>
      </w:r>
      <w:r w:rsidRPr="006810DB">
        <w:rPr>
          <w:rFonts w:ascii="Book Antiqua" w:hAnsi="Book Antiqua"/>
          <w:sz w:val="20"/>
          <w:szCs w:val="20"/>
          <w:lang w:val="en"/>
        </w:rPr>
        <w:t>) dari intervensi fitofarmaka. Kita tidak lagi melihat komponen-komponen penelitian secara terisolasi, seperti kromatogram HPLC atau skor histopatologi semata, melainkan sebagai rangkaian bukti yang saling menguatkan (</w:t>
      </w:r>
      <w:r w:rsidRPr="006810DB">
        <w:rPr>
          <w:rFonts w:ascii="Book Antiqua" w:hAnsi="Book Antiqua"/>
          <w:i/>
          <w:iCs/>
          <w:sz w:val="20"/>
          <w:szCs w:val="20"/>
          <w:lang w:val="en"/>
        </w:rPr>
        <w:t>corroborative evidence</w:t>
      </w:r>
      <w:r w:rsidRPr="006810DB">
        <w:rPr>
          <w:rFonts w:ascii="Book Antiqua" w:hAnsi="Book Antiqua"/>
          <w:sz w:val="20"/>
          <w:szCs w:val="20"/>
          <w:lang w:val="en"/>
        </w:rPr>
        <w:t xml:space="preserve">). Konsistensi data dari berbagai parameter uji </w:t>
      </w:r>
      <w:r w:rsidRPr="006810DB">
        <w:rPr>
          <w:rFonts w:ascii="Book Antiqua" w:hAnsi="Book Antiqua"/>
          <w:sz w:val="20"/>
          <w:szCs w:val="20"/>
          <w:lang w:val="en"/>
        </w:rPr>
        <w:lastRenderedPageBreak/>
        <w:t>mengkonfirmasi bahwa efek protektif yang diamati bukanlah kebetulan, melainkan hasil dari mekanisme farmakologis yang presisi dan dapat dijelaskan.</w:t>
      </w:r>
    </w:p>
    <w:p w14:paraId="133D846C" w14:textId="35085C3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w:t>
      </w:r>
      <w:r w:rsidRPr="006810DB">
        <w:rPr>
          <w:rFonts w:ascii="Book Antiqua" w:hAnsi="Book Antiqua"/>
          <w:sz w:val="20"/>
          <w:szCs w:val="20"/>
          <w:highlight w:val="cyan"/>
          <w:lang w:val="en"/>
        </w:rPr>
        <w:t xml:space="preserve">Menyintesis hasil penelitian ini ibarat menyusun sebuah </w:t>
      </w:r>
      <w:r w:rsidRPr="006810DB">
        <w:rPr>
          <w:rFonts w:ascii="Book Antiqua" w:hAnsi="Book Antiqua"/>
          <w:i/>
          <w:iCs/>
          <w:sz w:val="20"/>
          <w:szCs w:val="20"/>
          <w:highlight w:val="cyan"/>
          <w:lang w:val="en"/>
        </w:rPr>
        <w:t>puzzle</w:t>
      </w:r>
      <w:r w:rsidRPr="006810DB">
        <w:rPr>
          <w:rFonts w:ascii="Book Antiqua" w:hAnsi="Book Antiqua"/>
          <w:sz w:val="20"/>
          <w:szCs w:val="20"/>
          <w:highlight w:val="cyan"/>
          <w:lang w:val="en"/>
        </w:rPr>
        <w:t xml:space="preserve"> raksasa yang kompleks.</w:t>
      </w:r>
      <w:r w:rsidRPr="006810DB">
        <w:rPr>
          <w:rFonts w:ascii="Book Antiqua" w:hAnsi="Book Antiqua"/>
          <w:sz w:val="20"/>
          <w:szCs w:val="20"/>
          <w:lang w:val="en"/>
        </w:rPr>
        <w:t xml:space="preserve"> Kepingan pertama adalah "botani dan kimia" (standarisasi ekstrak) yang memastikan kita memiliki gambar yang benar. Kepingan kedua adalah "biologi molekuler" (jalur </w:t>
      </w:r>
      <w:r w:rsidRPr="006810DB">
        <w:rPr>
          <w:rFonts w:ascii="Book Antiqua" w:hAnsi="Book Antiqua"/>
          <w:sz w:val="20"/>
          <w:szCs w:val="20"/>
          <w:highlight w:val="yellow"/>
          <w:lang w:val="en"/>
        </w:rPr>
        <w:t>NF-κ\kappaκ</w:t>
      </w:r>
      <w:r w:rsidR="00AD1372"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yang menjelaskan bagaimana gambar tersebut terbentuk. Kepingan ketiga adalah "patologi jaringan" (histologi) yang menunjukkan hasil akhir gambar tersebut. Ketika semua kepingan disatukan, kita tidak lagi melihat potongan-potongan abstrak, melainkan sebuah pemandangan utuh: perlindungan mukosa yang efektif. Jika satu kepingan hilang, misalnya, jika kita punya data histologi bagus tapi tidak tahu mekanisme molekulernya, gambar tersebut tidak akan lengkap dan meyakinkan bagi komunitas ilmiah.</w:t>
      </w:r>
    </w:p>
    <w:p w14:paraId="3A0DD344" w14:textId="48DEF89A" w:rsidR="00B258B7" w:rsidRPr="006810DB" w:rsidRDefault="00B258B7" w:rsidP="006810DB">
      <w:pPr>
        <w:pStyle w:val="ListParagraph"/>
        <w:numPr>
          <w:ilvl w:val="0"/>
          <w:numId w:val="94"/>
        </w:numPr>
        <w:spacing w:after="0" w:line="276" w:lineRule="auto"/>
        <w:ind w:left="567" w:hanging="283"/>
        <w:contextualSpacing w:val="0"/>
        <w:jc w:val="both"/>
        <w:rPr>
          <w:rFonts w:ascii="Book Antiqua" w:hAnsi="Book Antiqua"/>
          <w:b/>
          <w:bCs/>
          <w:sz w:val="20"/>
          <w:szCs w:val="20"/>
          <w:lang w:val="en"/>
        </w:rPr>
      </w:pPr>
      <w:bookmarkStart w:id="494" w:name="_3jx96r114bwa" w:colFirst="0" w:colLast="0"/>
      <w:bookmarkEnd w:id="494"/>
      <w:r w:rsidRPr="006810DB">
        <w:rPr>
          <w:rFonts w:ascii="Book Antiqua" w:hAnsi="Book Antiqua"/>
          <w:b/>
          <w:bCs/>
          <w:sz w:val="20"/>
          <w:szCs w:val="20"/>
          <w:lang w:val="en"/>
        </w:rPr>
        <w:t>Ringkasan Peran Standarisasi Fisikokimia</w:t>
      </w:r>
    </w:p>
    <w:p w14:paraId="3F6E9BBD"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Fondasi dari setiap temuan biologis yang valid adalah integritas bahan uji. Bab-bab awal buku ini telah menekankan bahwa variabilitas alami tanaman obat adalah tantangan terbesar dalam fitoterapi. Penelitian menunjukkan bahwa standarisasi fisikokimia yang ketat, meliputi penentuan kadar air, profil kromatografi lapis tipis, dan kuantifikasi kadar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menggunakan HPLC, adalah prasyarat mutlak untuk efikasi yang konsisten. Ekstrak yang tidak terstandarisasi ibarat obat dengan dosis acak; hasilnya tidak dapat diprediksi dan berbahaya (Hannan et al., 2021).</w:t>
      </w:r>
    </w:p>
    <w:p w14:paraId="115978C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Data menunjukkan bahwa aktivitas antioksidan ekstrak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berkorelasi linier dengan kandungan fenolik total dan kadar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Oleh karena itu, jaminan kualitas pada tahap pra-klinis memastikan bahwa efek biologis yang diamati pada jalur inflamasi benar-benar berasal dari senyawa aktif target, bukan variasi </w:t>
      </w:r>
      <w:r w:rsidRPr="006810DB">
        <w:rPr>
          <w:rFonts w:ascii="Book Antiqua" w:hAnsi="Book Antiqua"/>
          <w:i/>
          <w:iCs/>
          <w:sz w:val="20"/>
          <w:szCs w:val="20"/>
          <w:lang w:val="en"/>
        </w:rPr>
        <w:t>batch</w:t>
      </w:r>
      <w:r w:rsidRPr="006810DB">
        <w:rPr>
          <w:rFonts w:ascii="Book Antiqua" w:hAnsi="Book Antiqua"/>
          <w:sz w:val="20"/>
          <w:szCs w:val="20"/>
          <w:lang w:val="en"/>
        </w:rPr>
        <w:t>. Kesimpulannya, standarisasi bukanlah langkah administratif semata, melainkan determinan utama keberhasilan terapi.</w:t>
      </w:r>
    </w:p>
    <w:p w14:paraId="307C33D4" w14:textId="1CC66999" w:rsidR="00B258B7" w:rsidRPr="006810DB" w:rsidRDefault="00B258B7" w:rsidP="006810DB">
      <w:pPr>
        <w:pStyle w:val="ListParagraph"/>
        <w:numPr>
          <w:ilvl w:val="0"/>
          <w:numId w:val="94"/>
        </w:numPr>
        <w:spacing w:after="0" w:line="276" w:lineRule="auto"/>
        <w:ind w:left="567" w:hanging="283"/>
        <w:contextualSpacing w:val="0"/>
        <w:jc w:val="both"/>
        <w:rPr>
          <w:rFonts w:ascii="Book Antiqua" w:hAnsi="Book Antiqua"/>
          <w:b/>
          <w:bCs/>
          <w:sz w:val="20"/>
          <w:szCs w:val="20"/>
          <w:lang w:val="en"/>
        </w:rPr>
      </w:pPr>
      <w:bookmarkStart w:id="495" w:name="_aplda0qrtvtk" w:colFirst="0" w:colLast="0"/>
      <w:bookmarkEnd w:id="495"/>
      <w:r w:rsidRPr="006810DB">
        <w:rPr>
          <w:rFonts w:ascii="Book Antiqua" w:hAnsi="Book Antiqua"/>
          <w:b/>
          <w:bCs/>
          <w:sz w:val="20"/>
          <w:szCs w:val="20"/>
          <w:lang w:val="en"/>
        </w:rPr>
        <w:lastRenderedPageBreak/>
        <w:t>Kesimpulan Mekanisme Melalui Jalur NF-kB</w:t>
      </w:r>
    </w:p>
    <w:p w14:paraId="5DB3BD6D" w14:textId="15FD531C"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Analisis molekuler mendalam menempatkan jalur NF-κ\kappaκ</w:t>
      </w:r>
      <w:r w:rsidR="00AD1372" w:rsidRPr="006810DB">
        <w:rPr>
          <w:rFonts w:ascii="Book Antiqua" w:hAnsi="Book Antiqua"/>
          <w:sz w:val="20"/>
          <w:szCs w:val="20"/>
          <w:lang w:val="en"/>
        </w:rPr>
        <w:t xml:space="preserve"> </w:t>
      </w:r>
      <w:r w:rsidRPr="006810DB">
        <w:rPr>
          <w:rFonts w:ascii="Book Antiqua" w:hAnsi="Book Antiqua"/>
          <w:sz w:val="20"/>
          <w:szCs w:val="20"/>
          <w:lang w:val="en"/>
        </w:rPr>
        <w:t xml:space="preserve">B sebagai target aksi utama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Bukti imunohistokimia dan ekspresi gen mengkonfirmasi bahwa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bekerja di hulu dengan menghambat fosforilasi kompleks IKK dan degradasi </w:t>
      </w:r>
      <w:r w:rsidRPr="006810DB">
        <w:rPr>
          <w:rFonts w:ascii="Book Antiqua" w:hAnsi="Book Antiqua"/>
          <w:sz w:val="20"/>
          <w:szCs w:val="20"/>
          <w:highlight w:val="yellow"/>
          <w:lang w:val="en"/>
        </w:rPr>
        <w:t>Iκ\kappaκ</w:t>
      </w:r>
      <w:r w:rsidR="00AD1372"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00AD1372"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α\alphaα</w:t>
      </w:r>
      <w:r w:rsidRPr="006810DB">
        <w:rPr>
          <w:rFonts w:ascii="Book Antiqua" w:hAnsi="Book Antiqua"/>
          <w:sz w:val="20"/>
          <w:szCs w:val="20"/>
          <w:lang w:val="en"/>
        </w:rPr>
        <w:t>. Intervensi ini mencegah translokasi subunit p65 ke nukleus, yang secara efektif memutus rantai komando peradangan (Kadarullah et al., 2024).</w:t>
      </w:r>
    </w:p>
    <w:p w14:paraId="7B26E42C" w14:textId="73A6AFDC"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Implikasi dari blokade ini sangat luas. Penurunan ekspresi </w:t>
      </w:r>
      <w:r w:rsidRPr="006810DB">
        <w:rPr>
          <w:rFonts w:ascii="Book Antiqua" w:hAnsi="Book Antiqua"/>
          <w:sz w:val="20"/>
          <w:szCs w:val="20"/>
          <w:highlight w:val="yellow"/>
          <w:lang w:val="en"/>
        </w:rPr>
        <w:t>NF-κ\kappaκ</w:t>
      </w:r>
      <w:r w:rsidR="00AD1372"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secara langsung menyebabkan turunnya produksi sitokin pro-inflamasi </w:t>
      </w:r>
      <w:r w:rsidRPr="006810DB">
        <w:rPr>
          <w:rFonts w:ascii="Book Antiqua" w:hAnsi="Book Antiqua"/>
          <w:sz w:val="20"/>
          <w:szCs w:val="20"/>
          <w:highlight w:val="yellow"/>
          <w:lang w:val="en"/>
        </w:rPr>
        <w:t>TNF-α\alphaα, IL-1</w:t>
      </w:r>
      <w:r w:rsidR="00B627C0"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β\betaβ</w:t>
      </w:r>
      <w:r w:rsidRPr="006810DB">
        <w:rPr>
          <w:rFonts w:ascii="Book Antiqua" w:hAnsi="Book Antiqua"/>
          <w:sz w:val="20"/>
          <w:szCs w:val="20"/>
          <w:lang w:val="en"/>
        </w:rPr>
        <w:t xml:space="preserve">, dan IL-6, serta enzim perusak seperti COX-2 dan MMPs. Mekanisme ini membuktikan bahwa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bukan sekadar antioksidan pasif, melainkan modulator sinyal intraseluler yang canggih. Ia bekerja pada "saklar utama" peradangan, menjadikannya agen yang sangat efisien untuk menghentikan badai sitokin yang diinduksi oleh kemoterapi (Madani et al., 2023).</w:t>
      </w:r>
    </w:p>
    <w:p w14:paraId="1E0C782D" w14:textId="2A99901B" w:rsidR="00B258B7" w:rsidRPr="006810DB" w:rsidRDefault="00B258B7" w:rsidP="006810DB">
      <w:pPr>
        <w:pStyle w:val="ListParagraph"/>
        <w:numPr>
          <w:ilvl w:val="0"/>
          <w:numId w:val="94"/>
        </w:numPr>
        <w:spacing w:after="0" w:line="276" w:lineRule="auto"/>
        <w:ind w:left="567" w:hanging="283"/>
        <w:contextualSpacing w:val="0"/>
        <w:jc w:val="both"/>
        <w:rPr>
          <w:rFonts w:ascii="Book Antiqua" w:hAnsi="Book Antiqua"/>
          <w:b/>
          <w:bCs/>
          <w:sz w:val="20"/>
          <w:szCs w:val="20"/>
          <w:lang w:val="en"/>
        </w:rPr>
      </w:pPr>
      <w:bookmarkStart w:id="496" w:name="_8se8u47cycl" w:colFirst="0" w:colLast="0"/>
      <w:bookmarkEnd w:id="496"/>
      <w:r w:rsidRPr="006810DB">
        <w:rPr>
          <w:rFonts w:ascii="Book Antiqua" w:hAnsi="Book Antiqua"/>
          <w:b/>
          <w:bCs/>
          <w:sz w:val="20"/>
          <w:szCs w:val="20"/>
          <w:lang w:val="en"/>
        </w:rPr>
        <w:t xml:space="preserve">Validasi </w:t>
      </w:r>
      <w:r w:rsidRPr="006810DB">
        <w:rPr>
          <w:rFonts w:ascii="Book Antiqua" w:hAnsi="Book Antiqua"/>
          <w:b/>
          <w:bCs/>
          <w:i/>
          <w:iCs/>
          <w:sz w:val="20"/>
          <w:szCs w:val="20"/>
          <w:lang w:val="en"/>
        </w:rPr>
        <w:t>Nigella sativa</w:t>
      </w:r>
      <w:r w:rsidRPr="006810DB">
        <w:rPr>
          <w:rFonts w:ascii="Book Antiqua" w:hAnsi="Book Antiqua"/>
          <w:b/>
          <w:bCs/>
          <w:sz w:val="20"/>
          <w:szCs w:val="20"/>
          <w:lang w:val="en"/>
        </w:rPr>
        <w:t xml:space="preserve"> sebagai Agen Protektif</w:t>
      </w:r>
    </w:p>
    <w:p w14:paraId="5F6B2A7E"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Sintesis data makroskopis dan mikroskopis memberikan vonis akhir mengenai efikasi protektif. Pada model hewan, pemberian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secara konsisten mencegah penurunan berat badan yang drastis, mempercepat penyembuhan ulkus, dan mempertahankan asupan makanan. Secara histologis, jaringan mukosa yang diterapi menunjukkan preservasi ketebalan epitel, integritas lapisan basal yang lebih baik, dan infiltrasi sel radang yang jauh lebih sedikit dibandingkan kontrol yang tidak diobati (Kazemi et al., 2022).</w:t>
      </w:r>
    </w:p>
    <w:p w14:paraId="2D49FCF1" w14:textId="35945995"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Validasi ini diperkuat oleh fakta bahwa efek protektif tersebut terjadi tanpa mengganggu efektivitas sitotoksik cisplatin terhadap sel kanker, bahkan menunjukkan potensi sinergis. Dengan demikian,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memenuhi kriteria ideal sebagai agen ajuvan: melindungi jaringan normal </w:t>
      </w:r>
      <w:r w:rsidRPr="006810DB">
        <w:rPr>
          <w:rFonts w:ascii="Book Antiqua" w:hAnsi="Book Antiqua"/>
          <w:sz w:val="20"/>
          <w:szCs w:val="20"/>
          <w:lang w:val="en"/>
        </w:rPr>
        <w:lastRenderedPageBreak/>
        <w:t>(selektif) dan meningkatkan atau mempertahankan efikasi terapi utama.</w:t>
      </w:r>
    </w:p>
    <w:p w14:paraId="173D7C61" w14:textId="77777777" w:rsidR="00CA71C5" w:rsidRPr="006810DB" w:rsidRDefault="00CA71C5" w:rsidP="006810DB">
      <w:pPr>
        <w:spacing w:after="0" w:line="276" w:lineRule="auto"/>
        <w:jc w:val="both"/>
        <w:rPr>
          <w:rFonts w:ascii="Book Antiqua" w:hAnsi="Book Antiqua"/>
          <w:sz w:val="20"/>
          <w:szCs w:val="20"/>
          <w:lang w:val="en"/>
        </w:rPr>
      </w:pPr>
    </w:p>
    <w:p w14:paraId="0A7962E0" w14:textId="67A2DC2D" w:rsidR="00B258B7" w:rsidRPr="006810DB" w:rsidRDefault="00B258B7" w:rsidP="006810DB">
      <w:pPr>
        <w:pStyle w:val="Heading2"/>
        <w:numPr>
          <w:ilvl w:val="0"/>
          <w:numId w:val="35"/>
        </w:numPr>
        <w:ind w:left="284" w:hanging="284"/>
        <w:rPr>
          <w:bCs/>
          <w:szCs w:val="20"/>
          <w:lang w:val="en"/>
        </w:rPr>
      </w:pPr>
      <w:bookmarkStart w:id="497" w:name="_tgr2nv1usqyv" w:colFirst="0" w:colLast="0"/>
      <w:bookmarkStart w:id="498" w:name="_Toc223089014"/>
      <w:bookmarkEnd w:id="497"/>
      <w:r w:rsidRPr="006810DB">
        <w:rPr>
          <w:bCs/>
          <w:szCs w:val="20"/>
          <w:lang w:val="en"/>
        </w:rPr>
        <w:t>Implikasi bagi Praktik Kedokteran dan Farmasi</w:t>
      </w:r>
      <w:bookmarkEnd w:id="498"/>
    </w:p>
    <w:p w14:paraId="6DD2DD20"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highlight w:val="cyan"/>
          <w:lang w:val="en"/>
        </w:rPr>
        <w:t>Temuan-temuan dalam buku ini memiliki implikasi yang signifikan untuk praktik klinis sehari-hari.</w:t>
      </w:r>
      <w:r w:rsidRPr="006810DB">
        <w:rPr>
          <w:rFonts w:ascii="Book Antiqua" w:hAnsi="Book Antiqua"/>
          <w:sz w:val="20"/>
          <w:szCs w:val="20"/>
          <w:lang w:val="en"/>
        </w:rPr>
        <w:t xml:space="preserve"> Selama ini, penggunaan herbal sering kali dipandang sebelah mata atau dianggap sebagai "pengobatan alternatif" yang terpisah dari kedokteran berbasis bukti. Data yang disajikan menuntut perubahan perspektif ini menuju onkologi integratif. Dokter dan apoteker berada di garis depan dalam manajemen pasien kanker, dan pemahaman tentang potensi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dapat memperkaya armamentarium terapi mereka, memberikan opsi tambahan bagi pasien yang menderita efek samping yang melemahkan.</w:t>
      </w:r>
    </w:p>
    <w:p w14:paraId="4D7A05D7" w14:textId="77777777" w:rsidR="00B258B7" w:rsidRPr="006810DB" w:rsidRDefault="00B258B7" w:rsidP="00A95863">
      <w:pPr>
        <w:spacing w:after="0" w:line="276" w:lineRule="auto"/>
        <w:ind w:left="284" w:firstLine="567"/>
        <w:jc w:val="both"/>
        <w:rPr>
          <w:rFonts w:ascii="Book Antiqua" w:hAnsi="Book Antiqua"/>
          <w:sz w:val="20"/>
          <w:szCs w:val="20"/>
          <w:lang w:val="en"/>
        </w:rPr>
      </w:pPr>
      <w:r w:rsidRPr="006810DB">
        <w:rPr>
          <w:rFonts w:ascii="Book Antiqua" w:hAnsi="Book Antiqua"/>
          <w:b/>
          <w:bCs/>
          <w:sz w:val="20"/>
          <w:szCs w:val="20"/>
          <w:lang w:val="en"/>
        </w:rPr>
        <w:t>Analogi/Contoh Kasus:</w:t>
      </w:r>
      <w:r w:rsidRPr="006810DB">
        <w:rPr>
          <w:rFonts w:ascii="Book Antiqua" w:hAnsi="Book Antiqua"/>
          <w:sz w:val="20"/>
          <w:szCs w:val="20"/>
          <w:lang w:val="en"/>
        </w:rPr>
        <w:t xml:space="preserve"> Mengintegrasikan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ke dalam praktik medis ibarat seorang pilot (dokter) yang menerima sistem navigasi cuaca baru (fitofarmaka) di kokpitnya. Sebelumnya, pilot hanya mengandalkan radar standar (obat konvensional) untuk menghindari badai. Sistem baru ini tidak menggantikan radar lama, tetapi memberikan data tambahan yang lebih rinci tentang turbulensi mikro (inflamasi molekuler), memungkinkan pilot untuk memilih rute yang lebih halus dan aman bagi penumpang (pasien). Mengabaikan alat baru ini hanya karena "bukan standar lama" adalah tindakan yang merugikan keselamatan dan kenyamanan penerbangan.</w:t>
      </w:r>
    </w:p>
    <w:p w14:paraId="5D3EF4A0" w14:textId="06882E45" w:rsidR="00B258B7" w:rsidRPr="006810DB" w:rsidRDefault="00B258B7" w:rsidP="006810DB">
      <w:pPr>
        <w:pStyle w:val="ListParagraph"/>
        <w:numPr>
          <w:ilvl w:val="0"/>
          <w:numId w:val="95"/>
        </w:numPr>
        <w:spacing w:after="0" w:line="276" w:lineRule="auto"/>
        <w:ind w:left="567" w:hanging="283"/>
        <w:contextualSpacing w:val="0"/>
        <w:jc w:val="both"/>
        <w:rPr>
          <w:rFonts w:ascii="Book Antiqua" w:hAnsi="Book Antiqua"/>
          <w:b/>
          <w:bCs/>
          <w:sz w:val="20"/>
          <w:szCs w:val="20"/>
          <w:lang w:val="en"/>
        </w:rPr>
      </w:pPr>
      <w:bookmarkStart w:id="499" w:name="_wejqq8bx4ax1" w:colFirst="0" w:colLast="0"/>
      <w:bookmarkEnd w:id="499"/>
      <w:r w:rsidRPr="006810DB">
        <w:rPr>
          <w:rFonts w:ascii="Book Antiqua" w:hAnsi="Book Antiqua"/>
          <w:b/>
          <w:bCs/>
          <w:sz w:val="20"/>
          <w:szCs w:val="20"/>
          <w:lang w:val="en"/>
        </w:rPr>
        <w:t>Panduan Penggunaan Suplemen Herbal pada Pasien Kemoterapi</w:t>
      </w:r>
    </w:p>
    <w:p w14:paraId="533B9110"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Implikasi praktis pertama adalah perlunya pedoman klinis yang jelas mengenai penggunaan suplemen herbal. Pasien sering kali mengonsumsi herbal secara diam-diam karena takut dilarang oleh dokter. Berdasarkan bukti yang ada, klinisi dapat mulai merekomendasikan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terstandar (misalnya dalam bentuk minyak atau ekstrak kapsul) sebagai terapi pendamping untuk mukositis, dengan catatan dosis dan waktu pemberian yang tepat.</w:t>
      </w:r>
    </w:p>
    <w:p w14:paraId="2F390514"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lastRenderedPageBreak/>
        <w:t xml:space="preserve">Penting untuk menekankan penggunaan produk yang telah memiliki izin edar badan pengawas obat (seperti nomor TR/POM di Indonesia) untuk menjamin bebas dari kontaminan logam berat. Panduan juga harus mencakup pemantauan interaksi obat potensial, meskipun profil keamanan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relatif tinggi. Pendekatan terbuka dan berbasis bukti ini akan meningkatkan kepercayaan pasien dan kepatuhan terhadap pengobatan (Belfiore et al., 2024).</w:t>
      </w:r>
    </w:p>
    <w:p w14:paraId="3984AA2E" w14:textId="265834A2" w:rsidR="00B258B7" w:rsidRPr="006810DB" w:rsidRDefault="00B258B7" w:rsidP="006810DB">
      <w:pPr>
        <w:pStyle w:val="ListParagraph"/>
        <w:numPr>
          <w:ilvl w:val="0"/>
          <w:numId w:val="95"/>
        </w:numPr>
        <w:spacing w:after="0" w:line="276" w:lineRule="auto"/>
        <w:ind w:left="567" w:hanging="283"/>
        <w:contextualSpacing w:val="0"/>
        <w:jc w:val="both"/>
        <w:rPr>
          <w:rFonts w:ascii="Book Antiqua" w:hAnsi="Book Antiqua"/>
          <w:b/>
          <w:bCs/>
          <w:sz w:val="20"/>
          <w:szCs w:val="20"/>
          <w:lang w:val="en"/>
        </w:rPr>
      </w:pPr>
      <w:bookmarkStart w:id="500" w:name="_x6421fk228ph" w:colFirst="0" w:colLast="0"/>
      <w:bookmarkEnd w:id="500"/>
      <w:r w:rsidRPr="006810DB">
        <w:rPr>
          <w:rFonts w:ascii="Book Antiqua" w:hAnsi="Book Antiqua"/>
          <w:b/>
          <w:bCs/>
          <w:sz w:val="20"/>
          <w:szCs w:val="20"/>
          <w:lang w:val="en"/>
        </w:rPr>
        <w:t>Pentingnya Edukasi bagi Tenaga Kesehatan</w:t>
      </w:r>
    </w:p>
    <w:p w14:paraId="31817F5A"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Agar integrasi ini berhasil, kesenjangan pengetahuan (</w:t>
      </w:r>
      <w:r w:rsidRPr="006810DB">
        <w:rPr>
          <w:rFonts w:ascii="Book Antiqua" w:hAnsi="Book Antiqua"/>
          <w:i/>
          <w:iCs/>
          <w:sz w:val="20"/>
          <w:szCs w:val="20"/>
          <w:lang w:val="en"/>
        </w:rPr>
        <w:t>knowledge gap</w:t>
      </w:r>
      <w:r w:rsidRPr="006810DB">
        <w:rPr>
          <w:rFonts w:ascii="Book Antiqua" w:hAnsi="Book Antiqua"/>
          <w:sz w:val="20"/>
          <w:szCs w:val="20"/>
          <w:lang w:val="en"/>
        </w:rPr>
        <w:t>) di kalangan tenaga kesehatan harus dijembatani. Kurikulum pendidikan kedokteran dan farmasi konvensional sering kali minim materi tentang fitofarmaka. Buku referensi ini dan literatur sejenis harus menjadi bahan edukasi berkelanjutan (</w:t>
      </w:r>
      <w:r w:rsidRPr="006810DB">
        <w:rPr>
          <w:rFonts w:ascii="Book Antiqua" w:hAnsi="Book Antiqua"/>
          <w:i/>
          <w:iCs/>
          <w:sz w:val="20"/>
          <w:szCs w:val="20"/>
          <w:lang w:val="en"/>
        </w:rPr>
        <w:t>CME</w:t>
      </w:r>
      <w:r w:rsidRPr="006810DB">
        <w:rPr>
          <w:rFonts w:ascii="Book Antiqua" w:hAnsi="Book Antiqua"/>
          <w:sz w:val="20"/>
          <w:szCs w:val="20"/>
          <w:lang w:val="en"/>
        </w:rPr>
        <w:t>) bagi dokter onkologi, dokter gigi, dan apoteker klinis.</w:t>
      </w:r>
    </w:p>
    <w:p w14:paraId="4BD986E8" w14:textId="3B9322A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Tenaga kesehatan perlu memahami mekanisme molekuler herbal, seperti penghambatan </w:t>
      </w:r>
      <w:r w:rsidRPr="006810DB">
        <w:rPr>
          <w:rFonts w:ascii="Book Antiqua" w:hAnsi="Book Antiqua"/>
          <w:sz w:val="20"/>
          <w:szCs w:val="20"/>
          <w:highlight w:val="yellow"/>
          <w:lang w:val="en"/>
        </w:rPr>
        <w:t>NF-κ\kappaκ</w:t>
      </w:r>
      <w:r w:rsidR="00AD1372"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agar dapat menjelaskan rasionalitas penggunaan kepada pasien secara ilmiah, bukan mistis. Pemahaman tentang farmakokinetik dan standarisasi juga penting agar mereka dapat membedakan antara produk herbal berkualitas tinggi dan produk "sampah" yang beredar di pasaran (Yimer et al., 2019).</w:t>
      </w:r>
    </w:p>
    <w:p w14:paraId="73195509" w14:textId="21382078" w:rsidR="00B258B7" w:rsidRPr="006810DB" w:rsidRDefault="00B258B7" w:rsidP="006810DB">
      <w:pPr>
        <w:pStyle w:val="ListParagraph"/>
        <w:numPr>
          <w:ilvl w:val="0"/>
          <w:numId w:val="95"/>
        </w:numPr>
        <w:spacing w:after="0" w:line="276" w:lineRule="auto"/>
        <w:ind w:left="567" w:hanging="283"/>
        <w:contextualSpacing w:val="0"/>
        <w:jc w:val="both"/>
        <w:rPr>
          <w:rFonts w:ascii="Book Antiqua" w:hAnsi="Book Antiqua"/>
          <w:b/>
          <w:bCs/>
          <w:sz w:val="20"/>
          <w:szCs w:val="20"/>
          <w:lang w:val="en"/>
        </w:rPr>
      </w:pPr>
      <w:bookmarkStart w:id="501" w:name="_bmcw65ft2thn" w:colFirst="0" w:colLast="0"/>
      <w:bookmarkEnd w:id="501"/>
      <w:r w:rsidRPr="006810DB">
        <w:rPr>
          <w:rFonts w:ascii="Book Antiqua" w:hAnsi="Book Antiqua"/>
          <w:b/>
          <w:bCs/>
          <w:sz w:val="20"/>
          <w:szCs w:val="20"/>
          <w:lang w:val="en"/>
        </w:rPr>
        <w:t>Peran Industri Farmasi dalam Hilirisasi Produk Herbal</w:t>
      </w:r>
    </w:p>
    <w:p w14:paraId="2DE0238C"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Implikasi terakhir adalah bagi industri farmasi. Temuan potensi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harus mendorong investasi dalam riset dan pengembangan (R&amp;D) untuk menghasilkan sediaan fitofarmaka. Industri perlu bergerak dari sekadar menjual simplisia atau ekstrak kasar menuju pengembangan bentuk sediaan modern seperti nanoemulsi, tablet lepas lambat, atau </w:t>
      </w:r>
      <w:r w:rsidRPr="006810DB">
        <w:rPr>
          <w:rFonts w:ascii="Book Antiqua" w:hAnsi="Book Antiqua"/>
          <w:i/>
          <w:iCs/>
          <w:sz w:val="20"/>
          <w:szCs w:val="20"/>
          <w:lang w:val="en"/>
        </w:rPr>
        <w:t>patch</w:t>
      </w:r>
      <w:r w:rsidRPr="006810DB">
        <w:rPr>
          <w:rFonts w:ascii="Book Antiqua" w:hAnsi="Book Antiqua"/>
          <w:sz w:val="20"/>
          <w:szCs w:val="20"/>
          <w:lang w:val="en"/>
        </w:rPr>
        <w:t xml:space="preserve"> mukoadhesif yang dibahas di Bab 19.</w:t>
      </w:r>
    </w:p>
    <w:p w14:paraId="0AC06D48" w14:textId="17150429"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Hilirisasi ini penting untuk meningkatkan bioavailabilitas dan kenyamanan pasien. Kolaborasi antara akademisi (peneliti) dan industri adalah kunci untuk </w:t>
      </w:r>
      <w:r w:rsidRPr="006810DB">
        <w:rPr>
          <w:rFonts w:ascii="Book Antiqua" w:hAnsi="Book Antiqua"/>
          <w:sz w:val="20"/>
          <w:szCs w:val="20"/>
          <w:lang w:val="en"/>
        </w:rPr>
        <w:lastRenderedPageBreak/>
        <w:t xml:space="preserve">mentranslasikan skala laboratorium menjadi skala produksi massal yang memenuhi standar </w:t>
      </w:r>
      <w:r w:rsidRPr="006810DB">
        <w:rPr>
          <w:rFonts w:ascii="Book Antiqua" w:hAnsi="Book Antiqua"/>
          <w:i/>
          <w:iCs/>
          <w:sz w:val="20"/>
          <w:szCs w:val="20"/>
          <w:lang w:val="en"/>
        </w:rPr>
        <w:t>Good Manufacturing Practice</w:t>
      </w:r>
      <w:r w:rsidRPr="006810DB">
        <w:rPr>
          <w:rFonts w:ascii="Book Antiqua" w:hAnsi="Book Antiqua"/>
          <w:sz w:val="20"/>
          <w:szCs w:val="20"/>
          <w:lang w:val="en"/>
        </w:rPr>
        <w:t xml:space="preserve"> (GMP). Ini juga merupakan langkah strategis untuk kemandirian bahan baku obat nasional (Sobhannizadeh et al., 2025).</w:t>
      </w:r>
    </w:p>
    <w:p w14:paraId="1C4D5CEF" w14:textId="77777777" w:rsidR="00CA71C5" w:rsidRPr="006810DB" w:rsidRDefault="00CA71C5" w:rsidP="006810DB">
      <w:pPr>
        <w:spacing w:after="0" w:line="276" w:lineRule="auto"/>
        <w:jc w:val="both"/>
        <w:rPr>
          <w:rFonts w:ascii="Book Antiqua" w:hAnsi="Book Antiqua"/>
          <w:sz w:val="20"/>
          <w:szCs w:val="20"/>
          <w:lang w:val="en"/>
        </w:rPr>
      </w:pPr>
    </w:p>
    <w:p w14:paraId="132D1835" w14:textId="561C799E" w:rsidR="00B258B7" w:rsidRPr="006810DB" w:rsidRDefault="00B258B7" w:rsidP="006810DB">
      <w:pPr>
        <w:pStyle w:val="Heading2"/>
        <w:numPr>
          <w:ilvl w:val="0"/>
          <w:numId w:val="35"/>
        </w:numPr>
        <w:ind w:left="284" w:hanging="284"/>
        <w:rPr>
          <w:bCs/>
          <w:szCs w:val="20"/>
          <w:highlight w:val="cyan"/>
          <w:lang w:val="en"/>
        </w:rPr>
      </w:pPr>
      <w:bookmarkStart w:id="502" w:name="_5n6q6blajakc" w:colFirst="0" w:colLast="0"/>
      <w:bookmarkStart w:id="503" w:name="_Toc223089015"/>
      <w:bookmarkEnd w:id="502"/>
      <w:r w:rsidRPr="006810DB">
        <w:rPr>
          <w:bCs/>
          <w:szCs w:val="20"/>
          <w:lang w:val="en"/>
        </w:rPr>
        <w:t xml:space="preserve">Kata Penutup dan </w:t>
      </w:r>
      <w:r w:rsidRPr="006810DB">
        <w:rPr>
          <w:bCs/>
          <w:szCs w:val="20"/>
          <w:highlight w:val="cyan"/>
          <w:lang w:val="en"/>
        </w:rPr>
        <w:t>Arahan Penelitian Selanjutnya</w:t>
      </w:r>
      <w:bookmarkEnd w:id="503"/>
    </w:p>
    <w:p w14:paraId="440673CF" w14:textId="77777777" w:rsidR="00B258B7" w:rsidRPr="006810DB" w:rsidRDefault="00B258B7" w:rsidP="006810DB">
      <w:pPr>
        <w:spacing w:after="0" w:line="276" w:lineRule="auto"/>
        <w:ind w:left="284" w:firstLine="567"/>
        <w:jc w:val="both"/>
        <w:rPr>
          <w:rFonts w:ascii="Book Antiqua" w:hAnsi="Book Antiqua"/>
          <w:sz w:val="20"/>
          <w:szCs w:val="20"/>
          <w:lang w:val="en"/>
        </w:rPr>
      </w:pPr>
      <w:r w:rsidRPr="006810DB">
        <w:rPr>
          <w:rFonts w:ascii="Book Antiqua" w:hAnsi="Book Antiqua"/>
          <w:sz w:val="20"/>
          <w:szCs w:val="20"/>
          <w:lang w:val="en"/>
        </w:rPr>
        <w:t xml:space="preserve">Perjalanan ilmiah tidak pernah memiliki titik akhir yang statis; setiap jawaban melahirkan pertanyaan baru. Buku ini telah meletakkan dasar pemahaman yang kokoh tentang potensi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terhadap mukositis oral. Namun, untuk membawa manfaat ini sepenuhnya kepada pasien, penelitian di masa depan harus lebih ambisius, terarah, dan berorientasi pada pasien. Kita harus bergerak dari pembuktian konsep menuju optimalisasi klinis, memastikan bahwa terapi ini tidak hanya efektif secara biologis tetapi juga dapat diakses dan diterima secara luas.</w:t>
      </w:r>
    </w:p>
    <w:p w14:paraId="46959BC6" w14:textId="2FF4D30D" w:rsidR="00B258B7" w:rsidRPr="006810DB" w:rsidRDefault="00B258B7" w:rsidP="006810DB">
      <w:pPr>
        <w:pStyle w:val="ListParagraph"/>
        <w:numPr>
          <w:ilvl w:val="0"/>
          <w:numId w:val="96"/>
        </w:numPr>
        <w:spacing w:after="0" w:line="276" w:lineRule="auto"/>
        <w:ind w:left="567" w:hanging="283"/>
        <w:contextualSpacing w:val="0"/>
        <w:jc w:val="both"/>
        <w:rPr>
          <w:rFonts w:ascii="Book Antiqua" w:hAnsi="Book Antiqua"/>
          <w:b/>
          <w:bCs/>
          <w:sz w:val="20"/>
          <w:szCs w:val="20"/>
          <w:lang w:val="en"/>
        </w:rPr>
      </w:pPr>
      <w:bookmarkStart w:id="504" w:name="_o22f6qycwmyg" w:colFirst="0" w:colLast="0"/>
      <w:bookmarkEnd w:id="504"/>
      <w:r w:rsidRPr="006810DB">
        <w:rPr>
          <w:rFonts w:ascii="Book Antiqua" w:hAnsi="Book Antiqua"/>
          <w:b/>
          <w:bCs/>
          <w:sz w:val="20"/>
          <w:szCs w:val="20"/>
          <w:lang w:val="en"/>
        </w:rPr>
        <w:t>Visi Menuju Terapi Kanker yang Lebih Manusiawi</w:t>
      </w:r>
    </w:p>
    <w:p w14:paraId="7485D105"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Tujuan utama dari semua upaya ini adalah humanisasi terapi kanker. Pasien bukan sekadar kumpulan sel tumor yang harus dibasmi; mereka adalah individu yang berhak menjalani proses pengobatan dengan bermartabat dan minim rasa sakit. Mukositis sering kali menjadi titik di mana pasien merasa putus asa dan ingin menyerah. Dengan menyediakan terapi suportif yang efektif seperti </w:t>
      </w:r>
      <w:r w:rsidRPr="006810DB">
        <w:rPr>
          <w:rFonts w:ascii="Book Antiqua" w:hAnsi="Book Antiqua"/>
          <w:i/>
          <w:iCs/>
          <w:sz w:val="20"/>
          <w:szCs w:val="20"/>
          <w:lang w:val="en"/>
        </w:rPr>
        <w:t>Nigella sativa</w:t>
      </w:r>
      <w:r w:rsidRPr="006810DB">
        <w:rPr>
          <w:rFonts w:ascii="Book Antiqua" w:hAnsi="Book Antiqua"/>
          <w:sz w:val="20"/>
          <w:szCs w:val="20"/>
          <w:lang w:val="en"/>
        </w:rPr>
        <w:t>, kita tidak hanya menyembuhkan luka di mulut, tetapi juga memulihkan semangat hidup pasien. Visi ke depan adalah protokol kemoterapi yang "bebas mukositis", di mana perlindungan mukosa diberikan secara proaktif sejak hari pertama (Salcan et al., 2025).</w:t>
      </w:r>
    </w:p>
    <w:p w14:paraId="4CB0A1B4" w14:textId="20676FA4" w:rsidR="00B258B7" w:rsidRPr="006810DB" w:rsidRDefault="00B258B7" w:rsidP="006810DB">
      <w:pPr>
        <w:pStyle w:val="ListParagraph"/>
        <w:numPr>
          <w:ilvl w:val="0"/>
          <w:numId w:val="96"/>
        </w:numPr>
        <w:spacing w:after="0" w:line="276" w:lineRule="auto"/>
        <w:ind w:left="567" w:hanging="283"/>
        <w:contextualSpacing w:val="0"/>
        <w:jc w:val="both"/>
        <w:rPr>
          <w:rFonts w:ascii="Book Antiqua" w:hAnsi="Book Antiqua"/>
          <w:b/>
          <w:bCs/>
          <w:sz w:val="20"/>
          <w:szCs w:val="20"/>
          <w:lang w:val="en"/>
        </w:rPr>
      </w:pPr>
      <w:bookmarkStart w:id="505" w:name="_fr0mw7lr2005" w:colFirst="0" w:colLast="0"/>
      <w:bookmarkEnd w:id="505"/>
      <w:r w:rsidRPr="006810DB">
        <w:rPr>
          <w:rFonts w:ascii="Book Antiqua" w:hAnsi="Book Antiqua"/>
          <w:b/>
          <w:bCs/>
          <w:sz w:val="20"/>
          <w:szCs w:val="20"/>
          <w:lang w:val="en"/>
        </w:rPr>
        <w:t xml:space="preserve">Eksplorasi Potensi </w:t>
      </w:r>
      <w:r w:rsidRPr="006810DB">
        <w:rPr>
          <w:rFonts w:ascii="Book Antiqua" w:hAnsi="Book Antiqua"/>
          <w:b/>
          <w:bCs/>
          <w:i/>
          <w:iCs/>
          <w:sz w:val="20"/>
          <w:szCs w:val="20"/>
          <w:lang w:val="en"/>
        </w:rPr>
        <w:t>Nigella sativa</w:t>
      </w:r>
      <w:r w:rsidRPr="006810DB">
        <w:rPr>
          <w:rFonts w:ascii="Book Antiqua" w:hAnsi="Book Antiqua"/>
          <w:b/>
          <w:bCs/>
          <w:sz w:val="20"/>
          <w:szCs w:val="20"/>
          <w:lang w:val="en"/>
        </w:rPr>
        <w:t xml:space="preserve"> pada Efek Samping Lain</w:t>
      </w:r>
    </w:p>
    <w:p w14:paraId="2F385E05"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Mekanisme kerja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yang pleiotropik, antioksidan, anti-inflamasi, anti-apoptosis, menunjukkan bahwa potensinya tidak terbatas pada mukositis oral saja. </w:t>
      </w:r>
      <w:r w:rsidRPr="006810DB">
        <w:rPr>
          <w:rFonts w:ascii="Book Antiqua" w:hAnsi="Book Antiqua"/>
          <w:sz w:val="20"/>
          <w:szCs w:val="20"/>
          <w:highlight w:val="cyan"/>
          <w:lang w:val="en"/>
        </w:rPr>
        <w:t>Penelitian selanjutnya harus memperluas cakrawala ke efek samping kemoterapi lainnya yang memiliki patofisiologi</w:t>
      </w:r>
      <w:r w:rsidRPr="006810DB">
        <w:rPr>
          <w:rFonts w:ascii="Book Antiqua" w:hAnsi="Book Antiqua"/>
          <w:sz w:val="20"/>
          <w:szCs w:val="20"/>
          <w:lang w:val="en"/>
        </w:rPr>
        <w:t xml:space="preserve"> </w:t>
      </w:r>
      <w:r w:rsidRPr="006810DB">
        <w:rPr>
          <w:rFonts w:ascii="Book Antiqua" w:hAnsi="Book Antiqua"/>
          <w:sz w:val="20"/>
          <w:szCs w:val="20"/>
          <w:lang w:val="en"/>
        </w:rPr>
        <w:lastRenderedPageBreak/>
        <w:t>serupa, seperti nefrotoksisitas (kerusakan ginjal), hepatotoksilitas (kerusakan hati), dan neurotoksisitas cisplatin. Jika satu agen herbal dapat memitigasi berbagai efek samping sekaligus (</w:t>
      </w:r>
      <w:r w:rsidRPr="006810DB">
        <w:rPr>
          <w:rFonts w:ascii="Book Antiqua" w:hAnsi="Book Antiqua"/>
          <w:i/>
          <w:iCs/>
          <w:sz w:val="20"/>
          <w:szCs w:val="20"/>
          <w:lang w:val="en"/>
        </w:rPr>
        <w:t>pan-protective agent</w:t>
      </w:r>
      <w:r w:rsidRPr="006810DB">
        <w:rPr>
          <w:rFonts w:ascii="Book Antiqua" w:hAnsi="Book Antiqua"/>
          <w:sz w:val="20"/>
          <w:szCs w:val="20"/>
          <w:lang w:val="en"/>
        </w:rPr>
        <w:t>), ini akan menyederhanakan rejimen pengobatan suportif secara drastis (Cascella et al., 2018).</w:t>
      </w:r>
    </w:p>
    <w:p w14:paraId="207BA150" w14:textId="7F4D9906" w:rsidR="00B258B7" w:rsidRPr="006810DB" w:rsidRDefault="00B258B7" w:rsidP="006810DB">
      <w:pPr>
        <w:pStyle w:val="ListParagraph"/>
        <w:numPr>
          <w:ilvl w:val="0"/>
          <w:numId w:val="96"/>
        </w:numPr>
        <w:spacing w:after="0" w:line="276" w:lineRule="auto"/>
        <w:ind w:left="567" w:hanging="283"/>
        <w:contextualSpacing w:val="0"/>
        <w:jc w:val="both"/>
        <w:rPr>
          <w:rFonts w:ascii="Book Antiqua" w:hAnsi="Book Antiqua"/>
          <w:b/>
          <w:bCs/>
          <w:sz w:val="20"/>
          <w:szCs w:val="20"/>
          <w:lang w:val="en"/>
        </w:rPr>
      </w:pPr>
      <w:bookmarkStart w:id="506" w:name="_7x008cahh3hs" w:colFirst="0" w:colLast="0"/>
      <w:bookmarkEnd w:id="506"/>
      <w:r w:rsidRPr="006810DB">
        <w:rPr>
          <w:rFonts w:ascii="Book Antiqua" w:hAnsi="Book Antiqua"/>
          <w:b/>
          <w:bCs/>
          <w:sz w:val="20"/>
          <w:szCs w:val="20"/>
          <w:lang w:val="en"/>
        </w:rPr>
        <w:t>Harapan bagi Kemandirian Bahan Baku Obat Nasional</w:t>
      </w:r>
    </w:p>
    <w:p w14:paraId="41E83615" w14:textId="77777777" w:rsidR="00B258B7" w:rsidRPr="006810DB" w:rsidRDefault="00B258B7" w:rsidP="006810DB">
      <w:pPr>
        <w:spacing w:after="0" w:line="276" w:lineRule="auto"/>
        <w:ind w:left="567" w:firstLine="567"/>
        <w:jc w:val="both"/>
        <w:rPr>
          <w:rFonts w:ascii="Book Antiqua" w:hAnsi="Book Antiqua"/>
          <w:sz w:val="20"/>
          <w:szCs w:val="20"/>
          <w:lang w:val="en"/>
        </w:rPr>
      </w:pPr>
      <w:r w:rsidRPr="006810DB">
        <w:rPr>
          <w:rFonts w:ascii="Book Antiqua" w:hAnsi="Book Antiqua"/>
          <w:sz w:val="20"/>
          <w:szCs w:val="20"/>
          <w:lang w:val="en"/>
        </w:rPr>
        <w:t xml:space="preserve">Terakhir, pengembangan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memiliki dimensi strategis bagi negara-negara berkembang yang kaya akan biodiversitas. Mengurangi ketergantungan pada impor bahan baku obat sintetik dengan memanfaatkan sumber daya alam lokal yang telah divalidasi secara ilmiah adalah langkah menuju ketahanan kesehatan nasional. </w:t>
      </w:r>
      <w:r w:rsidRPr="006810DB">
        <w:rPr>
          <w:rFonts w:ascii="Book Antiqua" w:hAnsi="Book Antiqua"/>
          <w:sz w:val="20"/>
          <w:szCs w:val="20"/>
          <w:highlight w:val="cyan"/>
          <w:lang w:val="en"/>
        </w:rPr>
        <w:t>Penelitian lanjutan harus mencakup studi agroteknologi untuk menghasilkan</w:t>
      </w:r>
      <w:r w:rsidRPr="006810DB">
        <w:rPr>
          <w:rFonts w:ascii="Book Antiqua" w:hAnsi="Book Antiqua"/>
          <w:sz w:val="20"/>
          <w:szCs w:val="20"/>
          <w:lang w:val="en"/>
        </w:rPr>
        <w:t xml:space="preserve"> varietas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unggul dengan kadar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tinggi, serta pengembangan teknologi ekstraksi hijau yang efisien. Ini adalah wujud nyata dari kemandirian bangsa dalam bidang farmasi.</w:t>
      </w:r>
    </w:p>
    <w:p w14:paraId="63119D13" w14:textId="77777777" w:rsidR="00CA71C5" w:rsidRPr="006810DB" w:rsidRDefault="00CA71C5" w:rsidP="006810DB">
      <w:pPr>
        <w:spacing w:after="0" w:line="276" w:lineRule="auto"/>
        <w:jc w:val="both"/>
        <w:rPr>
          <w:rFonts w:ascii="Book Antiqua" w:hAnsi="Book Antiqua"/>
          <w:b/>
          <w:bCs/>
          <w:sz w:val="20"/>
          <w:szCs w:val="20"/>
          <w:lang w:val="en"/>
        </w:rPr>
      </w:pPr>
      <w:bookmarkStart w:id="507" w:name="_xi435cbgzsuq" w:colFirst="0" w:colLast="0"/>
      <w:bookmarkEnd w:id="507"/>
    </w:p>
    <w:p w14:paraId="08BB0E19" w14:textId="77777777" w:rsidR="00AD1372" w:rsidRPr="006810DB" w:rsidRDefault="00AD1372"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046F8A11" w14:textId="7444A6AC" w:rsidR="00B258B7" w:rsidRPr="006810DB" w:rsidRDefault="00B258B7" w:rsidP="006810DB">
      <w:pPr>
        <w:pStyle w:val="Heading2"/>
        <w:jc w:val="center"/>
      </w:pPr>
      <w:bookmarkStart w:id="508" w:name="_Toc223089016"/>
      <w:r w:rsidRPr="006810DB">
        <w:lastRenderedPageBreak/>
        <w:t>KESIMPULAN</w:t>
      </w:r>
      <w:bookmarkEnd w:id="508"/>
    </w:p>
    <w:p w14:paraId="349B3071" w14:textId="77777777" w:rsidR="00CA71C5" w:rsidRPr="006810DB" w:rsidRDefault="00CA71C5" w:rsidP="006810DB">
      <w:pPr>
        <w:spacing w:after="0" w:line="276" w:lineRule="auto"/>
        <w:jc w:val="both"/>
        <w:rPr>
          <w:rFonts w:ascii="Book Antiqua" w:hAnsi="Book Antiqua"/>
          <w:sz w:val="20"/>
          <w:szCs w:val="20"/>
          <w:lang w:val="en"/>
        </w:rPr>
      </w:pPr>
    </w:p>
    <w:p w14:paraId="1E15412D" w14:textId="30654A1E" w:rsidR="00B258B7" w:rsidRPr="006810DB" w:rsidRDefault="00B258B7" w:rsidP="006810DB">
      <w:pPr>
        <w:spacing w:after="0" w:line="276" w:lineRule="auto"/>
        <w:ind w:firstLine="567"/>
        <w:jc w:val="both"/>
        <w:rPr>
          <w:rFonts w:ascii="Book Antiqua" w:hAnsi="Book Antiqua"/>
          <w:sz w:val="20"/>
          <w:szCs w:val="20"/>
          <w:lang w:val="en"/>
        </w:rPr>
      </w:pPr>
      <w:r w:rsidRPr="006810DB">
        <w:rPr>
          <w:rFonts w:ascii="Book Antiqua" w:hAnsi="Book Antiqua"/>
          <w:sz w:val="20"/>
          <w:szCs w:val="20"/>
          <w:lang w:val="en"/>
        </w:rPr>
        <w:t xml:space="preserve">Buku ini menyimpulkan bahwa </w:t>
      </w:r>
      <w:r w:rsidRPr="006810DB">
        <w:rPr>
          <w:rFonts w:ascii="Book Antiqua" w:hAnsi="Book Antiqua"/>
          <w:i/>
          <w:iCs/>
          <w:sz w:val="20"/>
          <w:szCs w:val="20"/>
          <w:lang w:val="en"/>
        </w:rPr>
        <w:t>Nigella sativa</w:t>
      </w:r>
      <w:r w:rsidRPr="006810DB">
        <w:rPr>
          <w:rFonts w:ascii="Book Antiqua" w:hAnsi="Book Antiqua"/>
          <w:sz w:val="20"/>
          <w:szCs w:val="20"/>
          <w:lang w:val="en"/>
        </w:rPr>
        <w:t xml:space="preserve">, melalui mekanisme penghambatan jalur </w:t>
      </w:r>
      <w:r w:rsidRPr="006810DB">
        <w:rPr>
          <w:rFonts w:ascii="Book Antiqua" w:hAnsi="Book Antiqua"/>
          <w:sz w:val="20"/>
          <w:szCs w:val="20"/>
          <w:highlight w:val="yellow"/>
          <w:lang w:val="en"/>
        </w:rPr>
        <w:t>NF-κ\kappaκ</w:t>
      </w:r>
      <w:r w:rsidR="00AD1372" w:rsidRPr="006810DB">
        <w:rPr>
          <w:rFonts w:ascii="Book Antiqua" w:hAnsi="Book Antiqua"/>
          <w:sz w:val="20"/>
          <w:szCs w:val="20"/>
          <w:highlight w:val="yellow"/>
          <w:lang w:val="en"/>
        </w:rPr>
        <w:t xml:space="preserve"> </w:t>
      </w:r>
      <w:r w:rsidRPr="006810DB">
        <w:rPr>
          <w:rFonts w:ascii="Book Antiqua" w:hAnsi="Book Antiqua"/>
          <w:sz w:val="20"/>
          <w:szCs w:val="20"/>
          <w:highlight w:val="yellow"/>
          <w:lang w:val="en"/>
        </w:rPr>
        <w:t>B</w:t>
      </w:r>
      <w:r w:rsidRPr="006810DB">
        <w:rPr>
          <w:rFonts w:ascii="Book Antiqua" w:hAnsi="Book Antiqua"/>
          <w:sz w:val="20"/>
          <w:szCs w:val="20"/>
          <w:lang w:val="en"/>
        </w:rPr>
        <w:t xml:space="preserve"> dan aktivitas antioksidan yang kuat, merupakan agen terapeutik yang valid dan potensial untuk pencegahan serta pengobatan mukositis oral akibat cisplatin. Efikasinya didukung oleh bukti berjenjang dari standarisasi kimia, studi molekuler, hingga validasi histopatologis in vivo. Integrasi herbal ini ke dalam praktik onkologi modern, didukung oleh edukasi tenaga kesehatan dan inovasi industri farmasi, menjanjikan peningkatan kualitas hidup pasien kanker yang signifikan. Riset masa depan harus berfokus pada uji klinis manusia dan pengembangan formulasi canggih untuk merealisasikan potensi penuh "biji yang diberkati" ini dalam pengobatan modern.</w:t>
      </w:r>
    </w:p>
    <w:p w14:paraId="07900CA0" w14:textId="77777777" w:rsidR="00CA71C5" w:rsidRPr="006810DB" w:rsidRDefault="00CA71C5" w:rsidP="006810DB">
      <w:pPr>
        <w:spacing w:line="276" w:lineRule="auto"/>
        <w:rPr>
          <w:rFonts w:ascii="Book Antiqua" w:hAnsi="Book Antiqua"/>
          <w:b/>
          <w:bCs/>
          <w:sz w:val="20"/>
          <w:szCs w:val="20"/>
          <w:lang w:val="en"/>
        </w:rPr>
      </w:pPr>
      <w:bookmarkStart w:id="509" w:name="_vbf4lrc9fnj3" w:colFirst="0" w:colLast="0"/>
      <w:bookmarkEnd w:id="509"/>
      <w:r w:rsidRPr="006810DB">
        <w:rPr>
          <w:rFonts w:ascii="Book Antiqua" w:hAnsi="Book Antiqua"/>
          <w:b/>
          <w:bCs/>
          <w:sz w:val="20"/>
          <w:szCs w:val="20"/>
          <w:lang w:val="en"/>
        </w:rPr>
        <w:br w:type="page"/>
      </w:r>
    </w:p>
    <w:p w14:paraId="1E6C5ACF" w14:textId="77777777" w:rsidR="00824155" w:rsidRPr="006810DB" w:rsidRDefault="00824155" w:rsidP="00824155">
      <w:pPr>
        <w:pStyle w:val="Heading2"/>
        <w:jc w:val="center"/>
      </w:pPr>
      <w:bookmarkStart w:id="510" w:name="_Toc223089017"/>
      <w:r w:rsidRPr="006810DB">
        <w:lastRenderedPageBreak/>
        <w:t>GLOSARIUM</w:t>
      </w:r>
      <w:bookmarkEnd w:id="510"/>
    </w:p>
    <w:p w14:paraId="3DE4826D" w14:textId="77777777" w:rsidR="00824155" w:rsidRPr="006810DB" w:rsidRDefault="00824155" w:rsidP="00824155">
      <w:pPr>
        <w:spacing w:after="0" w:line="276" w:lineRule="auto"/>
        <w:jc w:val="both"/>
        <w:rPr>
          <w:rFonts w:ascii="Book Antiqua" w:hAnsi="Book Antiqua"/>
          <w:b/>
          <w:bCs/>
          <w:sz w:val="20"/>
          <w:szCs w:val="20"/>
          <w:lang w:val="en"/>
        </w:rPr>
      </w:pPr>
    </w:p>
    <w:p w14:paraId="026C7787"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Fitofarmaka</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Sediaan obat bahan alam yang telah dibuktikan keamanan dan khasiatnya secara ilmiah dengan uji praklinik dan uji klinik, serta bahan baku dan produk jadinya telah distandarisasi.</w:t>
      </w:r>
    </w:p>
    <w:p w14:paraId="1632270D"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Hilirisasi</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Proses pengolahan bahan baku menjadi produk jadi yang memiliki nilai tambah lebih tinggi dan siap digunakan oleh konsumen akhir.</w:t>
      </w:r>
    </w:p>
    <w:p w14:paraId="1D10C943"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i/>
          <w:iCs/>
          <w:sz w:val="20"/>
          <w:szCs w:val="20"/>
          <w:lang w:val="en"/>
        </w:rPr>
        <w:t>Knowledge Gap</w:t>
      </w:r>
      <w:r w:rsidRPr="006810DB">
        <w:rPr>
          <w:rFonts w:ascii="Book Antiqua" w:hAnsi="Book Antiqua"/>
          <w:b/>
          <w:bCs/>
          <w:sz w:val="20"/>
          <w:szCs w:val="20"/>
          <w:lang w:val="en"/>
        </w:rPr>
        <w:t xml:space="preserve"> (Kesenjangan Pengetahuan)</w:t>
      </w:r>
      <w:r w:rsidRPr="006810DB">
        <w:rPr>
          <w:rFonts w:ascii="Book Antiqua" w:hAnsi="Book Antiqua"/>
          <w:sz w:val="20"/>
          <w:szCs w:val="20"/>
          <w:lang w:val="en"/>
        </w:rPr>
        <w:t>: Perbedaan antara apa yang diketahui berdasarkan bukti ilmiah terkini dan apa yang dipraktikkan atau dipahami oleh profesional di lapangan.</w:t>
      </w:r>
    </w:p>
    <w:p w14:paraId="2805C7EA"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Onkologi Integratif</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Pendekatan perawatan kanker yang menggabungkan terapi medis konvensional (kemoterapi, radiasi, bedah) dengan terapi komplementer berbasis bukti (seperti herbal, akupunktur) untuk menangani pasien secara holistik.</w:t>
      </w:r>
    </w:p>
    <w:p w14:paraId="00D314CF" w14:textId="77777777" w:rsidR="00824155" w:rsidRPr="006810DB" w:rsidRDefault="00824155" w:rsidP="00824155">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Pleiotropik</w:t>
      </w:r>
      <w:r w:rsidRPr="006810DB">
        <w:rPr>
          <w:rFonts w:ascii="Book Antiqua" w:hAnsi="Book Antiqua"/>
          <w:b/>
          <w:bCs/>
          <w:sz w:val="20"/>
          <w:szCs w:val="20"/>
          <w:lang w:val="en"/>
        </w:rPr>
        <w:tab/>
      </w:r>
      <w:r w:rsidRPr="006810DB">
        <w:rPr>
          <w:rFonts w:ascii="Book Antiqua" w:hAnsi="Book Antiqua"/>
          <w:sz w:val="20"/>
          <w:szCs w:val="20"/>
          <w:lang w:val="en"/>
        </w:rPr>
        <w:t xml:space="preserve">: </w:t>
      </w:r>
      <w:r w:rsidRPr="006810DB">
        <w:rPr>
          <w:rFonts w:ascii="Book Antiqua" w:hAnsi="Book Antiqua"/>
          <w:sz w:val="20"/>
          <w:szCs w:val="20"/>
          <w:lang w:val="en"/>
        </w:rPr>
        <w:tab/>
        <w:t>Kemampuan satu agen (seperti obat atau gen) untuk menghasilkan berbagai efek biologis yang berbeda pada sistem yang berbeda.</w:t>
      </w:r>
    </w:p>
    <w:p w14:paraId="3CD1F089" w14:textId="77777777" w:rsidR="00824155" w:rsidRPr="006810DB" w:rsidRDefault="00824155" w:rsidP="00824155">
      <w:pPr>
        <w:spacing w:line="276" w:lineRule="auto"/>
        <w:rPr>
          <w:rFonts w:ascii="Book Antiqua" w:hAnsi="Book Antiqua"/>
          <w:b/>
          <w:bCs/>
          <w:sz w:val="20"/>
          <w:szCs w:val="20"/>
          <w:lang w:val="en"/>
        </w:rPr>
      </w:pPr>
      <w:bookmarkStart w:id="511" w:name="_gabnssq3nqe8" w:colFirst="0" w:colLast="0"/>
      <w:bookmarkEnd w:id="511"/>
      <w:r w:rsidRPr="006810DB">
        <w:rPr>
          <w:rFonts w:ascii="Book Antiqua" w:hAnsi="Book Antiqua"/>
          <w:b/>
          <w:bCs/>
          <w:sz w:val="20"/>
          <w:szCs w:val="20"/>
          <w:lang w:val="en"/>
        </w:rPr>
        <w:br w:type="page"/>
      </w:r>
    </w:p>
    <w:p w14:paraId="5121386B" w14:textId="77777777" w:rsidR="00004DEE" w:rsidRPr="006810DB" w:rsidRDefault="00004DEE" w:rsidP="006810DB">
      <w:pPr>
        <w:pStyle w:val="Heading2"/>
        <w:jc w:val="center"/>
        <w:rPr>
          <w:rFonts w:eastAsia="DengXian"/>
          <w:lang w:eastAsia="zh-CN"/>
        </w:rPr>
      </w:pPr>
      <w:bookmarkStart w:id="512" w:name="_Toc223089018"/>
      <w:r w:rsidRPr="006810DB">
        <w:lastRenderedPageBreak/>
        <w:t>DAFTAR PUSTAKA</w:t>
      </w:r>
      <w:bookmarkEnd w:id="512"/>
    </w:p>
    <w:p w14:paraId="027E5311" w14:textId="77777777" w:rsidR="00004DEE" w:rsidRPr="006810DB" w:rsidRDefault="00004DEE" w:rsidP="006810DB">
      <w:pPr>
        <w:spacing w:after="0" w:line="276" w:lineRule="auto"/>
        <w:jc w:val="both"/>
        <w:rPr>
          <w:rFonts w:ascii="Book Antiqua" w:hAnsi="Book Antiqua"/>
          <w:b/>
          <w:bCs/>
          <w:sz w:val="20"/>
          <w:szCs w:val="20"/>
          <w:lang w:val="en"/>
        </w:rPr>
      </w:pPr>
    </w:p>
    <w:p w14:paraId="43455FC2"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Belfiore, E., Di Prima, G., Angellotti, G., Panzarella, V., &amp; De Caro, V. (2024). Plant-Derived Polyphenols to Prevent and Treat Oral Mucositis Induced by Chemo- and Radiotherapy in Head and Neck Cancers Management. </w:t>
      </w:r>
      <w:r w:rsidRPr="006810DB">
        <w:rPr>
          <w:rFonts w:ascii="Book Antiqua" w:hAnsi="Book Antiqua"/>
          <w:i/>
          <w:iCs/>
          <w:color w:val="000000" w:themeColor="text1"/>
          <w:sz w:val="20"/>
          <w:szCs w:val="20"/>
          <w:lang w:val="en"/>
        </w:rPr>
        <w:t>Cancers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16</w:t>
      </w:r>
      <w:r w:rsidRPr="006810DB">
        <w:rPr>
          <w:rFonts w:ascii="Book Antiqua" w:hAnsi="Book Antiqua"/>
          <w:color w:val="000000" w:themeColor="text1"/>
          <w:sz w:val="20"/>
          <w:szCs w:val="20"/>
          <w:lang w:val="en"/>
        </w:rPr>
        <w:t>(2), 260.</w:t>
      </w:r>
      <w:hyperlink r:id="rId373">
        <w:r w:rsidRPr="006810DB">
          <w:rPr>
            <w:rStyle w:val="Hyperlink"/>
            <w:rFonts w:ascii="Book Antiqua" w:hAnsi="Book Antiqua"/>
            <w:color w:val="000000" w:themeColor="text1"/>
            <w:sz w:val="20"/>
            <w:szCs w:val="20"/>
            <w:u w:val="none"/>
            <w:lang w:val="en"/>
          </w:rPr>
          <w:t xml:space="preserve"> </w:t>
        </w:r>
      </w:hyperlink>
      <w:hyperlink r:id="rId374">
        <w:r w:rsidRPr="006810DB">
          <w:rPr>
            <w:rStyle w:val="Hyperlink"/>
            <w:rFonts w:ascii="Book Antiqua" w:hAnsi="Book Antiqua"/>
            <w:color w:val="000000" w:themeColor="text1"/>
            <w:sz w:val="20"/>
            <w:szCs w:val="20"/>
            <w:u w:val="none"/>
            <w:lang w:val="en"/>
          </w:rPr>
          <w:t>https://doi.org/10.3390/cancers16020260</w:t>
        </w:r>
      </w:hyperlink>
    </w:p>
    <w:p w14:paraId="5777723D"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Cascella, M., Palma, G., Barbieri, A., Bimonte, S., Amruthraj, N. J., &amp; Muzio, M. R. (2018). Role of Nigella sativa and its constituent thymoquinone on chemotherapy-induced nephrotoxicity: Evidences from experimental animal studies. </w:t>
      </w:r>
      <w:r w:rsidRPr="006810DB">
        <w:rPr>
          <w:rFonts w:ascii="Book Antiqua" w:hAnsi="Book Antiqua"/>
          <w:i/>
          <w:iCs/>
          <w:color w:val="000000" w:themeColor="text1"/>
          <w:sz w:val="20"/>
          <w:szCs w:val="20"/>
          <w:lang w:val="en"/>
        </w:rPr>
        <w:t>Nutrients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9</w:t>
      </w:r>
      <w:r w:rsidRPr="006810DB">
        <w:rPr>
          <w:rFonts w:ascii="Book Antiqua" w:hAnsi="Book Antiqua"/>
          <w:color w:val="000000" w:themeColor="text1"/>
          <w:sz w:val="20"/>
          <w:szCs w:val="20"/>
          <w:lang w:val="en"/>
        </w:rPr>
        <w:t>(6), 625.</w:t>
      </w:r>
      <w:hyperlink r:id="rId375">
        <w:r w:rsidRPr="006810DB">
          <w:rPr>
            <w:rStyle w:val="Hyperlink"/>
            <w:rFonts w:ascii="Book Antiqua" w:hAnsi="Book Antiqua"/>
            <w:color w:val="000000" w:themeColor="text1"/>
            <w:sz w:val="20"/>
            <w:szCs w:val="20"/>
            <w:u w:val="none"/>
            <w:lang w:val="en"/>
          </w:rPr>
          <w:t xml:space="preserve"> </w:t>
        </w:r>
      </w:hyperlink>
      <w:hyperlink r:id="rId376">
        <w:r w:rsidRPr="006810DB">
          <w:rPr>
            <w:rStyle w:val="Hyperlink"/>
            <w:rFonts w:ascii="Book Antiqua" w:hAnsi="Book Antiqua"/>
            <w:color w:val="000000" w:themeColor="text1"/>
            <w:sz w:val="20"/>
            <w:szCs w:val="20"/>
            <w:u w:val="none"/>
            <w:lang w:val="en"/>
          </w:rPr>
          <w:t>https://doi.org/10.3390/nu9060625</w:t>
        </w:r>
      </w:hyperlink>
    </w:p>
    <w:p w14:paraId="1C667A0F"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Hannan, M. A., Sohag, A. A. M., Uddin, M. J., Dash, R., Sikder, M. H., Rahman, M. S., ... &amp; Kim, B. (2021). Black Cumin (Nigella sativa L.): A Comprehensive Review on Phytochemistry, Health Benefits, Molecular Pharmacology, and Safety. </w:t>
      </w:r>
      <w:r w:rsidRPr="006810DB">
        <w:rPr>
          <w:rFonts w:ascii="Book Antiqua" w:hAnsi="Book Antiqua"/>
          <w:i/>
          <w:iCs/>
          <w:color w:val="000000" w:themeColor="text1"/>
          <w:sz w:val="20"/>
          <w:szCs w:val="20"/>
          <w:lang w:val="en"/>
        </w:rPr>
        <w:t>Nutrients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13</w:t>
      </w:r>
      <w:r w:rsidRPr="006810DB">
        <w:rPr>
          <w:rFonts w:ascii="Book Antiqua" w:hAnsi="Book Antiqua"/>
          <w:color w:val="000000" w:themeColor="text1"/>
          <w:sz w:val="20"/>
          <w:szCs w:val="20"/>
          <w:lang w:val="en"/>
        </w:rPr>
        <w:t>(6), 1784.</w:t>
      </w:r>
      <w:hyperlink r:id="rId377">
        <w:r w:rsidRPr="006810DB">
          <w:rPr>
            <w:rStyle w:val="Hyperlink"/>
            <w:rFonts w:ascii="Book Antiqua" w:hAnsi="Book Antiqua"/>
            <w:color w:val="000000" w:themeColor="text1"/>
            <w:sz w:val="20"/>
            <w:szCs w:val="20"/>
            <w:u w:val="none"/>
            <w:lang w:val="en"/>
          </w:rPr>
          <w:t xml:space="preserve"> </w:t>
        </w:r>
      </w:hyperlink>
      <w:hyperlink r:id="rId378">
        <w:r w:rsidRPr="006810DB">
          <w:rPr>
            <w:rStyle w:val="Hyperlink"/>
            <w:rFonts w:ascii="Book Antiqua" w:hAnsi="Book Antiqua"/>
            <w:color w:val="000000" w:themeColor="text1"/>
            <w:sz w:val="20"/>
            <w:szCs w:val="20"/>
            <w:u w:val="none"/>
            <w:lang w:val="en"/>
          </w:rPr>
          <w:t>https://doi.org/10.3390/nu13061784</w:t>
        </w:r>
      </w:hyperlink>
    </w:p>
    <w:p w14:paraId="22655A82"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Kadarullah, O., Tamtomo, D., Wasita, B., Setiamika, M., Prayitno, A., Widyaningsih, V., &amp; Soetrisno, S. (2024). Cisplatin-Induced Oral Mucositis Prevention: Nigella sativa’s Anti-Inflammatory Role through NFκB Pathway. </w:t>
      </w:r>
      <w:r w:rsidRPr="006810DB">
        <w:rPr>
          <w:rFonts w:ascii="Book Antiqua" w:hAnsi="Book Antiqua"/>
          <w:i/>
          <w:iCs/>
          <w:color w:val="000000" w:themeColor="text1"/>
          <w:sz w:val="20"/>
          <w:szCs w:val="20"/>
          <w:lang w:val="en"/>
        </w:rPr>
        <w:t>Trends in Sciences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21</w:t>
      </w:r>
      <w:r w:rsidRPr="006810DB">
        <w:rPr>
          <w:rFonts w:ascii="Book Antiqua" w:hAnsi="Book Antiqua"/>
          <w:color w:val="000000" w:themeColor="text1"/>
          <w:sz w:val="20"/>
          <w:szCs w:val="20"/>
          <w:lang w:val="en"/>
        </w:rPr>
        <w:t>(1), 8105.</w:t>
      </w:r>
      <w:hyperlink r:id="rId379">
        <w:r w:rsidRPr="006810DB">
          <w:rPr>
            <w:rStyle w:val="Hyperlink"/>
            <w:rFonts w:ascii="Book Antiqua" w:hAnsi="Book Antiqua"/>
            <w:color w:val="000000" w:themeColor="text1"/>
            <w:sz w:val="20"/>
            <w:szCs w:val="20"/>
            <w:u w:val="none"/>
            <w:lang w:val="en"/>
          </w:rPr>
          <w:t xml:space="preserve"> </w:t>
        </w:r>
      </w:hyperlink>
      <w:hyperlink r:id="rId380">
        <w:r w:rsidRPr="006810DB">
          <w:rPr>
            <w:rStyle w:val="Hyperlink"/>
            <w:rFonts w:ascii="Book Antiqua" w:hAnsi="Book Antiqua"/>
            <w:color w:val="000000" w:themeColor="text1"/>
            <w:sz w:val="20"/>
            <w:szCs w:val="20"/>
            <w:u w:val="none"/>
            <w:lang w:val="en"/>
          </w:rPr>
          <w:t>https://doi.org/10.48048/tis.2024.8105</w:t>
        </w:r>
      </w:hyperlink>
    </w:p>
    <w:p w14:paraId="254DE487"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Kazemi, S., Moghadamnia, A., Saebnouri, H., Roudsari, S., &amp; Afraz, E. (2022). Effect of intraperitoneal injection of Nigella sativa oil on 5-fluorouracil-induced oral mucositis in rats. </w:t>
      </w:r>
      <w:r w:rsidRPr="006810DB">
        <w:rPr>
          <w:rFonts w:ascii="Book Antiqua" w:hAnsi="Book Antiqua"/>
          <w:i/>
          <w:iCs/>
          <w:color w:val="000000" w:themeColor="text1"/>
          <w:sz w:val="20"/>
          <w:szCs w:val="20"/>
          <w:lang w:val="en"/>
        </w:rPr>
        <w:t>Journal of Biological Studies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w:t>
      </w:r>
      <w:r w:rsidRPr="006810DB">
        <w:rPr>
          <w:rFonts w:ascii="Book Antiqua" w:hAnsi="Book Antiqua"/>
          <w:color w:val="000000" w:themeColor="text1"/>
          <w:sz w:val="20"/>
          <w:szCs w:val="20"/>
          <w:lang w:val="en"/>
        </w:rPr>
        <w:t>(1), 6365.</w:t>
      </w:r>
      <w:hyperlink r:id="rId381">
        <w:r w:rsidRPr="006810DB">
          <w:rPr>
            <w:rStyle w:val="Hyperlink"/>
            <w:rFonts w:ascii="Book Antiqua" w:hAnsi="Book Antiqua"/>
            <w:color w:val="000000" w:themeColor="text1"/>
            <w:sz w:val="20"/>
            <w:szCs w:val="20"/>
            <w:u w:val="none"/>
            <w:lang w:val="en"/>
          </w:rPr>
          <w:t xml:space="preserve"> </w:t>
        </w:r>
      </w:hyperlink>
      <w:hyperlink r:id="rId382">
        <w:r w:rsidRPr="006810DB">
          <w:rPr>
            <w:rStyle w:val="Hyperlink"/>
            <w:rFonts w:ascii="Book Antiqua" w:hAnsi="Book Antiqua"/>
            <w:color w:val="000000" w:themeColor="text1"/>
            <w:sz w:val="20"/>
            <w:szCs w:val="20"/>
            <w:u w:val="none"/>
            <w:lang w:val="en"/>
          </w:rPr>
          <w:t>https://doi.org/10.62400/jbs.v5i1.6365</w:t>
        </w:r>
      </w:hyperlink>
    </w:p>
    <w:p w14:paraId="3844C478"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Madani, F., Kazemi, S., Shirafkan, F., Lotfi, M., Hosseini, S., &amp; Moghadamnia, A. (2023). Thymoquinone protects against 5</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Fluorouracil</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induced mucositis by NF</w:t>
      </w:r>
      <w:r w:rsidRPr="006810DB">
        <w:rPr>
          <w:rFonts w:ascii="Times New Roman" w:hAnsi="Times New Roman" w:cs="Times New Roman"/>
          <w:color w:val="000000" w:themeColor="text1"/>
          <w:sz w:val="20"/>
          <w:szCs w:val="20"/>
          <w:lang w:val="en"/>
        </w:rPr>
        <w:t>‐</w:t>
      </w:r>
      <w:r w:rsidRPr="006810DB">
        <w:rPr>
          <w:rFonts w:ascii="Book Antiqua" w:hAnsi="Book Antiqua" w:cs="Book Antiqua"/>
          <w:color w:val="000000" w:themeColor="text1"/>
          <w:sz w:val="20"/>
          <w:szCs w:val="20"/>
          <w:lang w:val="en"/>
        </w:rPr>
        <w:t>κβ</w:t>
      </w:r>
      <w:r w:rsidRPr="006810DB">
        <w:rPr>
          <w:rFonts w:ascii="Book Antiqua" w:hAnsi="Book Antiqua"/>
          <w:color w:val="000000" w:themeColor="text1"/>
          <w:sz w:val="20"/>
          <w:szCs w:val="20"/>
          <w:lang w:val="en"/>
        </w:rPr>
        <w:t xml:space="preserve"> and HIF</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 xml:space="preserve">1 mechanisms in mice. </w:t>
      </w:r>
      <w:r w:rsidRPr="006810DB">
        <w:rPr>
          <w:rFonts w:ascii="Book Antiqua" w:hAnsi="Book Antiqua"/>
          <w:i/>
          <w:iCs/>
          <w:color w:val="000000" w:themeColor="text1"/>
          <w:sz w:val="20"/>
          <w:szCs w:val="20"/>
          <w:lang w:val="en"/>
        </w:rPr>
        <w:t>Journal of Biochemical and Molecular Toxicology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37</w:t>
      </w:r>
      <w:r w:rsidRPr="006810DB">
        <w:rPr>
          <w:rFonts w:ascii="Book Antiqua" w:hAnsi="Book Antiqua"/>
          <w:color w:val="000000" w:themeColor="text1"/>
          <w:sz w:val="20"/>
          <w:szCs w:val="20"/>
          <w:lang w:val="en"/>
        </w:rPr>
        <w:t>(6), e23405.</w:t>
      </w:r>
      <w:hyperlink r:id="rId383">
        <w:r w:rsidRPr="006810DB">
          <w:rPr>
            <w:rStyle w:val="Hyperlink"/>
            <w:rFonts w:ascii="Book Antiqua" w:hAnsi="Book Antiqua"/>
            <w:color w:val="000000" w:themeColor="text1"/>
            <w:sz w:val="20"/>
            <w:szCs w:val="20"/>
            <w:u w:val="none"/>
            <w:lang w:val="en"/>
          </w:rPr>
          <w:t xml:space="preserve"> </w:t>
        </w:r>
      </w:hyperlink>
      <w:hyperlink r:id="rId384">
        <w:r w:rsidRPr="006810DB">
          <w:rPr>
            <w:rStyle w:val="Hyperlink"/>
            <w:rFonts w:ascii="Book Antiqua" w:hAnsi="Book Antiqua"/>
            <w:color w:val="000000" w:themeColor="text1"/>
            <w:sz w:val="20"/>
            <w:szCs w:val="20"/>
            <w:u w:val="none"/>
            <w:lang w:val="en"/>
          </w:rPr>
          <w:t>https://doi.org/10.1002/jbt.23405</w:t>
        </w:r>
      </w:hyperlink>
    </w:p>
    <w:p w14:paraId="4131F6A0" w14:textId="77777777" w:rsidR="00004DEE" w:rsidRPr="006810DB" w:rsidRDefault="00004DEE" w:rsidP="006810DB">
      <w:pPr>
        <w:spacing w:line="276" w:lineRule="auto"/>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br w:type="page"/>
      </w:r>
    </w:p>
    <w:p w14:paraId="34CF3975"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Salcan, I., Dilber, M., Suleyman, Z., Yucel, N., Salcan, S., Kesan, S., Yazici, G., Çelik, F., Koseturk, M., Alp, N., &amp; Suleyman, H. (2025). Protective effect of adenosine triphosphate against cisplatin-induced necrotic and degenerative oral mucositis in rats. </w:t>
      </w:r>
      <w:r w:rsidRPr="006810DB">
        <w:rPr>
          <w:rFonts w:ascii="Book Antiqua" w:hAnsi="Book Antiqua"/>
          <w:i/>
          <w:iCs/>
          <w:color w:val="000000" w:themeColor="text1"/>
          <w:sz w:val="20"/>
          <w:szCs w:val="20"/>
          <w:lang w:val="en"/>
        </w:rPr>
        <w:t>Journal of Applied Oral Science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33</w:t>
      </w:r>
      <w:r w:rsidRPr="006810DB">
        <w:rPr>
          <w:rFonts w:ascii="Book Antiqua" w:hAnsi="Book Antiqua"/>
          <w:color w:val="000000" w:themeColor="text1"/>
          <w:sz w:val="20"/>
          <w:szCs w:val="20"/>
          <w:lang w:val="en"/>
        </w:rPr>
        <w:t>, e20240366.</w:t>
      </w:r>
      <w:hyperlink r:id="rId385">
        <w:r w:rsidRPr="006810DB">
          <w:rPr>
            <w:rStyle w:val="Hyperlink"/>
            <w:rFonts w:ascii="Book Antiqua" w:hAnsi="Book Antiqua"/>
            <w:color w:val="000000" w:themeColor="text1"/>
            <w:sz w:val="20"/>
            <w:szCs w:val="20"/>
            <w:u w:val="none"/>
            <w:lang w:val="en"/>
          </w:rPr>
          <w:t xml:space="preserve"> </w:t>
        </w:r>
      </w:hyperlink>
      <w:hyperlink r:id="rId386">
        <w:r w:rsidRPr="006810DB">
          <w:rPr>
            <w:rStyle w:val="Hyperlink"/>
            <w:rFonts w:ascii="Book Antiqua" w:hAnsi="Book Antiqua"/>
            <w:color w:val="000000" w:themeColor="text1"/>
            <w:sz w:val="20"/>
            <w:szCs w:val="20"/>
            <w:u w:val="none"/>
            <w:lang w:val="en"/>
          </w:rPr>
          <w:t>https://doi.org/10.1590/1678-7757-2025-0007</w:t>
        </w:r>
      </w:hyperlink>
    </w:p>
    <w:p w14:paraId="0CDC1579" w14:textId="77777777" w:rsidR="00004DEE" w:rsidRPr="006810DB" w:rsidRDefault="00004DEE"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Sobhannizadeh, A., Giglou, M. F., Behnamian, M., Estaji, A., Majdi, M., &amp; Szumny, A. (2025). The effect of plant growth regulators, FeO3-CTs nanoparticles and LEDs light on the growth and biochemical compounds of black seed (Nigella sativa L.) callus in vitro. </w:t>
      </w:r>
      <w:r w:rsidRPr="006810DB">
        <w:rPr>
          <w:rFonts w:ascii="Book Antiqua" w:hAnsi="Book Antiqua"/>
          <w:i/>
          <w:iCs/>
          <w:color w:val="000000" w:themeColor="text1"/>
          <w:sz w:val="20"/>
          <w:szCs w:val="20"/>
          <w:lang w:val="en"/>
        </w:rPr>
        <w:t>BMC Plant Biology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25</w:t>
      </w:r>
      <w:r w:rsidRPr="006810DB">
        <w:rPr>
          <w:rFonts w:ascii="Book Antiqua" w:hAnsi="Book Antiqua"/>
          <w:color w:val="000000" w:themeColor="text1"/>
          <w:sz w:val="20"/>
          <w:szCs w:val="20"/>
          <w:lang w:val="en"/>
        </w:rPr>
        <w:t>(1), 263.</w:t>
      </w:r>
      <w:hyperlink r:id="rId387">
        <w:r w:rsidRPr="006810DB">
          <w:rPr>
            <w:rStyle w:val="Hyperlink"/>
            <w:rFonts w:ascii="Book Antiqua" w:hAnsi="Book Antiqua"/>
            <w:color w:val="000000" w:themeColor="text1"/>
            <w:sz w:val="20"/>
            <w:szCs w:val="20"/>
            <w:u w:val="none"/>
            <w:lang w:val="en"/>
          </w:rPr>
          <w:t xml:space="preserve"> </w:t>
        </w:r>
      </w:hyperlink>
      <w:hyperlink r:id="rId388">
        <w:r w:rsidRPr="006810DB">
          <w:rPr>
            <w:rStyle w:val="Hyperlink"/>
            <w:rFonts w:ascii="Book Antiqua" w:hAnsi="Book Antiqua"/>
            <w:color w:val="000000" w:themeColor="text1"/>
            <w:sz w:val="20"/>
            <w:szCs w:val="20"/>
            <w:u w:val="none"/>
            <w:lang w:val="en"/>
          </w:rPr>
          <w:t>https://doi.org/10.1186/s12870-025-06423-y</w:t>
        </w:r>
      </w:hyperlink>
    </w:p>
    <w:p w14:paraId="72307FDF" w14:textId="77777777" w:rsidR="00004DEE" w:rsidRPr="006810DB" w:rsidRDefault="00004DEE" w:rsidP="006810DB">
      <w:pPr>
        <w:spacing w:after="120" w:line="276" w:lineRule="auto"/>
        <w:ind w:left="567" w:hanging="567"/>
        <w:jc w:val="both"/>
        <w:rPr>
          <w:rFonts w:ascii="Book Antiqua" w:hAnsi="Book Antiqua"/>
          <w:sz w:val="20"/>
          <w:szCs w:val="20"/>
          <w:lang w:val="en"/>
        </w:rPr>
      </w:pPr>
      <w:r w:rsidRPr="006810DB">
        <w:rPr>
          <w:rFonts w:ascii="Book Antiqua" w:hAnsi="Book Antiqua"/>
          <w:color w:val="000000" w:themeColor="text1"/>
          <w:sz w:val="20"/>
          <w:szCs w:val="20"/>
          <w:lang w:val="en"/>
        </w:rPr>
        <w:t xml:space="preserve">Yimer, E. M., Tuem, K. B., Karim, A., Ur-Rehman, N., &amp; Anwar, F. (2019). Nigella sativa L. (black cumin): a promising natural remedy for wide range of illnesses. </w:t>
      </w:r>
      <w:r w:rsidRPr="006810DB">
        <w:rPr>
          <w:rFonts w:ascii="Book Antiqua" w:hAnsi="Book Antiqua"/>
          <w:i/>
          <w:iCs/>
          <w:color w:val="000000" w:themeColor="text1"/>
          <w:sz w:val="20"/>
          <w:szCs w:val="20"/>
          <w:lang w:val="en"/>
        </w:rPr>
        <w:t>Evidence-Based Complementary and Alternative Medicine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2019</w:t>
      </w:r>
      <w:r w:rsidRPr="006810DB">
        <w:rPr>
          <w:rFonts w:ascii="Book Antiqua" w:hAnsi="Book Antiqua"/>
          <w:color w:val="000000" w:themeColor="text1"/>
          <w:sz w:val="20"/>
          <w:szCs w:val="20"/>
          <w:lang w:val="en"/>
        </w:rPr>
        <w:t>, 1528635.</w:t>
      </w:r>
      <w:hyperlink r:id="rId389">
        <w:r w:rsidRPr="006810DB">
          <w:rPr>
            <w:rStyle w:val="Hyperlink"/>
            <w:rFonts w:ascii="Book Antiqua" w:hAnsi="Book Antiqua"/>
            <w:color w:val="000000" w:themeColor="text1"/>
            <w:sz w:val="20"/>
            <w:szCs w:val="20"/>
            <w:u w:val="none"/>
            <w:lang w:val="en"/>
          </w:rPr>
          <w:t xml:space="preserve"> </w:t>
        </w:r>
      </w:hyperlink>
      <w:hyperlink r:id="rId390">
        <w:r w:rsidRPr="006810DB">
          <w:rPr>
            <w:rStyle w:val="Hyperlink"/>
            <w:rFonts w:ascii="Book Antiqua" w:hAnsi="Book Antiqua"/>
            <w:color w:val="000000" w:themeColor="text1"/>
            <w:sz w:val="20"/>
            <w:szCs w:val="20"/>
            <w:u w:val="none"/>
            <w:lang w:val="en"/>
          </w:rPr>
          <w:t>https://doi.org/10.1155/2019/1528635</w:t>
        </w:r>
      </w:hyperlink>
    </w:p>
    <w:p w14:paraId="49A681B3" w14:textId="77777777" w:rsidR="00004DEE" w:rsidRPr="006810DB" w:rsidRDefault="00004DEE" w:rsidP="006810DB">
      <w:pPr>
        <w:spacing w:line="276" w:lineRule="auto"/>
        <w:rPr>
          <w:rFonts w:ascii="Book Antiqua" w:hAnsi="Book Antiqua"/>
          <w:b/>
          <w:bCs/>
          <w:sz w:val="20"/>
          <w:szCs w:val="20"/>
          <w:lang w:val="en"/>
        </w:rPr>
      </w:pPr>
      <w:bookmarkStart w:id="513" w:name="_wxv44fi7aknu" w:colFirst="0" w:colLast="0"/>
      <w:bookmarkEnd w:id="513"/>
      <w:r w:rsidRPr="006810DB">
        <w:rPr>
          <w:rFonts w:ascii="Book Antiqua" w:hAnsi="Book Antiqua"/>
          <w:b/>
          <w:bCs/>
          <w:sz w:val="20"/>
          <w:szCs w:val="20"/>
          <w:lang w:val="en"/>
        </w:rPr>
        <w:br w:type="page"/>
      </w:r>
    </w:p>
    <w:p w14:paraId="0BB1A7FB" w14:textId="77777777" w:rsidR="009B5356" w:rsidRPr="006810DB" w:rsidRDefault="009B5356" w:rsidP="006810DB">
      <w:pPr>
        <w:pStyle w:val="Heading1"/>
        <w:spacing w:before="0" w:line="276" w:lineRule="auto"/>
        <w:jc w:val="center"/>
        <w:rPr>
          <w:rFonts w:eastAsia="DengXian"/>
          <w:b/>
          <w:bCs/>
          <w:lang w:eastAsia="zh-CN"/>
        </w:rPr>
      </w:pPr>
      <w:bookmarkStart w:id="514" w:name="_Toc223089019"/>
      <w:r w:rsidRPr="006810DB">
        <w:rPr>
          <w:b/>
          <w:bCs/>
        </w:rPr>
        <w:lastRenderedPageBreak/>
        <w:t>DAFTAR PUSTAKA</w:t>
      </w:r>
      <w:bookmarkEnd w:id="514"/>
    </w:p>
    <w:p w14:paraId="39861031" w14:textId="77777777" w:rsidR="009B5356" w:rsidRPr="006810DB" w:rsidRDefault="009B5356" w:rsidP="006810DB">
      <w:pPr>
        <w:spacing w:after="0" w:line="276" w:lineRule="auto"/>
        <w:jc w:val="both"/>
        <w:rPr>
          <w:rFonts w:ascii="Book Antiqua" w:hAnsi="Book Antiqua"/>
          <w:sz w:val="20"/>
          <w:szCs w:val="20"/>
          <w:lang w:val="en"/>
        </w:rPr>
      </w:pPr>
    </w:p>
    <w:p w14:paraId="6727F0A1"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Ahmad, A., Husain, A., Mujeeb, M., Khan, S. A., Najmi, A. K., Siddique, N. A., ... &amp; Anwar, F. (2013). A review on therapeutic potential of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A miracle herb. </w:t>
      </w:r>
      <w:r w:rsidRPr="006810DB">
        <w:rPr>
          <w:rFonts w:ascii="Book Antiqua" w:hAnsi="Book Antiqua"/>
          <w:i/>
          <w:iCs/>
          <w:color w:val="000000" w:themeColor="text1"/>
          <w:sz w:val="20"/>
          <w:szCs w:val="20"/>
          <w:lang w:val="en"/>
        </w:rPr>
        <w:t>Asian Pacific Journal of Tropical Biomedicine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w:t>
      </w:r>
      <w:r w:rsidRPr="006810DB">
        <w:rPr>
          <w:rFonts w:ascii="Book Antiqua" w:hAnsi="Book Antiqua"/>
          <w:color w:val="000000" w:themeColor="text1"/>
          <w:sz w:val="20"/>
          <w:szCs w:val="20"/>
          <w:lang w:val="en"/>
        </w:rPr>
        <w:t>(5), 337-352.</w:t>
      </w:r>
      <w:hyperlink r:id="rId391">
        <w:r w:rsidRPr="006810DB">
          <w:rPr>
            <w:rStyle w:val="Hyperlink"/>
            <w:rFonts w:ascii="Book Antiqua" w:hAnsi="Book Antiqua"/>
            <w:color w:val="000000" w:themeColor="text1"/>
            <w:sz w:val="20"/>
            <w:szCs w:val="20"/>
            <w:u w:val="none"/>
            <w:lang w:val="en"/>
          </w:rPr>
          <w:t xml:space="preserve"> </w:t>
        </w:r>
      </w:hyperlink>
      <w:hyperlink r:id="rId392">
        <w:r w:rsidRPr="006810DB">
          <w:rPr>
            <w:rStyle w:val="Hyperlink"/>
            <w:rFonts w:ascii="Book Antiqua" w:hAnsi="Book Antiqua"/>
            <w:color w:val="000000" w:themeColor="text1"/>
            <w:sz w:val="20"/>
            <w:szCs w:val="20"/>
            <w:u w:val="none"/>
            <w:lang w:val="en"/>
          </w:rPr>
          <w:t>https://doi.org/10.1016/S2221-1691(13)60075-1</w:t>
        </w:r>
      </w:hyperlink>
    </w:p>
    <w:p w14:paraId="02473F9C"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Al-Bukhari, M. I. (n.d.). </w:t>
      </w:r>
      <w:r w:rsidRPr="006810DB">
        <w:rPr>
          <w:rFonts w:ascii="Book Antiqua" w:hAnsi="Book Antiqua"/>
          <w:i/>
          <w:iCs/>
          <w:color w:val="000000" w:themeColor="text1"/>
          <w:sz w:val="20"/>
          <w:szCs w:val="20"/>
          <w:lang w:val="en"/>
        </w:rPr>
        <w:t>Sahih al-Bukhari</w:t>
      </w:r>
      <w:r w:rsidRPr="006810DB">
        <w:rPr>
          <w:rFonts w:ascii="Book Antiqua" w:hAnsi="Book Antiqua"/>
          <w:color w:val="000000" w:themeColor="text1"/>
          <w:sz w:val="20"/>
          <w:szCs w:val="20"/>
          <w:lang w:val="en"/>
        </w:rPr>
        <w:t>. (Vol. 7, Book 71, Hadith 592).</w:t>
      </w:r>
    </w:p>
    <w:p w14:paraId="02600577"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Al-Dasooqi, N., Sonis, S. T., Bowen, J. M., Bateman, E., Biers, K., Gibson, R. J., ... &amp; Keefe, D. M. (2013). The role of inflammation in the pathogenesis of oral mucositis. </w:t>
      </w:r>
      <w:r w:rsidRPr="006810DB">
        <w:rPr>
          <w:rFonts w:ascii="Book Antiqua" w:hAnsi="Book Antiqua"/>
          <w:i/>
          <w:iCs/>
          <w:color w:val="000000" w:themeColor="text1"/>
          <w:sz w:val="20"/>
          <w:szCs w:val="20"/>
          <w:lang w:val="en"/>
        </w:rPr>
        <w:t>Supportive Care in 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21</w:t>
      </w:r>
      <w:r w:rsidRPr="006810DB">
        <w:rPr>
          <w:rFonts w:ascii="Book Antiqua" w:hAnsi="Book Antiqua"/>
          <w:color w:val="000000" w:themeColor="text1"/>
          <w:sz w:val="20"/>
          <w:szCs w:val="20"/>
          <w:lang w:val="en"/>
        </w:rPr>
        <w:t>(11), 3191-3200.</w:t>
      </w:r>
      <w:hyperlink r:id="rId393">
        <w:r w:rsidRPr="006810DB">
          <w:rPr>
            <w:rStyle w:val="Hyperlink"/>
            <w:rFonts w:ascii="Book Antiqua" w:hAnsi="Book Antiqua"/>
            <w:color w:val="000000" w:themeColor="text1"/>
            <w:sz w:val="20"/>
            <w:szCs w:val="20"/>
            <w:u w:val="none"/>
            <w:lang w:val="en"/>
          </w:rPr>
          <w:t xml:space="preserve"> </w:t>
        </w:r>
      </w:hyperlink>
      <w:hyperlink r:id="rId394">
        <w:r w:rsidRPr="006810DB">
          <w:rPr>
            <w:rStyle w:val="Hyperlink"/>
            <w:rFonts w:ascii="Book Antiqua" w:hAnsi="Book Antiqua"/>
            <w:color w:val="000000" w:themeColor="text1"/>
            <w:sz w:val="20"/>
            <w:szCs w:val="20"/>
            <w:u w:val="none"/>
            <w:lang w:val="en"/>
          </w:rPr>
          <w:t>https://doi.org/10.1007/s00520-013-1921-2</w:t>
        </w:r>
      </w:hyperlink>
    </w:p>
    <w:p w14:paraId="38BE45C7"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Al-Jassir, M. S. (2011). Chemical composition and characterization of the fixed and volatile oils of black cumin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seeds. </w:t>
      </w:r>
      <w:r w:rsidRPr="006810DB">
        <w:rPr>
          <w:rFonts w:ascii="Book Antiqua" w:hAnsi="Book Antiqua"/>
          <w:i/>
          <w:iCs/>
          <w:color w:val="000000" w:themeColor="text1"/>
          <w:sz w:val="20"/>
          <w:szCs w:val="20"/>
          <w:lang w:val="en"/>
        </w:rPr>
        <w:t>Journal of the American Oil Chemists' Society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88</w:t>
      </w:r>
      <w:r w:rsidRPr="006810DB">
        <w:rPr>
          <w:rFonts w:ascii="Book Antiqua" w:hAnsi="Book Antiqua"/>
          <w:color w:val="000000" w:themeColor="text1"/>
          <w:sz w:val="20"/>
          <w:szCs w:val="20"/>
          <w:lang w:val="en"/>
        </w:rPr>
        <w:t>(8), 1177–1184.</w:t>
      </w:r>
    </w:p>
    <w:p w14:paraId="7687BFD2"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Al-Malki, A. L., &amp; Moselhy, S. S. (2011). The protective effect of epicatchin against oxidative stress and nephrotoxicity in rats induced by cisplatin. </w:t>
      </w:r>
      <w:r w:rsidRPr="006810DB">
        <w:rPr>
          <w:rFonts w:ascii="Book Antiqua" w:hAnsi="Book Antiqua"/>
          <w:i/>
          <w:iCs/>
          <w:color w:val="000000" w:themeColor="text1"/>
          <w:sz w:val="20"/>
          <w:szCs w:val="20"/>
          <w:lang w:val="en"/>
        </w:rPr>
        <w:t>Human &amp; Experimental Toxicology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30</w:t>
      </w:r>
      <w:r w:rsidRPr="006810DB">
        <w:rPr>
          <w:rFonts w:ascii="Book Antiqua" w:hAnsi="Book Antiqua"/>
          <w:color w:val="000000" w:themeColor="text1"/>
          <w:sz w:val="20"/>
          <w:szCs w:val="20"/>
          <w:lang w:val="en"/>
        </w:rPr>
        <w:t>(10), 1453–1459.</w:t>
      </w:r>
      <w:hyperlink r:id="rId395">
        <w:r w:rsidRPr="006810DB">
          <w:rPr>
            <w:rStyle w:val="Hyperlink"/>
            <w:rFonts w:ascii="Book Antiqua" w:hAnsi="Book Antiqua"/>
            <w:color w:val="000000" w:themeColor="text1"/>
            <w:sz w:val="20"/>
            <w:szCs w:val="20"/>
            <w:u w:val="none"/>
            <w:lang w:val="en"/>
          </w:rPr>
          <w:t xml:space="preserve"> </w:t>
        </w:r>
      </w:hyperlink>
      <w:hyperlink r:id="rId396">
        <w:r w:rsidRPr="006810DB">
          <w:rPr>
            <w:rStyle w:val="Hyperlink"/>
            <w:rFonts w:ascii="Book Antiqua" w:hAnsi="Book Antiqua"/>
            <w:color w:val="000000" w:themeColor="text1"/>
            <w:sz w:val="20"/>
            <w:szCs w:val="20"/>
            <w:u w:val="none"/>
            <w:lang w:val="en"/>
          </w:rPr>
          <w:t>https://doi.org/10.1177/0960327110392095</w:t>
        </w:r>
      </w:hyperlink>
    </w:p>
    <w:p w14:paraId="50D6E05C"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Al-Saleh, I. A., Billedo, G., &amp; El-Doush, I. I. (2006). Levels of selenium, DL-alpha-tocopherol, DL-gamma-tocopherol, all-trans-retinol, thymoquinone and thymol in different brands of Nigella sativa seeds. </w:t>
      </w:r>
      <w:r w:rsidRPr="006810DB">
        <w:rPr>
          <w:rFonts w:ascii="Book Antiqua" w:hAnsi="Book Antiqua"/>
          <w:i/>
          <w:iCs/>
          <w:color w:val="000000" w:themeColor="text1"/>
          <w:sz w:val="20"/>
          <w:szCs w:val="20"/>
          <w:lang w:val="en"/>
        </w:rPr>
        <w:t>Journal of Food Composition and Analysis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19</w:t>
      </w:r>
      <w:r w:rsidRPr="006810DB">
        <w:rPr>
          <w:rFonts w:ascii="Book Antiqua" w:hAnsi="Book Antiqua"/>
          <w:color w:val="000000" w:themeColor="text1"/>
          <w:sz w:val="20"/>
          <w:szCs w:val="20"/>
          <w:lang w:val="en"/>
        </w:rPr>
        <w:t>(2-3), 167-175.</w:t>
      </w:r>
    </w:p>
    <w:p w14:paraId="5E6A1A0A"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Amin, B., &amp; Hosseinzadeh, H. (2016). Black Cumin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and its active constituent, thymoquinone: an overview on the analgesic and anti-inflammatory effects. </w:t>
      </w:r>
      <w:r w:rsidRPr="006810DB">
        <w:rPr>
          <w:rFonts w:ascii="Book Antiqua" w:hAnsi="Book Antiqua"/>
          <w:i/>
          <w:iCs/>
          <w:color w:val="000000" w:themeColor="text1"/>
          <w:sz w:val="20"/>
          <w:szCs w:val="20"/>
          <w:lang w:val="en"/>
        </w:rPr>
        <w:t>Planta Medica</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82</w:t>
      </w:r>
      <w:r w:rsidRPr="006810DB">
        <w:rPr>
          <w:rFonts w:ascii="Book Antiqua" w:hAnsi="Book Antiqua"/>
          <w:color w:val="000000" w:themeColor="text1"/>
          <w:sz w:val="20"/>
          <w:szCs w:val="20"/>
          <w:lang w:val="en"/>
        </w:rPr>
        <w:t>(1-2), 8–16.</w:t>
      </w:r>
      <w:hyperlink r:id="rId397">
        <w:r w:rsidRPr="006810DB">
          <w:rPr>
            <w:rStyle w:val="Hyperlink"/>
            <w:rFonts w:ascii="Book Antiqua" w:hAnsi="Book Antiqua"/>
            <w:color w:val="000000" w:themeColor="text1"/>
            <w:sz w:val="20"/>
            <w:szCs w:val="20"/>
            <w:u w:val="none"/>
            <w:lang w:val="en"/>
          </w:rPr>
          <w:t xml:space="preserve"> </w:t>
        </w:r>
      </w:hyperlink>
      <w:hyperlink r:id="rId398">
        <w:r w:rsidRPr="006810DB">
          <w:rPr>
            <w:rStyle w:val="Hyperlink"/>
            <w:rFonts w:ascii="Book Antiqua" w:hAnsi="Book Antiqua"/>
            <w:color w:val="000000" w:themeColor="text1"/>
            <w:sz w:val="20"/>
            <w:szCs w:val="20"/>
            <w:u w:val="none"/>
            <w:lang w:val="en"/>
          </w:rPr>
          <w:t>https://doi.org/10.1055/s-0035-1557838</w:t>
        </w:r>
      </w:hyperlink>
    </w:p>
    <w:p w14:paraId="2775CBB3"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Ariyan, W. M., Sudjarwo, S. A., &amp; Yuniati, T. (2018). The Effect of Red Dragon Fruit Peel Extract (Hylocereus polyrhizus) on the Malondialdehyde (MDA) Level of Cisplatin-Induced Wistar Rats. </w:t>
      </w:r>
      <w:r w:rsidRPr="006810DB">
        <w:rPr>
          <w:rFonts w:ascii="Book Antiqua" w:hAnsi="Book Antiqua"/>
          <w:i/>
          <w:iCs/>
          <w:color w:val="000000" w:themeColor="text1"/>
          <w:sz w:val="20"/>
          <w:szCs w:val="20"/>
          <w:lang w:val="en"/>
        </w:rPr>
        <w:t>KnE Life Sciences</w:t>
      </w:r>
      <w:r w:rsidRPr="006810DB">
        <w:rPr>
          <w:rFonts w:ascii="Book Antiqua" w:hAnsi="Book Antiqua"/>
          <w:color w:val="000000" w:themeColor="text1"/>
          <w:sz w:val="20"/>
          <w:szCs w:val="20"/>
          <w:lang w:val="en"/>
        </w:rPr>
        <w:t>, 255-263.</w:t>
      </w:r>
    </w:p>
    <w:p w14:paraId="6D14523D"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Avula, B., Wang, Y. H., Smillie, T. J., &amp; Khan, I. A. (2010). Quantitative determination of thymoquinone in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seeds and its products and their authentication using HPTLC. </w:t>
      </w:r>
      <w:r w:rsidRPr="006810DB">
        <w:rPr>
          <w:rFonts w:ascii="Book Antiqua" w:hAnsi="Book Antiqua"/>
          <w:i/>
          <w:iCs/>
          <w:color w:val="000000" w:themeColor="text1"/>
          <w:sz w:val="20"/>
          <w:szCs w:val="20"/>
          <w:lang w:val="en"/>
        </w:rPr>
        <w:t>Journal of AOAC International</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93</w:t>
      </w:r>
      <w:r w:rsidRPr="006810DB">
        <w:rPr>
          <w:rFonts w:ascii="Book Antiqua" w:hAnsi="Book Antiqua"/>
          <w:color w:val="000000" w:themeColor="text1"/>
          <w:sz w:val="20"/>
          <w:szCs w:val="20"/>
          <w:lang w:val="en"/>
        </w:rPr>
        <w:t>(4), 1104-1109.</w:t>
      </w:r>
    </w:p>
    <w:p w14:paraId="3FA3E18D"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Ayala, A., Muñoz, M. F., &amp; Argüelles, S. (2014). Lipid peroxidation: production, metabolism, and signaling mechanisms of malondialdehyde and 4-hydroxy-2-nonenal. </w:t>
      </w:r>
      <w:r w:rsidRPr="006810DB">
        <w:rPr>
          <w:rFonts w:ascii="Book Antiqua" w:hAnsi="Book Antiqua"/>
          <w:i/>
          <w:iCs/>
          <w:color w:val="000000" w:themeColor="text1"/>
          <w:sz w:val="20"/>
          <w:szCs w:val="20"/>
          <w:lang w:val="en"/>
        </w:rPr>
        <w:t>Oxidative Medicine and Cellular Longevity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2014</w:t>
      </w:r>
      <w:r w:rsidRPr="006810DB">
        <w:rPr>
          <w:rFonts w:ascii="Book Antiqua" w:hAnsi="Book Antiqua"/>
          <w:color w:val="000000" w:themeColor="text1"/>
          <w:sz w:val="20"/>
          <w:szCs w:val="20"/>
          <w:lang w:val="en"/>
        </w:rPr>
        <w:t>, 360438.</w:t>
      </w:r>
    </w:p>
    <w:p w14:paraId="0D10AD93"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Badan POM RI. (2011). </w:t>
      </w:r>
      <w:r w:rsidRPr="006810DB">
        <w:rPr>
          <w:rFonts w:ascii="Book Antiqua" w:hAnsi="Book Antiqua"/>
          <w:i/>
          <w:iCs/>
          <w:color w:val="000000" w:themeColor="text1"/>
          <w:sz w:val="20"/>
          <w:szCs w:val="20"/>
          <w:lang w:val="en"/>
        </w:rPr>
        <w:t>Peraturan Kepala Badan Pengawas Obat dan Makanan Republik Indonesia Nomor HK.03.1.23.06.11.5541 Tahun 2011 tentang Pedoman Cara Pembuatan Obat Tradisional yang Baik</w:t>
      </w:r>
      <w:r w:rsidRPr="006810DB">
        <w:rPr>
          <w:rFonts w:ascii="Book Antiqua" w:hAnsi="Book Antiqua"/>
          <w:color w:val="000000" w:themeColor="text1"/>
          <w:sz w:val="20"/>
          <w:szCs w:val="20"/>
          <w:lang w:val="en"/>
        </w:rPr>
        <w:t>.</w:t>
      </w:r>
    </w:p>
    <w:p w14:paraId="53DFA197"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Badan POM. (2019). </w:t>
      </w:r>
      <w:r w:rsidRPr="006810DB">
        <w:rPr>
          <w:rFonts w:ascii="Book Antiqua" w:hAnsi="Book Antiqua"/>
          <w:i/>
          <w:iCs/>
          <w:color w:val="000000" w:themeColor="text1"/>
          <w:sz w:val="20"/>
          <w:szCs w:val="20"/>
          <w:lang w:val="en"/>
        </w:rPr>
        <w:t>Peraturan Badan Pengawas Obat dan Makanan Nomor 32 Tahun 2019 tentang Persyaratan Keamanan dan Mutu Obat Tradisional</w:t>
      </w:r>
      <w:r w:rsidRPr="006810DB">
        <w:rPr>
          <w:rFonts w:ascii="Book Antiqua" w:hAnsi="Book Antiqua"/>
          <w:color w:val="000000" w:themeColor="text1"/>
          <w:sz w:val="20"/>
          <w:szCs w:val="20"/>
          <w:lang w:val="en"/>
        </w:rPr>
        <w:t>.</w:t>
      </w:r>
    </w:p>
    <w:p w14:paraId="4546F8BE"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Belfiore, E., Di Prima, G., Angellotti, G., Panzarella, V., &amp; De Caro, V. (2024). Plant-Derived Polyphenols to Prevent and Treat Oral Mucositis Induced by Chemo- and Radiotherapy in Head and Neck Cancers Management. </w:t>
      </w:r>
      <w:r w:rsidRPr="006810DB">
        <w:rPr>
          <w:rFonts w:ascii="Book Antiqua" w:hAnsi="Book Antiqua"/>
          <w:i/>
          <w:iCs/>
          <w:color w:val="000000" w:themeColor="text1"/>
          <w:sz w:val="20"/>
          <w:szCs w:val="20"/>
          <w:lang w:val="en"/>
        </w:rPr>
        <w:t>Cancers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16</w:t>
      </w:r>
      <w:r w:rsidRPr="006810DB">
        <w:rPr>
          <w:rFonts w:ascii="Book Antiqua" w:hAnsi="Book Antiqua"/>
          <w:color w:val="000000" w:themeColor="text1"/>
          <w:sz w:val="20"/>
          <w:szCs w:val="20"/>
          <w:lang w:val="en"/>
        </w:rPr>
        <w:t>(2), 260.</w:t>
      </w:r>
      <w:hyperlink r:id="rId399">
        <w:r w:rsidRPr="006810DB">
          <w:rPr>
            <w:rStyle w:val="Hyperlink"/>
            <w:rFonts w:ascii="Book Antiqua" w:hAnsi="Book Antiqua"/>
            <w:color w:val="000000" w:themeColor="text1"/>
            <w:sz w:val="20"/>
            <w:szCs w:val="20"/>
            <w:u w:val="none"/>
            <w:lang w:val="en"/>
          </w:rPr>
          <w:t xml:space="preserve"> </w:t>
        </w:r>
      </w:hyperlink>
      <w:hyperlink r:id="rId400">
        <w:r w:rsidRPr="006810DB">
          <w:rPr>
            <w:rStyle w:val="Hyperlink"/>
            <w:rFonts w:ascii="Book Antiqua" w:hAnsi="Book Antiqua"/>
            <w:color w:val="000000" w:themeColor="text1"/>
            <w:sz w:val="20"/>
            <w:szCs w:val="20"/>
            <w:u w:val="none"/>
            <w:lang w:val="en"/>
          </w:rPr>
          <w:t>https://doi.org/10.3390/cancers16020260</w:t>
        </w:r>
      </w:hyperlink>
    </w:p>
    <w:p w14:paraId="4EC17786"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Brouwers, E. E. M., Huitema, A. D. R., Beijnen, J. H., &amp; Schellens, J. H. M. (2020). Long-term platinum retention after cisplatin-based chemotherapy. </w:t>
      </w:r>
      <w:r w:rsidRPr="006810DB">
        <w:rPr>
          <w:rFonts w:ascii="Book Antiqua" w:hAnsi="Book Antiqua"/>
          <w:i/>
          <w:iCs/>
          <w:color w:val="000000" w:themeColor="text1"/>
          <w:sz w:val="20"/>
          <w:szCs w:val="20"/>
          <w:lang w:val="en"/>
        </w:rPr>
        <w:t>Cancer Chemotherapy and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85</w:t>
      </w:r>
      <w:r w:rsidRPr="006810DB">
        <w:rPr>
          <w:rFonts w:ascii="Book Antiqua" w:hAnsi="Book Antiqua"/>
          <w:color w:val="000000" w:themeColor="text1"/>
          <w:sz w:val="20"/>
          <w:szCs w:val="20"/>
          <w:lang w:val="en"/>
        </w:rPr>
        <w:t>(1), 1-13.</w:t>
      </w:r>
    </w:p>
    <w:p w14:paraId="6F133C19"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Carvalho, M., Oliveira, P. J., &amp; Sampaio-Marques, B. (2021). Cisplatin-induced mitochondrial dysfunction and kidney transplantation: A dangerous liaison. </w:t>
      </w:r>
      <w:r w:rsidRPr="006810DB">
        <w:rPr>
          <w:rFonts w:ascii="Book Antiqua" w:hAnsi="Book Antiqua"/>
          <w:i/>
          <w:iCs/>
          <w:color w:val="000000" w:themeColor="text1"/>
          <w:sz w:val="20"/>
          <w:szCs w:val="20"/>
          <w:lang w:val="en"/>
        </w:rPr>
        <w:t>Archives of Toxicology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95</w:t>
      </w:r>
      <w:r w:rsidRPr="006810DB">
        <w:rPr>
          <w:rFonts w:ascii="Book Antiqua" w:hAnsi="Book Antiqua"/>
          <w:color w:val="000000" w:themeColor="text1"/>
          <w:sz w:val="20"/>
          <w:szCs w:val="20"/>
          <w:lang w:val="en"/>
        </w:rPr>
        <w:t>(7), 2245–2257.</w:t>
      </w:r>
    </w:p>
    <w:p w14:paraId="4FF584EA"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Cascella, M., Palma, G., Barbieri, A., Bimonte, S., Amruthraj, N. J., &amp; Muzio, M. R. (2018). Role of Nigella sativa and its constituent thymoquinone on chemotherapy-induced nephrotoxicity: Evidences from experimental animal studies. </w:t>
      </w:r>
      <w:r w:rsidRPr="006810DB">
        <w:rPr>
          <w:rFonts w:ascii="Book Antiqua" w:hAnsi="Book Antiqua"/>
          <w:i/>
          <w:iCs/>
          <w:color w:val="000000" w:themeColor="text1"/>
          <w:sz w:val="20"/>
          <w:szCs w:val="20"/>
          <w:lang w:val="en"/>
        </w:rPr>
        <w:t>Nutrients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9</w:t>
      </w:r>
      <w:r w:rsidRPr="006810DB">
        <w:rPr>
          <w:rFonts w:ascii="Book Antiqua" w:hAnsi="Book Antiqua"/>
          <w:color w:val="000000" w:themeColor="text1"/>
          <w:sz w:val="20"/>
          <w:szCs w:val="20"/>
          <w:lang w:val="en"/>
        </w:rPr>
        <w:t>(6), 625.</w:t>
      </w:r>
      <w:hyperlink r:id="rId401">
        <w:r w:rsidRPr="006810DB">
          <w:rPr>
            <w:rStyle w:val="Hyperlink"/>
            <w:rFonts w:ascii="Book Antiqua" w:hAnsi="Book Antiqua"/>
            <w:color w:val="000000" w:themeColor="text1"/>
            <w:sz w:val="20"/>
            <w:szCs w:val="20"/>
            <w:u w:val="none"/>
            <w:lang w:val="en"/>
          </w:rPr>
          <w:t xml:space="preserve"> </w:t>
        </w:r>
      </w:hyperlink>
      <w:hyperlink r:id="rId402">
        <w:r w:rsidRPr="006810DB">
          <w:rPr>
            <w:rStyle w:val="Hyperlink"/>
            <w:rFonts w:ascii="Book Antiqua" w:hAnsi="Book Antiqua"/>
            <w:color w:val="000000" w:themeColor="text1"/>
            <w:sz w:val="20"/>
            <w:szCs w:val="20"/>
            <w:u w:val="none"/>
            <w:lang w:val="en"/>
          </w:rPr>
          <w:t>https://doi.org/10.3390/nu9060625</w:t>
        </w:r>
      </w:hyperlink>
    </w:p>
    <w:p w14:paraId="18F8EC56"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Chavda, V. P., Vihol, D., Shah, P., Vaghasiya, D., &amp; Patel, S. S. (2023). Cisplatin-induced nephrotoxicity: a comprehensive review of pathogenesis and potential therapeutic agents. </w:t>
      </w:r>
      <w:r w:rsidRPr="006810DB">
        <w:rPr>
          <w:rFonts w:ascii="Book Antiqua" w:hAnsi="Book Antiqua"/>
          <w:i/>
          <w:iCs/>
          <w:color w:val="000000" w:themeColor="text1"/>
          <w:sz w:val="20"/>
          <w:szCs w:val="20"/>
          <w:lang w:val="en"/>
        </w:rPr>
        <w:t>Naunyn-Schmiedeberg's Archives of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396</w:t>
      </w:r>
      <w:r w:rsidRPr="006810DB">
        <w:rPr>
          <w:rFonts w:ascii="Book Antiqua" w:hAnsi="Book Antiqua"/>
          <w:color w:val="000000" w:themeColor="text1"/>
          <w:sz w:val="20"/>
          <w:szCs w:val="20"/>
          <w:lang w:val="en"/>
        </w:rPr>
        <w:t>(4), 655–671.</w:t>
      </w:r>
      <w:hyperlink r:id="rId403">
        <w:r w:rsidRPr="006810DB">
          <w:rPr>
            <w:rStyle w:val="Hyperlink"/>
            <w:rFonts w:ascii="Book Antiqua" w:hAnsi="Book Antiqua"/>
            <w:color w:val="000000" w:themeColor="text1"/>
            <w:sz w:val="20"/>
            <w:szCs w:val="20"/>
            <w:u w:val="none"/>
            <w:lang w:val="en"/>
          </w:rPr>
          <w:t xml:space="preserve"> </w:t>
        </w:r>
      </w:hyperlink>
      <w:hyperlink r:id="rId404">
        <w:r w:rsidRPr="006810DB">
          <w:rPr>
            <w:rStyle w:val="Hyperlink"/>
            <w:rFonts w:ascii="Book Antiqua" w:hAnsi="Book Antiqua"/>
            <w:color w:val="000000" w:themeColor="text1"/>
            <w:sz w:val="20"/>
            <w:szCs w:val="20"/>
            <w:u w:val="none"/>
            <w:lang w:val="en"/>
          </w:rPr>
          <w:t>https://doi.org/10.1007/s00210-022-02343-y</w:t>
        </w:r>
      </w:hyperlink>
    </w:p>
    <w:p w14:paraId="208F653A"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Cheikh-Rouhou, S., Besbes, S., Hentati, B., Blecker, C., Deroanne, C., &amp; Attia, H. (2007).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Chemical composition and physicochemical characteristics of lipid fraction. </w:t>
      </w:r>
      <w:r w:rsidRPr="006810DB">
        <w:rPr>
          <w:rFonts w:ascii="Book Antiqua" w:hAnsi="Book Antiqua"/>
          <w:i/>
          <w:iCs/>
          <w:color w:val="000000" w:themeColor="text1"/>
          <w:sz w:val="20"/>
          <w:szCs w:val="20"/>
          <w:lang w:val="en"/>
        </w:rPr>
        <w:t>Food Chemistry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101</w:t>
      </w:r>
      <w:r w:rsidRPr="006810DB">
        <w:rPr>
          <w:rFonts w:ascii="Book Antiqua" w:hAnsi="Book Antiqua"/>
          <w:color w:val="000000" w:themeColor="text1"/>
          <w:sz w:val="20"/>
          <w:szCs w:val="20"/>
          <w:lang w:val="en"/>
        </w:rPr>
        <w:t>(2), 673-681.</w:t>
      </w:r>
    </w:p>
    <w:p w14:paraId="382B2E93"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Clark, K. L., Wiles, J. A., &amp; Hickman, D. L. (2021). A review of the justification for humane endpoints. </w:t>
      </w:r>
      <w:r w:rsidRPr="006810DB">
        <w:rPr>
          <w:rFonts w:ascii="Book Antiqua" w:hAnsi="Book Antiqua"/>
          <w:i/>
          <w:iCs/>
          <w:color w:val="000000" w:themeColor="text1"/>
          <w:sz w:val="20"/>
          <w:szCs w:val="20"/>
          <w:lang w:val="en"/>
        </w:rPr>
        <w:t>Animal Models and Experimental Medicine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4</w:t>
      </w:r>
      <w:r w:rsidRPr="006810DB">
        <w:rPr>
          <w:rFonts w:ascii="Book Antiqua" w:hAnsi="Book Antiqua"/>
          <w:color w:val="000000" w:themeColor="text1"/>
          <w:sz w:val="20"/>
          <w:szCs w:val="20"/>
          <w:lang w:val="en"/>
        </w:rPr>
        <w:t>(2), 99–108.</w:t>
      </w:r>
    </w:p>
    <w:p w14:paraId="6BA68256"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Dasari, S., &amp; Tchounwou, P. B. (2014). Cisplatin in cancer therapy: molecular mechanisms of action. </w:t>
      </w:r>
      <w:r w:rsidRPr="006810DB">
        <w:rPr>
          <w:rFonts w:ascii="Book Antiqua" w:hAnsi="Book Antiqua"/>
          <w:i/>
          <w:iCs/>
          <w:color w:val="000000" w:themeColor="text1"/>
          <w:sz w:val="20"/>
          <w:szCs w:val="20"/>
          <w:lang w:val="en"/>
        </w:rPr>
        <w:t>European Journal of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740</w:t>
      </w:r>
      <w:r w:rsidRPr="006810DB">
        <w:rPr>
          <w:rFonts w:ascii="Book Antiqua" w:hAnsi="Book Antiqua"/>
          <w:color w:val="000000" w:themeColor="text1"/>
          <w:sz w:val="20"/>
          <w:szCs w:val="20"/>
          <w:lang w:val="en"/>
        </w:rPr>
        <w:t>, 364–378.</w:t>
      </w:r>
      <w:hyperlink r:id="rId405">
        <w:r w:rsidRPr="006810DB">
          <w:rPr>
            <w:rStyle w:val="Hyperlink"/>
            <w:rFonts w:ascii="Book Antiqua" w:hAnsi="Book Antiqua"/>
            <w:color w:val="000000" w:themeColor="text1"/>
            <w:sz w:val="20"/>
            <w:szCs w:val="20"/>
            <w:u w:val="none"/>
            <w:lang w:val="en"/>
          </w:rPr>
          <w:t xml:space="preserve"> </w:t>
        </w:r>
      </w:hyperlink>
      <w:hyperlink r:id="rId406">
        <w:r w:rsidRPr="006810DB">
          <w:rPr>
            <w:rStyle w:val="Hyperlink"/>
            <w:rFonts w:ascii="Book Antiqua" w:hAnsi="Book Antiqua"/>
            <w:color w:val="000000" w:themeColor="text1"/>
            <w:sz w:val="20"/>
            <w:szCs w:val="20"/>
            <w:u w:val="none"/>
            <w:lang w:val="en"/>
          </w:rPr>
          <w:t>https://doi.org/10.1016/j.ejphar.2014.07.025</w:t>
        </w:r>
      </w:hyperlink>
    </w:p>
    <w:p w14:paraId="6DE2FB46"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de Barros, A. C., de Oliveira, A. R., &amp; de Paula, L. G. (2017). Development and validation of an experimental model of oral mucositis induced by 5-fluorouracil in rats. </w:t>
      </w:r>
      <w:r w:rsidRPr="006810DB">
        <w:rPr>
          <w:rFonts w:ascii="Book Antiqua" w:hAnsi="Book Antiqua"/>
          <w:i/>
          <w:iCs/>
          <w:color w:val="000000" w:themeColor="text1"/>
          <w:sz w:val="20"/>
          <w:szCs w:val="20"/>
          <w:lang w:val="en"/>
        </w:rPr>
        <w:t>Journal of Applied Oral Science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25</w:t>
      </w:r>
      <w:r w:rsidRPr="006810DB">
        <w:rPr>
          <w:rFonts w:ascii="Book Antiqua" w:hAnsi="Book Antiqua"/>
          <w:color w:val="000000" w:themeColor="text1"/>
          <w:sz w:val="20"/>
          <w:szCs w:val="20"/>
          <w:lang w:val="en"/>
        </w:rPr>
        <w:t>(5), 513–521.</w:t>
      </w:r>
    </w:p>
    <w:p w14:paraId="37CEAB22"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Deponte, M. (2013). Glutathione catalysis and the reaction mechanisms of glutathione-dependent enzymes. </w:t>
      </w:r>
      <w:r w:rsidRPr="006810DB">
        <w:rPr>
          <w:rFonts w:ascii="Book Antiqua" w:hAnsi="Book Antiqua"/>
          <w:i/>
          <w:iCs/>
          <w:color w:val="000000" w:themeColor="text1"/>
          <w:sz w:val="20"/>
          <w:szCs w:val="20"/>
          <w:lang w:val="en"/>
        </w:rPr>
        <w:t>Biochimica et Biophysica Acta (BBA) - General Subjects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1830</w:t>
      </w:r>
      <w:r w:rsidRPr="006810DB">
        <w:rPr>
          <w:rFonts w:ascii="Book Antiqua" w:hAnsi="Book Antiqua"/>
          <w:color w:val="000000" w:themeColor="text1"/>
          <w:sz w:val="20"/>
          <w:szCs w:val="20"/>
          <w:lang w:val="en"/>
        </w:rPr>
        <w:t>(5), 3217–3266.</w:t>
      </w:r>
    </w:p>
    <w:p w14:paraId="0E881730"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Dilruba, S., &amp; Kalayda, G. V. (2016). Platinum-based drugs: past, present and future. </w:t>
      </w:r>
      <w:r w:rsidRPr="006810DB">
        <w:rPr>
          <w:rFonts w:ascii="Book Antiqua" w:hAnsi="Book Antiqua"/>
          <w:i/>
          <w:iCs/>
          <w:color w:val="000000" w:themeColor="text1"/>
          <w:sz w:val="20"/>
          <w:szCs w:val="20"/>
          <w:lang w:val="en"/>
        </w:rPr>
        <w:t>Cancer Chemotherapy and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77</w:t>
      </w:r>
      <w:r w:rsidRPr="006810DB">
        <w:rPr>
          <w:rFonts w:ascii="Book Antiqua" w:hAnsi="Book Antiqua"/>
          <w:color w:val="000000" w:themeColor="text1"/>
          <w:sz w:val="20"/>
          <w:szCs w:val="20"/>
          <w:lang w:val="en"/>
        </w:rPr>
        <w:t>(6), 1103–1124.</w:t>
      </w:r>
    </w:p>
    <w:p w14:paraId="15EE4C21" w14:textId="77777777" w:rsidR="009B5356" w:rsidRPr="006810DB" w:rsidRDefault="009B5356" w:rsidP="006810DB">
      <w:pPr>
        <w:spacing w:line="276" w:lineRule="auto"/>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br w:type="page"/>
      </w:r>
    </w:p>
    <w:p w14:paraId="71EB5099"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dos Santos, N. A., Canto-da-Silva, A., Bridi, R., &amp; Da-Silva, C. A. (2012). Cisplatin-induced nephrotoxicity and targets of nephroprotection: an update. </w:t>
      </w:r>
      <w:r w:rsidRPr="006810DB">
        <w:rPr>
          <w:rFonts w:ascii="Book Antiqua" w:hAnsi="Book Antiqua"/>
          <w:i/>
          <w:iCs/>
          <w:color w:val="000000" w:themeColor="text1"/>
          <w:sz w:val="20"/>
          <w:szCs w:val="20"/>
          <w:lang w:val="en"/>
        </w:rPr>
        <w:t>Archives of Toxicology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86</w:t>
      </w:r>
      <w:r w:rsidRPr="006810DB">
        <w:rPr>
          <w:rFonts w:ascii="Book Antiqua" w:hAnsi="Book Antiqua"/>
          <w:color w:val="000000" w:themeColor="text1"/>
          <w:sz w:val="20"/>
          <w:szCs w:val="20"/>
          <w:lang w:val="en"/>
        </w:rPr>
        <w:t>(8), 1229–1250.</w:t>
      </w:r>
    </w:p>
    <w:p w14:paraId="6B7FE9C7"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Du, Z., Yang, C., &amp; Zhang, Y. (2021). Advances in targeted therapy for cancer. </w:t>
      </w:r>
      <w:r w:rsidRPr="006810DB">
        <w:rPr>
          <w:rFonts w:ascii="Book Antiqua" w:hAnsi="Book Antiqua"/>
          <w:i/>
          <w:iCs/>
          <w:color w:val="000000" w:themeColor="text1"/>
          <w:sz w:val="20"/>
          <w:szCs w:val="20"/>
          <w:lang w:val="en"/>
        </w:rPr>
        <w:t>Signal Transduction and Targeted Therapy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6</w:t>
      </w:r>
      <w:r w:rsidRPr="006810DB">
        <w:rPr>
          <w:rFonts w:ascii="Book Antiqua" w:hAnsi="Book Antiqua"/>
          <w:color w:val="000000" w:themeColor="text1"/>
          <w:sz w:val="20"/>
          <w:szCs w:val="20"/>
          <w:lang w:val="en"/>
        </w:rPr>
        <w:t>(1), 382.</w:t>
      </w:r>
    </w:p>
    <w:p w14:paraId="25385C39"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El-Dakhakhny, M. (1963). Studies on the chemical constitution of Egyptian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seeds. The essential oil. </w:t>
      </w:r>
      <w:r w:rsidRPr="006810DB">
        <w:rPr>
          <w:rFonts w:ascii="Book Antiqua" w:hAnsi="Book Antiqua"/>
          <w:i/>
          <w:iCs/>
          <w:color w:val="000000" w:themeColor="text1"/>
          <w:sz w:val="20"/>
          <w:szCs w:val="20"/>
          <w:lang w:val="en"/>
        </w:rPr>
        <w:t>Planta Medica</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11</w:t>
      </w:r>
      <w:r w:rsidRPr="006810DB">
        <w:rPr>
          <w:rFonts w:ascii="Book Antiqua" w:hAnsi="Book Antiqua"/>
          <w:color w:val="000000" w:themeColor="text1"/>
          <w:sz w:val="20"/>
          <w:szCs w:val="20"/>
          <w:lang w:val="en"/>
        </w:rPr>
        <w:t>(4), 465-470.</w:t>
      </w:r>
    </w:p>
    <w:p w14:paraId="7E36C3F4"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Elad, S., Cheng, K. K. F., Lalla, R. V., Yarom, N., Hong, C., Logan, R. M., ... &amp; Zadik, Y. (2020). MASCC/ISOO clinical practice guidelines for the management of mucositis secondary to cancer therapy. </w:t>
      </w:r>
      <w:r w:rsidRPr="006810DB">
        <w:rPr>
          <w:rFonts w:ascii="Book Antiqua" w:hAnsi="Book Antiqua"/>
          <w:i/>
          <w:iCs/>
          <w:color w:val="000000" w:themeColor="text1"/>
          <w:sz w:val="20"/>
          <w:szCs w:val="20"/>
          <w:lang w:val="en"/>
        </w:rPr>
        <w:t>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126</w:t>
      </w:r>
      <w:r w:rsidRPr="006810DB">
        <w:rPr>
          <w:rFonts w:ascii="Book Antiqua" w:hAnsi="Book Antiqua"/>
          <w:color w:val="000000" w:themeColor="text1"/>
          <w:sz w:val="20"/>
          <w:szCs w:val="20"/>
          <w:lang w:val="en"/>
        </w:rPr>
        <w:t>(19), 4423-4431.</w:t>
      </w:r>
    </w:p>
    <w:p w14:paraId="16087243"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Festing, M. F. W. (2010). The “problem” of variability in animal experiments. </w:t>
      </w:r>
      <w:r w:rsidRPr="006810DB">
        <w:rPr>
          <w:rFonts w:ascii="Book Antiqua" w:hAnsi="Book Antiqua"/>
          <w:i/>
          <w:iCs/>
          <w:color w:val="000000" w:themeColor="text1"/>
          <w:sz w:val="20"/>
          <w:szCs w:val="20"/>
          <w:lang w:val="en"/>
        </w:rPr>
        <w:t>ILAR Journal</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51</w:t>
      </w:r>
      <w:r w:rsidRPr="006810DB">
        <w:rPr>
          <w:rFonts w:ascii="Book Antiqua" w:hAnsi="Book Antiqua"/>
          <w:color w:val="000000" w:themeColor="text1"/>
          <w:sz w:val="20"/>
          <w:szCs w:val="20"/>
          <w:lang w:val="en"/>
        </w:rPr>
        <w:t>(4), 342-350.</w:t>
      </w:r>
    </w:p>
    <w:p w14:paraId="5D142950"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Fiszer, C., &amp; Dol-Lenczewska, A. (2022). The role of psychological factors in the development of anxiety and depression in patients with cancer. </w:t>
      </w:r>
      <w:r w:rsidRPr="006810DB">
        <w:rPr>
          <w:rFonts w:ascii="Book Antiqua" w:hAnsi="Book Antiqua"/>
          <w:i/>
          <w:iCs/>
          <w:color w:val="000000" w:themeColor="text1"/>
          <w:sz w:val="20"/>
          <w:szCs w:val="20"/>
          <w:lang w:val="en"/>
        </w:rPr>
        <w:t>Psychiatria Polska</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56</w:t>
      </w:r>
      <w:r w:rsidRPr="006810DB">
        <w:rPr>
          <w:rFonts w:ascii="Book Antiqua" w:hAnsi="Book Antiqua"/>
          <w:color w:val="000000" w:themeColor="text1"/>
          <w:sz w:val="20"/>
          <w:szCs w:val="20"/>
          <w:lang w:val="en"/>
        </w:rPr>
        <w:t>(1), 17-31.</w:t>
      </w:r>
    </w:p>
    <w:p w14:paraId="6981CC02"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Forouzanfar, F., Bazzaz, B. S. F., &amp; Hosseinzadeh, H. (2014). Black cumin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and its constituent (thymoquinone): a review on antimicrobial effects. </w:t>
      </w:r>
      <w:r w:rsidRPr="006810DB">
        <w:rPr>
          <w:rFonts w:ascii="Book Antiqua" w:hAnsi="Book Antiqua"/>
          <w:i/>
          <w:iCs/>
          <w:color w:val="000000" w:themeColor="text1"/>
          <w:sz w:val="20"/>
          <w:szCs w:val="20"/>
          <w:lang w:val="en"/>
        </w:rPr>
        <w:t>Iranian Journal of Basic Medical Sciences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17</w:t>
      </w:r>
      <w:r w:rsidRPr="006810DB">
        <w:rPr>
          <w:rFonts w:ascii="Book Antiqua" w:hAnsi="Book Antiqua"/>
          <w:color w:val="000000" w:themeColor="text1"/>
          <w:sz w:val="20"/>
          <w:szCs w:val="20"/>
          <w:lang w:val="en"/>
        </w:rPr>
        <w:t>(12), 929.</w:t>
      </w:r>
    </w:p>
    <w:p w14:paraId="337C62C9"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Galluzzi, L., Senovilla, L., Vitale, I., Michels, J., Martins, I., Kepp, O., ... &amp; Kroemer, G. (2012). Molecular mechanisms of cisplatin resistance. </w:t>
      </w:r>
      <w:r w:rsidRPr="006810DB">
        <w:rPr>
          <w:rFonts w:ascii="Book Antiqua" w:hAnsi="Book Antiqua"/>
          <w:i/>
          <w:iCs/>
          <w:color w:val="000000" w:themeColor="text1"/>
          <w:sz w:val="20"/>
          <w:szCs w:val="20"/>
          <w:lang w:val="en"/>
        </w:rPr>
        <w:t>Oncogene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31</w:t>
      </w:r>
      <w:r w:rsidRPr="006810DB">
        <w:rPr>
          <w:rFonts w:ascii="Book Antiqua" w:hAnsi="Book Antiqua"/>
          <w:color w:val="000000" w:themeColor="text1"/>
          <w:sz w:val="20"/>
          <w:szCs w:val="20"/>
          <w:lang w:val="en"/>
        </w:rPr>
        <w:t>(15), 1869-1883.</w:t>
      </w:r>
    </w:p>
    <w:p w14:paraId="45E68EBD"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Ghosh, S. (2019). Cisplatin: The first metal based anticancer drug. </w:t>
      </w:r>
      <w:r w:rsidRPr="006810DB">
        <w:rPr>
          <w:rFonts w:ascii="Book Antiqua" w:hAnsi="Book Antiqua"/>
          <w:i/>
          <w:iCs/>
          <w:color w:val="000000" w:themeColor="text1"/>
          <w:sz w:val="20"/>
          <w:szCs w:val="20"/>
          <w:lang w:val="en"/>
        </w:rPr>
        <w:t>Bioorganic Chemistry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88</w:t>
      </w:r>
      <w:r w:rsidRPr="006810DB">
        <w:rPr>
          <w:rFonts w:ascii="Book Antiqua" w:hAnsi="Book Antiqua"/>
          <w:color w:val="000000" w:themeColor="text1"/>
          <w:sz w:val="20"/>
          <w:szCs w:val="20"/>
          <w:lang w:val="en"/>
        </w:rPr>
        <w:t>, 102925.</w:t>
      </w:r>
    </w:p>
    <w:p w14:paraId="38FEBAB5"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Goyal, S. N., Prajapati, C. P., Gore, P. R., &amp; Patil, C. R. (2017). Therapeutic potential and pharmaceutical development of thymoquinone: a multitargeted molecule of natural origin. </w:t>
      </w:r>
      <w:r w:rsidRPr="006810DB">
        <w:rPr>
          <w:rFonts w:ascii="Book Antiqua" w:hAnsi="Book Antiqua"/>
          <w:i/>
          <w:iCs/>
          <w:color w:val="000000" w:themeColor="text1"/>
          <w:sz w:val="20"/>
          <w:szCs w:val="20"/>
          <w:lang w:val="en"/>
        </w:rPr>
        <w:t>Frontiers in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w:t>
      </w:r>
      <w:r w:rsidRPr="006810DB">
        <w:rPr>
          <w:rFonts w:ascii="Book Antiqua" w:hAnsi="Book Antiqua"/>
          <w:color w:val="000000" w:themeColor="text1"/>
          <w:sz w:val="20"/>
          <w:szCs w:val="20"/>
          <w:lang w:val="en"/>
        </w:rPr>
        <w:t>, 656.</w:t>
      </w:r>
      <w:hyperlink r:id="rId407">
        <w:r w:rsidRPr="006810DB">
          <w:rPr>
            <w:rStyle w:val="Hyperlink"/>
            <w:rFonts w:ascii="Book Antiqua" w:hAnsi="Book Antiqua"/>
            <w:color w:val="000000" w:themeColor="text1"/>
            <w:sz w:val="20"/>
            <w:szCs w:val="20"/>
            <w:u w:val="none"/>
            <w:lang w:val="en"/>
          </w:rPr>
          <w:t xml:space="preserve"> </w:t>
        </w:r>
      </w:hyperlink>
      <w:hyperlink r:id="rId408">
        <w:r w:rsidRPr="006810DB">
          <w:rPr>
            <w:rStyle w:val="Hyperlink"/>
            <w:rFonts w:ascii="Book Antiqua" w:hAnsi="Book Antiqua"/>
            <w:color w:val="000000" w:themeColor="text1"/>
            <w:sz w:val="20"/>
            <w:szCs w:val="20"/>
            <w:u w:val="none"/>
            <w:lang w:val="en"/>
          </w:rPr>
          <w:t>https://doi.org/10.3389/fphar.2017.00656</w:t>
        </w:r>
      </w:hyperlink>
    </w:p>
    <w:p w14:paraId="1F4D87A0"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Hannan, M. A., Sohag, A. A. M., Uddin, M. J., Dash, R., Sikder, M. H., Rahman, M. S., ... &amp; Kim, B. (2021). Black Cumin (Nigella sativa L.): A Comprehensive Review on Phytochemistry, Health Benefits, Molecular Pharmacology, and Safety. </w:t>
      </w:r>
      <w:r w:rsidRPr="006810DB">
        <w:rPr>
          <w:rFonts w:ascii="Book Antiqua" w:hAnsi="Book Antiqua"/>
          <w:i/>
          <w:iCs/>
          <w:color w:val="000000" w:themeColor="text1"/>
          <w:sz w:val="20"/>
          <w:szCs w:val="20"/>
          <w:lang w:val="en"/>
        </w:rPr>
        <w:t>Nutrients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13</w:t>
      </w:r>
      <w:r w:rsidRPr="006810DB">
        <w:rPr>
          <w:rFonts w:ascii="Book Antiqua" w:hAnsi="Book Antiqua"/>
          <w:color w:val="000000" w:themeColor="text1"/>
          <w:sz w:val="20"/>
          <w:szCs w:val="20"/>
          <w:lang w:val="en"/>
        </w:rPr>
        <w:t>(6), 1784.</w:t>
      </w:r>
      <w:hyperlink r:id="rId409">
        <w:r w:rsidRPr="006810DB">
          <w:rPr>
            <w:rStyle w:val="Hyperlink"/>
            <w:rFonts w:ascii="Book Antiqua" w:hAnsi="Book Antiqua"/>
            <w:color w:val="000000" w:themeColor="text1"/>
            <w:sz w:val="20"/>
            <w:szCs w:val="20"/>
            <w:u w:val="none"/>
            <w:lang w:val="en"/>
          </w:rPr>
          <w:t xml:space="preserve"> </w:t>
        </w:r>
      </w:hyperlink>
      <w:hyperlink r:id="rId410">
        <w:r w:rsidRPr="006810DB">
          <w:rPr>
            <w:rStyle w:val="Hyperlink"/>
            <w:rFonts w:ascii="Book Antiqua" w:hAnsi="Book Antiqua"/>
            <w:color w:val="000000" w:themeColor="text1"/>
            <w:sz w:val="20"/>
            <w:szCs w:val="20"/>
            <w:u w:val="none"/>
            <w:lang w:val="en"/>
          </w:rPr>
          <w:t>https://doi.org/10.3390/nu13061784</w:t>
        </w:r>
      </w:hyperlink>
    </w:p>
    <w:p w14:paraId="7C58BEBE"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Hayden, M. S., &amp; Ghosh, S. (2012). NF-κB, the first quarter-century: remarkable progress and outstanding questions. </w:t>
      </w:r>
      <w:r w:rsidRPr="006810DB">
        <w:rPr>
          <w:rFonts w:ascii="Book Antiqua" w:hAnsi="Book Antiqua"/>
          <w:i/>
          <w:iCs/>
          <w:color w:val="000000" w:themeColor="text1"/>
          <w:sz w:val="20"/>
          <w:szCs w:val="20"/>
          <w:lang w:val="en"/>
        </w:rPr>
        <w:t>Genes &amp; Development</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26</w:t>
      </w:r>
      <w:r w:rsidRPr="006810DB">
        <w:rPr>
          <w:rFonts w:ascii="Book Antiqua" w:hAnsi="Book Antiqua"/>
          <w:color w:val="000000" w:themeColor="text1"/>
          <w:sz w:val="20"/>
          <w:szCs w:val="20"/>
          <w:lang w:val="en"/>
        </w:rPr>
        <w:t>(3), 203-234.</w:t>
      </w:r>
    </w:p>
    <w:p w14:paraId="739A7302"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Heinrich, M., Jalil, B., Abdel-Tawab, M., Echeverria, J., Kulić, Z., McGaw, L. J., ... &amp; Appendino, G. (2022). Best Practice in Research of Plants and Other Natural Products. </w:t>
      </w:r>
      <w:r w:rsidRPr="006810DB">
        <w:rPr>
          <w:rFonts w:ascii="Book Antiqua" w:hAnsi="Book Antiqua"/>
          <w:i/>
          <w:iCs/>
          <w:color w:val="000000" w:themeColor="text1"/>
          <w:sz w:val="20"/>
          <w:szCs w:val="20"/>
          <w:lang w:val="en"/>
        </w:rPr>
        <w:t>Frontiers in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13</w:t>
      </w:r>
      <w:r w:rsidRPr="006810DB">
        <w:rPr>
          <w:rFonts w:ascii="Book Antiqua" w:hAnsi="Book Antiqua"/>
          <w:color w:val="000000" w:themeColor="text1"/>
          <w:sz w:val="20"/>
          <w:szCs w:val="20"/>
          <w:lang w:val="en"/>
        </w:rPr>
        <w:t>, 953205.</w:t>
      </w:r>
    </w:p>
    <w:p w14:paraId="073B1AD3"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Hofmarcher, T., Lindgren, P., &amp; Wilking, N. (2020). The cost of cancer in Europe 2018. </w:t>
      </w:r>
      <w:r w:rsidRPr="006810DB">
        <w:rPr>
          <w:rFonts w:ascii="Book Antiqua" w:hAnsi="Book Antiqua"/>
          <w:i/>
          <w:iCs/>
          <w:color w:val="000000" w:themeColor="text1"/>
          <w:sz w:val="20"/>
          <w:szCs w:val="20"/>
          <w:lang w:val="en"/>
        </w:rPr>
        <w:t>European Journal of 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129</w:t>
      </w:r>
      <w:r w:rsidRPr="006810DB">
        <w:rPr>
          <w:rFonts w:ascii="Book Antiqua" w:hAnsi="Book Antiqua"/>
          <w:color w:val="000000" w:themeColor="text1"/>
          <w:sz w:val="20"/>
          <w:szCs w:val="20"/>
          <w:lang w:val="en"/>
        </w:rPr>
        <w:t>, 41-49.</w:t>
      </w:r>
    </w:p>
    <w:p w14:paraId="0180D750"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ICH. (2003). </w:t>
      </w:r>
      <w:r w:rsidRPr="006810DB">
        <w:rPr>
          <w:rFonts w:ascii="Book Antiqua" w:hAnsi="Book Antiqua"/>
          <w:i/>
          <w:iCs/>
          <w:color w:val="000000" w:themeColor="text1"/>
          <w:sz w:val="20"/>
          <w:szCs w:val="20"/>
          <w:lang w:val="en"/>
        </w:rPr>
        <w:t>Q1A(R2) Stability Testing of New Drug Substances and Products</w:t>
      </w:r>
      <w:r w:rsidRPr="006810DB">
        <w:rPr>
          <w:rFonts w:ascii="Book Antiqua" w:hAnsi="Book Antiqua"/>
          <w:color w:val="000000" w:themeColor="text1"/>
          <w:sz w:val="20"/>
          <w:szCs w:val="20"/>
          <w:lang w:val="en"/>
        </w:rPr>
        <w:t>.</w:t>
      </w:r>
    </w:p>
    <w:p w14:paraId="46D0D68D"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Ighodaro, O. M., &amp; Akinloye, O. A. (2018). First line defence antioxidants-superoxide dismutase (SOD), catalase (CAT) and glutathione peroxidase (GPX): Their fundamental role in the entire antioxidant defence grid. </w:t>
      </w:r>
      <w:r w:rsidRPr="006810DB">
        <w:rPr>
          <w:rFonts w:ascii="Book Antiqua" w:hAnsi="Book Antiqua"/>
          <w:i/>
          <w:iCs/>
          <w:color w:val="000000" w:themeColor="text1"/>
          <w:sz w:val="20"/>
          <w:szCs w:val="20"/>
          <w:lang w:val="en"/>
        </w:rPr>
        <w:t>Alexandria Journal of Medicine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54</w:t>
      </w:r>
      <w:r w:rsidRPr="006810DB">
        <w:rPr>
          <w:rFonts w:ascii="Book Antiqua" w:hAnsi="Book Antiqua"/>
          <w:color w:val="000000" w:themeColor="text1"/>
          <w:sz w:val="20"/>
          <w:szCs w:val="20"/>
          <w:lang w:val="en"/>
        </w:rPr>
        <w:t>(4), 287-293.</w:t>
      </w:r>
    </w:p>
    <w:p w14:paraId="54C3CBCB"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Jamali, N., Moghadamnia, A. A., &amp; Shirafkan, F. (2021). A Review on the new molecular mechanisms of 5-fluorouracil-induced oral mucositis. </w:t>
      </w:r>
      <w:r w:rsidRPr="006810DB">
        <w:rPr>
          <w:rFonts w:ascii="Book Antiqua" w:hAnsi="Book Antiqua"/>
          <w:i/>
          <w:iCs/>
          <w:color w:val="000000" w:themeColor="text1"/>
          <w:sz w:val="20"/>
          <w:szCs w:val="20"/>
          <w:lang w:val="en"/>
        </w:rPr>
        <w:t>Current Oncology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28</w:t>
      </w:r>
      <w:r w:rsidRPr="006810DB">
        <w:rPr>
          <w:rFonts w:ascii="Book Antiqua" w:hAnsi="Book Antiqua"/>
          <w:color w:val="000000" w:themeColor="text1"/>
          <w:sz w:val="20"/>
          <w:szCs w:val="20"/>
          <w:lang w:val="en"/>
        </w:rPr>
        <w:t>(4), 2539-2553.</w:t>
      </w:r>
    </w:p>
    <w:p w14:paraId="766E179D"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Kadarullah, O., Tamtomo, D., Wasita, B., Setiamika, M., Prayitno, A., Widyaningsih, V., &amp; Soetrisno, S. (2024). Cisplatin-Induced Oral Mucositis Prevention: Nigella sativa’s Anti-Inflammatory Role through NFκB Pathway. </w:t>
      </w:r>
      <w:r w:rsidRPr="006810DB">
        <w:rPr>
          <w:rFonts w:ascii="Book Antiqua" w:hAnsi="Book Antiqua"/>
          <w:i/>
          <w:iCs/>
          <w:color w:val="000000" w:themeColor="text1"/>
          <w:sz w:val="20"/>
          <w:szCs w:val="20"/>
          <w:lang w:val="en"/>
        </w:rPr>
        <w:t>Trends in Sciences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21</w:t>
      </w:r>
      <w:r w:rsidRPr="006810DB">
        <w:rPr>
          <w:rFonts w:ascii="Book Antiqua" w:hAnsi="Book Antiqua"/>
          <w:color w:val="000000" w:themeColor="text1"/>
          <w:sz w:val="20"/>
          <w:szCs w:val="20"/>
          <w:lang w:val="en"/>
        </w:rPr>
        <w:t>(1), 8105.</w:t>
      </w:r>
      <w:hyperlink r:id="rId411">
        <w:r w:rsidRPr="006810DB">
          <w:rPr>
            <w:rStyle w:val="Hyperlink"/>
            <w:rFonts w:ascii="Book Antiqua" w:hAnsi="Book Antiqua"/>
            <w:color w:val="000000" w:themeColor="text1"/>
            <w:sz w:val="20"/>
            <w:szCs w:val="20"/>
            <w:u w:val="none"/>
            <w:lang w:val="en"/>
          </w:rPr>
          <w:t xml:space="preserve"> </w:t>
        </w:r>
      </w:hyperlink>
      <w:hyperlink r:id="rId412">
        <w:r w:rsidRPr="006810DB">
          <w:rPr>
            <w:rStyle w:val="Hyperlink"/>
            <w:rFonts w:ascii="Book Antiqua" w:hAnsi="Book Antiqua"/>
            <w:color w:val="000000" w:themeColor="text1"/>
            <w:sz w:val="20"/>
            <w:szCs w:val="20"/>
            <w:u w:val="none"/>
            <w:lang w:val="en"/>
          </w:rPr>
          <w:t>https://doi.org/10.48048/tis.2024.8105</w:t>
        </w:r>
      </w:hyperlink>
    </w:p>
    <w:p w14:paraId="788CDF50"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Kazemi, S., Moghadamnia, A., Saebnouri, H., Roudsari, S., &amp; Afraz, E. (2022). Effect of intraperitoneal injection of Nigella sativa oil on 5-fluorouracil-induced oral mucositis in rats. </w:t>
      </w:r>
      <w:r w:rsidRPr="006810DB">
        <w:rPr>
          <w:rFonts w:ascii="Book Antiqua" w:hAnsi="Book Antiqua"/>
          <w:i/>
          <w:iCs/>
          <w:color w:val="000000" w:themeColor="text1"/>
          <w:sz w:val="20"/>
          <w:szCs w:val="20"/>
          <w:lang w:val="en"/>
        </w:rPr>
        <w:t xml:space="preserve">Journal of </w:t>
      </w:r>
      <w:r w:rsidRPr="006810DB">
        <w:rPr>
          <w:rFonts w:ascii="Book Antiqua" w:hAnsi="Book Antiqua"/>
          <w:i/>
          <w:iCs/>
          <w:color w:val="000000" w:themeColor="text1"/>
          <w:sz w:val="20"/>
          <w:szCs w:val="20"/>
          <w:lang w:val="en"/>
        </w:rPr>
        <w:lastRenderedPageBreak/>
        <w:t>Biological Studies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w:t>
      </w:r>
      <w:r w:rsidRPr="006810DB">
        <w:rPr>
          <w:rFonts w:ascii="Book Antiqua" w:hAnsi="Book Antiqua"/>
          <w:color w:val="000000" w:themeColor="text1"/>
          <w:sz w:val="20"/>
          <w:szCs w:val="20"/>
          <w:lang w:val="en"/>
        </w:rPr>
        <w:t>(1), 6365.</w:t>
      </w:r>
      <w:hyperlink r:id="rId413">
        <w:r w:rsidRPr="006810DB">
          <w:rPr>
            <w:rStyle w:val="Hyperlink"/>
            <w:rFonts w:ascii="Book Antiqua" w:hAnsi="Book Antiqua"/>
            <w:color w:val="000000" w:themeColor="text1"/>
            <w:sz w:val="20"/>
            <w:szCs w:val="20"/>
            <w:u w:val="none"/>
            <w:lang w:val="en"/>
          </w:rPr>
          <w:t xml:space="preserve"> </w:t>
        </w:r>
      </w:hyperlink>
      <w:hyperlink r:id="rId414">
        <w:r w:rsidRPr="006810DB">
          <w:rPr>
            <w:rStyle w:val="Hyperlink"/>
            <w:rFonts w:ascii="Book Antiqua" w:hAnsi="Book Antiqua"/>
            <w:color w:val="000000" w:themeColor="text1"/>
            <w:sz w:val="20"/>
            <w:szCs w:val="20"/>
            <w:u w:val="none"/>
            <w:lang w:val="en"/>
          </w:rPr>
          <w:t>https://doi.org/10.62400/jbs.v5i1.6365</w:t>
        </w:r>
      </w:hyperlink>
    </w:p>
    <w:p w14:paraId="4F5FF4E0"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Khan, J., Siddiqui, M. F., &amp; Ahmad, R. (2021). Role of oral microbiome in the pathogenesis of oral mucositis. </w:t>
      </w:r>
      <w:r w:rsidRPr="006810DB">
        <w:rPr>
          <w:rFonts w:ascii="Book Antiqua" w:hAnsi="Book Antiqua"/>
          <w:i/>
          <w:iCs/>
          <w:color w:val="000000" w:themeColor="text1"/>
          <w:sz w:val="20"/>
          <w:szCs w:val="20"/>
          <w:lang w:val="en"/>
        </w:rPr>
        <w:t>Journal of Oral Biology and Craniofacial Research</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11</w:t>
      </w:r>
      <w:r w:rsidRPr="006810DB">
        <w:rPr>
          <w:rFonts w:ascii="Book Antiqua" w:hAnsi="Book Antiqua"/>
          <w:color w:val="000000" w:themeColor="text1"/>
          <w:sz w:val="20"/>
          <w:szCs w:val="20"/>
          <w:lang w:val="en"/>
        </w:rPr>
        <w:t>(4), 548-553.</w:t>
      </w:r>
    </w:p>
    <w:p w14:paraId="2F42161C"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Kiralan, M., Ulaş, M., &amp; Özkan, G. (2014). The effect of cold pressing and soxhlet extraction methods on the fatty acid composition and volatile compounds of black cumin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seed oil. </w:t>
      </w:r>
      <w:r w:rsidRPr="006810DB">
        <w:rPr>
          <w:rFonts w:ascii="Book Antiqua" w:hAnsi="Book Antiqua"/>
          <w:i/>
          <w:iCs/>
          <w:color w:val="000000" w:themeColor="text1"/>
          <w:sz w:val="20"/>
          <w:szCs w:val="20"/>
          <w:lang w:val="en"/>
        </w:rPr>
        <w:t>Journal of the American Oil Chemists' Society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91</w:t>
      </w:r>
      <w:r w:rsidRPr="006810DB">
        <w:rPr>
          <w:rFonts w:ascii="Book Antiqua" w:hAnsi="Book Antiqua"/>
          <w:color w:val="000000" w:themeColor="text1"/>
          <w:sz w:val="20"/>
          <w:szCs w:val="20"/>
          <w:lang w:val="en"/>
        </w:rPr>
        <w:t>, 1607-1613.</w:t>
      </w:r>
    </w:p>
    <w:p w14:paraId="1556F6C2"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Kosalec, I., Pepeljnjak, S., &amp; Hansel, R. (2009). Contaminants in medicinal herbs and herbal products. </w:t>
      </w:r>
      <w:r w:rsidRPr="006810DB">
        <w:rPr>
          <w:rFonts w:ascii="Book Antiqua" w:hAnsi="Book Antiqua"/>
          <w:i/>
          <w:iCs/>
          <w:color w:val="000000" w:themeColor="text1"/>
          <w:sz w:val="20"/>
          <w:szCs w:val="20"/>
          <w:lang w:val="en"/>
        </w:rPr>
        <w:t>Arhiv za Higijenu Rada i Toksikologiju</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60</w:t>
      </w:r>
      <w:r w:rsidRPr="006810DB">
        <w:rPr>
          <w:rFonts w:ascii="Book Antiqua" w:hAnsi="Book Antiqua"/>
          <w:color w:val="000000" w:themeColor="text1"/>
          <w:sz w:val="20"/>
          <w:szCs w:val="20"/>
          <w:lang w:val="en"/>
        </w:rPr>
        <w:t>(4), 485-501.</w:t>
      </w:r>
    </w:p>
    <w:p w14:paraId="44452800"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Krzykwa, A., Mikołajczyk, T. P., &amp; Pękala, E. (2022). Cisplatin, A Common Anticancer Drug with Significant Side Effects. What Is the Role of the Pharmacist in a Patient-Centered Approach?. </w:t>
      </w:r>
      <w:r w:rsidRPr="006810DB">
        <w:rPr>
          <w:rFonts w:ascii="Book Antiqua" w:hAnsi="Book Antiqua"/>
          <w:i/>
          <w:iCs/>
          <w:color w:val="000000" w:themeColor="text1"/>
          <w:sz w:val="20"/>
          <w:szCs w:val="20"/>
          <w:lang w:val="en"/>
        </w:rPr>
        <w:t>Molecules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27</w:t>
      </w:r>
      <w:r w:rsidRPr="006810DB">
        <w:rPr>
          <w:rFonts w:ascii="Book Antiqua" w:hAnsi="Book Antiqua"/>
          <w:color w:val="000000" w:themeColor="text1"/>
          <w:sz w:val="20"/>
          <w:szCs w:val="20"/>
          <w:lang w:val="en"/>
        </w:rPr>
        <w:t>(19), 6239.</w:t>
      </w:r>
    </w:p>
    <w:p w14:paraId="2C1C5255"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Lalla, R. V., Bowen, J., Barasch, A., Elting, L., Epstein, J., Keefe, D. M., ... &amp; Elad, S. (2014). MASCC/ISOO clinical practice guidelines for the management of mucositis secondary to cancer therapy. </w:t>
      </w:r>
      <w:r w:rsidRPr="006810DB">
        <w:rPr>
          <w:rFonts w:ascii="Book Antiqua" w:hAnsi="Book Antiqua"/>
          <w:i/>
          <w:iCs/>
          <w:color w:val="000000" w:themeColor="text1"/>
          <w:sz w:val="20"/>
          <w:szCs w:val="20"/>
          <w:lang w:val="en"/>
        </w:rPr>
        <w:t>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120</w:t>
      </w:r>
      <w:r w:rsidRPr="006810DB">
        <w:rPr>
          <w:rFonts w:ascii="Book Antiqua" w:hAnsi="Book Antiqua"/>
          <w:color w:val="000000" w:themeColor="text1"/>
          <w:sz w:val="20"/>
          <w:szCs w:val="20"/>
          <w:lang w:val="en"/>
        </w:rPr>
        <w:t>(10), 1453-1461.</w:t>
      </w:r>
      <w:hyperlink r:id="rId415">
        <w:r w:rsidRPr="006810DB">
          <w:rPr>
            <w:rStyle w:val="Hyperlink"/>
            <w:rFonts w:ascii="Book Antiqua" w:hAnsi="Book Antiqua"/>
            <w:color w:val="000000" w:themeColor="text1"/>
            <w:sz w:val="20"/>
            <w:szCs w:val="20"/>
            <w:u w:val="none"/>
            <w:lang w:val="en"/>
          </w:rPr>
          <w:t xml:space="preserve"> </w:t>
        </w:r>
      </w:hyperlink>
      <w:hyperlink r:id="rId416">
        <w:r w:rsidRPr="006810DB">
          <w:rPr>
            <w:rStyle w:val="Hyperlink"/>
            <w:rFonts w:ascii="Book Antiqua" w:hAnsi="Book Antiqua"/>
            <w:color w:val="000000" w:themeColor="text1"/>
            <w:sz w:val="20"/>
            <w:szCs w:val="20"/>
            <w:u w:val="none"/>
            <w:lang w:val="en"/>
          </w:rPr>
          <w:t>https://doi.org/10.1002/cncr.28592</w:t>
        </w:r>
      </w:hyperlink>
    </w:p>
    <w:p w14:paraId="558F418C"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Lalla, R. V., Bowen, J., Barasch, A., Elting, L., Epstein, J., Keefe, D. M., ... &amp; Elad, S. (2020). MASCC/ISOO clinical practice guidelines for the management of mucositis secondary to cancer therapy. </w:t>
      </w:r>
      <w:r w:rsidRPr="006810DB">
        <w:rPr>
          <w:rFonts w:ascii="Book Antiqua" w:hAnsi="Book Antiqua"/>
          <w:i/>
          <w:iCs/>
          <w:color w:val="000000" w:themeColor="text1"/>
          <w:sz w:val="20"/>
          <w:szCs w:val="20"/>
          <w:lang w:val="en"/>
        </w:rPr>
        <w:t>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126</w:t>
      </w:r>
      <w:r w:rsidRPr="006810DB">
        <w:rPr>
          <w:rFonts w:ascii="Book Antiqua" w:hAnsi="Book Antiqua"/>
          <w:color w:val="000000" w:themeColor="text1"/>
          <w:sz w:val="20"/>
          <w:szCs w:val="20"/>
          <w:lang w:val="en"/>
        </w:rPr>
        <w:t>(19), 4425–4433.</w:t>
      </w:r>
    </w:p>
    <w:p w14:paraId="73D27A50"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Lamine, J. B., Boujbiha, M. A., Dahmani, M., Cheraief, I., Khlifi, S., Chahdoura, R., ... &amp; Achour, L. (2019). Quality control of Nigella sativa oil: LC/MS analysis of thymoquinone and its degradation products. </w:t>
      </w:r>
      <w:r w:rsidRPr="006810DB">
        <w:rPr>
          <w:rFonts w:ascii="Book Antiqua" w:hAnsi="Book Antiqua"/>
          <w:i/>
          <w:iCs/>
          <w:color w:val="000000" w:themeColor="text1"/>
          <w:sz w:val="20"/>
          <w:szCs w:val="20"/>
          <w:lang w:val="en"/>
        </w:rPr>
        <w:t>Journal of Food Measurement and Characterization</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13</w:t>
      </w:r>
      <w:r w:rsidRPr="006810DB">
        <w:rPr>
          <w:rFonts w:ascii="Book Antiqua" w:hAnsi="Book Antiqua"/>
          <w:color w:val="000000" w:themeColor="text1"/>
          <w:sz w:val="20"/>
          <w:szCs w:val="20"/>
          <w:lang w:val="en"/>
        </w:rPr>
        <w:t>, 425–434.</w:t>
      </w:r>
    </w:p>
    <w:p w14:paraId="6CAB42D3"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Leitao, R. F. C., Brito, G. A. C., &amp; Cunha, F. Q. (2012). The development of an experimental model of oral mucositis in mice. In </w:t>
      </w:r>
      <w:r w:rsidRPr="006810DB">
        <w:rPr>
          <w:rFonts w:ascii="Book Antiqua" w:hAnsi="Book Antiqua"/>
          <w:i/>
          <w:iCs/>
          <w:color w:val="000000" w:themeColor="text1"/>
          <w:sz w:val="20"/>
          <w:szCs w:val="20"/>
          <w:lang w:val="en"/>
        </w:rPr>
        <w:t>Oral Mucositis</w:t>
      </w:r>
      <w:r w:rsidRPr="006810DB">
        <w:rPr>
          <w:rFonts w:ascii="Book Antiqua" w:hAnsi="Book Antiqua"/>
          <w:color w:val="000000" w:themeColor="text1"/>
          <w:sz w:val="20"/>
          <w:szCs w:val="20"/>
          <w:lang w:val="en"/>
        </w:rPr>
        <w:t xml:space="preserve"> (pp. 11-20). Springer, Vienna.</w:t>
      </w:r>
    </w:p>
    <w:p w14:paraId="012F8AEC"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Leuker, L., Wöstmann, B., &amp; Perea-Pérez, B. (2022). The oral microbiome in cancer therapy-induced oral mucositis. </w:t>
      </w:r>
      <w:r w:rsidRPr="006810DB">
        <w:rPr>
          <w:rFonts w:ascii="Book Antiqua" w:hAnsi="Book Antiqua"/>
          <w:i/>
          <w:iCs/>
          <w:color w:val="000000" w:themeColor="text1"/>
          <w:sz w:val="20"/>
          <w:szCs w:val="20"/>
          <w:lang w:val="en"/>
        </w:rPr>
        <w:t>Frontiers in Oral Health</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w:t>
      </w:r>
      <w:r w:rsidRPr="006810DB">
        <w:rPr>
          <w:rFonts w:ascii="Book Antiqua" w:hAnsi="Book Antiqua"/>
          <w:color w:val="000000" w:themeColor="text1"/>
          <w:sz w:val="20"/>
          <w:szCs w:val="20"/>
          <w:lang w:val="en"/>
        </w:rPr>
        <w:t>, 995160.</w:t>
      </w:r>
    </w:p>
    <w:p w14:paraId="17F1335D"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Liu, T., Zhang, L., Joo, D., &amp; Sun, S. C. (2017). NF-κB signaling in inflammation. </w:t>
      </w:r>
      <w:r w:rsidRPr="006810DB">
        <w:rPr>
          <w:rFonts w:ascii="Book Antiqua" w:hAnsi="Book Antiqua"/>
          <w:i/>
          <w:iCs/>
          <w:color w:val="000000" w:themeColor="text1"/>
          <w:sz w:val="20"/>
          <w:szCs w:val="20"/>
          <w:lang w:val="en"/>
        </w:rPr>
        <w:t>Signal Transduction and Targeted Therapy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w:t>
      </w:r>
      <w:r w:rsidRPr="006810DB">
        <w:rPr>
          <w:rFonts w:ascii="Book Antiqua" w:hAnsi="Book Antiqua"/>
          <w:color w:val="000000" w:themeColor="text1"/>
          <w:sz w:val="20"/>
          <w:szCs w:val="20"/>
          <w:lang w:val="en"/>
        </w:rPr>
        <w:t>, 17023.</w:t>
      </w:r>
      <w:hyperlink r:id="rId417">
        <w:r w:rsidRPr="006810DB">
          <w:rPr>
            <w:rStyle w:val="Hyperlink"/>
            <w:rFonts w:ascii="Book Antiqua" w:hAnsi="Book Antiqua"/>
            <w:color w:val="000000" w:themeColor="text1"/>
            <w:sz w:val="20"/>
            <w:szCs w:val="20"/>
            <w:u w:val="none"/>
            <w:lang w:val="en"/>
          </w:rPr>
          <w:t xml:space="preserve"> </w:t>
        </w:r>
      </w:hyperlink>
      <w:hyperlink r:id="rId418">
        <w:r w:rsidRPr="006810DB">
          <w:rPr>
            <w:rStyle w:val="Hyperlink"/>
            <w:rFonts w:ascii="Book Antiqua" w:hAnsi="Book Antiqua"/>
            <w:color w:val="000000" w:themeColor="text1"/>
            <w:sz w:val="20"/>
            <w:szCs w:val="20"/>
            <w:u w:val="none"/>
            <w:lang w:val="en"/>
          </w:rPr>
          <w:t>https://doi.org/10.1038/sigtrans.2017.23</w:t>
        </w:r>
      </w:hyperlink>
    </w:p>
    <w:p w14:paraId="1B4C3009"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Logan, R. M., Gibson, R. J., Sonis, S. T., &amp; Keefe, D. M. (2008). Nuclear factor-kappaB (NF-κB) and cyclooxygenase-2 (COX-2) in the pathobiology of cancer therapy-induced oral mucositis. </w:t>
      </w:r>
      <w:r w:rsidRPr="006810DB">
        <w:rPr>
          <w:rFonts w:ascii="Book Antiqua" w:hAnsi="Book Antiqua"/>
          <w:i/>
          <w:iCs/>
          <w:color w:val="000000" w:themeColor="text1"/>
          <w:sz w:val="20"/>
          <w:szCs w:val="20"/>
          <w:lang w:val="en"/>
        </w:rPr>
        <w:t>Oral Oncology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44</w:t>
      </w:r>
      <w:r w:rsidRPr="006810DB">
        <w:rPr>
          <w:rFonts w:ascii="Book Antiqua" w:hAnsi="Book Antiqua"/>
          <w:color w:val="000000" w:themeColor="text1"/>
          <w:sz w:val="20"/>
          <w:szCs w:val="20"/>
          <w:lang w:val="en"/>
        </w:rPr>
        <w:t>(1), 1-8.</w:t>
      </w:r>
    </w:p>
    <w:p w14:paraId="54DB7F8E"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Logan, R. M., Stringer, A. M., &amp; Bowen, J. M. (2007). A new animal model for chemotherapy-induced enterocolitis. </w:t>
      </w:r>
      <w:r w:rsidRPr="006810DB">
        <w:rPr>
          <w:rFonts w:ascii="Book Antiqua" w:hAnsi="Book Antiqua"/>
          <w:i/>
          <w:iCs/>
          <w:color w:val="000000" w:themeColor="text1"/>
          <w:sz w:val="20"/>
          <w:szCs w:val="20"/>
          <w:lang w:val="en"/>
        </w:rPr>
        <w:t>Cancer Chemotherapy and 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60</w:t>
      </w:r>
      <w:r w:rsidRPr="006810DB">
        <w:rPr>
          <w:rFonts w:ascii="Book Antiqua" w:hAnsi="Book Antiqua"/>
          <w:color w:val="000000" w:themeColor="text1"/>
          <w:sz w:val="20"/>
          <w:szCs w:val="20"/>
          <w:lang w:val="en"/>
        </w:rPr>
        <w:t>(5), 651–660.</w:t>
      </w:r>
    </w:p>
    <w:p w14:paraId="03B94836"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Lopes, N. N. F., Plapler, H., Lalla, R. V., Chavantes, M. C., &amp; Yoshimura, E. M. (2010). A new animal model for chemotherapy-induced oral mucositis. </w:t>
      </w:r>
      <w:r w:rsidRPr="006810DB">
        <w:rPr>
          <w:rFonts w:ascii="Book Antiqua" w:hAnsi="Book Antiqua"/>
          <w:i/>
          <w:iCs/>
          <w:color w:val="000000" w:themeColor="text1"/>
          <w:sz w:val="20"/>
          <w:szCs w:val="20"/>
          <w:lang w:val="en"/>
        </w:rPr>
        <w:t>The Open Pathology Journal</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4</w:t>
      </w:r>
      <w:r w:rsidRPr="006810DB">
        <w:rPr>
          <w:rFonts w:ascii="Book Antiqua" w:hAnsi="Book Antiqua"/>
          <w:color w:val="000000" w:themeColor="text1"/>
          <w:sz w:val="20"/>
          <w:szCs w:val="20"/>
          <w:lang w:val="en"/>
        </w:rPr>
        <w:t>, 99-105.</w:t>
      </w:r>
    </w:p>
    <w:p w14:paraId="761404B3"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Mace, M. L., Zhong, C., &amp; Lee, A. (2017). A practical guide to the analysis of preclinical animal experiments in nephrology. </w:t>
      </w:r>
      <w:r w:rsidRPr="006810DB">
        <w:rPr>
          <w:rFonts w:ascii="Book Antiqua" w:hAnsi="Book Antiqua"/>
          <w:i/>
          <w:iCs/>
          <w:color w:val="000000" w:themeColor="text1"/>
          <w:sz w:val="20"/>
          <w:szCs w:val="20"/>
          <w:lang w:val="en"/>
        </w:rPr>
        <w:t>Kidney International</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91</w:t>
      </w:r>
      <w:r w:rsidRPr="006810DB">
        <w:rPr>
          <w:rFonts w:ascii="Book Antiqua" w:hAnsi="Book Antiqua"/>
          <w:color w:val="000000" w:themeColor="text1"/>
          <w:sz w:val="20"/>
          <w:szCs w:val="20"/>
          <w:lang w:val="en"/>
        </w:rPr>
        <w:t>(6), 1293-1301.</w:t>
      </w:r>
    </w:p>
    <w:p w14:paraId="790532FF"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Madani, F., Kazemi, S., Shirafkan, F., Lotfi, M., Hosseini, S., &amp; Moghadamnia, A. (2023). Thymoquinone protects against 5</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Fluorouracil</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induced mucositis by NF</w:t>
      </w:r>
      <w:r w:rsidRPr="006810DB">
        <w:rPr>
          <w:rFonts w:ascii="Times New Roman" w:hAnsi="Times New Roman" w:cs="Times New Roman"/>
          <w:color w:val="000000" w:themeColor="text1"/>
          <w:sz w:val="20"/>
          <w:szCs w:val="20"/>
          <w:lang w:val="en"/>
        </w:rPr>
        <w:t>‐</w:t>
      </w:r>
      <w:r w:rsidRPr="006810DB">
        <w:rPr>
          <w:rFonts w:ascii="Book Antiqua" w:hAnsi="Book Antiqua" w:cs="Book Antiqua"/>
          <w:color w:val="000000" w:themeColor="text1"/>
          <w:sz w:val="20"/>
          <w:szCs w:val="20"/>
          <w:lang w:val="en"/>
        </w:rPr>
        <w:t>κβ</w:t>
      </w:r>
      <w:r w:rsidRPr="006810DB">
        <w:rPr>
          <w:rFonts w:ascii="Book Antiqua" w:hAnsi="Book Antiqua"/>
          <w:color w:val="000000" w:themeColor="text1"/>
          <w:sz w:val="20"/>
          <w:szCs w:val="20"/>
          <w:lang w:val="en"/>
        </w:rPr>
        <w:t xml:space="preserve"> and HIF</w:t>
      </w:r>
      <w:r w:rsidRPr="006810DB">
        <w:rPr>
          <w:rFonts w:ascii="Times New Roman" w:hAnsi="Times New Roman" w:cs="Times New Roman"/>
          <w:color w:val="000000" w:themeColor="text1"/>
          <w:sz w:val="20"/>
          <w:szCs w:val="20"/>
          <w:lang w:val="en"/>
        </w:rPr>
        <w:t>‐</w:t>
      </w:r>
      <w:r w:rsidRPr="006810DB">
        <w:rPr>
          <w:rFonts w:ascii="Book Antiqua" w:hAnsi="Book Antiqua"/>
          <w:color w:val="000000" w:themeColor="text1"/>
          <w:sz w:val="20"/>
          <w:szCs w:val="20"/>
          <w:lang w:val="en"/>
        </w:rPr>
        <w:t xml:space="preserve">1 mechanisms in mice. </w:t>
      </w:r>
      <w:r w:rsidRPr="006810DB">
        <w:rPr>
          <w:rFonts w:ascii="Book Antiqua" w:hAnsi="Book Antiqua"/>
          <w:i/>
          <w:iCs/>
          <w:color w:val="000000" w:themeColor="text1"/>
          <w:sz w:val="20"/>
          <w:szCs w:val="20"/>
          <w:lang w:val="en"/>
        </w:rPr>
        <w:t>Journal of Biochemical and Molecular Toxicology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37</w:t>
      </w:r>
      <w:r w:rsidRPr="006810DB">
        <w:rPr>
          <w:rFonts w:ascii="Book Antiqua" w:hAnsi="Book Antiqua"/>
          <w:color w:val="000000" w:themeColor="text1"/>
          <w:sz w:val="20"/>
          <w:szCs w:val="20"/>
          <w:lang w:val="en"/>
        </w:rPr>
        <w:t>(6), e23405.</w:t>
      </w:r>
      <w:hyperlink r:id="rId419">
        <w:r w:rsidRPr="006810DB">
          <w:rPr>
            <w:rStyle w:val="Hyperlink"/>
            <w:rFonts w:ascii="Book Antiqua" w:hAnsi="Book Antiqua"/>
            <w:color w:val="000000" w:themeColor="text1"/>
            <w:sz w:val="20"/>
            <w:szCs w:val="20"/>
            <w:u w:val="none"/>
            <w:lang w:val="en"/>
          </w:rPr>
          <w:t xml:space="preserve"> </w:t>
        </w:r>
      </w:hyperlink>
      <w:hyperlink r:id="rId420">
        <w:r w:rsidRPr="006810DB">
          <w:rPr>
            <w:rStyle w:val="Hyperlink"/>
            <w:rFonts w:ascii="Book Antiqua" w:hAnsi="Book Antiqua"/>
            <w:color w:val="000000" w:themeColor="text1"/>
            <w:sz w:val="20"/>
            <w:szCs w:val="20"/>
            <w:u w:val="none"/>
            <w:lang w:val="en"/>
          </w:rPr>
          <w:t>https://doi.org/10.1002/jbt.23405</w:t>
        </w:r>
      </w:hyperlink>
    </w:p>
    <w:p w14:paraId="57825719"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Majdalawieh, A. F., &amp; Fayyad, M. W. (2015). Immunomodulatory and anti-inflammatory action of Nigella sativa and thymoquinone: A comprehensive review. </w:t>
      </w:r>
      <w:r w:rsidRPr="006810DB">
        <w:rPr>
          <w:rFonts w:ascii="Book Antiqua" w:hAnsi="Book Antiqua"/>
          <w:i/>
          <w:iCs/>
          <w:color w:val="000000" w:themeColor="text1"/>
          <w:sz w:val="20"/>
          <w:szCs w:val="20"/>
          <w:lang w:val="en"/>
        </w:rPr>
        <w:t>International Immunopharmacology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28</w:t>
      </w:r>
      <w:r w:rsidRPr="006810DB">
        <w:rPr>
          <w:rFonts w:ascii="Book Antiqua" w:hAnsi="Book Antiqua"/>
          <w:color w:val="000000" w:themeColor="text1"/>
          <w:sz w:val="20"/>
          <w:szCs w:val="20"/>
          <w:lang w:val="en"/>
        </w:rPr>
        <w:t>(1), 295-304.</w:t>
      </w:r>
    </w:p>
    <w:p w14:paraId="3E543AAA"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Marullo, R., Werner, E., Degtyareva, N., Moore, B., Altavilla, G., Ramalingam, S. S., &amp; Doetsch, P. W. (2013). Cisplatin induces a mitochondrial-ROS response that contributes to cytotoxicity </w:t>
      </w:r>
      <w:r w:rsidRPr="006810DB">
        <w:rPr>
          <w:rFonts w:ascii="Book Antiqua" w:hAnsi="Book Antiqua"/>
          <w:color w:val="000000" w:themeColor="text1"/>
          <w:sz w:val="20"/>
          <w:szCs w:val="20"/>
          <w:lang w:val="en"/>
        </w:rPr>
        <w:lastRenderedPageBreak/>
        <w:t xml:space="preserve">and DNA damage in human breast cancer cells. </w:t>
      </w:r>
      <w:r w:rsidRPr="006810DB">
        <w:rPr>
          <w:rFonts w:ascii="Book Antiqua" w:hAnsi="Book Antiqua"/>
          <w:i/>
          <w:iCs/>
          <w:color w:val="000000" w:themeColor="text1"/>
          <w:sz w:val="20"/>
          <w:szCs w:val="20"/>
          <w:lang w:val="en"/>
        </w:rPr>
        <w:t>PLoS ONE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w:t>
      </w:r>
      <w:r w:rsidRPr="006810DB">
        <w:rPr>
          <w:rFonts w:ascii="Book Antiqua" w:hAnsi="Book Antiqua"/>
          <w:color w:val="000000" w:themeColor="text1"/>
          <w:sz w:val="20"/>
          <w:szCs w:val="20"/>
          <w:lang w:val="en"/>
        </w:rPr>
        <w:t>(11), e81162.</w:t>
      </w:r>
    </w:p>
    <w:p w14:paraId="405B6AC4"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Morais, M. O., de Melo, F. M. P., &amp; de Almeida, G. K. M. (2015). A new protocol for induction of oral mucositis in rats with 5-fluorouracil and mechanical trauma. </w:t>
      </w:r>
      <w:r w:rsidRPr="006810DB">
        <w:rPr>
          <w:rFonts w:ascii="Book Antiqua" w:hAnsi="Book Antiqua"/>
          <w:i/>
          <w:iCs/>
          <w:color w:val="000000" w:themeColor="text1"/>
          <w:sz w:val="20"/>
          <w:szCs w:val="20"/>
          <w:lang w:val="en"/>
        </w:rPr>
        <w:t>Acta Cirurgica Brasileira</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30</w:t>
      </w:r>
      <w:r w:rsidRPr="006810DB">
        <w:rPr>
          <w:rFonts w:ascii="Book Antiqua" w:hAnsi="Book Antiqua"/>
          <w:color w:val="000000" w:themeColor="text1"/>
          <w:sz w:val="20"/>
          <w:szCs w:val="20"/>
          <w:lang w:val="en"/>
        </w:rPr>
        <w:t>, 834-840.</w:t>
      </w:r>
    </w:p>
    <w:p w14:paraId="0E1BC755"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Muslim, I. H. (n.d.). </w:t>
      </w:r>
      <w:r w:rsidRPr="006810DB">
        <w:rPr>
          <w:rFonts w:ascii="Book Antiqua" w:hAnsi="Book Antiqua"/>
          <w:i/>
          <w:iCs/>
          <w:color w:val="000000" w:themeColor="text1"/>
          <w:sz w:val="20"/>
          <w:szCs w:val="20"/>
          <w:lang w:val="en"/>
        </w:rPr>
        <w:t>Sahih Muslim</w:t>
      </w:r>
      <w:r w:rsidRPr="006810DB">
        <w:rPr>
          <w:rFonts w:ascii="Book Antiqua" w:hAnsi="Book Antiqua"/>
          <w:color w:val="000000" w:themeColor="text1"/>
          <w:sz w:val="20"/>
          <w:szCs w:val="20"/>
          <w:lang w:val="en"/>
        </w:rPr>
        <w:t>. (Book 26, Hadith 5489).</w:t>
      </w:r>
    </w:p>
    <w:p w14:paraId="5ABAD175"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National Cancer Institute. (2017). </w:t>
      </w:r>
      <w:r w:rsidRPr="006810DB">
        <w:rPr>
          <w:rFonts w:ascii="Book Antiqua" w:hAnsi="Book Antiqua"/>
          <w:i/>
          <w:iCs/>
          <w:color w:val="000000" w:themeColor="text1"/>
          <w:sz w:val="20"/>
          <w:szCs w:val="20"/>
          <w:lang w:val="en"/>
        </w:rPr>
        <w:t>Common Terminology Criteria for Adverse Events (CTCAE) Version 5.0</w:t>
      </w:r>
      <w:r w:rsidRPr="006810DB">
        <w:rPr>
          <w:rFonts w:ascii="Book Antiqua" w:hAnsi="Book Antiqua"/>
          <w:color w:val="000000" w:themeColor="text1"/>
          <w:sz w:val="20"/>
          <w:szCs w:val="20"/>
          <w:lang w:val="en"/>
        </w:rPr>
        <w:t>.</w:t>
      </w:r>
    </w:p>
    <w:p w14:paraId="4C025D94"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Niki, E. (2014). Role of vitamin E as a lipid-soluble radical scavenger in the suppression of lipid peroxidation. </w:t>
      </w:r>
      <w:r w:rsidRPr="006810DB">
        <w:rPr>
          <w:rFonts w:ascii="Book Antiqua" w:hAnsi="Book Antiqua"/>
          <w:i/>
          <w:iCs/>
          <w:color w:val="000000" w:themeColor="text1"/>
          <w:sz w:val="20"/>
          <w:szCs w:val="20"/>
          <w:lang w:val="en"/>
        </w:rPr>
        <w:t>Journal of Clinical Biochemistry and Nutrition</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54</w:t>
      </w:r>
      <w:r w:rsidRPr="006810DB">
        <w:rPr>
          <w:rFonts w:ascii="Book Antiqua" w:hAnsi="Book Antiqua"/>
          <w:color w:val="000000" w:themeColor="text1"/>
          <w:sz w:val="20"/>
          <w:szCs w:val="20"/>
          <w:lang w:val="en"/>
        </w:rPr>
        <w:t>(3), 133–138.</w:t>
      </w:r>
    </w:p>
    <w:p w14:paraId="11CCDC12"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Oeckinghaus, A., &amp; Ghosh, S. (2009). The NF-kappaB family of transcription factors and its regulation. </w:t>
      </w:r>
      <w:r w:rsidRPr="006810DB">
        <w:rPr>
          <w:rFonts w:ascii="Book Antiqua" w:hAnsi="Book Antiqua"/>
          <w:i/>
          <w:iCs/>
          <w:color w:val="000000" w:themeColor="text1"/>
          <w:sz w:val="20"/>
          <w:szCs w:val="20"/>
          <w:lang w:val="en"/>
        </w:rPr>
        <w:t>Cold Spring Harbor Perspectives in Biology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w:t>
      </w:r>
      <w:r w:rsidRPr="006810DB">
        <w:rPr>
          <w:rFonts w:ascii="Book Antiqua" w:hAnsi="Book Antiqua"/>
          <w:color w:val="000000" w:themeColor="text1"/>
          <w:sz w:val="20"/>
          <w:szCs w:val="20"/>
          <w:lang w:val="en"/>
        </w:rPr>
        <w:t>(4), a000034.</w:t>
      </w:r>
    </w:p>
    <w:p w14:paraId="7B236831"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Oun, R., Moussa, Y. E., &amp; Wheate, N. J. (2018). The side effects of platinum-based chemotherapy drugs: a review for chemists. </w:t>
      </w:r>
      <w:r w:rsidRPr="006810DB">
        <w:rPr>
          <w:rFonts w:ascii="Book Antiqua" w:hAnsi="Book Antiqua"/>
          <w:i/>
          <w:iCs/>
          <w:color w:val="000000" w:themeColor="text1"/>
          <w:sz w:val="20"/>
          <w:szCs w:val="20"/>
          <w:lang w:val="en"/>
        </w:rPr>
        <w:t>Dalton Transactions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47</w:t>
      </w:r>
      <w:r w:rsidRPr="006810DB">
        <w:rPr>
          <w:rFonts w:ascii="Book Antiqua" w:hAnsi="Book Antiqua"/>
          <w:color w:val="000000" w:themeColor="text1"/>
          <w:sz w:val="20"/>
          <w:szCs w:val="20"/>
          <w:lang w:val="en"/>
        </w:rPr>
        <w:t>(19), 6645–6653.</w:t>
      </w:r>
    </w:p>
    <w:p w14:paraId="18610ED9"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Parry, E. J. (1921). </w:t>
      </w:r>
      <w:r w:rsidRPr="006810DB">
        <w:rPr>
          <w:rFonts w:ascii="Book Antiqua" w:hAnsi="Book Antiqua"/>
          <w:i/>
          <w:iCs/>
          <w:color w:val="000000" w:themeColor="text1"/>
          <w:sz w:val="20"/>
          <w:szCs w:val="20"/>
          <w:lang w:val="en"/>
        </w:rPr>
        <w:t>The Chemistry of Essential Oils and Artificial Perfumes</w:t>
      </w:r>
      <w:r w:rsidRPr="006810DB">
        <w:rPr>
          <w:rFonts w:ascii="Book Antiqua" w:hAnsi="Book Antiqua"/>
          <w:color w:val="000000" w:themeColor="text1"/>
          <w:sz w:val="20"/>
          <w:szCs w:val="20"/>
          <w:lang w:val="en"/>
        </w:rPr>
        <w:t>. Scott, Greenwood &amp; Son.</w:t>
      </w:r>
    </w:p>
    <w:p w14:paraId="5E8355CD"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Plüddemann, A. (2018). Levels of evidence. </w:t>
      </w:r>
      <w:r w:rsidRPr="006810DB">
        <w:rPr>
          <w:rFonts w:ascii="Book Antiqua" w:hAnsi="Book Antiqua"/>
          <w:i/>
          <w:iCs/>
          <w:color w:val="000000" w:themeColor="text1"/>
          <w:sz w:val="20"/>
          <w:szCs w:val="20"/>
          <w:lang w:val="en"/>
        </w:rPr>
        <w:t>The Centre for Evidence-Based Medicine (CEBM)</w:t>
      </w:r>
      <w:r w:rsidRPr="006810DB">
        <w:rPr>
          <w:rFonts w:ascii="Book Antiqua" w:hAnsi="Book Antiqua"/>
          <w:color w:val="000000" w:themeColor="text1"/>
          <w:sz w:val="20"/>
          <w:szCs w:val="20"/>
          <w:lang w:val="en"/>
        </w:rPr>
        <w:t>.</w:t>
      </w:r>
    </w:p>
    <w:p w14:paraId="6F7F7170"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Pratama, M. R. F., Rihibiha, D. D., &amp; Levita, J. (2021). Nigella sativa and Its Active Compound Thymoquinone as a Potential Preventive and Treatment Strategy for Oral Mucositis: A Narrative Review. </w:t>
      </w:r>
      <w:r w:rsidRPr="006810DB">
        <w:rPr>
          <w:rFonts w:ascii="Book Antiqua" w:hAnsi="Book Antiqua"/>
          <w:i/>
          <w:iCs/>
          <w:color w:val="000000" w:themeColor="text1"/>
          <w:sz w:val="20"/>
          <w:szCs w:val="20"/>
          <w:lang w:val="en"/>
        </w:rPr>
        <w:t>Journal of Tropical Pharmacy and Chemistry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w:t>
      </w:r>
      <w:r w:rsidRPr="006810DB">
        <w:rPr>
          <w:rFonts w:ascii="Book Antiqua" w:hAnsi="Book Antiqua"/>
          <w:color w:val="000000" w:themeColor="text1"/>
          <w:sz w:val="20"/>
          <w:szCs w:val="20"/>
          <w:lang w:val="en"/>
        </w:rPr>
        <w:t>(4), 287-295.</w:t>
      </w:r>
    </w:p>
    <w:p w14:paraId="072FB8F9"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Puspitasari, I. M., Setyaningsih, D., &amp; Farmasi, F. (2021). Antioxidant activity of thymoquinone on malondialdehyde and superoxide dismutase level in cisplatin-induced nephrotoxic rats. </w:t>
      </w:r>
      <w:r w:rsidRPr="006810DB">
        <w:rPr>
          <w:rFonts w:ascii="Book Antiqua" w:hAnsi="Book Antiqua"/>
          <w:i/>
          <w:iCs/>
          <w:color w:val="000000" w:themeColor="text1"/>
          <w:sz w:val="20"/>
          <w:szCs w:val="20"/>
          <w:lang w:val="en"/>
        </w:rPr>
        <w:t>Indonesian Journal of Pharmacy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32</w:t>
      </w:r>
      <w:r w:rsidRPr="006810DB">
        <w:rPr>
          <w:rFonts w:ascii="Book Antiqua" w:hAnsi="Book Antiqua"/>
          <w:color w:val="000000" w:themeColor="text1"/>
          <w:sz w:val="20"/>
          <w:szCs w:val="20"/>
          <w:lang w:val="en"/>
        </w:rPr>
        <w:t>(1), 74-81.</w:t>
      </w:r>
    </w:p>
    <w:p w14:paraId="4CD7CF7F"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Putra, K. P., Prayitno, A., &amp; Widodo, A. D. (2022). The effect of Nigella sativa oil on malondialdehyde levels in wistar rats induced with cisplatin. </w:t>
      </w:r>
      <w:r w:rsidRPr="006810DB">
        <w:rPr>
          <w:rFonts w:ascii="Book Antiqua" w:hAnsi="Book Antiqua"/>
          <w:i/>
          <w:iCs/>
          <w:color w:val="000000" w:themeColor="text1"/>
          <w:sz w:val="20"/>
          <w:szCs w:val="20"/>
          <w:lang w:val="en"/>
        </w:rPr>
        <w:t>Journal of Medicine and Health</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4</w:t>
      </w:r>
      <w:r w:rsidRPr="006810DB">
        <w:rPr>
          <w:rFonts w:ascii="Book Antiqua" w:hAnsi="Book Antiqua"/>
          <w:color w:val="000000" w:themeColor="text1"/>
          <w:sz w:val="20"/>
          <w:szCs w:val="20"/>
          <w:lang w:val="en"/>
        </w:rPr>
        <w:t>(2), 176-183.</w:t>
      </w:r>
      <w:hyperlink r:id="rId421">
        <w:r w:rsidRPr="006810DB">
          <w:rPr>
            <w:rStyle w:val="Hyperlink"/>
            <w:rFonts w:ascii="Book Antiqua" w:hAnsi="Book Antiqua"/>
            <w:color w:val="000000" w:themeColor="text1"/>
            <w:sz w:val="20"/>
            <w:szCs w:val="20"/>
            <w:u w:val="none"/>
            <w:lang w:val="en"/>
          </w:rPr>
          <w:t xml:space="preserve"> </w:t>
        </w:r>
      </w:hyperlink>
      <w:hyperlink r:id="rId422">
        <w:r w:rsidRPr="006810DB">
          <w:rPr>
            <w:rStyle w:val="Hyperlink"/>
            <w:rFonts w:ascii="Book Antiqua" w:hAnsi="Book Antiqua"/>
            <w:color w:val="000000" w:themeColor="text1"/>
            <w:sz w:val="20"/>
            <w:szCs w:val="20"/>
            <w:u w:val="none"/>
            <w:lang w:val="en"/>
          </w:rPr>
          <w:t>https://doi.org/10.28932/jmh.v4i2.4632</w:t>
        </w:r>
      </w:hyperlink>
    </w:p>
    <w:p w14:paraId="0E4006F8"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Reedijk, J. (2019). Platinum-based anticancer drugs: a personal view on the occasion of the 40th anniversary of cis-dichlorodiammineplatinum(II) (cisplatin). </w:t>
      </w:r>
      <w:r w:rsidRPr="006810DB">
        <w:rPr>
          <w:rFonts w:ascii="Book Antiqua" w:hAnsi="Book Antiqua"/>
          <w:i/>
          <w:iCs/>
          <w:color w:val="000000" w:themeColor="text1"/>
          <w:sz w:val="20"/>
          <w:szCs w:val="20"/>
          <w:lang w:val="en"/>
        </w:rPr>
        <w:t>Inorganica Chimica Acta</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498</w:t>
      </w:r>
      <w:r w:rsidRPr="006810DB">
        <w:rPr>
          <w:rFonts w:ascii="Book Antiqua" w:hAnsi="Book Antiqua"/>
          <w:color w:val="000000" w:themeColor="text1"/>
          <w:sz w:val="20"/>
          <w:szCs w:val="20"/>
          <w:lang w:val="en"/>
        </w:rPr>
        <w:t>, 119154.</w:t>
      </w:r>
    </w:p>
    <w:p w14:paraId="495804AD"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Reich, E., &amp; Schibli, A. (2007). </w:t>
      </w:r>
      <w:r w:rsidRPr="006810DB">
        <w:rPr>
          <w:rFonts w:ascii="Book Antiqua" w:hAnsi="Book Antiqua"/>
          <w:i/>
          <w:iCs/>
          <w:color w:val="000000" w:themeColor="text1"/>
          <w:sz w:val="20"/>
          <w:szCs w:val="20"/>
          <w:lang w:val="en"/>
        </w:rPr>
        <w:t>High-Performance Thin-Layer Chromatography for the Analysis of Medicinal Plants</w:t>
      </w:r>
      <w:r w:rsidRPr="006810DB">
        <w:rPr>
          <w:rFonts w:ascii="Book Antiqua" w:hAnsi="Book Antiqua"/>
          <w:color w:val="000000" w:themeColor="text1"/>
          <w:sz w:val="20"/>
          <w:szCs w:val="20"/>
          <w:lang w:val="en"/>
        </w:rPr>
        <w:t>. Thieme Medical Publishers.</w:t>
      </w:r>
    </w:p>
    <w:p w14:paraId="50B83D9C"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Robb, C. T., Regan, K. H., Dorward, D. A., &amp; Rossi, A. G. (2020). Key mechanisms of redox signaling in inflammatory resolution. </w:t>
      </w:r>
      <w:r w:rsidRPr="006810DB">
        <w:rPr>
          <w:rFonts w:ascii="Book Antiqua" w:hAnsi="Book Antiqua"/>
          <w:i/>
          <w:iCs/>
          <w:color w:val="000000" w:themeColor="text1"/>
          <w:sz w:val="20"/>
          <w:szCs w:val="20"/>
          <w:lang w:val="en"/>
        </w:rPr>
        <w:t>Antioxidants &amp; Redox Signaling</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32</w:t>
      </w:r>
      <w:r w:rsidRPr="006810DB">
        <w:rPr>
          <w:rFonts w:ascii="Book Antiqua" w:hAnsi="Book Antiqua"/>
          <w:color w:val="000000" w:themeColor="text1"/>
          <w:sz w:val="20"/>
          <w:szCs w:val="20"/>
          <w:lang w:val="en"/>
        </w:rPr>
        <w:t>(18), 1352-1372.</w:t>
      </w:r>
    </w:p>
    <w:p w14:paraId="47205E91"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Rosenthal, D. I., Trotti, A. M., &amp; Yom, S. S. (2021). Radiation-induced mucositis. </w:t>
      </w:r>
      <w:r w:rsidRPr="006810DB">
        <w:rPr>
          <w:rFonts w:ascii="Book Antiqua" w:hAnsi="Book Antiqua"/>
          <w:i/>
          <w:iCs/>
          <w:color w:val="000000" w:themeColor="text1"/>
          <w:sz w:val="20"/>
          <w:szCs w:val="20"/>
          <w:lang w:val="en"/>
        </w:rPr>
        <w:t>UpToDate</w:t>
      </w:r>
      <w:r w:rsidRPr="006810DB">
        <w:rPr>
          <w:rFonts w:ascii="Book Antiqua" w:hAnsi="Book Antiqua"/>
          <w:color w:val="000000" w:themeColor="text1"/>
          <w:sz w:val="20"/>
          <w:szCs w:val="20"/>
          <w:lang w:val="en"/>
        </w:rPr>
        <w:t>.</w:t>
      </w:r>
    </w:p>
    <w:p w14:paraId="3FD8B2CC"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Rottenberg, S., Disler, C., &amp; Perego, P. (2021). The rediscovery of platinum-based cancer therapy. </w:t>
      </w:r>
      <w:r w:rsidRPr="006810DB">
        <w:rPr>
          <w:rFonts w:ascii="Book Antiqua" w:hAnsi="Book Antiqua"/>
          <w:i/>
          <w:iCs/>
          <w:color w:val="000000" w:themeColor="text1"/>
          <w:sz w:val="20"/>
          <w:szCs w:val="20"/>
          <w:lang w:val="en"/>
        </w:rPr>
        <w:t>Nature Reviews 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21</w:t>
      </w:r>
      <w:r w:rsidRPr="006810DB">
        <w:rPr>
          <w:rFonts w:ascii="Book Antiqua" w:hAnsi="Book Antiqua"/>
          <w:color w:val="000000" w:themeColor="text1"/>
          <w:sz w:val="20"/>
          <w:szCs w:val="20"/>
          <w:lang w:val="en"/>
        </w:rPr>
        <w:t>(1), 37–50.</w:t>
      </w:r>
    </w:p>
    <w:p w14:paraId="775018F1"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Russell, W. M. S., &amp; Burch, R. L. (1959). </w:t>
      </w:r>
      <w:r w:rsidRPr="006810DB">
        <w:rPr>
          <w:rFonts w:ascii="Book Antiqua" w:hAnsi="Book Antiqua"/>
          <w:i/>
          <w:iCs/>
          <w:color w:val="000000" w:themeColor="text1"/>
          <w:sz w:val="20"/>
          <w:szCs w:val="20"/>
          <w:lang w:val="en"/>
        </w:rPr>
        <w:t>The Principles of Humane Experimental Technique</w:t>
      </w:r>
      <w:r w:rsidRPr="006810DB">
        <w:rPr>
          <w:rFonts w:ascii="Book Antiqua" w:hAnsi="Book Antiqua"/>
          <w:color w:val="000000" w:themeColor="text1"/>
          <w:sz w:val="20"/>
          <w:szCs w:val="20"/>
          <w:lang w:val="en"/>
        </w:rPr>
        <w:t>. Methuen.</w:t>
      </w:r>
    </w:p>
    <w:p w14:paraId="56D9D7C6"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Sahoo, N., Manchikanti, P., &amp; Dey, S. (2010). Herbal drugs: Standards and regulation. </w:t>
      </w:r>
      <w:r w:rsidRPr="006810DB">
        <w:rPr>
          <w:rFonts w:ascii="Book Antiqua" w:hAnsi="Book Antiqua"/>
          <w:i/>
          <w:iCs/>
          <w:color w:val="000000" w:themeColor="text1"/>
          <w:sz w:val="20"/>
          <w:szCs w:val="20"/>
          <w:lang w:val="en"/>
        </w:rPr>
        <w:t>Fitoterapia</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81</w:t>
      </w:r>
      <w:r w:rsidRPr="006810DB">
        <w:rPr>
          <w:rFonts w:ascii="Book Antiqua" w:hAnsi="Book Antiqua"/>
          <w:color w:val="000000" w:themeColor="text1"/>
          <w:sz w:val="20"/>
          <w:szCs w:val="20"/>
          <w:lang w:val="en"/>
        </w:rPr>
        <w:t>(6), 462-471.</w:t>
      </w:r>
    </w:p>
    <w:p w14:paraId="7E37BB71"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Salcan, I., Dilber, M., Suleyman, Z., Yucel, N., Salcan, S., Kesan, S., Yazici, G., Çelik, F., Koseturk, M., Alp, N., &amp; Suleyman, H. (2025). Protective effect of adenosine triphosphate against cisplatin-induced necrotic and degenerative oral mucositis in rats. </w:t>
      </w:r>
      <w:r w:rsidRPr="006810DB">
        <w:rPr>
          <w:rFonts w:ascii="Book Antiqua" w:hAnsi="Book Antiqua"/>
          <w:i/>
          <w:iCs/>
          <w:color w:val="000000" w:themeColor="text1"/>
          <w:sz w:val="20"/>
          <w:szCs w:val="20"/>
          <w:lang w:val="en"/>
        </w:rPr>
        <w:t>Journal of Applied Oral Science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33</w:t>
      </w:r>
      <w:r w:rsidRPr="006810DB">
        <w:rPr>
          <w:rFonts w:ascii="Book Antiqua" w:hAnsi="Book Antiqua"/>
          <w:color w:val="000000" w:themeColor="text1"/>
          <w:sz w:val="20"/>
          <w:szCs w:val="20"/>
          <w:lang w:val="en"/>
        </w:rPr>
        <w:t>, e20240366.</w:t>
      </w:r>
      <w:hyperlink r:id="rId423">
        <w:r w:rsidRPr="006810DB">
          <w:rPr>
            <w:rStyle w:val="Hyperlink"/>
            <w:rFonts w:ascii="Book Antiqua" w:hAnsi="Book Antiqua"/>
            <w:color w:val="000000" w:themeColor="text1"/>
            <w:sz w:val="20"/>
            <w:szCs w:val="20"/>
            <w:u w:val="none"/>
            <w:lang w:val="en"/>
          </w:rPr>
          <w:t xml:space="preserve"> </w:t>
        </w:r>
      </w:hyperlink>
      <w:hyperlink r:id="rId424">
        <w:r w:rsidRPr="006810DB">
          <w:rPr>
            <w:rStyle w:val="Hyperlink"/>
            <w:rFonts w:ascii="Book Antiqua" w:hAnsi="Book Antiqua"/>
            <w:color w:val="000000" w:themeColor="text1"/>
            <w:sz w:val="20"/>
            <w:szCs w:val="20"/>
            <w:u w:val="none"/>
            <w:lang w:val="en"/>
          </w:rPr>
          <w:t>https://doi.org/10.1590/1678-7757-2025-0007</w:t>
        </w:r>
      </w:hyperlink>
    </w:p>
    <w:p w14:paraId="3B1EC933"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Shafodino, F., Lusilao, J. G., &amp; Mwapagha, L. M. (2022). Phytochemical characterization and antimicrobial activity of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seeds. </w:t>
      </w:r>
      <w:r w:rsidRPr="006810DB">
        <w:rPr>
          <w:rFonts w:ascii="Book Antiqua" w:hAnsi="Book Antiqua"/>
          <w:i/>
          <w:iCs/>
          <w:color w:val="000000" w:themeColor="text1"/>
          <w:sz w:val="20"/>
          <w:szCs w:val="20"/>
          <w:lang w:val="en"/>
        </w:rPr>
        <w:t>PLoS ONE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17</w:t>
      </w:r>
      <w:r w:rsidRPr="006810DB">
        <w:rPr>
          <w:rFonts w:ascii="Book Antiqua" w:hAnsi="Book Antiqua"/>
          <w:color w:val="000000" w:themeColor="text1"/>
          <w:sz w:val="20"/>
          <w:szCs w:val="20"/>
          <w:lang w:val="en"/>
        </w:rPr>
        <w:t>(10), e0272457.</w:t>
      </w:r>
      <w:hyperlink r:id="rId425">
        <w:r w:rsidRPr="006810DB">
          <w:rPr>
            <w:rStyle w:val="Hyperlink"/>
            <w:rFonts w:ascii="Book Antiqua" w:hAnsi="Book Antiqua"/>
            <w:color w:val="000000" w:themeColor="text1"/>
            <w:sz w:val="20"/>
            <w:szCs w:val="20"/>
            <w:u w:val="none"/>
            <w:lang w:val="en"/>
          </w:rPr>
          <w:t xml:space="preserve"> </w:t>
        </w:r>
      </w:hyperlink>
      <w:hyperlink r:id="rId426">
        <w:r w:rsidRPr="006810DB">
          <w:rPr>
            <w:rStyle w:val="Hyperlink"/>
            <w:rFonts w:ascii="Book Antiqua" w:hAnsi="Book Antiqua"/>
            <w:color w:val="000000" w:themeColor="text1"/>
            <w:sz w:val="20"/>
            <w:szCs w:val="20"/>
            <w:u w:val="none"/>
            <w:lang w:val="en"/>
          </w:rPr>
          <w:t>https://doi.org/10.1371/journal.pone.0272457</w:t>
        </w:r>
      </w:hyperlink>
    </w:p>
    <w:p w14:paraId="271979C7"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Singh, G., Singh, P., Singh, S., &amp; Maurya, S. (2014). Optimization of extraction conditions for thymoquinone from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using response surface methodology. </w:t>
      </w:r>
      <w:r w:rsidRPr="006810DB">
        <w:rPr>
          <w:rFonts w:ascii="Book Antiqua" w:hAnsi="Book Antiqua"/>
          <w:i/>
          <w:iCs/>
          <w:color w:val="000000" w:themeColor="text1"/>
          <w:sz w:val="20"/>
          <w:szCs w:val="20"/>
          <w:lang w:val="en"/>
        </w:rPr>
        <w:t>Food Analytical Methods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7</w:t>
      </w:r>
      <w:r w:rsidRPr="006810DB">
        <w:rPr>
          <w:rFonts w:ascii="Book Antiqua" w:hAnsi="Book Antiqua"/>
          <w:color w:val="000000" w:themeColor="text1"/>
          <w:sz w:val="20"/>
          <w:szCs w:val="20"/>
          <w:lang w:val="en"/>
        </w:rPr>
        <w:t>(8), 1732-1742.</w:t>
      </w:r>
    </w:p>
    <w:p w14:paraId="17618F60"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Sobhannizadeh, A., Giglou, M. F., Behnamian, M., Estaji, A., Majdi, M., &amp; Szumny, A. (2025). The effect of plant growth regulators, FeO3-CTs nanoparticles and LEDs light on the growth and biochemical compounds of black seed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callus in vitro. </w:t>
      </w:r>
      <w:r w:rsidRPr="006810DB">
        <w:rPr>
          <w:rFonts w:ascii="Book Antiqua" w:hAnsi="Book Antiqua"/>
          <w:i/>
          <w:iCs/>
          <w:color w:val="000000" w:themeColor="text1"/>
          <w:sz w:val="20"/>
          <w:szCs w:val="20"/>
          <w:lang w:val="en"/>
        </w:rPr>
        <w:t>BMC Plant Biology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25</w:t>
      </w:r>
      <w:r w:rsidRPr="006810DB">
        <w:rPr>
          <w:rFonts w:ascii="Book Antiqua" w:hAnsi="Book Antiqua"/>
          <w:color w:val="000000" w:themeColor="text1"/>
          <w:sz w:val="20"/>
          <w:szCs w:val="20"/>
          <w:lang w:val="en"/>
        </w:rPr>
        <w:t>(1), 263.</w:t>
      </w:r>
      <w:hyperlink r:id="rId427">
        <w:r w:rsidRPr="006810DB">
          <w:rPr>
            <w:rStyle w:val="Hyperlink"/>
            <w:rFonts w:ascii="Book Antiqua" w:hAnsi="Book Antiqua"/>
            <w:color w:val="000000" w:themeColor="text1"/>
            <w:sz w:val="20"/>
            <w:szCs w:val="20"/>
            <w:u w:val="none"/>
            <w:lang w:val="en"/>
          </w:rPr>
          <w:t xml:space="preserve"> </w:t>
        </w:r>
      </w:hyperlink>
      <w:hyperlink r:id="rId428">
        <w:r w:rsidRPr="006810DB">
          <w:rPr>
            <w:rStyle w:val="Hyperlink"/>
            <w:rFonts w:ascii="Book Antiqua" w:hAnsi="Book Antiqua"/>
            <w:color w:val="000000" w:themeColor="text1"/>
            <w:sz w:val="20"/>
            <w:szCs w:val="20"/>
            <w:u w:val="none"/>
            <w:lang w:val="en"/>
          </w:rPr>
          <w:t>https://doi.org/10.1186/s12870-025-06423-y</w:t>
        </w:r>
      </w:hyperlink>
    </w:p>
    <w:p w14:paraId="14C625AD"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Sonis, S. T. (2010). The pathobiology of mucositis. </w:t>
      </w:r>
      <w:r w:rsidRPr="006810DB">
        <w:rPr>
          <w:rFonts w:ascii="Book Antiqua" w:hAnsi="Book Antiqua"/>
          <w:i/>
          <w:iCs/>
          <w:color w:val="000000" w:themeColor="text1"/>
          <w:sz w:val="20"/>
          <w:szCs w:val="20"/>
          <w:lang w:val="en"/>
        </w:rPr>
        <w:t>Nature Reviews 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w:t>
      </w:r>
      <w:r w:rsidRPr="006810DB">
        <w:rPr>
          <w:rFonts w:ascii="Book Antiqua" w:hAnsi="Book Antiqua"/>
          <w:color w:val="000000" w:themeColor="text1"/>
          <w:sz w:val="20"/>
          <w:szCs w:val="20"/>
          <w:lang w:val="en"/>
        </w:rPr>
        <w:t>(4), 277-284.</w:t>
      </w:r>
      <w:hyperlink r:id="rId429">
        <w:r w:rsidRPr="006810DB">
          <w:rPr>
            <w:rStyle w:val="Hyperlink"/>
            <w:rFonts w:ascii="Book Antiqua" w:hAnsi="Book Antiqua"/>
            <w:color w:val="000000" w:themeColor="text1"/>
            <w:sz w:val="20"/>
            <w:szCs w:val="20"/>
            <w:u w:val="none"/>
            <w:lang w:val="en"/>
          </w:rPr>
          <w:t xml:space="preserve"> </w:t>
        </w:r>
      </w:hyperlink>
      <w:hyperlink r:id="rId430">
        <w:r w:rsidRPr="006810DB">
          <w:rPr>
            <w:rStyle w:val="Hyperlink"/>
            <w:rFonts w:ascii="Book Antiqua" w:hAnsi="Book Antiqua"/>
            <w:color w:val="000000" w:themeColor="text1"/>
            <w:sz w:val="20"/>
            <w:szCs w:val="20"/>
            <w:u w:val="none"/>
            <w:lang w:val="en"/>
          </w:rPr>
          <w:t>https://doi.org/10.1038/nrc2812</w:t>
        </w:r>
      </w:hyperlink>
    </w:p>
    <w:p w14:paraId="10A0227C"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Sonis, S. T., Clark, J., Schmults, C., L-Dok, J., &amp; Andre, M. (2009). A standardized regimen for inducing oral mucositis in hamsters. </w:t>
      </w:r>
      <w:r w:rsidRPr="006810DB">
        <w:rPr>
          <w:rFonts w:ascii="Book Antiqua" w:hAnsi="Book Antiqua"/>
          <w:i/>
          <w:iCs/>
          <w:color w:val="000000" w:themeColor="text1"/>
          <w:sz w:val="20"/>
          <w:szCs w:val="20"/>
          <w:lang w:val="en"/>
        </w:rPr>
        <w:t>Oral Surgery, Oral Medicine, Oral Pathology, Oral Radiology, and Endodontology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107</w:t>
      </w:r>
      <w:r w:rsidRPr="006810DB">
        <w:rPr>
          <w:rFonts w:ascii="Book Antiqua" w:hAnsi="Book Antiqua"/>
          <w:color w:val="000000" w:themeColor="text1"/>
          <w:sz w:val="20"/>
          <w:szCs w:val="20"/>
          <w:lang w:val="en"/>
        </w:rPr>
        <w:t>(2), 223-228.</w:t>
      </w:r>
    </w:p>
    <w:p w14:paraId="6A57B135"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Sonis, S. T., Elting, L. S., Keefe, D., Peterson, D. E., Schubert, M., Hauer-Jensen, M., ... &amp; The Mucositis Study Section of the Multinational Association of Supportive Care in Cancer and the International Society for Oral Oncology. (2004). Perspectives on cancer therapy-induced mucosal injury: pathogenesis, measurement, epidemiology, and consequences for patients. </w:t>
      </w:r>
      <w:r w:rsidRPr="006810DB">
        <w:rPr>
          <w:rFonts w:ascii="Book Antiqua" w:hAnsi="Book Antiqua"/>
          <w:i/>
          <w:iCs/>
          <w:color w:val="000000" w:themeColor="text1"/>
          <w:sz w:val="20"/>
          <w:szCs w:val="20"/>
          <w:lang w:val="en"/>
        </w:rPr>
        <w:t>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100</w:t>
      </w:r>
      <w:r w:rsidRPr="006810DB">
        <w:rPr>
          <w:rFonts w:ascii="Book Antiqua" w:hAnsi="Book Antiqua"/>
          <w:color w:val="000000" w:themeColor="text1"/>
          <w:sz w:val="20"/>
          <w:szCs w:val="20"/>
          <w:lang w:val="en"/>
        </w:rPr>
        <w:t>(S9), 1995-2025.</w:t>
      </w:r>
    </w:p>
    <w:p w14:paraId="41362701"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Street, R. A., Drisko, J., &amp; Basch, E. (2008). Heavy metal toxicity in herbal medicines. </w:t>
      </w:r>
      <w:r w:rsidRPr="006810DB">
        <w:rPr>
          <w:rFonts w:ascii="Book Antiqua" w:hAnsi="Book Antiqua"/>
          <w:i/>
          <w:iCs/>
          <w:color w:val="000000" w:themeColor="text1"/>
          <w:sz w:val="20"/>
          <w:szCs w:val="20"/>
          <w:lang w:val="en"/>
        </w:rPr>
        <w:t>South African Medical Journal</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98</w:t>
      </w:r>
      <w:r w:rsidRPr="006810DB">
        <w:rPr>
          <w:rFonts w:ascii="Book Antiqua" w:hAnsi="Book Antiqua"/>
          <w:color w:val="000000" w:themeColor="text1"/>
          <w:sz w:val="20"/>
          <w:szCs w:val="20"/>
          <w:lang w:val="en"/>
        </w:rPr>
        <w:t>(10), 770.</w:t>
      </w:r>
    </w:p>
    <w:p w14:paraId="558328A7"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Sukmasari, S., Widodo, A. D., &amp; Purwanto, B. (2020). The comparison of Wistar and Sprague-Dawley rat strains as an animal model for cisplatin-induced nephrotoxicity study. </w:t>
      </w:r>
      <w:r w:rsidRPr="006810DB">
        <w:rPr>
          <w:rFonts w:ascii="Book Antiqua" w:hAnsi="Book Antiqua"/>
          <w:i/>
          <w:iCs/>
          <w:color w:val="000000" w:themeColor="text1"/>
          <w:sz w:val="20"/>
          <w:szCs w:val="20"/>
          <w:lang w:val="en"/>
        </w:rPr>
        <w:t>Journal of Applied Pharmaceutical Science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w:t>
      </w:r>
      <w:r w:rsidRPr="006810DB">
        <w:rPr>
          <w:rFonts w:ascii="Book Antiqua" w:hAnsi="Book Antiqua"/>
          <w:color w:val="000000" w:themeColor="text1"/>
          <w:sz w:val="20"/>
          <w:szCs w:val="20"/>
          <w:lang w:val="en"/>
        </w:rPr>
        <w:t>(11), 164-169.</w:t>
      </w:r>
    </w:p>
    <w:p w14:paraId="23BB7FF6"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Sung, H., Ferlay, J., Siegel, R. L., Laversanne, M., Soerjomataram, I., Jemal, A., &amp; Bray, F. (2021). Global Cancer Statistics 2020: GLOBOCAN Estimates of Incidence and Mortality </w:t>
      </w:r>
      <w:r w:rsidRPr="006810DB">
        <w:rPr>
          <w:rFonts w:ascii="Book Antiqua" w:hAnsi="Book Antiqua"/>
          <w:color w:val="000000" w:themeColor="text1"/>
          <w:sz w:val="20"/>
          <w:szCs w:val="20"/>
          <w:lang w:val="en"/>
        </w:rPr>
        <w:lastRenderedPageBreak/>
        <w:t xml:space="preserve">Worldwide for 36 Cancers in 185 Countries. </w:t>
      </w:r>
      <w:r w:rsidRPr="006810DB">
        <w:rPr>
          <w:rFonts w:ascii="Book Antiqua" w:hAnsi="Book Antiqua"/>
          <w:i/>
          <w:iCs/>
          <w:color w:val="000000" w:themeColor="text1"/>
          <w:sz w:val="20"/>
          <w:szCs w:val="20"/>
          <w:lang w:val="en"/>
        </w:rPr>
        <w:t>CA: A Cancer Journal for Clinicians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71</w:t>
      </w:r>
      <w:r w:rsidRPr="006810DB">
        <w:rPr>
          <w:rFonts w:ascii="Book Antiqua" w:hAnsi="Book Antiqua"/>
          <w:color w:val="000000" w:themeColor="text1"/>
          <w:sz w:val="20"/>
          <w:szCs w:val="20"/>
          <w:lang w:val="en"/>
        </w:rPr>
        <w:t>(3), 209–249.</w:t>
      </w:r>
    </w:p>
    <w:p w14:paraId="6B28CC6B"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Sung, L., D'Angelo, C., &amp; Lee, J. Y. (2010). A review of the effects of vitamin E on the treatment and prevention of oral mucositis. </w:t>
      </w:r>
      <w:r w:rsidRPr="006810DB">
        <w:rPr>
          <w:rFonts w:ascii="Book Antiqua" w:hAnsi="Book Antiqua"/>
          <w:i/>
          <w:iCs/>
          <w:color w:val="000000" w:themeColor="text1"/>
          <w:sz w:val="20"/>
          <w:szCs w:val="20"/>
          <w:lang w:val="en"/>
        </w:rPr>
        <w:t>Journal of the Canadian Dental Association</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76</w:t>
      </w:r>
      <w:r w:rsidRPr="006810DB">
        <w:rPr>
          <w:rFonts w:ascii="Book Antiqua" w:hAnsi="Book Antiqua"/>
          <w:color w:val="000000" w:themeColor="text1"/>
          <w:sz w:val="20"/>
          <w:szCs w:val="20"/>
          <w:lang w:val="en"/>
        </w:rPr>
        <w:t>, a126.</w:t>
      </w:r>
    </w:p>
    <w:p w14:paraId="17370CB9"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Sutrisna, E., Hidayat, M., &amp; Rachmawati, H. (2018). The effect of solvent variations on the characteristics of black cumin seed extract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using microwave-assisted extraction. </w:t>
      </w:r>
      <w:r w:rsidRPr="006810DB">
        <w:rPr>
          <w:rFonts w:ascii="Book Antiqua" w:hAnsi="Book Antiqua"/>
          <w:i/>
          <w:iCs/>
          <w:color w:val="000000" w:themeColor="text1"/>
          <w:sz w:val="20"/>
          <w:szCs w:val="20"/>
          <w:lang w:val="en"/>
        </w:rPr>
        <w:t>Journal of Physics: Conference Series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1025</w:t>
      </w:r>
      <w:r w:rsidRPr="006810DB">
        <w:rPr>
          <w:rFonts w:ascii="Book Antiqua" w:hAnsi="Book Antiqua"/>
          <w:color w:val="000000" w:themeColor="text1"/>
          <w:sz w:val="20"/>
          <w:szCs w:val="20"/>
          <w:lang w:val="en"/>
        </w:rPr>
        <w:t>, 012061.</w:t>
      </w:r>
    </w:p>
    <w:p w14:paraId="35EFE5C2"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Suvarna, S. K., Layton, C., &amp; Bancroft, J. D. (2018). </w:t>
      </w:r>
      <w:r w:rsidRPr="006810DB">
        <w:rPr>
          <w:rFonts w:ascii="Book Antiqua" w:hAnsi="Book Antiqua"/>
          <w:i/>
          <w:iCs/>
          <w:color w:val="000000" w:themeColor="text1"/>
          <w:sz w:val="20"/>
          <w:szCs w:val="20"/>
          <w:lang w:val="en"/>
        </w:rPr>
        <w:t>Bancroft's Theory and Practice of Histological Techniques</w:t>
      </w:r>
      <w:r w:rsidRPr="006810DB">
        <w:rPr>
          <w:rFonts w:ascii="Book Antiqua" w:hAnsi="Book Antiqua"/>
          <w:color w:val="000000" w:themeColor="text1"/>
          <w:sz w:val="20"/>
          <w:szCs w:val="20"/>
          <w:lang w:val="en"/>
        </w:rPr>
        <w:t xml:space="preserve"> (8th ed.). Elsevier.</w:t>
      </w:r>
    </w:p>
    <w:p w14:paraId="4F4E0111"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Tchounwou, P. B., Yedjou, C. G., Patlolla, A. K., &amp; Sutton, D. J. (2012). Heavy metal toxicity and the environment. </w:t>
      </w:r>
      <w:r w:rsidRPr="006810DB">
        <w:rPr>
          <w:rFonts w:ascii="Book Antiqua" w:hAnsi="Book Antiqua"/>
          <w:i/>
          <w:iCs/>
          <w:color w:val="000000" w:themeColor="text1"/>
          <w:sz w:val="20"/>
          <w:szCs w:val="20"/>
          <w:lang w:val="en"/>
        </w:rPr>
        <w:t>Experientia Supplementum</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101</w:t>
      </w:r>
      <w:r w:rsidRPr="006810DB">
        <w:rPr>
          <w:rFonts w:ascii="Book Antiqua" w:hAnsi="Book Antiqua"/>
          <w:color w:val="000000" w:themeColor="text1"/>
          <w:sz w:val="20"/>
          <w:szCs w:val="20"/>
          <w:lang w:val="en"/>
        </w:rPr>
        <w:t>, 133–164.</w:t>
      </w:r>
    </w:p>
    <w:p w14:paraId="7E8BCEDA"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Tiwari, P., Kumar, B., Kaur, M., Kaur, G., &amp; Kaur, H. (2011). Phytochemical screening and extraction: A review. </w:t>
      </w:r>
      <w:r w:rsidRPr="006810DB">
        <w:rPr>
          <w:rFonts w:ascii="Book Antiqua" w:hAnsi="Book Antiqua"/>
          <w:i/>
          <w:iCs/>
          <w:color w:val="000000" w:themeColor="text1"/>
          <w:sz w:val="20"/>
          <w:szCs w:val="20"/>
          <w:lang w:val="en"/>
        </w:rPr>
        <w:t>Internationale Pharmaceutica Sciencia</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w:t>
      </w:r>
      <w:r w:rsidRPr="006810DB">
        <w:rPr>
          <w:rFonts w:ascii="Book Antiqua" w:hAnsi="Book Antiqua"/>
          <w:color w:val="000000" w:themeColor="text1"/>
          <w:sz w:val="20"/>
          <w:szCs w:val="20"/>
          <w:lang w:val="en"/>
        </w:rPr>
        <w:t>(1), 98-106.</w:t>
      </w:r>
    </w:p>
    <w:p w14:paraId="548B6DB1"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Turner, P. V., Brabb, T., Pekow, C., &amp; Vasbinder, M. A. (2011). Administration of substances to laboratory animals: routes of administration and factors to consider. </w:t>
      </w:r>
      <w:r w:rsidRPr="006810DB">
        <w:rPr>
          <w:rFonts w:ascii="Book Antiqua" w:hAnsi="Book Antiqua"/>
          <w:i/>
          <w:iCs/>
          <w:color w:val="000000" w:themeColor="text1"/>
          <w:sz w:val="20"/>
          <w:szCs w:val="20"/>
          <w:lang w:val="en"/>
        </w:rPr>
        <w:t>Journal of the American Association for Laboratory Animal Science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50</w:t>
      </w:r>
      <w:r w:rsidRPr="006810DB">
        <w:rPr>
          <w:rFonts w:ascii="Book Antiqua" w:hAnsi="Book Antiqua"/>
          <w:color w:val="000000" w:themeColor="text1"/>
          <w:sz w:val="20"/>
          <w:szCs w:val="20"/>
          <w:lang w:val="en"/>
        </w:rPr>
        <w:t>(5), 600-613.</w:t>
      </w:r>
    </w:p>
    <w:p w14:paraId="03FBF9BE"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van der Velden, W. J. F. M., de Haan, A. F. J., Blijlevens, N. M. A., &amp; Donnelly, J. P. (2021). The role of the oral and gut microbiome in chemotherapy-induced mucosal barrier injury. </w:t>
      </w:r>
      <w:r w:rsidRPr="006810DB">
        <w:rPr>
          <w:rFonts w:ascii="Book Antiqua" w:hAnsi="Book Antiqua"/>
          <w:i/>
          <w:iCs/>
          <w:color w:val="000000" w:themeColor="text1"/>
          <w:sz w:val="20"/>
          <w:szCs w:val="20"/>
          <w:lang w:val="en"/>
        </w:rPr>
        <w:t>Current Opinion in Supportive and Palliative Care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15</w:t>
      </w:r>
      <w:r w:rsidRPr="006810DB">
        <w:rPr>
          <w:rFonts w:ascii="Book Antiqua" w:hAnsi="Book Antiqua"/>
          <w:color w:val="000000" w:themeColor="text1"/>
          <w:sz w:val="20"/>
          <w:szCs w:val="20"/>
          <w:lang w:val="en"/>
        </w:rPr>
        <w:t>(1), 59-66.</w:t>
      </w:r>
    </w:p>
    <w:p w14:paraId="74A8AAB6"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Vasan, N., Bassez, A., &amp; Razavi, P. (2019). A view on drug resistance in cancer. </w:t>
      </w:r>
      <w:r w:rsidRPr="006810DB">
        <w:rPr>
          <w:rFonts w:ascii="Book Antiqua" w:hAnsi="Book Antiqua"/>
          <w:i/>
          <w:iCs/>
          <w:color w:val="000000" w:themeColor="text1"/>
          <w:sz w:val="20"/>
          <w:szCs w:val="20"/>
          <w:lang w:val="en"/>
        </w:rPr>
        <w:t>Nature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575</w:t>
      </w:r>
      <w:r w:rsidRPr="006810DB">
        <w:rPr>
          <w:rFonts w:ascii="Book Antiqua" w:hAnsi="Book Antiqua"/>
          <w:color w:val="000000" w:themeColor="text1"/>
          <w:sz w:val="20"/>
          <w:szCs w:val="20"/>
          <w:lang w:val="en"/>
        </w:rPr>
        <w:t>(7782), 299-309.</w:t>
      </w:r>
    </w:p>
    <w:p w14:paraId="05AA0D45"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Vera-Sustaita, A., Martínez-Mora, A., &amp; Lara-Campos, J. A. (2021). Experimental models of oral mucositis: a review. </w:t>
      </w:r>
      <w:r w:rsidRPr="006810DB">
        <w:rPr>
          <w:rFonts w:ascii="Book Antiqua" w:hAnsi="Book Antiqua"/>
          <w:i/>
          <w:iCs/>
          <w:color w:val="000000" w:themeColor="text1"/>
          <w:sz w:val="20"/>
          <w:szCs w:val="20"/>
          <w:lang w:val="en"/>
        </w:rPr>
        <w:t>Medicina Oral, Patología Oral y Cirugía Bucal</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26</w:t>
      </w:r>
      <w:r w:rsidRPr="006810DB">
        <w:rPr>
          <w:rFonts w:ascii="Book Antiqua" w:hAnsi="Book Antiqua"/>
          <w:color w:val="000000" w:themeColor="text1"/>
          <w:sz w:val="20"/>
          <w:szCs w:val="20"/>
          <w:lang w:val="en"/>
        </w:rPr>
        <w:t>(4), e467.</w:t>
      </w:r>
    </w:p>
    <w:p w14:paraId="67CBBB00" w14:textId="77777777" w:rsidR="009B5356" w:rsidRPr="006810DB" w:rsidRDefault="009B5356" w:rsidP="006810DB">
      <w:pPr>
        <w:spacing w:line="276" w:lineRule="auto"/>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br w:type="page"/>
      </w:r>
    </w:p>
    <w:p w14:paraId="0DD1CBEA"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lastRenderedPageBreak/>
        <w:t xml:space="preserve">Vomhof-DeKrey, E. E., &amp; Picklo, M. J. (2012). The Nrf2-antioxidant response element pathway: a target for regulating energy metabolism. </w:t>
      </w:r>
      <w:r w:rsidRPr="006810DB">
        <w:rPr>
          <w:rFonts w:ascii="Book Antiqua" w:hAnsi="Book Antiqua"/>
          <w:i/>
          <w:iCs/>
          <w:color w:val="000000" w:themeColor="text1"/>
          <w:sz w:val="20"/>
          <w:szCs w:val="20"/>
          <w:lang w:val="en"/>
        </w:rPr>
        <w:t>The Journal of Nutritional Biochemistry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23</w:t>
      </w:r>
      <w:r w:rsidRPr="006810DB">
        <w:rPr>
          <w:rFonts w:ascii="Book Antiqua" w:hAnsi="Book Antiqua"/>
          <w:color w:val="000000" w:themeColor="text1"/>
          <w:sz w:val="20"/>
          <w:szCs w:val="20"/>
          <w:lang w:val="en"/>
        </w:rPr>
        <w:t>(10), 1201–1206.</w:t>
      </w:r>
    </w:p>
    <w:p w14:paraId="44888C7A"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Waldman, A. D., Fritz, J. M., &amp; Lenardo, M. J. (2020). A guide to cancer immunotherapy: from T cell basic science to clinical practice. </w:t>
      </w:r>
      <w:r w:rsidRPr="006810DB">
        <w:rPr>
          <w:rFonts w:ascii="Book Antiqua" w:hAnsi="Book Antiqua"/>
          <w:i/>
          <w:iCs/>
          <w:color w:val="000000" w:themeColor="text1"/>
          <w:sz w:val="20"/>
          <w:szCs w:val="20"/>
          <w:lang w:val="en"/>
        </w:rPr>
        <w:t>Nature Reviews Immunology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20</w:t>
      </w:r>
      <w:r w:rsidRPr="006810DB">
        <w:rPr>
          <w:rFonts w:ascii="Book Antiqua" w:hAnsi="Book Antiqua"/>
          <w:color w:val="000000" w:themeColor="text1"/>
          <w:sz w:val="20"/>
          <w:szCs w:val="20"/>
          <w:lang w:val="en"/>
        </w:rPr>
        <w:t>(11), 651–668.</w:t>
      </w:r>
    </w:p>
    <w:p w14:paraId="4581EE33"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Whittaker, A. L., Lymn, K. A., &amp; Howarth, G. S. (2021). A review of the methodology of animal models of cancer therapy-induced gastrointestinal mucositis. </w:t>
      </w:r>
      <w:r w:rsidRPr="006810DB">
        <w:rPr>
          <w:rFonts w:ascii="Book Antiqua" w:hAnsi="Book Antiqua"/>
          <w:i/>
          <w:iCs/>
          <w:color w:val="000000" w:themeColor="text1"/>
          <w:sz w:val="20"/>
          <w:szCs w:val="20"/>
          <w:lang w:val="en"/>
        </w:rPr>
        <w:t>Frontiers in Oncology</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11</w:t>
      </w:r>
      <w:r w:rsidRPr="006810DB">
        <w:rPr>
          <w:rFonts w:ascii="Book Antiqua" w:hAnsi="Book Antiqua"/>
          <w:color w:val="000000" w:themeColor="text1"/>
          <w:sz w:val="20"/>
          <w:szCs w:val="20"/>
          <w:lang w:val="en"/>
        </w:rPr>
        <w:t>, 645166.</w:t>
      </w:r>
      <w:hyperlink r:id="rId431">
        <w:r w:rsidRPr="006810DB">
          <w:rPr>
            <w:rStyle w:val="Hyperlink"/>
            <w:rFonts w:ascii="Book Antiqua" w:hAnsi="Book Antiqua"/>
            <w:color w:val="000000" w:themeColor="text1"/>
            <w:sz w:val="20"/>
            <w:szCs w:val="20"/>
            <w:u w:val="none"/>
            <w:lang w:val="en"/>
          </w:rPr>
          <w:t xml:space="preserve"> </w:t>
        </w:r>
      </w:hyperlink>
      <w:hyperlink r:id="rId432">
        <w:r w:rsidRPr="006810DB">
          <w:rPr>
            <w:rStyle w:val="Hyperlink"/>
            <w:rFonts w:ascii="Book Antiqua" w:hAnsi="Book Antiqua"/>
            <w:color w:val="000000" w:themeColor="text1"/>
            <w:sz w:val="20"/>
            <w:szCs w:val="20"/>
            <w:u w:val="none"/>
            <w:lang w:val="en"/>
          </w:rPr>
          <w:t>https://doi.org/10.3389/fonc.2021.645166</w:t>
        </w:r>
      </w:hyperlink>
    </w:p>
    <w:p w14:paraId="249BF81D"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WHO. (2011). </w:t>
      </w:r>
      <w:r w:rsidRPr="006810DB">
        <w:rPr>
          <w:rFonts w:ascii="Book Antiqua" w:hAnsi="Book Antiqua"/>
          <w:i/>
          <w:iCs/>
          <w:color w:val="000000" w:themeColor="text1"/>
          <w:sz w:val="20"/>
          <w:szCs w:val="20"/>
          <w:lang w:val="en"/>
        </w:rPr>
        <w:t>Quality control methods for herbal materials</w:t>
      </w:r>
      <w:r w:rsidRPr="006810DB">
        <w:rPr>
          <w:rFonts w:ascii="Book Antiqua" w:hAnsi="Book Antiqua"/>
          <w:color w:val="000000" w:themeColor="text1"/>
          <w:sz w:val="20"/>
          <w:szCs w:val="20"/>
          <w:lang w:val="en"/>
        </w:rPr>
        <w:t>. World Health Organization.</w:t>
      </w:r>
    </w:p>
    <w:p w14:paraId="0E8A455B"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World Health Organization. (1979). </w:t>
      </w:r>
      <w:r w:rsidRPr="006810DB">
        <w:rPr>
          <w:rFonts w:ascii="Book Antiqua" w:hAnsi="Book Antiqua"/>
          <w:i/>
          <w:iCs/>
          <w:color w:val="000000" w:themeColor="text1"/>
          <w:sz w:val="20"/>
          <w:szCs w:val="20"/>
          <w:lang w:val="en"/>
        </w:rPr>
        <w:t>WHO handbook for reporting results of cancer treatment</w:t>
      </w:r>
      <w:r w:rsidRPr="006810DB">
        <w:rPr>
          <w:rFonts w:ascii="Book Antiqua" w:hAnsi="Book Antiqua"/>
          <w:color w:val="000000" w:themeColor="text1"/>
          <w:sz w:val="20"/>
          <w:szCs w:val="20"/>
          <w:lang w:val="en"/>
        </w:rPr>
        <w:t>. WHO.</w:t>
      </w:r>
    </w:p>
    <w:p w14:paraId="69937F36"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Yasueda, A., Urushima, H., &amp; Ito, T. (2016). Efficacy and safety of vitamin E in preventing oral mucositis in patients with cancer: a systematic review. </w:t>
      </w:r>
      <w:r w:rsidRPr="006810DB">
        <w:rPr>
          <w:rFonts w:ascii="Book Antiqua" w:hAnsi="Book Antiqua"/>
          <w:i/>
          <w:iCs/>
          <w:color w:val="000000" w:themeColor="text1"/>
          <w:sz w:val="20"/>
          <w:szCs w:val="20"/>
          <w:lang w:val="en"/>
        </w:rPr>
        <w:t>Supportive Care in Cancer</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24</w:t>
      </w:r>
      <w:r w:rsidRPr="006810DB">
        <w:rPr>
          <w:rFonts w:ascii="Book Antiqua" w:hAnsi="Book Antiqua"/>
          <w:color w:val="000000" w:themeColor="text1"/>
          <w:sz w:val="20"/>
          <w:szCs w:val="20"/>
          <w:lang w:val="en"/>
        </w:rPr>
        <w:t>(1), 443–450.</w:t>
      </w:r>
    </w:p>
    <w:p w14:paraId="5A841B93"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Yimer, E. M., Tuem, K. B., Karim, A., Ur-Rehman, N., &amp; Anwar, F. (2019). </w:t>
      </w:r>
      <w:r w:rsidRPr="006810DB">
        <w:rPr>
          <w:rFonts w:ascii="Book Antiqua" w:hAnsi="Book Antiqua"/>
          <w:i/>
          <w:iCs/>
          <w:color w:val="000000" w:themeColor="text1"/>
          <w:sz w:val="20"/>
          <w:szCs w:val="20"/>
          <w:lang w:val="en"/>
        </w:rPr>
        <w:t>Nigella sativa</w:t>
      </w:r>
      <w:r w:rsidRPr="006810DB">
        <w:rPr>
          <w:rFonts w:ascii="Book Antiqua" w:hAnsi="Book Antiqua"/>
          <w:color w:val="000000" w:themeColor="text1"/>
          <w:sz w:val="20"/>
          <w:szCs w:val="20"/>
          <w:lang w:val="en"/>
        </w:rPr>
        <w:t xml:space="preserve"> L. (black cumin): a promising natural remedy for wide range of illnesses. </w:t>
      </w:r>
      <w:r w:rsidRPr="006810DB">
        <w:rPr>
          <w:rFonts w:ascii="Book Antiqua" w:hAnsi="Book Antiqua"/>
          <w:i/>
          <w:iCs/>
          <w:color w:val="000000" w:themeColor="text1"/>
          <w:sz w:val="20"/>
          <w:szCs w:val="20"/>
          <w:lang w:val="en"/>
        </w:rPr>
        <w:t>Evidence-Based Complementary and Alternative Medicine</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2019</w:t>
      </w:r>
      <w:r w:rsidRPr="006810DB">
        <w:rPr>
          <w:rFonts w:ascii="Book Antiqua" w:hAnsi="Book Antiqua"/>
          <w:color w:val="000000" w:themeColor="text1"/>
          <w:sz w:val="20"/>
          <w:szCs w:val="20"/>
          <w:lang w:val="en"/>
        </w:rPr>
        <w:t>, 1528635.</w:t>
      </w:r>
      <w:hyperlink r:id="rId433">
        <w:r w:rsidRPr="006810DB">
          <w:rPr>
            <w:rStyle w:val="Hyperlink"/>
            <w:rFonts w:ascii="Book Antiqua" w:hAnsi="Book Antiqua"/>
            <w:color w:val="000000" w:themeColor="text1"/>
            <w:sz w:val="20"/>
            <w:szCs w:val="20"/>
            <w:u w:val="none"/>
            <w:lang w:val="en"/>
          </w:rPr>
          <w:t xml:space="preserve"> </w:t>
        </w:r>
      </w:hyperlink>
      <w:hyperlink r:id="rId434">
        <w:r w:rsidRPr="006810DB">
          <w:rPr>
            <w:rStyle w:val="Hyperlink"/>
            <w:rFonts w:ascii="Book Antiqua" w:hAnsi="Book Antiqua"/>
            <w:color w:val="000000" w:themeColor="text1"/>
            <w:sz w:val="20"/>
            <w:szCs w:val="20"/>
            <w:u w:val="none"/>
            <w:lang w:val="en"/>
          </w:rPr>
          <w:t>https://doi.org/10.1155/2019/1528635</w:t>
        </w:r>
      </w:hyperlink>
    </w:p>
    <w:p w14:paraId="1922B1E4"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Yoshizawa, Y., Imoto, I., &amp; Tanaka, H. (2020). The role of copper transporters in cisplatin resistance of cancer. </w:t>
      </w:r>
      <w:r w:rsidRPr="006810DB">
        <w:rPr>
          <w:rFonts w:ascii="Book Antiqua" w:hAnsi="Book Antiqua"/>
          <w:i/>
          <w:iCs/>
          <w:color w:val="000000" w:themeColor="text1"/>
          <w:sz w:val="20"/>
          <w:szCs w:val="20"/>
          <w:lang w:val="en"/>
        </w:rPr>
        <w:t>Cancers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12</w:t>
      </w:r>
      <w:r w:rsidRPr="006810DB">
        <w:rPr>
          <w:rFonts w:ascii="Book Antiqua" w:hAnsi="Book Antiqua"/>
          <w:color w:val="000000" w:themeColor="text1"/>
          <w:sz w:val="20"/>
          <w:szCs w:val="20"/>
          <w:lang w:val="en"/>
        </w:rPr>
        <w:t>(7), 1836.</w:t>
      </w:r>
    </w:p>
    <w:p w14:paraId="630F4959" w14:textId="77777777" w:rsidR="009B5356" w:rsidRPr="006810DB" w:rsidRDefault="009B5356" w:rsidP="006810DB">
      <w:pPr>
        <w:spacing w:after="120" w:line="276" w:lineRule="auto"/>
        <w:ind w:left="567" w:hanging="567"/>
        <w:jc w:val="both"/>
        <w:rPr>
          <w:rFonts w:ascii="Book Antiqua" w:hAnsi="Book Antiqua"/>
          <w:color w:val="000000" w:themeColor="text1"/>
          <w:sz w:val="20"/>
          <w:szCs w:val="20"/>
          <w:lang w:val="en"/>
        </w:rPr>
      </w:pPr>
      <w:r w:rsidRPr="006810DB">
        <w:rPr>
          <w:rFonts w:ascii="Book Antiqua" w:hAnsi="Book Antiqua"/>
          <w:color w:val="000000" w:themeColor="text1"/>
          <w:sz w:val="20"/>
          <w:szCs w:val="20"/>
          <w:lang w:val="en"/>
        </w:rPr>
        <w:t xml:space="preserve">Zhai, Q., Narbad, A., &amp; Chen, W. (2019). Dietary strategies for the treatment of cadmium and lead toxicity. </w:t>
      </w:r>
      <w:r w:rsidRPr="006810DB">
        <w:rPr>
          <w:rFonts w:ascii="Book Antiqua" w:hAnsi="Book Antiqua"/>
          <w:i/>
          <w:iCs/>
          <w:color w:val="000000" w:themeColor="text1"/>
          <w:sz w:val="20"/>
          <w:szCs w:val="20"/>
          <w:lang w:val="en"/>
        </w:rPr>
        <w:t>Nutrients</w:t>
      </w:r>
      <w:r w:rsidRPr="006810DB">
        <w:rPr>
          <w:rFonts w:ascii="Book Antiqua" w:hAnsi="Book Antiqua"/>
          <w:color w:val="000000" w:themeColor="text1"/>
          <w:sz w:val="20"/>
          <w:szCs w:val="20"/>
          <w:lang w:val="en"/>
        </w:rPr>
        <w:t xml:space="preserve">, </w:t>
      </w:r>
      <w:r w:rsidRPr="006810DB">
        <w:rPr>
          <w:rFonts w:ascii="Book Antiqua" w:hAnsi="Book Antiqua"/>
          <w:i/>
          <w:iCs/>
          <w:color w:val="000000" w:themeColor="text1"/>
          <w:sz w:val="20"/>
          <w:szCs w:val="20"/>
          <w:lang w:val="en"/>
        </w:rPr>
        <w:t>7</w:t>
      </w:r>
      <w:r w:rsidRPr="006810DB">
        <w:rPr>
          <w:rFonts w:ascii="Book Antiqua" w:hAnsi="Book Antiqua"/>
          <w:color w:val="000000" w:themeColor="text1"/>
          <w:sz w:val="20"/>
          <w:szCs w:val="20"/>
          <w:lang w:val="en"/>
        </w:rPr>
        <w:t>(1), 55-64.</w:t>
      </w:r>
    </w:p>
    <w:p w14:paraId="5C7DCD26" w14:textId="77777777" w:rsidR="009B5356" w:rsidRPr="006810DB" w:rsidRDefault="009B5356" w:rsidP="006810DB">
      <w:pPr>
        <w:spacing w:after="120" w:line="276" w:lineRule="auto"/>
        <w:ind w:left="567" w:hanging="567"/>
        <w:jc w:val="both"/>
        <w:rPr>
          <w:rFonts w:ascii="Book Antiqua" w:hAnsi="Book Antiqua"/>
          <w:b/>
          <w:bCs/>
          <w:sz w:val="20"/>
          <w:szCs w:val="20"/>
          <w:lang w:val="sv-SE"/>
        </w:rPr>
      </w:pPr>
      <w:r w:rsidRPr="006810DB">
        <w:rPr>
          <w:rFonts w:ascii="Book Antiqua" w:hAnsi="Book Antiqua"/>
          <w:color w:val="000000" w:themeColor="text1"/>
          <w:sz w:val="20"/>
          <w:szCs w:val="20"/>
          <w:lang w:val="en"/>
        </w:rPr>
        <w:t xml:space="preserve">Zitvogel, L., Kroemer, G., &amp; Galluzzi, L. (2020). The multifaceted effects </w:t>
      </w:r>
      <w:r w:rsidRPr="006810DB">
        <w:rPr>
          <w:rFonts w:ascii="Book Antiqua" w:hAnsi="Book Antiqua"/>
          <w:sz w:val="20"/>
          <w:szCs w:val="20"/>
          <w:lang w:val="en"/>
        </w:rPr>
        <w:t xml:space="preserve">of chemotherapy on the tumor microenvironment. </w:t>
      </w:r>
      <w:r w:rsidRPr="006810DB">
        <w:rPr>
          <w:rFonts w:ascii="Book Antiqua" w:hAnsi="Book Antiqua"/>
          <w:i/>
          <w:iCs/>
          <w:sz w:val="20"/>
          <w:szCs w:val="20"/>
          <w:lang w:val="en"/>
        </w:rPr>
        <w:t>Trends in Immunology</w:t>
      </w:r>
      <w:r w:rsidRPr="006810DB">
        <w:rPr>
          <w:rFonts w:ascii="Book Antiqua" w:hAnsi="Book Antiqua"/>
          <w:sz w:val="20"/>
          <w:szCs w:val="20"/>
          <w:lang w:val="en"/>
        </w:rPr>
        <w:t xml:space="preserve">, </w:t>
      </w:r>
      <w:r w:rsidRPr="006810DB">
        <w:rPr>
          <w:rFonts w:ascii="Book Antiqua" w:hAnsi="Book Antiqua"/>
          <w:i/>
          <w:iCs/>
          <w:sz w:val="20"/>
          <w:szCs w:val="20"/>
          <w:lang w:val="en"/>
        </w:rPr>
        <w:t>41</w:t>
      </w:r>
      <w:r w:rsidRPr="006810DB">
        <w:rPr>
          <w:rFonts w:ascii="Book Antiqua" w:hAnsi="Book Antiqua"/>
          <w:sz w:val="20"/>
          <w:szCs w:val="20"/>
          <w:lang w:val="en"/>
        </w:rPr>
        <w:t>(9), 795–813.</w:t>
      </w:r>
      <w:r w:rsidRPr="006810DB">
        <w:rPr>
          <w:rFonts w:ascii="Book Antiqua" w:hAnsi="Book Antiqua"/>
          <w:b/>
          <w:bCs/>
          <w:sz w:val="20"/>
          <w:szCs w:val="20"/>
          <w:lang w:val="sv-SE"/>
        </w:rPr>
        <w:br w:type="page"/>
      </w:r>
    </w:p>
    <w:p w14:paraId="6BA12268" w14:textId="22B4F284" w:rsidR="00B258B7" w:rsidRPr="006810DB" w:rsidRDefault="00B258B7" w:rsidP="006810DB">
      <w:pPr>
        <w:pStyle w:val="Heading1"/>
        <w:spacing w:before="0" w:line="276" w:lineRule="auto"/>
        <w:jc w:val="center"/>
        <w:rPr>
          <w:rFonts w:eastAsia="DengXian"/>
          <w:b/>
          <w:bCs/>
          <w:lang w:eastAsia="zh-CN"/>
        </w:rPr>
      </w:pPr>
      <w:bookmarkStart w:id="515" w:name="_Toc223089020"/>
      <w:r w:rsidRPr="006810DB">
        <w:rPr>
          <w:b/>
          <w:bCs/>
        </w:rPr>
        <w:lastRenderedPageBreak/>
        <w:t>GLOS</w:t>
      </w:r>
      <w:r w:rsidR="00004DEE" w:rsidRPr="006810DB">
        <w:rPr>
          <w:b/>
          <w:bCs/>
          <w:lang w:val="en-US"/>
        </w:rPr>
        <w:t>ARIUM</w:t>
      </w:r>
      <w:bookmarkEnd w:id="515"/>
    </w:p>
    <w:p w14:paraId="462F6890" w14:textId="77777777" w:rsidR="00CA71C5" w:rsidRPr="006810DB" w:rsidRDefault="00CA71C5" w:rsidP="006810DB">
      <w:pPr>
        <w:spacing w:after="0" w:line="276" w:lineRule="auto"/>
        <w:jc w:val="both"/>
        <w:rPr>
          <w:rFonts w:ascii="Book Antiqua" w:hAnsi="Book Antiqua"/>
          <w:b/>
          <w:bCs/>
          <w:sz w:val="20"/>
          <w:szCs w:val="20"/>
          <w:lang w:val="en"/>
        </w:rPr>
      </w:pPr>
    </w:p>
    <w:p w14:paraId="1FB1D217" w14:textId="77777777" w:rsidR="00B258B7" w:rsidRPr="006810DB" w:rsidRDefault="00B258B7" w:rsidP="006810DB">
      <w:pPr>
        <w:spacing w:after="120" w:line="276" w:lineRule="auto"/>
        <w:ind w:firstLine="567"/>
        <w:jc w:val="both"/>
        <w:rPr>
          <w:rFonts w:ascii="Book Antiqua" w:hAnsi="Book Antiqua"/>
          <w:sz w:val="20"/>
          <w:szCs w:val="20"/>
          <w:lang w:val="en"/>
        </w:rPr>
      </w:pPr>
      <w:r w:rsidRPr="006810DB">
        <w:rPr>
          <w:rFonts w:ascii="Book Antiqua" w:hAnsi="Book Antiqua"/>
          <w:sz w:val="20"/>
          <w:szCs w:val="20"/>
          <w:lang w:val="en"/>
        </w:rPr>
        <w:t>Berikut adalah daftar istilah kunci yang dikompilasi dari seluruh bab dalam buku ini untuk memudahkan pembaca memahami konsep-konsep teknis dan teoretis yang digunakan:</w:t>
      </w:r>
    </w:p>
    <w:p w14:paraId="74441021"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Adducts DNA</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Ikatan kovalen yang terbentuk antara agen kimia (seperti cisplatin) dengan molekul DNA, yang menyebabkan gangguan pada replikasi dan transkripsi, sering kali memicu kematian sel.</w:t>
      </w:r>
    </w:p>
    <w:p w14:paraId="722BA4D1"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Antioksidan</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Molekul yang mampu memperlambat atau mencegah oksidasi molekul lain dengan mendonorkan elektron kepada radikal bebas tanpa menjadi tidak stabil sendiri.</w:t>
      </w:r>
    </w:p>
    <w:p w14:paraId="0F5ED63F"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Apoptosis</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Mekanisme kematian sel terprogram yang teratur dan terkendali, yang terjadi sebagai respons terhadap sinyal intraseluler (seperti kerusakan DNA) tanpa menyebabkan peradangan di sekitarnya.</w:t>
      </w:r>
    </w:p>
    <w:p w14:paraId="444DED27"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Cisplatin</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Agen kemoterapi berbasis platinum yang bekerja sebagai agen alkilasi, digunakan secara luas untuk mengobati berbagai jenis kanker solid, namun memiliki efek samping toksisitas yang signifikan.</w:t>
      </w:r>
    </w:p>
    <w:p w14:paraId="7C8FC8D5"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Cold Pressing</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Metode ekstraksi mekanis pada suhu rendah untuk memisahkan minyak dari biji-bijian tanpa menggunakan pelarut kimia, menjaga integritas senyawa bioaktif yang sensitif terhadap panas.</w:t>
      </w:r>
    </w:p>
    <w:p w14:paraId="33188126"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COX-2 (</w:t>
      </w:r>
      <w:r w:rsidRPr="006810DB">
        <w:rPr>
          <w:rFonts w:ascii="Book Antiqua" w:hAnsi="Book Antiqua"/>
          <w:b/>
          <w:bCs/>
          <w:i/>
          <w:iCs/>
          <w:sz w:val="20"/>
          <w:szCs w:val="20"/>
          <w:lang w:val="en"/>
        </w:rPr>
        <w:t>Cyclooxygenase-2</w:t>
      </w:r>
      <w:r w:rsidRPr="006810DB">
        <w:rPr>
          <w:rFonts w:ascii="Book Antiqua" w:hAnsi="Book Antiqua"/>
          <w:b/>
          <w:bCs/>
          <w:sz w:val="20"/>
          <w:szCs w:val="20"/>
          <w:lang w:val="en"/>
        </w:rPr>
        <w:t>):</w:t>
      </w:r>
      <w:r w:rsidRPr="006810DB">
        <w:rPr>
          <w:rFonts w:ascii="Book Antiqua" w:hAnsi="Book Antiqua"/>
          <w:sz w:val="20"/>
          <w:szCs w:val="20"/>
          <w:lang w:val="en"/>
        </w:rPr>
        <w:t xml:space="preserve"> Enzim yang diinduksi oleh stimulus peradangan dan bertanggung jawab untuk sintesis prostaglandin yang menyebabkan nyeri dan demam.</w:t>
      </w:r>
    </w:p>
    <w:p w14:paraId="4E1F6CB0"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lastRenderedPageBreak/>
        <w:t>Deskuamasi</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Proses pelepasan atau pengelupasan lapisan terluar epitel (kulit atau mukosa) yang terjadi secara patologis pada kondisi mukositis.</w:t>
      </w:r>
    </w:p>
    <w:p w14:paraId="26998CA2"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Edema</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Pembengkakan jaringan akibat akumulasi cairan berlebih di ruang interstisial, sering disebabkan oleh peningkatan permeabilitas vaskular selama peradangan.</w:t>
      </w:r>
    </w:p>
    <w:p w14:paraId="6BB4DD85"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Farmakokinetik</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Cabang farmakologi yang mempelajari nasib obat dalam tubuh, meliputi proses absorpsi, distribusi, metabolisme, dan ekskresi (ADME).</w:t>
      </w:r>
    </w:p>
    <w:p w14:paraId="14A319C6"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Fitofarmaka</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Kategori obat bahan alam tertinggi di Indonesia yang telah melalui uji klinis dan praklinis serta terstandarisasi bahan baku dan produk jadinya, setara dengan obat modern.</w:t>
      </w:r>
    </w:p>
    <w:p w14:paraId="50208E7B"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HPLC (</w:t>
      </w:r>
      <w:r w:rsidRPr="006810DB">
        <w:rPr>
          <w:rFonts w:ascii="Book Antiqua" w:hAnsi="Book Antiqua"/>
          <w:b/>
          <w:bCs/>
          <w:i/>
          <w:iCs/>
          <w:sz w:val="20"/>
          <w:szCs w:val="20"/>
          <w:lang w:val="en"/>
        </w:rPr>
        <w:t>High Performance Liquid Chromatography</w:t>
      </w:r>
      <w:r w:rsidRPr="006810DB">
        <w:rPr>
          <w:rFonts w:ascii="Book Antiqua" w:hAnsi="Book Antiqua"/>
          <w:b/>
          <w:bCs/>
          <w:sz w:val="20"/>
          <w:szCs w:val="20"/>
          <w:lang w:val="en"/>
        </w:rPr>
        <w:t>):</w:t>
      </w:r>
      <w:r w:rsidRPr="006810DB">
        <w:rPr>
          <w:rFonts w:ascii="Book Antiqua" w:hAnsi="Book Antiqua"/>
          <w:sz w:val="20"/>
          <w:szCs w:val="20"/>
          <w:lang w:val="en"/>
        </w:rPr>
        <w:t xml:space="preserve"> Teknik analisis instrumental presisi tinggi untuk memisahkan, mengidentifikasi, dan mengukur kuantitas komponen kimia dalam suatu campuran, seperti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dalam ekstrak.</w:t>
      </w:r>
    </w:p>
    <w:p w14:paraId="0C06DE74" w14:textId="48965B5F"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Imunohistokimia (IHC):</w:t>
      </w:r>
      <w:r w:rsidRPr="006810DB">
        <w:rPr>
          <w:rFonts w:ascii="Book Antiqua" w:hAnsi="Book Antiqua"/>
          <w:sz w:val="20"/>
          <w:szCs w:val="20"/>
          <w:lang w:val="en"/>
        </w:rPr>
        <w:t xml:space="preserve"> Teknik laboratorium yang menggunakan antibodi berlabel untuk memvisualisasikan lokasi dan distribusi protein spesifik (seperti </w:t>
      </w:r>
      <w:r w:rsidRPr="006810DB">
        <w:rPr>
          <w:rFonts w:ascii="Book Antiqua" w:hAnsi="Book Antiqua"/>
          <w:sz w:val="20"/>
          <w:szCs w:val="20"/>
          <w:highlight w:val="yellow"/>
          <w:lang w:val="en"/>
        </w:rPr>
        <w:t>NF-κ\kappaκ B</w:t>
      </w:r>
      <w:r w:rsidRPr="006810DB">
        <w:rPr>
          <w:rFonts w:ascii="Book Antiqua" w:hAnsi="Book Antiqua"/>
          <w:sz w:val="20"/>
          <w:szCs w:val="20"/>
          <w:lang w:val="en"/>
        </w:rPr>
        <w:t>) dalam potongan jaringan mikroskopis.</w:t>
      </w:r>
    </w:p>
    <w:p w14:paraId="7E90AC7A" w14:textId="4B3C3802"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Inflammasome</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 xml:space="preserve">Kompleks protein intraseluler oligomerik yang berperan dalam sistem imun bawaan, bertanggung jawab atas aktivasi respons inflamasi seperti pelepasan </w:t>
      </w:r>
      <w:r w:rsidRPr="006810DB">
        <w:rPr>
          <w:rFonts w:ascii="Book Antiqua" w:hAnsi="Book Antiqua"/>
          <w:sz w:val="20"/>
          <w:szCs w:val="20"/>
          <w:highlight w:val="yellow"/>
          <w:lang w:val="en"/>
        </w:rPr>
        <w:t>IL-1β\betaβ.</w:t>
      </w:r>
    </w:p>
    <w:p w14:paraId="32445150" w14:textId="77777777" w:rsidR="00004DEE" w:rsidRPr="006810DB" w:rsidRDefault="00004DEE"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0F35C833" w14:textId="603D7F2A"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lastRenderedPageBreak/>
        <w:t>Lipid Peroxidation</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Reaksi berantai degradasi oksidatif lipid, di mana radikal bebas mencuri elektron dari lipid di membran sel, menyebabkan kerusakan struktur sel.</w:t>
      </w:r>
    </w:p>
    <w:p w14:paraId="1D4DF404"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Malondialdehyde (MDA):</w:t>
      </w:r>
      <w:r w:rsidRPr="006810DB">
        <w:rPr>
          <w:rFonts w:ascii="Book Antiqua" w:hAnsi="Book Antiqua"/>
          <w:sz w:val="20"/>
          <w:szCs w:val="20"/>
          <w:lang w:val="en"/>
        </w:rPr>
        <w:t xml:space="preserve"> Senyawa organik yang terbentuk sebagai produk akhir peroksidasi lipid, digunakan secara luas sebagai biomarker untuk mengukur tingkat stres oksidatif dalam sel dan jaringan.</w:t>
      </w:r>
    </w:p>
    <w:p w14:paraId="52970CBA"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Mukositis Oral</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Peradangan dan ulserasi pada membran mukosa rongga mulut, merupakan efek samping umum dan menyakitkan dari kemoterapi dan radioterapi.</w:t>
      </w:r>
    </w:p>
    <w:p w14:paraId="07D01C28"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Nanoemulsi</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 xml:space="preserve">Sistem penghantaran obat berupa dispersi minyak dan air dengan ukuran droplet skala nanometer, digunakan untuk meningkatkan kelarutan dan bioavailabilitas senyawa hidrofobik seperti </w:t>
      </w:r>
      <w:r w:rsidRPr="006810DB">
        <w:rPr>
          <w:rFonts w:ascii="Book Antiqua" w:hAnsi="Book Antiqua"/>
          <w:i/>
          <w:iCs/>
          <w:sz w:val="20"/>
          <w:szCs w:val="20"/>
          <w:lang w:val="en"/>
        </w:rPr>
        <w:t>thymoquinone</w:t>
      </w:r>
      <w:r w:rsidRPr="006810DB">
        <w:rPr>
          <w:rFonts w:ascii="Book Antiqua" w:hAnsi="Book Antiqua"/>
          <w:sz w:val="20"/>
          <w:szCs w:val="20"/>
          <w:lang w:val="en"/>
        </w:rPr>
        <w:t>.</w:t>
      </w:r>
    </w:p>
    <w:p w14:paraId="55D4E32D"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highlight w:val="yellow"/>
          <w:lang w:val="en"/>
        </w:rPr>
        <w:t>NF-κ\kappaκ B</w:t>
      </w:r>
      <w:r w:rsidRPr="006810DB">
        <w:rPr>
          <w:rFonts w:ascii="Book Antiqua" w:hAnsi="Book Antiqua"/>
          <w:b/>
          <w:bCs/>
          <w:sz w:val="20"/>
          <w:szCs w:val="20"/>
          <w:lang w:val="en"/>
        </w:rPr>
        <w:t xml:space="preserve"> (</w:t>
      </w:r>
      <w:r w:rsidRPr="006810DB">
        <w:rPr>
          <w:rFonts w:ascii="Book Antiqua" w:hAnsi="Book Antiqua"/>
          <w:b/>
          <w:bCs/>
          <w:i/>
          <w:iCs/>
          <w:sz w:val="20"/>
          <w:szCs w:val="20"/>
          <w:lang w:val="en"/>
        </w:rPr>
        <w:t>Nuclear Factor-kappa B</w:t>
      </w:r>
      <w:r w:rsidRPr="006810DB">
        <w:rPr>
          <w:rFonts w:ascii="Book Antiqua" w:hAnsi="Book Antiqua"/>
          <w:b/>
          <w:bCs/>
          <w:sz w:val="20"/>
          <w:szCs w:val="20"/>
          <w:lang w:val="en"/>
        </w:rPr>
        <w:t>):</w:t>
      </w:r>
      <w:r w:rsidRPr="006810DB">
        <w:rPr>
          <w:rFonts w:ascii="Book Antiqua" w:hAnsi="Book Antiqua"/>
          <w:sz w:val="20"/>
          <w:szCs w:val="20"/>
          <w:lang w:val="en"/>
        </w:rPr>
        <w:t xml:space="preserve"> Kompleks protein faktor transkripsi yang berfungsi sebagai regulator utama respon imun dan inflamasi, mengontrol ekspresi gen sitokin dan molekul adhesi.</w:t>
      </w:r>
    </w:p>
    <w:p w14:paraId="631C1B79"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Nigella sativa</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 xml:space="preserve">Tanaman berbunga dari famili Ranunculaceae, dikenal sebagai jintan hitam atau habbatussauda, yang bijinya kaya akan </w:t>
      </w:r>
      <w:r w:rsidRPr="006810DB">
        <w:rPr>
          <w:rFonts w:ascii="Book Antiqua" w:hAnsi="Book Antiqua"/>
          <w:i/>
          <w:iCs/>
          <w:sz w:val="20"/>
          <w:szCs w:val="20"/>
          <w:lang w:val="en"/>
        </w:rPr>
        <w:t>thymoquinone</w:t>
      </w:r>
      <w:r w:rsidRPr="006810DB">
        <w:rPr>
          <w:rFonts w:ascii="Book Antiqua" w:hAnsi="Book Antiqua"/>
          <w:sz w:val="20"/>
          <w:szCs w:val="20"/>
          <w:lang w:val="en"/>
        </w:rPr>
        <w:t xml:space="preserve"> dan memiliki berbagai aktivitas farmakologis.</w:t>
      </w:r>
    </w:p>
    <w:p w14:paraId="4856E0E6"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P50 dan P65</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 xml:space="preserve">Subunit protein yang membentuk heterodimer </w:t>
      </w:r>
      <w:r w:rsidRPr="006810DB">
        <w:rPr>
          <w:rFonts w:ascii="Book Antiqua" w:hAnsi="Book Antiqua"/>
          <w:sz w:val="20"/>
          <w:szCs w:val="20"/>
          <w:highlight w:val="yellow"/>
          <w:lang w:val="en"/>
        </w:rPr>
        <w:t>NF-κ\kappaκ B</w:t>
      </w:r>
      <w:r w:rsidRPr="006810DB">
        <w:rPr>
          <w:rFonts w:ascii="Book Antiqua" w:hAnsi="Book Antiqua"/>
          <w:sz w:val="20"/>
          <w:szCs w:val="20"/>
          <w:lang w:val="en"/>
        </w:rPr>
        <w:t xml:space="preserve"> yang paling umum; p65 mengandung domain aktivasi transkripsi, sementara p50 berfungsi untuk pengikatan DNA.</w:t>
      </w:r>
    </w:p>
    <w:p w14:paraId="7A277E0D" w14:textId="77777777" w:rsidR="00004DEE" w:rsidRPr="006810DB" w:rsidRDefault="00004DEE" w:rsidP="006810DB">
      <w:pPr>
        <w:spacing w:line="276" w:lineRule="auto"/>
        <w:rPr>
          <w:rFonts w:ascii="Book Antiqua" w:hAnsi="Book Antiqua"/>
          <w:b/>
          <w:bCs/>
          <w:sz w:val="20"/>
          <w:szCs w:val="20"/>
          <w:lang w:val="en"/>
        </w:rPr>
      </w:pPr>
      <w:r w:rsidRPr="006810DB">
        <w:rPr>
          <w:rFonts w:ascii="Book Antiqua" w:hAnsi="Book Antiqua"/>
          <w:b/>
          <w:bCs/>
          <w:sz w:val="20"/>
          <w:szCs w:val="20"/>
          <w:lang w:val="en"/>
        </w:rPr>
        <w:br w:type="page"/>
      </w:r>
    </w:p>
    <w:p w14:paraId="47FEBFA1" w14:textId="01F048DA"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lastRenderedPageBreak/>
        <w:t>Pleiotropik</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Sifat suatu agen atau gen yang memiliki efek ganda atau mempengaruhi berbagai sistem fisiologis yang tidak terkait secara langsung.</w:t>
      </w:r>
    </w:p>
    <w:p w14:paraId="130A68CB"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Re-epitelisasi</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Proses penyembuhan luka di mana sel-sel epitel bermigrasi dan berproliferasi untuk menutupi area jaringan yang terbuka atau rusak.</w:t>
      </w:r>
    </w:p>
    <w:p w14:paraId="1162FD67"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ROS (</w:t>
      </w:r>
      <w:r w:rsidRPr="006810DB">
        <w:rPr>
          <w:rFonts w:ascii="Book Antiqua" w:hAnsi="Book Antiqua"/>
          <w:b/>
          <w:bCs/>
          <w:i/>
          <w:iCs/>
          <w:sz w:val="20"/>
          <w:szCs w:val="20"/>
          <w:lang w:val="en"/>
        </w:rPr>
        <w:t>Reactive Oxygen Species</w:t>
      </w:r>
      <w:r w:rsidRPr="006810DB">
        <w:rPr>
          <w:rFonts w:ascii="Book Antiqua" w:hAnsi="Book Antiqua"/>
          <w:b/>
          <w:bCs/>
          <w:sz w:val="20"/>
          <w:szCs w:val="20"/>
          <w:lang w:val="en"/>
        </w:rPr>
        <w:t>):</w:t>
      </w:r>
      <w:r w:rsidRPr="006810DB">
        <w:rPr>
          <w:rFonts w:ascii="Book Antiqua" w:hAnsi="Book Antiqua"/>
          <w:sz w:val="20"/>
          <w:szCs w:val="20"/>
          <w:lang w:val="en"/>
        </w:rPr>
        <w:t xml:space="preserve"> Molekul-molekul turunan oksigen yang sangat reaktif (seperti superoksida dan hidrogen peroksida) yang pada kadar tinggi menyebabkan kerusakan oksidatif pada sel.</w:t>
      </w:r>
    </w:p>
    <w:p w14:paraId="1DA0211A"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Sitokin Pro-inflamasi</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 xml:space="preserve">Molekul sinyal protein (seperti </w:t>
      </w:r>
      <w:r w:rsidRPr="006810DB">
        <w:rPr>
          <w:rFonts w:ascii="Book Antiqua" w:hAnsi="Book Antiqua"/>
          <w:sz w:val="20"/>
          <w:szCs w:val="20"/>
          <w:highlight w:val="yellow"/>
          <w:lang w:val="en"/>
        </w:rPr>
        <w:t>TNF-α\alphaα, IL-1β\betaβ</w:t>
      </w:r>
      <w:r w:rsidRPr="006810DB">
        <w:rPr>
          <w:rFonts w:ascii="Book Antiqua" w:hAnsi="Book Antiqua"/>
          <w:sz w:val="20"/>
          <w:szCs w:val="20"/>
          <w:lang w:val="en"/>
        </w:rPr>
        <w:t>, IL-6) yang diproduksi oleh sel imun untuk mempromosikan peradangan sistemik dan lokal.</w:t>
      </w:r>
    </w:p>
    <w:p w14:paraId="23229D44"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Standardisasi</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Proses penjaminan kualitas untuk memastikan bahwa setiap unit produk herbal mengandung kadar senyawa aktif yang konsisten dan memenuhi spesifikasi keamanan.</w:t>
      </w:r>
    </w:p>
    <w:p w14:paraId="01F803BD"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Thymoquinone</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 xml:space="preserve">Senyawa bioaktif utama (kinoin) yang diisolasi dari minyak atsiri </w:t>
      </w:r>
      <w:r w:rsidRPr="006810DB">
        <w:rPr>
          <w:rFonts w:ascii="Book Antiqua" w:hAnsi="Book Antiqua"/>
          <w:i/>
          <w:iCs/>
          <w:sz w:val="20"/>
          <w:szCs w:val="20"/>
          <w:lang w:val="en"/>
        </w:rPr>
        <w:t>Nigella sativa</w:t>
      </w:r>
      <w:r w:rsidRPr="006810DB">
        <w:rPr>
          <w:rFonts w:ascii="Book Antiqua" w:hAnsi="Book Antiqua"/>
          <w:sz w:val="20"/>
          <w:szCs w:val="20"/>
          <w:lang w:val="en"/>
        </w:rPr>
        <w:t>, dikenal memiliki aktivitas antioksidan, anti-inflamasi, dan antikanker yang kuat.</w:t>
      </w:r>
    </w:p>
    <w:p w14:paraId="22B40875"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highlight w:val="yellow"/>
          <w:lang w:val="en"/>
        </w:rPr>
        <w:t>TNF- α\alphaα</w:t>
      </w:r>
      <w:r w:rsidRPr="006810DB">
        <w:rPr>
          <w:rFonts w:ascii="Book Antiqua" w:hAnsi="Book Antiqua"/>
          <w:b/>
          <w:bCs/>
          <w:sz w:val="20"/>
          <w:szCs w:val="20"/>
          <w:lang w:val="en"/>
        </w:rPr>
        <w:t xml:space="preserve"> (</w:t>
      </w:r>
      <w:r w:rsidRPr="006810DB">
        <w:rPr>
          <w:rFonts w:ascii="Book Antiqua" w:hAnsi="Book Antiqua"/>
          <w:b/>
          <w:bCs/>
          <w:i/>
          <w:iCs/>
          <w:sz w:val="20"/>
          <w:szCs w:val="20"/>
          <w:lang w:val="en"/>
        </w:rPr>
        <w:t>Tumor Necrosis Factor-alpha</w:t>
      </w:r>
      <w:r w:rsidRPr="006810DB">
        <w:rPr>
          <w:rFonts w:ascii="Book Antiqua" w:hAnsi="Book Antiqua"/>
          <w:b/>
          <w:bCs/>
          <w:sz w:val="20"/>
          <w:szCs w:val="20"/>
          <w:lang w:val="en"/>
        </w:rPr>
        <w:t>):</w:t>
      </w:r>
      <w:r w:rsidRPr="006810DB">
        <w:rPr>
          <w:rFonts w:ascii="Book Antiqua" w:hAnsi="Book Antiqua"/>
          <w:sz w:val="20"/>
          <w:szCs w:val="20"/>
          <w:lang w:val="en"/>
        </w:rPr>
        <w:t xml:space="preserve"> Sitokin inflamasi poten yang memicu demam, apoptosis, dan kerusakan jaringan, serta memainkan peran sentral dalam patogenesis mukositis.</w:t>
      </w:r>
    </w:p>
    <w:p w14:paraId="6FB53D15" w14:textId="5110757B"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t>Translokasi Nuklear</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 xml:space="preserve">Perpindahan protein (seperti </w:t>
      </w:r>
      <w:r w:rsidRPr="006810DB">
        <w:rPr>
          <w:rFonts w:ascii="Book Antiqua" w:hAnsi="Book Antiqua"/>
          <w:sz w:val="20"/>
          <w:szCs w:val="20"/>
          <w:highlight w:val="yellow"/>
          <w:lang w:val="en"/>
        </w:rPr>
        <w:t>NF-κ\kappaκ B</w:t>
      </w:r>
      <w:r w:rsidRPr="006810DB">
        <w:rPr>
          <w:rFonts w:ascii="Book Antiqua" w:hAnsi="Book Antiqua"/>
          <w:sz w:val="20"/>
          <w:szCs w:val="20"/>
          <w:lang w:val="en"/>
        </w:rPr>
        <w:t>) dari sitoplasma ke dalam inti sel, yang merupakan langkah kunci dalam aktivasi fungsi regulasi gennya.</w:t>
      </w:r>
    </w:p>
    <w:p w14:paraId="16F53189" w14:textId="77777777" w:rsidR="00D51341" w:rsidRPr="006810DB" w:rsidRDefault="00D51341" w:rsidP="006810DB">
      <w:pPr>
        <w:tabs>
          <w:tab w:val="left" w:pos="2127"/>
        </w:tabs>
        <w:spacing w:after="0" w:line="276" w:lineRule="auto"/>
        <w:ind w:left="2268" w:hanging="2268"/>
        <w:jc w:val="both"/>
        <w:rPr>
          <w:rFonts w:ascii="Book Antiqua" w:hAnsi="Book Antiqua"/>
          <w:sz w:val="20"/>
          <w:szCs w:val="20"/>
          <w:lang w:val="en"/>
        </w:rPr>
      </w:pPr>
      <w:r w:rsidRPr="006810DB">
        <w:rPr>
          <w:rFonts w:ascii="Book Antiqua" w:hAnsi="Book Antiqua"/>
          <w:b/>
          <w:bCs/>
          <w:sz w:val="20"/>
          <w:szCs w:val="20"/>
          <w:lang w:val="en"/>
        </w:rPr>
        <w:lastRenderedPageBreak/>
        <w:t>Ulserasi</w:t>
      </w:r>
      <w:r w:rsidRPr="006810DB">
        <w:rPr>
          <w:rFonts w:ascii="Book Antiqua" w:hAnsi="Book Antiqua"/>
          <w:b/>
          <w:bCs/>
          <w:sz w:val="20"/>
          <w:szCs w:val="20"/>
          <w:lang w:val="en"/>
        </w:rPr>
        <w:tab/>
        <w:t>:</w:t>
      </w:r>
      <w:r w:rsidRPr="006810DB">
        <w:rPr>
          <w:rFonts w:ascii="Book Antiqua" w:hAnsi="Book Antiqua"/>
          <w:sz w:val="20"/>
          <w:szCs w:val="20"/>
          <w:lang w:val="en"/>
        </w:rPr>
        <w:t xml:space="preserve"> </w:t>
      </w:r>
      <w:r w:rsidRPr="006810DB">
        <w:rPr>
          <w:rFonts w:ascii="Book Antiqua" w:hAnsi="Book Antiqua"/>
          <w:sz w:val="20"/>
          <w:szCs w:val="20"/>
          <w:lang w:val="en"/>
        </w:rPr>
        <w:tab/>
        <w:t>Pembentukan luka terbuka pada kulit atau membran mukosa akibat luruhnya jaringan yang meradang atau mati.</w:t>
      </w:r>
    </w:p>
    <w:p w14:paraId="5860C9BA" w14:textId="77777777" w:rsidR="00F52CE9" w:rsidRPr="006810DB" w:rsidRDefault="00F52CE9" w:rsidP="006810DB">
      <w:pPr>
        <w:spacing w:line="276" w:lineRule="auto"/>
        <w:rPr>
          <w:rFonts w:ascii="Book Antiqua" w:hAnsi="Book Antiqua"/>
          <w:b/>
          <w:bCs/>
          <w:sz w:val="20"/>
          <w:szCs w:val="20"/>
          <w:lang w:val="en"/>
        </w:rPr>
      </w:pPr>
      <w:bookmarkStart w:id="516" w:name="_d9ps9l1py5b7" w:colFirst="0" w:colLast="0"/>
      <w:bookmarkEnd w:id="516"/>
      <w:r w:rsidRPr="006810DB">
        <w:rPr>
          <w:rFonts w:ascii="Book Antiqua" w:hAnsi="Book Antiqua"/>
          <w:b/>
          <w:bCs/>
          <w:sz w:val="20"/>
          <w:szCs w:val="20"/>
          <w:lang w:val="en"/>
        </w:rPr>
        <w:br w:type="page"/>
      </w:r>
    </w:p>
    <w:p w14:paraId="1633BF11" w14:textId="079741A1" w:rsidR="00F01945" w:rsidRPr="006810DB" w:rsidRDefault="00E5233C" w:rsidP="006810DB">
      <w:pPr>
        <w:pStyle w:val="Heading1"/>
        <w:spacing w:before="0" w:line="276" w:lineRule="auto"/>
        <w:jc w:val="center"/>
        <w:rPr>
          <w:rFonts w:cs="Arial"/>
          <w:b/>
          <w:szCs w:val="20"/>
          <w:lang w:val="en-US"/>
        </w:rPr>
      </w:pPr>
      <w:bookmarkStart w:id="517" w:name="_Toc83983432"/>
      <w:bookmarkStart w:id="518" w:name="_Toc223089021"/>
      <w:bookmarkEnd w:id="14"/>
      <w:bookmarkEnd w:id="15"/>
      <w:r w:rsidRPr="006810DB">
        <w:rPr>
          <w:rFonts w:cs="Arial"/>
          <w:b/>
          <w:szCs w:val="20"/>
          <w:highlight w:val="yellow"/>
          <w:lang w:val="en-US"/>
        </w:rPr>
        <w:lastRenderedPageBreak/>
        <w:t>TENTANG PENULIS</w:t>
      </w:r>
      <w:bookmarkEnd w:id="517"/>
      <w:bookmarkEnd w:id="518"/>
    </w:p>
    <w:p w14:paraId="1B9E0399" w14:textId="77777777" w:rsidR="00D822CB" w:rsidRPr="006810DB" w:rsidRDefault="00D822CB" w:rsidP="006810DB">
      <w:pPr>
        <w:spacing w:after="0" w:line="276" w:lineRule="auto"/>
        <w:jc w:val="both"/>
        <w:rPr>
          <w:rFonts w:ascii="Book Antiqua" w:hAnsi="Book Antiqua"/>
          <w:sz w:val="20"/>
          <w:szCs w:val="20"/>
          <w:lang w:val="id"/>
        </w:rPr>
      </w:pPr>
    </w:p>
    <w:p w14:paraId="18CF1D95" w14:textId="77777777" w:rsidR="000A4736" w:rsidRPr="006810DB" w:rsidRDefault="000A4736" w:rsidP="006810DB">
      <w:pPr>
        <w:spacing w:after="0" w:line="276" w:lineRule="auto"/>
        <w:jc w:val="both"/>
        <w:rPr>
          <w:rFonts w:ascii="Book Antiqua" w:hAnsi="Book Antiqua" w:cs="Times New Roman"/>
          <w:sz w:val="20"/>
          <w:szCs w:val="20"/>
          <w:lang w:val="en-US" w:eastAsia="zh-CN"/>
        </w:rPr>
      </w:pPr>
    </w:p>
    <w:sectPr w:rsidR="000A4736" w:rsidRPr="006810DB" w:rsidSect="007043CC">
      <w:pgSz w:w="8505" w:h="13041" w:code="13"/>
      <w:pgMar w:top="1134" w:right="1134"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16976" w14:textId="77777777" w:rsidR="00B648CD" w:rsidRDefault="00B648CD" w:rsidP="003C38A8">
      <w:pPr>
        <w:spacing w:after="0" w:line="240" w:lineRule="auto"/>
      </w:pPr>
      <w:r>
        <w:separator/>
      </w:r>
    </w:p>
  </w:endnote>
  <w:endnote w:type="continuationSeparator" w:id="0">
    <w:p w14:paraId="33CFCEAE" w14:textId="77777777" w:rsidR="00B648CD" w:rsidRDefault="00B648CD" w:rsidP="003C3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dvPSNCS-B">
    <w:altName w:val="Times New Roman"/>
    <w:charset w:val="00"/>
    <w:family w:val="roman"/>
    <w:pitch w:val="default"/>
  </w:font>
  <w:font w:name="HelveticaLTStd-Bold">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Warnock Pro">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default"/>
    <w:sig w:usb0="E00002FF" w:usb1="5000785B" w:usb2="00000000" w:usb3="00000000" w:csb0="2000019F" w:csb1="4F010000"/>
  </w:font>
  <w:font w:name="Adobe Song Std L">
    <w:panose1 w:val="00000000000000000000"/>
    <w:charset w:val="80"/>
    <w:family w:val="roman"/>
    <w:notTrueType/>
    <w:pitch w:val="variable"/>
    <w:sig w:usb0="00000207" w:usb1="0A0F1810" w:usb2="00000016" w:usb3="00000000" w:csb0="00060007"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Book Antiqua" w:hAnsi="Book Antiqua"/>
        <w:sz w:val="18"/>
      </w:rPr>
      <w:id w:val="-2123287251"/>
      <w:docPartObj>
        <w:docPartGallery w:val="Page Numbers (Bottom of Page)"/>
        <w:docPartUnique/>
      </w:docPartObj>
    </w:sdtPr>
    <w:sdtEndPr>
      <w:rPr>
        <w:noProof/>
      </w:rPr>
    </w:sdtEndPr>
    <w:sdtContent>
      <w:p w14:paraId="14326563" w14:textId="46DB5FA1" w:rsidR="00BC1D95" w:rsidRPr="003A0852" w:rsidRDefault="00BC1D95" w:rsidP="003A0852">
        <w:pPr>
          <w:pStyle w:val="Footer"/>
          <w:spacing w:line="276" w:lineRule="auto"/>
          <w:rPr>
            <w:rFonts w:ascii="Book Antiqua" w:hAnsi="Book Antiqua"/>
            <w:sz w:val="18"/>
          </w:rPr>
        </w:pPr>
        <w:r w:rsidRPr="003A0852">
          <w:rPr>
            <w:rFonts w:ascii="Book Antiqua" w:hAnsi="Book Antiqua"/>
            <w:sz w:val="18"/>
          </w:rPr>
          <w:fldChar w:fldCharType="begin"/>
        </w:r>
        <w:r w:rsidRPr="003A0852">
          <w:rPr>
            <w:rFonts w:ascii="Book Antiqua" w:hAnsi="Book Antiqua"/>
            <w:sz w:val="18"/>
          </w:rPr>
          <w:instrText xml:space="preserve"> PAGE   \* MERGEFORMAT </w:instrText>
        </w:r>
        <w:r w:rsidRPr="003A0852">
          <w:rPr>
            <w:rFonts w:ascii="Book Antiqua" w:hAnsi="Book Antiqua"/>
            <w:sz w:val="18"/>
          </w:rPr>
          <w:fldChar w:fldCharType="separate"/>
        </w:r>
        <w:r w:rsidR="00FE05D0">
          <w:rPr>
            <w:rFonts w:ascii="Book Antiqua" w:hAnsi="Book Antiqua"/>
            <w:noProof/>
            <w:sz w:val="18"/>
          </w:rPr>
          <w:t>ii</w:t>
        </w:r>
        <w:r w:rsidRPr="003A0852">
          <w:rPr>
            <w:rFonts w:ascii="Book Antiqua" w:hAnsi="Book Antiqua"/>
            <w:noProof/>
            <w:sz w:val="18"/>
          </w:rPr>
          <w:fldChar w:fldCharType="end"/>
        </w:r>
      </w:p>
    </w:sdtContent>
  </w:sdt>
  <w:p w14:paraId="2FABA2E0" w14:textId="1537D71D" w:rsidR="00BC1D95" w:rsidRPr="003A0852" w:rsidRDefault="00BC1D95" w:rsidP="003A0852">
    <w:pPr>
      <w:pStyle w:val="Footer"/>
      <w:spacing w:line="276" w:lineRule="auto"/>
      <w:rPr>
        <w:rFonts w:ascii="Book Antiqua" w:hAnsi="Book Antiqua"/>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Book Antiqua" w:hAnsi="Book Antiqua"/>
        <w:sz w:val="18"/>
      </w:rPr>
      <w:id w:val="1052201749"/>
      <w:docPartObj>
        <w:docPartGallery w:val="Page Numbers (Bottom of Page)"/>
        <w:docPartUnique/>
      </w:docPartObj>
    </w:sdtPr>
    <w:sdtEndPr>
      <w:rPr>
        <w:noProof/>
      </w:rPr>
    </w:sdtEndPr>
    <w:sdtContent>
      <w:p w14:paraId="60532DB7" w14:textId="6D4F8DD3" w:rsidR="00BC1D95" w:rsidRPr="003A0852" w:rsidRDefault="00BC1D95" w:rsidP="003A0852">
        <w:pPr>
          <w:pStyle w:val="Footer"/>
          <w:spacing w:line="276" w:lineRule="auto"/>
          <w:jc w:val="right"/>
          <w:rPr>
            <w:rFonts w:ascii="Book Antiqua" w:hAnsi="Book Antiqua"/>
            <w:sz w:val="18"/>
          </w:rPr>
        </w:pPr>
        <w:r w:rsidRPr="003A0852">
          <w:rPr>
            <w:rFonts w:ascii="Book Antiqua" w:hAnsi="Book Antiqua"/>
            <w:sz w:val="18"/>
          </w:rPr>
          <w:fldChar w:fldCharType="begin"/>
        </w:r>
        <w:r w:rsidRPr="003A0852">
          <w:rPr>
            <w:rFonts w:ascii="Book Antiqua" w:hAnsi="Book Antiqua"/>
            <w:sz w:val="18"/>
          </w:rPr>
          <w:instrText xml:space="preserve"> PAGE   \* MERGEFORMAT </w:instrText>
        </w:r>
        <w:r w:rsidRPr="003A0852">
          <w:rPr>
            <w:rFonts w:ascii="Book Antiqua" w:hAnsi="Book Antiqua"/>
            <w:sz w:val="18"/>
          </w:rPr>
          <w:fldChar w:fldCharType="separate"/>
        </w:r>
        <w:r w:rsidR="00FE05D0">
          <w:rPr>
            <w:rFonts w:ascii="Book Antiqua" w:hAnsi="Book Antiqua"/>
            <w:noProof/>
            <w:sz w:val="18"/>
          </w:rPr>
          <w:t>iii</w:t>
        </w:r>
        <w:r w:rsidRPr="003A0852">
          <w:rPr>
            <w:rFonts w:ascii="Book Antiqua" w:hAnsi="Book Antiqua"/>
            <w:noProof/>
            <w:sz w:val="18"/>
          </w:rPr>
          <w:fldChar w:fldCharType="end"/>
        </w:r>
      </w:p>
    </w:sdtContent>
  </w:sdt>
  <w:p w14:paraId="5D5BECC0" w14:textId="4B4977F9" w:rsidR="00BC1D95" w:rsidRPr="003A0852" w:rsidRDefault="00BC1D95" w:rsidP="003A0852">
    <w:pPr>
      <w:pStyle w:val="Footer"/>
      <w:spacing w:line="276" w:lineRule="auto"/>
      <w:rPr>
        <w:rFonts w:ascii="Book Antiqua" w:hAnsi="Book Antiqua"/>
        <w:sz w:val="18"/>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8536B" w14:textId="77777777" w:rsidR="00B648CD" w:rsidRDefault="00B648CD" w:rsidP="003C38A8">
      <w:pPr>
        <w:spacing w:after="0" w:line="240" w:lineRule="auto"/>
      </w:pPr>
      <w:bookmarkStart w:id="0" w:name="_Hlk76057644"/>
      <w:bookmarkEnd w:id="0"/>
      <w:r>
        <w:separator/>
      </w:r>
    </w:p>
  </w:footnote>
  <w:footnote w:type="continuationSeparator" w:id="0">
    <w:p w14:paraId="71BCFE78" w14:textId="77777777" w:rsidR="00B648CD" w:rsidRDefault="00B648CD" w:rsidP="003C38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1DC77FE"/>
    <w:multiLevelType w:val="hybridMultilevel"/>
    <w:tmpl w:val="3350037E"/>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11" w15:restartNumberingAfterBreak="0">
    <w:nsid w:val="05511B55"/>
    <w:multiLevelType w:val="hybridMultilevel"/>
    <w:tmpl w:val="E4CE6A50"/>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12" w15:restartNumberingAfterBreak="0">
    <w:nsid w:val="06BF7059"/>
    <w:multiLevelType w:val="hybridMultilevel"/>
    <w:tmpl w:val="31D2985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06CC6C00"/>
    <w:multiLevelType w:val="hybridMultilevel"/>
    <w:tmpl w:val="4D24C08A"/>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14" w15:restartNumberingAfterBreak="0">
    <w:nsid w:val="06F929AB"/>
    <w:multiLevelType w:val="hybridMultilevel"/>
    <w:tmpl w:val="420AC5BE"/>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15" w15:restartNumberingAfterBreak="0">
    <w:nsid w:val="08F97AC3"/>
    <w:multiLevelType w:val="hybridMultilevel"/>
    <w:tmpl w:val="8DC670B4"/>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16" w15:restartNumberingAfterBreak="0">
    <w:nsid w:val="0A6441B1"/>
    <w:multiLevelType w:val="hybridMultilevel"/>
    <w:tmpl w:val="B768B664"/>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17" w15:restartNumberingAfterBreak="0">
    <w:nsid w:val="0ABD359F"/>
    <w:multiLevelType w:val="hybridMultilevel"/>
    <w:tmpl w:val="A49EF3AE"/>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18" w15:restartNumberingAfterBreak="0">
    <w:nsid w:val="0B0C7541"/>
    <w:multiLevelType w:val="hybridMultilevel"/>
    <w:tmpl w:val="3ED4AE08"/>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19" w15:restartNumberingAfterBreak="0">
    <w:nsid w:val="0CAF3D0A"/>
    <w:multiLevelType w:val="hybridMultilevel"/>
    <w:tmpl w:val="BE88E29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0D3D138E"/>
    <w:multiLevelType w:val="hybridMultilevel"/>
    <w:tmpl w:val="98324FB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0E520A6A"/>
    <w:multiLevelType w:val="hybridMultilevel"/>
    <w:tmpl w:val="95E60C5E"/>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22" w15:restartNumberingAfterBreak="0">
    <w:nsid w:val="0EA51107"/>
    <w:multiLevelType w:val="hybridMultilevel"/>
    <w:tmpl w:val="9D3C9E8E"/>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23" w15:restartNumberingAfterBreak="0">
    <w:nsid w:val="109A09E9"/>
    <w:multiLevelType w:val="singleLevel"/>
    <w:tmpl w:val="234A26DC"/>
    <w:lvl w:ilvl="0">
      <w:start w:val="1"/>
      <w:numFmt w:val="upperRoman"/>
      <w:pStyle w:val="Title"/>
      <w:lvlText w:val="%1. "/>
      <w:legacy w:legacy="1" w:legacySpace="0" w:legacyIndent="283"/>
      <w:lvlJc w:val="left"/>
      <w:pPr>
        <w:ind w:left="283" w:hanging="283"/>
      </w:pPr>
      <w:rPr>
        <w:rFonts w:ascii="Times New Roman" w:hAnsi="Times New Roman" w:hint="default"/>
        <w:b w:val="0"/>
        <w:i w:val="0"/>
        <w:sz w:val="24"/>
        <w:u w:val="none"/>
      </w:rPr>
    </w:lvl>
  </w:abstractNum>
  <w:abstractNum w:abstractNumId="24" w15:restartNumberingAfterBreak="0">
    <w:nsid w:val="123E7F70"/>
    <w:multiLevelType w:val="hybridMultilevel"/>
    <w:tmpl w:val="1B2A71B0"/>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25" w15:restartNumberingAfterBreak="0">
    <w:nsid w:val="15EE7F1E"/>
    <w:multiLevelType w:val="hybridMultilevel"/>
    <w:tmpl w:val="0FC0B60C"/>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26" w15:restartNumberingAfterBreak="0">
    <w:nsid w:val="15FF1F92"/>
    <w:multiLevelType w:val="hybridMultilevel"/>
    <w:tmpl w:val="2E387C1C"/>
    <w:lvl w:ilvl="0" w:tplc="C6428902">
      <w:start w:val="1"/>
      <w:numFmt w:val="decimal"/>
      <w:lvlText w:val="%1."/>
      <w:lvlJc w:val="left"/>
      <w:pPr>
        <w:ind w:left="2340" w:hanging="360"/>
      </w:pPr>
      <w:rPr>
        <w:i w:val="0"/>
        <w:iCs w:val="0"/>
      </w:r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27" w15:restartNumberingAfterBreak="0">
    <w:nsid w:val="16ED2481"/>
    <w:multiLevelType w:val="hybridMultilevel"/>
    <w:tmpl w:val="E4B20D40"/>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28" w15:restartNumberingAfterBreak="0">
    <w:nsid w:val="170019CA"/>
    <w:multiLevelType w:val="hybridMultilevel"/>
    <w:tmpl w:val="8078ED2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17A11DF6"/>
    <w:multiLevelType w:val="hybridMultilevel"/>
    <w:tmpl w:val="A4527008"/>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30" w15:restartNumberingAfterBreak="0">
    <w:nsid w:val="180E0DF9"/>
    <w:multiLevelType w:val="hybridMultilevel"/>
    <w:tmpl w:val="6DBC509E"/>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31" w15:restartNumberingAfterBreak="0">
    <w:nsid w:val="189C3D3D"/>
    <w:multiLevelType w:val="hybridMultilevel"/>
    <w:tmpl w:val="817028A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1B9D072F"/>
    <w:multiLevelType w:val="hybridMultilevel"/>
    <w:tmpl w:val="2394652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1BF71829"/>
    <w:multiLevelType w:val="hybridMultilevel"/>
    <w:tmpl w:val="C5A8319A"/>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34" w15:restartNumberingAfterBreak="0">
    <w:nsid w:val="1CA172D6"/>
    <w:multiLevelType w:val="multilevel"/>
    <w:tmpl w:val="A4FE2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D7D6E42"/>
    <w:multiLevelType w:val="hybridMultilevel"/>
    <w:tmpl w:val="FF68FB18"/>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36" w15:restartNumberingAfterBreak="0">
    <w:nsid w:val="1E281860"/>
    <w:multiLevelType w:val="hybridMultilevel"/>
    <w:tmpl w:val="C02E2C52"/>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37" w15:restartNumberingAfterBreak="0">
    <w:nsid w:val="1E585640"/>
    <w:multiLevelType w:val="hybridMultilevel"/>
    <w:tmpl w:val="836AFA1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1EDA35B0"/>
    <w:multiLevelType w:val="multilevel"/>
    <w:tmpl w:val="D8D2A940"/>
    <w:lvl w:ilvl="0">
      <w:start w:val="1"/>
      <w:numFmt w:val="decimal"/>
      <w:lvlText w:val="%1."/>
      <w:lvlJc w:val="left"/>
      <w:pPr>
        <w:ind w:left="2340" w:hanging="360"/>
      </w:pPr>
    </w:lvl>
    <w:lvl w:ilvl="1">
      <w:start w:val="1"/>
      <w:numFmt w:val="decimal"/>
      <w:isLgl/>
      <w:lvlText w:val="%1.%2"/>
      <w:lvlJc w:val="left"/>
      <w:pPr>
        <w:ind w:left="2436" w:hanging="456"/>
      </w:pPr>
      <w:rPr>
        <w:rFonts w:hint="default"/>
      </w:rPr>
    </w:lvl>
    <w:lvl w:ilvl="2">
      <w:start w:val="1"/>
      <w:numFmt w:val="decimal"/>
      <w:isLgl/>
      <w:lvlText w:val="%1.%2.%3"/>
      <w:lvlJc w:val="left"/>
      <w:pPr>
        <w:ind w:left="270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060" w:hanging="108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780" w:hanging="1800"/>
      </w:pPr>
      <w:rPr>
        <w:rFonts w:hint="default"/>
      </w:rPr>
    </w:lvl>
  </w:abstractNum>
  <w:abstractNum w:abstractNumId="39" w15:restartNumberingAfterBreak="0">
    <w:nsid w:val="1EDB5E36"/>
    <w:multiLevelType w:val="hybridMultilevel"/>
    <w:tmpl w:val="DF4C055E"/>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40" w15:restartNumberingAfterBreak="0">
    <w:nsid w:val="20547160"/>
    <w:multiLevelType w:val="hybridMultilevel"/>
    <w:tmpl w:val="50C61E26"/>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41" w15:restartNumberingAfterBreak="0">
    <w:nsid w:val="21102A36"/>
    <w:multiLevelType w:val="hybridMultilevel"/>
    <w:tmpl w:val="A3E86C82"/>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42" w15:restartNumberingAfterBreak="0">
    <w:nsid w:val="22F6692B"/>
    <w:multiLevelType w:val="hybridMultilevel"/>
    <w:tmpl w:val="4254053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268A3A64"/>
    <w:multiLevelType w:val="hybridMultilevel"/>
    <w:tmpl w:val="B6A0C47E"/>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44" w15:restartNumberingAfterBreak="0">
    <w:nsid w:val="27FF230F"/>
    <w:multiLevelType w:val="hybridMultilevel"/>
    <w:tmpl w:val="43D01852"/>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45" w15:restartNumberingAfterBreak="0">
    <w:nsid w:val="281E3048"/>
    <w:multiLevelType w:val="hybridMultilevel"/>
    <w:tmpl w:val="8658877E"/>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46" w15:restartNumberingAfterBreak="0">
    <w:nsid w:val="2EA3703D"/>
    <w:multiLevelType w:val="hybridMultilevel"/>
    <w:tmpl w:val="F49EF1AA"/>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47" w15:restartNumberingAfterBreak="0">
    <w:nsid w:val="300D1E9F"/>
    <w:multiLevelType w:val="multilevel"/>
    <w:tmpl w:val="D8D2A940"/>
    <w:lvl w:ilvl="0">
      <w:start w:val="1"/>
      <w:numFmt w:val="decimal"/>
      <w:lvlText w:val="%1."/>
      <w:lvlJc w:val="left"/>
      <w:pPr>
        <w:ind w:left="2340" w:hanging="360"/>
      </w:pPr>
    </w:lvl>
    <w:lvl w:ilvl="1">
      <w:start w:val="1"/>
      <w:numFmt w:val="decimal"/>
      <w:isLgl/>
      <w:lvlText w:val="%1.%2"/>
      <w:lvlJc w:val="left"/>
      <w:pPr>
        <w:ind w:left="2436" w:hanging="456"/>
      </w:pPr>
      <w:rPr>
        <w:rFonts w:hint="default"/>
      </w:rPr>
    </w:lvl>
    <w:lvl w:ilvl="2">
      <w:start w:val="1"/>
      <w:numFmt w:val="decimal"/>
      <w:isLgl/>
      <w:lvlText w:val="%1.%2.%3"/>
      <w:lvlJc w:val="left"/>
      <w:pPr>
        <w:ind w:left="270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060" w:hanging="108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780" w:hanging="1800"/>
      </w:pPr>
      <w:rPr>
        <w:rFonts w:hint="default"/>
      </w:rPr>
    </w:lvl>
  </w:abstractNum>
  <w:abstractNum w:abstractNumId="48" w15:restartNumberingAfterBreak="0">
    <w:nsid w:val="31BD637C"/>
    <w:multiLevelType w:val="hybridMultilevel"/>
    <w:tmpl w:val="1A16001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32DC5AA3"/>
    <w:multiLevelType w:val="hybridMultilevel"/>
    <w:tmpl w:val="68BED030"/>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50" w15:restartNumberingAfterBreak="0">
    <w:nsid w:val="36E24C33"/>
    <w:multiLevelType w:val="multilevel"/>
    <w:tmpl w:val="149618D0"/>
    <w:lvl w:ilvl="0">
      <w:start w:val="1"/>
      <w:numFmt w:val="decimal"/>
      <w:lvlText w:val="%1."/>
      <w:lvlJc w:val="left"/>
      <w:pPr>
        <w:ind w:left="2340" w:hanging="360"/>
      </w:pPr>
    </w:lvl>
    <w:lvl w:ilvl="1">
      <w:start w:val="2"/>
      <w:numFmt w:val="decimal"/>
      <w:isLgl/>
      <w:lvlText w:val="%1.%2"/>
      <w:lvlJc w:val="left"/>
      <w:pPr>
        <w:ind w:left="2436" w:hanging="456"/>
      </w:pPr>
      <w:rPr>
        <w:rFonts w:hint="default"/>
      </w:rPr>
    </w:lvl>
    <w:lvl w:ilvl="2">
      <w:start w:val="1"/>
      <w:numFmt w:val="decimal"/>
      <w:isLgl/>
      <w:lvlText w:val="%1.%2.%3"/>
      <w:lvlJc w:val="left"/>
      <w:pPr>
        <w:ind w:left="270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060" w:hanging="108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780" w:hanging="1800"/>
      </w:pPr>
      <w:rPr>
        <w:rFonts w:hint="default"/>
      </w:rPr>
    </w:lvl>
  </w:abstractNum>
  <w:abstractNum w:abstractNumId="51" w15:restartNumberingAfterBreak="0">
    <w:nsid w:val="3A3F4FB2"/>
    <w:multiLevelType w:val="hybridMultilevel"/>
    <w:tmpl w:val="7172B37E"/>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52" w15:restartNumberingAfterBreak="0">
    <w:nsid w:val="3A870DA5"/>
    <w:multiLevelType w:val="multilevel"/>
    <w:tmpl w:val="28C47054"/>
    <w:lvl w:ilvl="0">
      <w:start w:val="1"/>
      <w:numFmt w:val="lowerLetter"/>
      <w:pStyle w:val="SubBAB"/>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53" w15:restartNumberingAfterBreak="0">
    <w:nsid w:val="3F18470C"/>
    <w:multiLevelType w:val="hybridMultilevel"/>
    <w:tmpl w:val="57FAAE0C"/>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54" w15:restartNumberingAfterBreak="0">
    <w:nsid w:val="3F490D9F"/>
    <w:multiLevelType w:val="hybridMultilevel"/>
    <w:tmpl w:val="E2C2DBAA"/>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55" w15:restartNumberingAfterBreak="0">
    <w:nsid w:val="41BA3E15"/>
    <w:multiLevelType w:val="hybridMultilevel"/>
    <w:tmpl w:val="341C65D0"/>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56" w15:restartNumberingAfterBreak="0">
    <w:nsid w:val="43AE1E76"/>
    <w:multiLevelType w:val="multilevel"/>
    <w:tmpl w:val="149618D0"/>
    <w:lvl w:ilvl="0">
      <w:start w:val="1"/>
      <w:numFmt w:val="decimal"/>
      <w:lvlText w:val="%1."/>
      <w:lvlJc w:val="left"/>
      <w:pPr>
        <w:ind w:left="2340" w:hanging="360"/>
      </w:pPr>
    </w:lvl>
    <w:lvl w:ilvl="1">
      <w:start w:val="2"/>
      <w:numFmt w:val="decimal"/>
      <w:isLgl/>
      <w:lvlText w:val="%1.%2"/>
      <w:lvlJc w:val="left"/>
      <w:pPr>
        <w:ind w:left="2436" w:hanging="456"/>
      </w:pPr>
      <w:rPr>
        <w:rFonts w:hint="default"/>
      </w:rPr>
    </w:lvl>
    <w:lvl w:ilvl="2">
      <w:start w:val="1"/>
      <w:numFmt w:val="decimal"/>
      <w:isLgl/>
      <w:lvlText w:val="%1.%2.%3"/>
      <w:lvlJc w:val="left"/>
      <w:pPr>
        <w:ind w:left="270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060" w:hanging="108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780" w:hanging="1800"/>
      </w:pPr>
      <w:rPr>
        <w:rFonts w:hint="default"/>
      </w:rPr>
    </w:lvl>
  </w:abstractNum>
  <w:abstractNum w:abstractNumId="57" w15:restartNumberingAfterBreak="0">
    <w:nsid w:val="44E0764D"/>
    <w:multiLevelType w:val="hybridMultilevel"/>
    <w:tmpl w:val="218C5630"/>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58" w15:restartNumberingAfterBreak="0">
    <w:nsid w:val="47A011CC"/>
    <w:multiLevelType w:val="hybridMultilevel"/>
    <w:tmpl w:val="482C3A4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48645E44"/>
    <w:multiLevelType w:val="hybridMultilevel"/>
    <w:tmpl w:val="8658877E"/>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60" w15:restartNumberingAfterBreak="0">
    <w:nsid w:val="488B4F70"/>
    <w:multiLevelType w:val="hybridMultilevel"/>
    <w:tmpl w:val="2804B000"/>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61" w15:restartNumberingAfterBreak="0">
    <w:nsid w:val="4B2E5652"/>
    <w:multiLevelType w:val="hybridMultilevel"/>
    <w:tmpl w:val="8ACADF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0F">
      <w:start w:val="1"/>
      <w:numFmt w:val="decimal"/>
      <w:lvlText w:val="%3."/>
      <w:lvlJc w:val="lef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4EA54751"/>
    <w:multiLevelType w:val="hybridMultilevel"/>
    <w:tmpl w:val="0DA82C6E"/>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63" w15:restartNumberingAfterBreak="0">
    <w:nsid w:val="4EEF7EA6"/>
    <w:multiLevelType w:val="hybridMultilevel"/>
    <w:tmpl w:val="E3781B8C"/>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64" w15:restartNumberingAfterBreak="0">
    <w:nsid w:val="4F8D2283"/>
    <w:multiLevelType w:val="hybridMultilevel"/>
    <w:tmpl w:val="8A0687D6"/>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65" w15:restartNumberingAfterBreak="0">
    <w:nsid w:val="52E618E3"/>
    <w:multiLevelType w:val="multilevel"/>
    <w:tmpl w:val="0A9C5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3DC5413"/>
    <w:multiLevelType w:val="hybridMultilevel"/>
    <w:tmpl w:val="C4E86E8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56A3657E"/>
    <w:multiLevelType w:val="hybridMultilevel"/>
    <w:tmpl w:val="55F4E2F2"/>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68" w15:restartNumberingAfterBreak="0">
    <w:nsid w:val="56F23750"/>
    <w:multiLevelType w:val="multilevel"/>
    <w:tmpl w:val="7C36C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7802243"/>
    <w:multiLevelType w:val="hybridMultilevel"/>
    <w:tmpl w:val="35D0E99E"/>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70" w15:restartNumberingAfterBreak="0">
    <w:nsid w:val="57D43A56"/>
    <w:multiLevelType w:val="hybridMultilevel"/>
    <w:tmpl w:val="C0146AC6"/>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71" w15:restartNumberingAfterBreak="0">
    <w:nsid w:val="598E54D8"/>
    <w:multiLevelType w:val="hybridMultilevel"/>
    <w:tmpl w:val="D2048DF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59AF4B37"/>
    <w:multiLevelType w:val="hybridMultilevel"/>
    <w:tmpl w:val="6848276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59D21FFC"/>
    <w:multiLevelType w:val="hybridMultilevel"/>
    <w:tmpl w:val="03985952"/>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74" w15:restartNumberingAfterBreak="0">
    <w:nsid w:val="5A982FE9"/>
    <w:multiLevelType w:val="hybridMultilevel"/>
    <w:tmpl w:val="593CAE4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5D0C7088"/>
    <w:multiLevelType w:val="hybridMultilevel"/>
    <w:tmpl w:val="AC48EDE6"/>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76" w15:restartNumberingAfterBreak="0">
    <w:nsid w:val="5D6B1243"/>
    <w:multiLevelType w:val="hybridMultilevel"/>
    <w:tmpl w:val="D65C21F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5DDB7299"/>
    <w:multiLevelType w:val="hybridMultilevel"/>
    <w:tmpl w:val="D79E6496"/>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78" w15:restartNumberingAfterBreak="0">
    <w:nsid w:val="5EEA739B"/>
    <w:multiLevelType w:val="hybridMultilevel"/>
    <w:tmpl w:val="CAE074D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5F446D6D"/>
    <w:multiLevelType w:val="hybridMultilevel"/>
    <w:tmpl w:val="9BB6401E"/>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80" w15:restartNumberingAfterBreak="0">
    <w:nsid w:val="64210037"/>
    <w:multiLevelType w:val="hybridMultilevel"/>
    <w:tmpl w:val="8098C66A"/>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81" w15:restartNumberingAfterBreak="0">
    <w:nsid w:val="64A55BD7"/>
    <w:multiLevelType w:val="hybridMultilevel"/>
    <w:tmpl w:val="0E4820A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2" w15:restartNumberingAfterBreak="0">
    <w:nsid w:val="66AE7017"/>
    <w:multiLevelType w:val="hybridMultilevel"/>
    <w:tmpl w:val="41AA90D6"/>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83" w15:restartNumberingAfterBreak="0">
    <w:nsid w:val="6A412046"/>
    <w:multiLevelType w:val="hybridMultilevel"/>
    <w:tmpl w:val="E9C83B5E"/>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84" w15:restartNumberingAfterBreak="0">
    <w:nsid w:val="6B2D5EB8"/>
    <w:multiLevelType w:val="hybridMultilevel"/>
    <w:tmpl w:val="FE882BA8"/>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85" w15:restartNumberingAfterBreak="0">
    <w:nsid w:val="6B7111CF"/>
    <w:multiLevelType w:val="hybridMultilevel"/>
    <w:tmpl w:val="16BEBD0A"/>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86" w15:restartNumberingAfterBreak="0">
    <w:nsid w:val="6C2F06F3"/>
    <w:multiLevelType w:val="hybridMultilevel"/>
    <w:tmpl w:val="453A5258"/>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87" w15:restartNumberingAfterBreak="0">
    <w:nsid w:val="6D9E06C5"/>
    <w:multiLevelType w:val="hybridMultilevel"/>
    <w:tmpl w:val="93B8624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8" w15:restartNumberingAfterBreak="0">
    <w:nsid w:val="6E132077"/>
    <w:multiLevelType w:val="hybridMultilevel"/>
    <w:tmpl w:val="82324C2A"/>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89" w15:restartNumberingAfterBreak="0">
    <w:nsid w:val="6FFA10EE"/>
    <w:multiLevelType w:val="hybridMultilevel"/>
    <w:tmpl w:val="E312A566"/>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90" w15:restartNumberingAfterBreak="0">
    <w:nsid w:val="701C4392"/>
    <w:multiLevelType w:val="hybridMultilevel"/>
    <w:tmpl w:val="BE36C24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1" w15:restartNumberingAfterBreak="0">
    <w:nsid w:val="742460FC"/>
    <w:multiLevelType w:val="hybridMultilevel"/>
    <w:tmpl w:val="A3CA265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2" w15:restartNumberingAfterBreak="0">
    <w:nsid w:val="78AC343E"/>
    <w:multiLevelType w:val="hybridMultilevel"/>
    <w:tmpl w:val="D83E85CE"/>
    <w:lvl w:ilvl="0" w:tplc="91C26234">
      <w:start w:val="1"/>
      <w:numFmt w:val="low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3" w15:restartNumberingAfterBreak="0">
    <w:nsid w:val="7BC32FE0"/>
    <w:multiLevelType w:val="hybridMultilevel"/>
    <w:tmpl w:val="AE50C872"/>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94" w15:restartNumberingAfterBreak="0">
    <w:nsid w:val="7CB163E3"/>
    <w:multiLevelType w:val="hybridMultilevel"/>
    <w:tmpl w:val="7306257C"/>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95" w15:restartNumberingAfterBreak="0">
    <w:nsid w:val="7E7F14C6"/>
    <w:multiLevelType w:val="hybridMultilevel"/>
    <w:tmpl w:val="5B541F8E"/>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num w:numId="1">
    <w:abstractNumId w:val="2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52"/>
  </w:num>
  <w:num w:numId="13">
    <w:abstractNumId w:val="34"/>
  </w:num>
  <w:num w:numId="14">
    <w:abstractNumId w:val="65"/>
  </w:num>
  <w:num w:numId="15">
    <w:abstractNumId w:val="68"/>
  </w:num>
  <w:num w:numId="16">
    <w:abstractNumId w:val="72"/>
  </w:num>
  <w:num w:numId="17">
    <w:abstractNumId w:val="19"/>
  </w:num>
  <w:num w:numId="18">
    <w:abstractNumId w:val="74"/>
  </w:num>
  <w:num w:numId="19">
    <w:abstractNumId w:val="28"/>
  </w:num>
  <w:num w:numId="20">
    <w:abstractNumId w:val="31"/>
  </w:num>
  <w:num w:numId="21">
    <w:abstractNumId w:val="66"/>
  </w:num>
  <w:num w:numId="22">
    <w:abstractNumId w:val="48"/>
  </w:num>
  <w:num w:numId="23">
    <w:abstractNumId w:val="32"/>
  </w:num>
  <w:num w:numId="24">
    <w:abstractNumId w:val="90"/>
  </w:num>
  <w:num w:numId="25">
    <w:abstractNumId w:val="76"/>
  </w:num>
  <w:num w:numId="26">
    <w:abstractNumId w:val="37"/>
  </w:num>
  <w:num w:numId="27">
    <w:abstractNumId w:val="81"/>
  </w:num>
  <w:num w:numId="28">
    <w:abstractNumId w:val="12"/>
  </w:num>
  <w:num w:numId="29">
    <w:abstractNumId w:val="91"/>
  </w:num>
  <w:num w:numId="30">
    <w:abstractNumId w:val="87"/>
  </w:num>
  <w:num w:numId="31">
    <w:abstractNumId w:val="42"/>
  </w:num>
  <w:num w:numId="32">
    <w:abstractNumId w:val="78"/>
  </w:num>
  <w:num w:numId="33">
    <w:abstractNumId w:val="71"/>
  </w:num>
  <w:num w:numId="34">
    <w:abstractNumId w:val="58"/>
  </w:num>
  <w:num w:numId="35">
    <w:abstractNumId w:val="20"/>
  </w:num>
  <w:num w:numId="36">
    <w:abstractNumId w:val="61"/>
  </w:num>
  <w:num w:numId="37">
    <w:abstractNumId w:val="54"/>
  </w:num>
  <w:num w:numId="38">
    <w:abstractNumId w:val="84"/>
  </w:num>
  <w:num w:numId="39">
    <w:abstractNumId w:val="94"/>
  </w:num>
  <w:num w:numId="40">
    <w:abstractNumId w:val="50"/>
  </w:num>
  <w:num w:numId="41">
    <w:abstractNumId w:val="38"/>
  </w:num>
  <w:num w:numId="42">
    <w:abstractNumId w:val="47"/>
  </w:num>
  <w:num w:numId="43">
    <w:abstractNumId w:val="56"/>
  </w:num>
  <w:num w:numId="44">
    <w:abstractNumId w:val="62"/>
  </w:num>
  <w:num w:numId="45">
    <w:abstractNumId w:val="69"/>
  </w:num>
  <w:num w:numId="46">
    <w:abstractNumId w:val="89"/>
  </w:num>
  <w:num w:numId="47">
    <w:abstractNumId w:val="40"/>
  </w:num>
  <w:num w:numId="48">
    <w:abstractNumId w:val="82"/>
  </w:num>
  <w:num w:numId="49">
    <w:abstractNumId w:val="11"/>
  </w:num>
  <w:num w:numId="50">
    <w:abstractNumId w:val="46"/>
  </w:num>
  <w:num w:numId="51">
    <w:abstractNumId w:val="16"/>
  </w:num>
  <w:num w:numId="52">
    <w:abstractNumId w:val="26"/>
  </w:num>
  <w:num w:numId="53">
    <w:abstractNumId w:val="21"/>
  </w:num>
  <w:num w:numId="54">
    <w:abstractNumId w:val="43"/>
  </w:num>
  <w:num w:numId="55">
    <w:abstractNumId w:val="22"/>
  </w:num>
  <w:num w:numId="56">
    <w:abstractNumId w:val="86"/>
  </w:num>
  <w:num w:numId="57">
    <w:abstractNumId w:val="10"/>
  </w:num>
  <w:num w:numId="58">
    <w:abstractNumId w:val="60"/>
  </w:num>
  <w:num w:numId="59">
    <w:abstractNumId w:val="51"/>
  </w:num>
  <w:num w:numId="60">
    <w:abstractNumId w:val="13"/>
  </w:num>
  <w:num w:numId="61">
    <w:abstractNumId w:val="70"/>
  </w:num>
  <w:num w:numId="62">
    <w:abstractNumId w:val="79"/>
  </w:num>
  <w:num w:numId="63">
    <w:abstractNumId w:val="18"/>
  </w:num>
  <w:num w:numId="64">
    <w:abstractNumId w:val="17"/>
  </w:num>
  <w:num w:numId="65">
    <w:abstractNumId w:val="83"/>
  </w:num>
  <w:num w:numId="66">
    <w:abstractNumId w:val="95"/>
  </w:num>
  <w:num w:numId="67">
    <w:abstractNumId w:val="36"/>
  </w:num>
  <w:num w:numId="68">
    <w:abstractNumId w:val="67"/>
  </w:num>
  <w:num w:numId="69">
    <w:abstractNumId w:val="85"/>
  </w:num>
  <w:num w:numId="70">
    <w:abstractNumId w:val="25"/>
  </w:num>
  <w:num w:numId="71">
    <w:abstractNumId w:val="33"/>
  </w:num>
  <w:num w:numId="72">
    <w:abstractNumId w:val="49"/>
  </w:num>
  <w:num w:numId="73">
    <w:abstractNumId w:val="88"/>
  </w:num>
  <w:num w:numId="74">
    <w:abstractNumId w:val="57"/>
  </w:num>
  <w:num w:numId="75">
    <w:abstractNumId w:val="29"/>
  </w:num>
  <w:num w:numId="76">
    <w:abstractNumId w:val="39"/>
  </w:num>
  <w:num w:numId="77">
    <w:abstractNumId w:val="30"/>
  </w:num>
  <w:num w:numId="78">
    <w:abstractNumId w:val="75"/>
  </w:num>
  <w:num w:numId="79">
    <w:abstractNumId w:val="77"/>
  </w:num>
  <w:num w:numId="80">
    <w:abstractNumId w:val="15"/>
  </w:num>
  <w:num w:numId="81">
    <w:abstractNumId w:val="55"/>
  </w:num>
  <w:num w:numId="82">
    <w:abstractNumId w:val="53"/>
  </w:num>
  <w:num w:numId="83">
    <w:abstractNumId w:val="92"/>
  </w:num>
  <w:num w:numId="84">
    <w:abstractNumId w:val="63"/>
  </w:num>
  <w:num w:numId="85">
    <w:abstractNumId w:val="41"/>
  </w:num>
  <w:num w:numId="86">
    <w:abstractNumId w:val="64"/>
  </w:num>
  <w:num w:numId="87">
    <w:abstractNumId w:val="24"/>
  </w:num>
  <w:num w:numId="88">
    <w:abstractNumId w:val="73"/>
  </w:num>
  <w:num w:numId="89">
    <w:abstractNumId w:val="93"/>
  </w:num>
  <w:num w:numId="90">
    <w:abstractNumId w:val="44"/>
  </w:num>
  <w:num w:numId="91">
    <w:abstractNumId w:val="35"/>
  </w:num>
  <w:num w:numId="92">
    <w:abstractNumId w:val="80"/>
  </w:num>
  <w:num w:numId="93">
    <w:abstractNumId w:val="14"/>
  </w:num>
  <w:num w:numId="94">
    <w:abstractNumId w:val="27"/>
  </w:num>
  <w:num w:numId="95">
    <w:abstractNumId w:val="45"/>
  </w:num>
  <w:num w:numId="96">
    <w:abstractNumId w:val="59"/>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CF6"/>
    <w:rsid w:val="00000FB6"/>
    <w:rsid w:val="00004DEE"/>
    <w:rsid w:val="00006F7D"/>
    <w:rsid w:val="000123E1"/>
    <w:rsid w:val="00013E51"/>
    <w:rsid w:val="000242A6"/>
    <w:rsid w:val="00025072"/>
    <w:rsid w:val="000264EC"/>
    <w:rsid w:val="000279CE"/>
    <w:rsid w:val="000322C0"/>
    <w:rsid w:val="00033203"/>
    <w:rsid w:val="00036B5A"/>
    <w:rsid w:val="00044D59"/>
    <w:rsid w:val="000458A6"/>
    <w:rsid w:val="000502B7"/>
    <w:rsid w:val="000549FC"/>
    <w:rsid w:val="0005671C"/>
    <w:rsid w:val="00056B27"/>
    <w:rsid w:val="00060CB0"/>
    <w:rsid w:val="000611B0"/>
    <w:rsid w:val="00065070"/>
    <w:rsid w:val="00071FE2"/>
    <w:rsid w:val="000767CB"/>
    <w:rsid w:val="000818C5"/>
    <w:rsid w:val="0008413E"/>
    <w:rsid w:val="00090B80"/>
    <w:rsid w:val="0009476D"/>
    <w:rsid w:val="00096402"/>
    <w:rsid w:val="0009648C"/>
    <w:rsid w:val="000A1564"/>
    <w:rsid w:val="000A360D"/>
    <w:rsid w:val="000A3E59"/>
    <w:rsid w:val="000A4736"/>
    <w:rsid w:val="000A64C3"/>
    <w:rsid w:val="000A701B"/>
    <w:rsid w:val="000D2DEA"/>
    <w:rsid w:val="000D6E9A"/>
    <w:rsid w:val="000F08F1"/>
    <w:rsid w:val="001024DF"/>
    <w:rsid w:val="00107F6C"/>
    <w:rsid w:val="00110054"/>
    <w:rsid w:val="0012489C"/>
    <w:rsid w:val="0012606A"/>
    <w:rsid w:val="0013176C"/>
    <w:rsid w:val="00134D14"/>
    <w:rsid w:val="001353B3"/>
    <w:rsid w:val="00136038"/>
    <w:rsid w:val="00144373"/>
    <w:rsid w:val="001477B6"/>
    <w:rsid w:val="00150F1D"/>
    <w:rsid w:val="00152A69"/>
    <w:rsid w:val="00160043"/>
    <w:rsid w:val="00160A5F"/>
    <w:rsid w:val="00161B06"/>
    <w:rsid w:val="001657F9"/>
    <w:rsid w:val="00171CB1"/>
    <w:rsid w:val="00176150"/>
    <w:rsid w:val="00182E45"/>
    <w:rsid w:val="00185320"/>
    <w:rsid w:val="00186A83"/>
    <w:rsid w:val="001871AF"/>
    <w:rsid w:val="00195082"/>
    <w:rsid w:val="001A11C4"/>
    <w:rsid w:val="001A1251"/>
    <w:rsid w:val="001A26D7"/>
    <w:rsid w:val="001A2CBF"/>
    <w:rsid w:val="001A3B15"/>
    <w:rsid w:val="001C0ED3"/>
    <w:rsid w:val="001C2B29"/>
    <w:rsid w:val="001C6E01"/>
    <w:rsid w:val="001C793B"/>
    <w:rsid w:val="001D03E0"/>
    <w:rsid w:val="001D1138"/>
    <w:rsid w:val="001D433B"/>
    <w:rsid w:val="001E4EEF"/>
    <w:rsid w:val="001E5B0A"/>
    <w:rsid w:val="001F25B4"/>
    <w:rsid w:val="001F5577"/>
    <w:rsid w:val="001F6964"/>
    <w:rsid w:val="00211CE6"/>
    <w:rsid w:val="0021589F"/>
    <w:rsid w:val="002211F1"/>
    <w:rsid w:val="00225AD3"/>
    <w:rsid w:val="0023143F"/>
    <w:rsid w:val="00241DE2"/>
    <w:rsid w:val="00261727"/>
    <w:rsid w:val="00272F6F"/>
    <w:rsid w:val="00273E91"/>
    <w:rsid w:val="00284E47"/>
    <w:rsid w:val="002873F4"/>
    <w:rsid w:val="002A2D8E"/>
    <w:rsid w:val="002A5502"/>
    <w:rsid w:val="002A5893"/>
    <w:rsid w:val="002A64F9"/>
    <w:rsid w:val="002B0035"/>
    <w:rsid w:val="002B194C"/>
    <w:rsid w:val="002B4DF5"/>
    <w:rsid w:val="002B50AF"/>
    <w:rsid w:val="002B5345"/>
    <w:rsid w:val="002C18B0"/>
    <w:rsid w:val="002C2175"/>
    <w:rsid w:val="002C2302"/>
    <w:rsid w:val="002C48C4"/>
    <w:rsid w:val="002C5B92"/>
    <w:rsid w:val="002C7542"/>
    <w:rsid w:val="002D4A6B"/>
    <w:rsid w:val="002D7037"/>
    <w:rsid w:val="002D77CA"/>
    <w:rsid w:val="002E11B2"/>
    <w:rsid w:val="002E30FB"/>
    <w:rsid w:val="002E5D2A"/>
    <w:rsid w:val="002E7091"/>
    <w:rsid w:val="002F0EC1"/>
    <w:rsid w:val="002F2497"/>
    <w:rsid w:val="0030653F"/>
    <w:rsid w:val="003065E5"/>
    <w:rsid w:val="00311874"/>
    <w:rsid w:val="00322A58"/>
    <w:rsid w:val="0032650B"/>
    <w:rsid w:val="00326B96"/>
    <w:rsid w:val="0033008D"/>
    <w:rsid w:val="00340701"/>
    <w:rsid w:val="00346331"/>
    <w:rsid w:val="003632AD"/>
    <w:rsid w:val="00363BB3"/>
    <w:rsid w:val="003710C4"/>
    <w:rsid w:val="0037176F"/>
    <w:rsid w:val="00371814"/>
    <w:rsid w:val="00380476"/>
    <w:rsid w:val="00382BD5"/>
    <w:rsid w:val="00384BA7"/>
    <w:rsid w:val="00385CE9"/>
    <w:rsid w:val="0038638A"/>
    <w:rsid w:val="003910A5"/>
    <w:rsid w:val="003A0852"/>
    <w:rsid w:val="003A26D8"/>
    <w:rsid w:val="003A43E3"/>
    <w:rsid w:val="003A554A"/>
    <w:rsid w:val="003A610B"/>
    <w:rsid w:val="003B2458"/>
    <w:rsid w:val="003C08C3"/>
    <w:rsid w:val="003C38A8"/>
    <w:rsid w:val="003D169A"/>
    <w:rsid w:val="003D720E"/>
    <w:rsid w:val="003E000B"/>
    <w:rsid w:val="003E0B03"/>
    <w:rsid w:val="003E426A"/>
    <w:rsid w:val="003E4BE9"/>
    <w:rsid w:val="003E5C0C"/>
    <w:rsid w:val="003F1034"/>
    <w:rsid w:val="003F44A0"/>
    <w:rsid w:val="00401CD9"/>
    <w:rsid w:val="00407D72"/>
    <w:rsid w:val="00412A82"/>
    <w:rsid w:val="0041540D"/>
    <w:rsid w:val="00415F33"/>
    <w:rsid w:val="00421B4A"/>
    <w:rsid w:val="004345D0"/>
    <w:rsid w:val="0043485F"/>
    <w:rsid w:val="0044289E"/>
    <w:rsid w:val="0044407B"/>
    <w:rsid w:val="0045072E"/>
    <w:rsid w:val="00452B33"/>
    <w:rsid w:val="00452CF0"/>
    <w:rsid w:val="00453BD4"/>
    <w:rsid w:val="00454A36"/>
    <w:rsid w:val="00462AD1"/>
    <w:rsid w:val="00464588"/>
    <w:rsid w:val="00471528"/>
    <w:rsid w:val="00472D27"/>
    <w:rsid w:val="00473C47"/>
    <w:rsid w:val="00474836"/>
    <w:rsid w:val="00474A93"/>
    <w:rsid w:val="00476505"/>
    <w:rsid w:val="00485CB3"/>
    <w:rsid w:val="00492B8D"/>
    <w:rsid w:val="004A09C8"/>
    <w:rsid w:val="004A3489"/>
    <w:rsid w:val="004A48F8"/>
    <w:rsid w:val="004B11DE"/>
    <w:rsid w:val="004B2B59"/>
    <w:rsid w:val="004C22B2"/>
    <w:rsid w:val="004C3372"/>
    <w:rsid w:val="004C3824"/>
    <w:rsid w:val="004C5431"/>
    <w:rsid w:val="004E02E0"/>
    <w:rsid w:val="004E2FAC"/>
    <w:rsid w:val="004F6129"/>
    <w:rsid w:val="004F6A0D"/>
    <w:rsid w:val="00503BBF"/>
    <w:rsid w:val="00504B56"/>
    <w:rsid w:val="00505E25"/>
    <w:rsid w:val="00515C89"/>
    <w:rsid w:val="0051741F"/>
    <w:rsid w:val="005231F6"/>
    <w:rsid w:val="005332D8"/>
    <w:rsid w:val="00535816"/>
    <w:rsid w:val="005476F5"/>
    <w:rsid w:val="00551039"/>
    <w:rsid w:val="00552E67"/>
    <w:rsid w:val="00561E27"/>
    <w:rsid w:val="00564DC0"/>
    <w:rsid w:val="005660D9"/>
    <w:rsid w:val="0056786D"/>
    <w:rsid w:val="0057336A"/>
    <w:rsid w:val="005740B4"/>
    <w:rsid w:val="00576237"/>
    <w:rsid w:val="00591418"/>
    <w:rsid w:val="00592972"/>
    <w:rsid w:val="00593C46"/>
    <w:rsid w:val="005A2E1E"/>
    <w:rsid w:val="005A69BA"/>
    <w:rsid w:val="005B24BE"/>
    <w:rsid w:val="005B6D70"/>
    <w:rsid w:val="005C273A"/>
    <w:rsid w:val="005D1874"/>
    <w:rsid w:val="005D4BD3"/>
    <w:rsid w:val="005D4F6B"/>
    <w:rsid w:val="005E1169"/>
    <w:rsid w:val="005E515B"/>
    <w:rsid w:val="005E68A0"/>
    <w:rsid w:val="005F0153"/>
    <w:rsid w:val="005F069C"/>
    <w:rsid w:val="005F5C85"/>
    <w:rsid w:val="005F6C2E"/>
    <w:rsid w:val="0060392B"/>
    <w:rsid w:val="0060724B"/>
    <w:rsid w:val="00611709"/>
    <w:rsid w:val="00611AF5"/>
    <w:rsid w:val="0061652D"/>
    <w:rsid w:val="00620373"/>
    <w:rsid w:val="006239C6"/>
    <w:rsid w:val="00631EF3"/>
    <w:rsid w:val="006374B6"/>
    <w:rsid w:val="00647878"/>
    <w:rsid w:val="0065273C"/>
    <w:rsid w:val="00653A59"/>
    <w:rsid w:val="006541F4"/>
    <w:rsid w:val="006555A8"/>
    <w:rsid w:val="00657FDD"/>
    <w:rsid w:val="00660503"/>
    <w:rsid w:val="006720D0"/>
    <w:rsid w:val="00673B0E"/>
    <w:rsid w:val="006810DB"/>
    <w:rsid w:val="0068404E"/>
    <w:rsid w:val="0069029A"/>
    <w:rsid w:val="00693984"/>
    <w:rsid w:val="00694BFB"/>
    <w:rsid w:val="00697974"/>
    <w:rsid w:val="006A39FF"/>
    <w:rsid w:val="006A50A7"/>
    <w:rsid w:val="006A71A6"/>
    <w:rsid w:val="006C1EB4"/>
    <w:rsid w:val="006D3DC3"/>
    <w:rsid w:val="006D4C7A"/>
    <w:rsid w:val="006E17E5"/>
    <w:rsid w:val="006E45F8"/>
    <w:rsid w:val="00700C95"/>
    <w:rsid w:val="007043CC"/>
    <w:rsid w:val="00707DDC"/>
    <w:rsid w:val="0071170D"/>
    <w:rsid w:val="00711AB5"/>
    <w:rsid w:val="00712D3A"/>
    <w:rsid w:val="00717597"/>
    <w:rsid w:val="00725D88"/>
    <w:rsid w:val="00730652"/>
    <w:rsid w:val="0073116F"/>
    <w:rsid w:val="0075312E"/>
    <w:rsid w:val="00753779"/>
    <w:rsid w:val="00770779"/>
    <w:rsid w:val="00771772"/>
    <w:rsid w:val="007830B1"/>
    <w:rsid w:val="00786C2D"/>
    <w:rsid w:val="00796028"/>
    <w:rsid w:val="007966CD"/>
    <w:rsid w:val="007B1816"/>
    <w:rsid w:val="007B31E1"/>
    <w:rsid w:val="007B6FBE"/>
    <w:rsid w:val="007C328F"/>
    <w:rsid w:val="007D61DA"/>
    <w:rsid w:val="007E40A5"/>
    <w:rsid w:val="007F172F"/>
    <w:rsid w:val="007F5CF6"/>
    <w:rsid w:val="00803698"/>
    <w:rsid w:val="00817A29"/>
    <w:rsid w:val="0082078E"/>
    <w:rsid w:val="00820B62"/>
    <w:rsid w:val="00823B56"/>
    <w:rsid w:val="00824155"/>
    <w:rsid w:val="00831E0A"/>
    <w:rsid w:val="00833294"/>
    <w:rsid w:val="00833471"/>
    <w:rsid w:val="0083786E"/>
    <w:rsid w:val="00845F13"/>
    <w:rsid w:val="00846BA2"/>
    <w:rsid w:val="00850BAA"/>
    <w:rsid w:val="008514D2"/>
    <w:rsid w:val="008551D8"/>
    <w:rsid w:val="0086574F"/>
    <w:rsid w:val="00881A11"/>
    <w:rsid w:val="0089009E"/>
    <w:rsid w:val="008A1300"/>
    <w:rsid w:val="008A33DF"/>
    <w:rsid w:val="008A3BB8"/>
    <w:rsid w:val="008A3C10"/>
    <w:rsid w:val="008A414E"/>
    <w:rsid w:val="008A65F1"/>
    <w:rsid w:val="008A6ADA"/>
    <w:rsid w:val="008A6DC0"/>
    <w:rsid w:val="008B2610"/>
    <w:rsid w:val="008B6139"/>
    <w:rsid w:val="008C1034"/>
    <w:rsid w:val="008C5622"/>
    <w:rsid w:val="008D4143"/>
    <w:rsid w:val="008D68DC"/>
    <w:rsid w:val="008D6F6E"/>
    <w:rsid w:val="008E2BC0"/>
    <w:rsid w:val="008F1CBF"/>
    <w:rsid w:val="009027C4"/>
    <w:rsid w:val="00907910"/>
    <w:rsid w:val="0091228E"/>
    <w:rsid w:val="0091255A"/>
    <w:rsid w:val="00927D24"/>
    <w:rsid w:val="00945D37"/>
    <w:rsid w:val="00953649"/>
    <w:rsid w:val="00953F6E"/>
    <w:rsid w:val="00954AE6"/>
    <w:rsid w:val="00964B67"/>
    <w:rsid w:val="00970A5F"/>
    <w:rsid w:val="0097148A"/>
    <w:rsid w:val="00972FF3"/>
    <w:rsid w:val="009802A5"/>
    <w:rsid w:val="00981F72"/>
    <w:rsid w:val="0098237D"/>
    <w:rsid w:val="00997F8F"/>
    <w:rsid w:val="009A7B4D"/>
    <w:rsid w:val="009B2DC4"/>
    <w:rsid w:val="009B3017"/>
    <w:rsid w:val="009B5356"/>
    <w:rsid w:val="009B54FC"/>
    <w:rsid w:val="009C0E32"/>
    <w:rsid w:val="009C5BA0"/>
    <w:rsid w:val="009C79D3"/>
    <w:rsid w:val="009D340D"/>
    <w:rsid w:val="009E5510"/>
    <w:rsid w:val="009E7D11"/>
    <w:rsid w:val="009F271B"/>
    <w:rsid w:val="009F6871"/>
    <w:rsid w:val="009F71AA"/>
    <w:rsid w:val="009F7FC0"/>
    <w:rsid w:val="00A00EC1"/>
    <w:rsid w:val="00A0318F"/>
    <w:rsid w:val="00A1101D"/>
    <w:rsid w:val="00A16ADD"/>
    <w:rsid w:val="00A20028"/>
    <w:rsid w:val="00A2528A"/>
    <w:rsid w:val="00A31646"/>
    <w:rsid w:val="00A341AB"/>
    <w:rsid w:val="00A3433C"/>
    <w:rsid w:val="00A62997"/>
    <w:rsid w:val="00A64921"/>
    <w:rsid w:val="00A7213F"/>
    <w:rsid w:val="00A72A1E"/>
    <w:rsid w:val="00A81490"/>
    <w:rsid w:val="00A83203"/>
    <w:rsid w:val="00A92EFE"/>
    <w:rsid w:val="00A95863"/>
    <w:rsid w:val="00A973CA"/>
    <w:rsid w:val="00AA7546"/>
    <w:rsid w:val="00AB7368"/>
    <w:rsid w:val="00AC10BE"/>
    <w:rsid w:val="00AC1C2B"/>
    <w:rsid w:val="00AC26CB"/>
    <w:rsid w:val="00AC2C20"/>
    <w:rsid w:val="00AC35C2"/>
    <w:rsid w:val="00AC6316"/>
    <w:rsid w:val="00AC6E9C"/>
    <w:rsid w:val="00AD1372"/>
    <w:rsid w:val="00AD241D"/>
    <w:rsid w:val="00AE5D93"/>
    <w:rsid w:val="00B010AC"/>
    <w:rsid w:val="00B0648F"/>
    <w:rsid w:val="00B11FF8"/>
    <w:rsid w:val="00B156DF"/>
    <w:rsid w:val="00B178E5"/>
    <w:rsid w:val="00B20D0D"/>
    <w:rsid w:val="00B21119"/>
    <w:rsid w:val="00B25527"/>
    <w:rsid w:val="00B258B7"/>
    <w:rsid w:val="00B35388"/>
    <w:rsid w:val="00B40E71"/>
    <w:rsid w:val="00B40F41"/>
    <w:rsid w:val="00B627C0"/>
    <w:rsid w:val="00B63BFA"/>
    <w:rsid w:val="00B648CD"/>
    <w:rsid w:val="00B71517"/>
    <w:rsid w:val="00B72EEB"/>
    <w:rsid w:val="00B77205"/>
    <w:rsid w:val="00B9360C"/>
    <w:rsid w:val="00B940CC"/>
    <w:rsid w:val="00B94122"/>
    <w:rsid w:val="00B95913"/>
    <w:rsid w:val="00BA00F4"/>
    <w:rsid w:val="00BA363E"/>
    <w:rsid w:val="00BB4C89"/>
    <w:rsid w:val="00BC1D95"/>
    <w:rsid w:val="00BC3E71"/>
    <w:rsid w:val="00BD0D5E"/>
    <w:rsid w:val="00BD27D7"/>
    <w:rsid w:val="00BE0536"/>
    <w:rsid w:val="00BE160B"/>
    <w:rsid w:val="00BE3544"/>
    <w:rsid w:val="00BE4642"/>
    <w:rsid w:val="00BE6038"/>
    <w:rsid w:val="00BF5740"/>
    <w:rsid w:val="00C01FE8"/>
    <w:rsid w:val="00C03FD4"/>
    <w:rsid w:val="00C048DA"/>
    <w:rsid w:val="00C078EA"/>
    <w:rsid w:val="00C11100"/>
    <w:rsid w:val="00C126E1"/>
    <w:rsid w:val="00C21546"/>
    <w:rsid w:val="00C27F5B"/>
    <w:rsid w:val="00C3206D"/>
    <w:rsid w:val="00C32C86"/>
    <w:rsid w:val="00C33DCE"/>
    <w:rsid w:val="00C34445"/>
    <w:rsid w:val="00C3762D"/>
    <w:rsid w:val="00C44A62"/>
    <w:rsid w:val="00C452C6"/>
    <w:rsid w:val="00C4695B"/>
    <w:rsid w:val="00C6573F"/>
    <w:rsid w:val="00C664EA"/>
    <w:rsid w:val="00C72D0B"/>
    <w:rsid w:val="00C73D31"/>
    <w:rsid w:val="00C74029"/>
    <w:rsid w:val="00C8086E"/>
    <w:rsid w:val="00C876A5"/>
    <w:rsid w:val="00C949A9"/>
    <w:rsid w:val="00CA4DD0"/>
    <w:rsid w:val="00CA71C5"/>
    <w:rsid w:val="00CB2FDE"/>
    <w:rsid w:val="00CB724C"/>
    <w:rsid w:val="00CC1B85"/>
    <w:rsid w:val="00CC3565"/>
    <w:rsid w:val="00CC4218"/>
    <w:rsid w:val="00CC5D8D"/>
    <w:rsid w:val="00CD2C85"/>
    <w:rsid w:val="00CD328A"/>
    <w:rsid w:val="00CD6C94"/>
    <w:rsid w:val="00CE0E49"/>
    <w:rsid w:val="00CE12AB"/>
    <w:rsid w:val="00CF1657"/>
    <w:rsid w:val="00CF6FD2"/>
    <w:rsid w:val="00D02994"/>
    <w:rsid w:val="00D0395B"/>
    <w:rsid w:val="00D11F4F"/>
    <w:rsid w:val="00D141D7"/>
    <w:rsid w:val="00D17182"/>
    <w:rsid w:val="00D200C7"/>
    <w:rsid w:val="00D213E3"/>
    <w:rsid w:val="00D315EE"/>
    <w:rsid w:val="00D33555"/>
    <w:rsid w:val="00D35B66"/>
    <w:rsid w:val="00D433B5"/>
    <w:rsid w:val="00D50D05"/>
    <w:rsid w:val="00D51341"/>
    <w:rsid w:val="00D64690"/>
    <w:rsid w:val="00D72018"/>
    <w:rsid w:val="00D74CA2"/>
    <w:rsid w:val="00D80121"/>
    <w:rsid w:val="00D822CB"/>
    <w:rsid w:val="00D9038E"/>
    <w:rsid w:val="00D93647"/>
    <w:rsid w:val="00DA3D04"/>
    <w:rsid w:val="00DA7BD1"/>
    <w:rsid w:val="00DB0CC4"/>
    <w:rsid w:val="00DB2150"/>
    <w:rsid w:val="00DB2DC8"/>
    <w:rsid w:val="00DC0785"/>
    <w:rsid w:val="00DD5EAF"/>
    <w:rsid w:val="00DD7991"/>
    <w:rsid w:val="00DE1895"/>
    <w:rsid w:val="00DE72CC"/>
    <w:rsid w:val="00DF606F"/>
    <w:rsid w:val="00E01291"/>
    <w:rsid w:val="00E01823"/>
    <w:rsid w:val="00E04C6F"/>
    <w:rsid w:val="00E126E1"/>
    <w:rsid w:val="00E232EE"/>
    <w:rsid w:val="00E25CAC"/>
    <w:rsid w:val="00E26A43"/>
    <w:rsid w:val="00E33EC2"/>
    <w:rsid w:val="00E34DBC"/>
    <w:rsid w:val="00E46B05"/>
    <w:rsid w:val="00E510A2"/>
    <w:rsid w:val="00E5233C"/>
    <w:rsid w:val="00E53038"/>
    <w:rsid w:val="00E6160C"/>
    <w:rsid w:val="00E671AD"/>
    <w:rsid w:val="00E675BA"/>
    <w:rsid w:val="00E70BB7"/>
    <w:rsid w:val="00E72C81"/>
    <w:rsid w:val="00E77501"/>
    <w:rsid w:val="00E80F7C"/>
    <w:rsid w:val="00E81211"/>
    <w:rsid w:val="00E83089"/>
    <w:rsid w:val="00E83F87"/>
    <w:rsid w:val="00E8413F"/>
    <w:rsid w:val="00E8541B"/>
    <w:rsid w:val="00E86865"/>
    <w:rsid w:val="00E936D5"/>
    <w:rsid w:val="00E94ADE"/>
    <w:rsid w:val="00E97193"/>
    <w:rsid w:val="00EA3EEA"/>
    <w:rsid w:val="00EA40B5"/>
    <w:rsid w:val="00EA4954"/>
    <w:rsid w:val="00EA6A41"/>
    <w:rsid w:val="00EB1481"/>
    <w:rsid w:val="00EB4006"/>
    <w:rsid w:val="00EC0786"/>
    <w:rsid w:val="00EC1099"/>
    <w:rsid w:val="00EC24E2"/>
    <w:rsid w:val="00ED09C6"/>
    <w:rsid w:val="00ED333F"/>
    <w:rsid w:val="00ED4B45"/>
    <w:rsid w:val="00EF408E"/>
    <w:rsid w:val="00EF7140"/>
    <w:rsid w:val="00F00045"/>
    <w:rsid w:val="00F00969"/>
    <w:rsid w:val="00F01945"/>
    <w:rsid w:val="00F13FDD"/>
    <w:rsid w:val="00F26E9C"/>
    <w:rsid w:val="00F351CE"/>
    <w:rsid w:val="00F40D11"/>
    <w:rsid w:val="00F41454"/>
    <w:rsid w:val="00F4205E"/>
    <w:rsid w:val="00F42223"/>
    <w:rsid w:val="00F52CE9"/>
    <w:rsid w:val="00F62140"/>
    <w:rsid w:val="00F710C9"/>
    <w:rsid w:val="00F72030"/>
    <w:rsid w:val="00F75BF5"/>
    <w:rsid w:val="00F76C13"/>
    <w:rsid w:val="00F84034"/>
    <w:rsid w:val="00F84DCD"/>
    <w:rsid w:val="00F86418"/>
    <w:rsid w:val="00F94F68"/>
    <w:rsid w:val="00F956C5"/>
    <w:rsid w:val="00F95D8D"/>
    <w:rsid w:val="00FA22FB"/>
    <w:rsid w:val="00FB099E"/>
    <w:rsid w:val="00FB2843"/>
    <w:rsid w:val="00FB6E19"/>
    <w:rsid w:val="00FC0510"/>
    <w:rsid w:val="00FC2A04"/>
    <w:rsid w:val="00FC2C39"/>
    <w:rsid w:val="00FC4992"/>
    <w:rsid w:val="00FE05D0"/>
    <w:rsid w:val="00FE0AE8"/>
    <w:rsid w:val="00FF0B31"/>
    <w:rsid w:val="00FF1266"/>
    <w:rsid w:val="00FF52C6"/>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9160B"/>
  <w15:docId w15:val="{511FF6E7-D470-44E8-8104-027A0DF7E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id-ID" w:eastAsia="en-US" w:bidi="ar-SA"/>
      </w:rPr>
    </w:rPrDefault>
    <w:pPrDefault>
      <w:pPr>
        <w:spacing w:after="160" w:line="259" w:lineRule="auto"/>
      </w:pPr>
    </w:pPrDefault>
  </w:docDefaults>
  <w:latentStyles w:defLockedState="0" w:defUIPriority="0" w:defSemiHidden="0" w:defUnhideWhenUsed="0" w:defQFormat="1" w:count="376">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qFormat="0"/>
    <w:lsdException w:name="HTML Bottom of Form" w:semiHidden="1" w:uiPriority="99" w:unhideWhenUsed="1" w:qFormat="0"/>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0"/>
    <w:lsdException w:name="annotation subject"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qFormat="0"/>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nhideWhenUsed="1"/>
    <w:lsdException w:name="TOC Heading" w:semiHidden="1"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sid w:val="00EC0786"/>
  </w:style>
  <w:style w:type="paragraph" w:styleId="Heading1">
    <w:name w:val="heading 1"/>
    <w:basedOn w:val="Normal"/>
    <w:next w:val="Normal"/>
    <w:link w:val="Heading1Char"/>
    <w:uiPriority w:val="9"/>
    <w:qFormat/>
    <w:rsid w:val="003A554A"/>
    <w:pPr>
      <w:keepNext/>
      <w:keepLines/>
      <w:spacing w:before="240" w:after="0" w:line="240" w:lineRule="auto"/>
      <w:outlineLvl w:val="0"/>
    </w:pPr>
    <w:rPr>
      <w:rFonts w:ascii="Book Antiqua" w:eastAsiaTheme="majorEastAsia" w:hAnsi="Book Antiqua" w:cstheme="majorBidi"/>
      <w:color w:val="000000" w:themeColor="text1"/>
      <w:sz w:val="20"/>
      <w:szCs w:val="32"/>
      <w:lang w:val="zh-CN"/>
    </w:rPr>
  </w:style>
  <w:style w:type="paragraph" w:styleId="Heading2">
    <w:name w:val="heading 2"/>
    <w:aliases w:val="Heading 2 Char Char Char Char Char Char,Heading 2 Char Char Char Char Char Char Char Char,Heading 2 Char Char Char Char Char Char Char Char Char Char"/>
    <w:basedOn w:val="Normal"/>
    <w:next w:val="Normal"/>
    <w:link w:val="Heading2Char"/>
    <w:uiPriority w:val="9"/>
    <w:unhideWhenUsed/>
    <w:qFormat/>
    <w:rsid w:val="00997F8F"/>
    <w:pPr>
      <w:keepNext/>
      <w:keepLines/>
      <w:spacing w:after="0" w:line="276" w:lineRule="auto"/>
      <w:jc w:val="both"/>
      <w:outlineLvl w:val="1"/>
    </w:pPr>
    <w:rPr>
      <w:rFonts w:ascii="Book Antiqua" w:eastAsiaTheme="majorEastAsia" w:hAnsi="Book Antiqua" w:cstheme="majorBidi"/>
      <w:b/>
      <w:color w:val="000000" w:themeColor="text1"/>
      <w:sz w:val="20"/>
      <w:szCs w:val="26"/>
      <w:lang w:val="zh-CN"/>
    </w:rPr>
  </w:style>
  <w:style w:type="paragraph" w:styleId="Heading3">
    <w:name w:val="heading 3"/>
    <w:basedOn w:val="Normal"/>
    <w:next w:val="Normal"/>
    <w:link w:val="Heading3Char"/>
    <w:uiPriority w:val="9"/>
    <w:qFormat/>
    <w:rsid w:val="00997F8F"/>
    <w:pPr>
      <w:keepNext/>
      <w:spacing w:before="240" w:after="60" w:line="240" w:lineRule="auto"/>
      <w:outlineLvl w:val="2"/>
    </w:pPr>
    <w:rPr>
      <w:rFonts w:ascii="Arial" w:hAnsi="Arial" w:cs="Arial"/>
      <w:b/>
      <w:bCs/>
      <w:sz w:val="26"/>
      <w:szCs w:val="26"/>
      <w:lang w:val="en-US" w:eastAsia="zh-CN"/>
    </w:rPr>
  </w:style>
  <w:style w:type="paragraph" w:styleId="Heading4">
    <w:name w:val="heading 4"/>
    <w:basedOn w:val="Normal"/>
    <w:next w:val="Normal"/>
    <w:link w:val="Heading4Char"/>
    <w:uiPriority w:val="9"/>
    <w:qFormat/>
    <w:rsid w:val="00997F8F"/>
    <w:pPr>
      <w:keepNext/>
      <w:spacing w:before="240" w:after="60" w:line="240" w:lineRule="auto"/>
      <w:outlineLvl w:val="3"/>
    </w:pPr>
    <w:rPr>
      <w:rFonts w:ascii="Times New Roman" w:hAnsi="Times New Roman" w:cs="Times New Roman"/>
      <w:b/>
      <w:bCs/>
      <w:sz w:val="28"/>
      <w:szCs w:val="28"/>
      <w:lang w:val="en-US" w:eastAsia="zh-CN"/>
    </w:rPr>
  </w:style>
  <w:style w:type="paragraph" w:styleId="Heading5">
    <w:name w:val="heading 5"/>
    <w:basedOn w:val="Normal"/>
    <w:next w:val="Normal"/>
    <w:link w:val="Heading5Char"/>
    <w:uiPriority w:val="9"/>
    <w:qFormat/>
    <w:rsid w:val="00997F8F"/>
    <w:pPr>
      <w:keepNext/>
      <w:tabs>
        <w:tab w:val="left" w:pos="-630"/>
        <w:tab w:val="left" w:pos="3510"/>
        <w:tab w:val="left" w:pos="3870"/>
        <w:tab w:val="left" w:pos="5490"/>
      </w:tabs>
      <w:spacing w:after="0" w:line="360" w:lineRule="auto"/>
      <w:ind w:left="720"/>
      <w:jc w:val="center"/>
      <w:outlineLvl w:val="4"/>
    </w:pPr>
    <w:rPr>
      <w:rFonts w:ascii="Times New Roman" w:eastAsia="Times New Roman" w:hAnsi="Times New Roman" w:cs="Times New Roman"/>
      <w:b/>
      <w:bCs/>
      <w:sz w:val="28"/>
      <w:szCs w:val="20"/>
      <w:lang w:val="en-GB"/>
    </w:rPr>
  </w:style>
  <w:style w:type="paragraph" w:styleId="Heading6">
    <w:name w:val="heading 6"/>
    <w:basedOn w:val="Normal"/>
    <w:next w:val="Normal"/>
    <w:link w:val="Heading6Char"/>
    <w:uiPriority w:val="9"/>
    <w:qFormat/>
    <w:rsid w:val="00997F8F"/>
    <w:pPr>
      <w:keepNext/>
      <w:tabs>
        <w:tab w:val="left" w:pos="-630"/>
        <w:tab w:val="left" w:pos="2250"/>
        <w:tab w:val="left" w:pos="3420"/>
      </w:tabs>
      <w:spacing w:after="0" w:line="360" w:lineRule="auto"/>
      <w:jc w:val="center"/>
      <w:outlineLvl w:val="5"/>
    </w:pPr>
    <w:rPr>
      <w:rFonts w:ascii="Times New Roman" w:eastAsia="Times New Roman" w:hAnsi="Times New Roman" w:cs="Times New Roman"/>
      <w:b/>
      <w:sz w:val="28"/>
      <w:szCs w:val="20"/>
      <w:lang w:val="en-GB"/>
    </w:rPr>
  </w:style>
  <w:style w:type="paragraph" w:styleId="Heading7">
    <w:name w:val="heading 7"/>
    <w:basedOn w:val="Normal"/>
    <w:next w:val="Normal"/>
    <w:link w:val="Heading7Char"/>
    <w:qFormat/>
    <w:rsid w:val="00997F8F"/>
    <w:pPr>
      <w:spacing w:before="240" w:after="60" w:line="240" w:lineRule="auto"/>
      <w:outlineLvl w:val="6"/>
    </w:pPr>
    <w:rPr>
      <w:rFonts w:ascii="Times New Roman" w:hAnsi="Times New Roman" w:cs="Times New Roman"/>
      <w:sz w:val="24"/>
      <w:szCs w:val="24"/>
      <w:lang w:val="en-US" w:eastAsia="zh-CN"/>
    </w:rPr>
  </w:style>
  <w:style w:type="paragraph" w:styleId="Heading8">
    <w:name w:val="heading 8"/>
    <w:basedOn w:val="Normal"/>
    <w:next w:val="Normal"/>
    <w:link w:val="Heading8Char"/>
    <w:qFormat/>
    <w:rsid w:val="00997F8F"/>
    <w:pPr>
      <w:spacing w:before="240" w:after="60" w:line="240" w:lineRule="auto"/>
      <w:outlineLvl w:val="7"/>
    </w:pPr>
    <w:rPr>
      <w:rFonts w:ascii="Times New Roman" w:eastAsia="Times New Roman" w:hAnsi="Times New Roman" w:cs="Times New Roman"/>
      <w:i/>
      <w:iCs/>
      <w:sz w:val="24"/>
      <w:szCs w:val="24"/>
      <w:lang w:val="en-GB"/>
    </w:rPr>
  </w:style>
  <w:style w:type="paragraph" w:styleId="Heading9">
    <w:name w:val="heading 9"/>
    <w:basedOn w:val="Normal"/>
    <w:next w:val="Normal"/>
    <w:link w:val="Heading9Char"/>
    <w:qFormat/>
    <w:rsid w:val="00997F8F"/>
    <w:pPr>
      <w:spacing w:before="240" w:after="60" w:line="240" w:lineRule="auto"/>
      <w:outlineLvl w:val="8"/>
    </w:pPr>
    <w:rPr>
      <w:rFonts w:ascii="Arial" w:eastAsia="Times New Roman" w:hAnsi="Arial" w:cs="Arial"/>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A554A"/>
    <w:rPr>
      <w:rFonts w:ascii="Book Antiqua" w:eastAsiaTheme="majorEastAsia" w:hAnsi="Book Antiqua" w:cstheme="majorBidi"/>
      <w:color w:val="000000" w:themeColor="text1"/>
      <w:sz w:val="20"/>
      <w:szCs w:val="32"/>
      <w:lang w:val="zh-CN"/>
    </w:rPr>
  </w:style>
  <w:style w:type="character" w:customStyle="1" w:styleId="Heading2Char">
    <w:name w:val="Heading 2 Char"/>
    <w:aliases w:val="Heading 2 Char Char Char Char Char Char Char,Heading 2 Char Char Char Char Char Char Char Char Char,Heading 2 Char Char Char Char Char Char Char Char Char Char Char"/>
    <w:basedOn w:val="DefaultParagraphFont"/>
    <w:link w:val="Heading2"/>
    <w:qFormat/>
    <w:rsid w:val="00997F8F"/>
    <w:rPr>
      <w:rFonts w:ascii="Book Antiqua" w:eastAsiaTheme="majorEastAsia" w:hAnsi="Book Antiqua" w:cstheme="majorBidi"/>
      <w:b/>
      <w:color w:val="000000" w:themeColor="text1"/>
      <w:sz w:val="20"/>
      <w:szCs w:val="26"/>
      <w:lang w:val="zh-CN"/>
    </w:rPr>
  </w:style>
  <w:style w:type="character" w:customStyle="1" w:styleId="Heading3Char">
    <w:name w:val="Heading 3 Char"/>
    <w:basedOn w:val="DefaultParagraphFont"/>
    <w:link w:val="Heading3"/>
    <w:rsid w:val="00997F8F"/>
    <w:rPr>
      <w:rFonts w:ascii="Arial" w:hAnsi="Arial" w:cs="Arial"/>
      <w:b/>
      <w:bCs/>
      <w:sz w:val="26"/>
      <w:szCs w:val="26"/>
      <w:lang w:val="en-US" w:eastAsia="zh-CN"/>
    </w:rPr>
  </w:style>
  <w:style w:type="character" w:customStyle="1" w:styleId="Heading4Char">
    <w:name w:val="Heading 4 Char"/>
    <w:basedOn w:val="DefaultParagraphFont"/>
    <w:link w:val="Heading4"/>
    <w:rsid w:val="00997F8F"/>
    <w:rPr>
      <w:rFonts w:ascii="Times New Roman" w:hAnsi="Times New Roman" w:cs="Times New Roman"/>
      <w:b/>
      <w:bCs/>
      <w:sz w:val="28"/>
      <w:szCs w:val="28"/>
      <w:lang w:val="en-US" w:eastAsia="zh-CN"/>
    </w:rPr>
  </w:style>
  <w:style w:type="character" w:customStyle="1" w:styleId="Heading5Char">
    <w:name w:val="Heading 5 Char"/>
    <w:basedOn w:val="DefaultParagraphFont"/>
    <w:link w:val="Heading5"/>
    <w:rsid w:val="00997F8F"/>
    <w:rPr>
      <w:rFonts w:ascii="Times New Roman" w:eastAsia="Times New Roman" w:hAnsi="Times New Roman" w:cs="Times New Roman"/>
      <w:b/>
      <w:bCs/>
      <w:sz w:val="28"/>
      <w:szCs w:val="20"/>
      <w:lang w:val="en-GB"/>
    </w:rPr>
  </w:style>
  <w:style w:type="character" w:customStyle="1" w:styleId="Heading6Char">
    <w:name w:val="Heading 6 Char"/>
    <w:basedOn w:val="DefaultParagraphFont"/>
    <w:link w:val="Heading6"/>
    <w:rsid w:val="00997F8F"/>
    <w:rPr>
      <w:rFonts w:ascii="Times New Roman" w:eastAsia="Times New Roman" w:hAnsi="Times New Roman" w:cs="Times New Roman"/>
      <w:b/>
      <w:sz w:val="28"/>
      <w:szCs w:val="20"/>
      <w:lang w:val="en-GB"/>
    </w:rPr>
  </w:style>
  <w:style w:type="character" w:customStyle="1" w:styleId="Heading7Char">
    <w:name w:val="Heading 7 Char"/>
    <w:basedOn w:val="DefaultParagraphFont"/>
    <w:link w:val="Heading7"/>
    <w:rsid w:val="00997F8F"/>
    <w:rPr>
      <w:rFonts w:ascii="Times New Roman" w:hAnsi="Times New Roman" w:cs="Times New Roman"/>
      <w:sz w:val="24"/>
      <w:szCs w:val="24"/>
      <w:lang w:val="en-US" w:eastAsia="zh-CN"/>
    </w:rPr>
  </w:style>
  <w:style w:type="character" w:customStyle="1" w:styleId="Heading8Char">
    <w:name w:val="Heading 8 Char"/>
    <w:basedOn w:val="DefaultParagraphFont"/>
    <w:link w:val="Heading8"/>
    <w:rsid w:val="00997F8F"/>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997F8F"/>
    <w:rPr>
      <w:rFonts w:ascii="Arial" w:eastAsia="Times New Roman" w:hAnsi="Arial" w:cs="Arial"/>
      <w:lang w:val="en-GB"/>
    </w:rPr>
  </w:style>
  <w:style w:type="paragraph" w:styleId="Header">
    <w:name w:val="header"/>
    <w:basedOn w:val="Normal"/>
    <w:link w:val="HeaderChar"/>
    <w:uiPriority w:val="99"/>
    <w:unhideWhenUsed/>
    <w:qFormat/>
    <w:rsid w:val="003C3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8A8"/>
  </w:style>
  <w:style w:type="paragraph" w:styleId="Footer">
    <w:name w:val="footer"/>
    <w:basedOn w:val="Normal"/>
    <w:link w:val="FooterChar"/>
    <w:uiPriority w:val="99"/>
    <w:unhideWhenUsed/>
    <w:qFormat/>
    <w:rsid w:val="003C3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8A8"/>
  </w:style>
  <w:style w:type="paragraph" w:styleId="BalloonText">
    <w:name w:val="Balloon Text"/>
    <w:basedOn w:val="Normal"/>
    <w:link w:val="BalloonTextChar"/>
    <w:unhideWhenUsed/>
    <w:qFormat/>
    <w:rsid w:val="002A2D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qFormat/>
    <w:rsid w:val="002A2D8E"/>
    <w:rPr>
      <w:rFonts w:ascii="Tahoma" w:hAnsi="Tahoma" w:cs="Tahoma"/>
      <w:sz w:val="16"/>
      <w:szCs w:val="16"/>
    </w:rPr>
  </w:style>
  <w:style w:type="paragraph" w:styleId="ListParagraph">
    <w:name w:val="List Paragraph"/>
    <w:aliases w:val="Body of text,List Paragraph1,kepala,SUB BAB2"/>
    <w:basedOn w:val="Normal"/>
    <w:link w:val="ListParagraphChar"/>
    <w:uiPriority w:val="34"/>
    <w:qFormat/>
    <w:rsid w:val="00F72030"/>
    <w:pPr>
      <w:ind w:left="720"/>
      <w:contextualSpacing/>
    </w:pPr>
  </w:style>
  <w:style w:type="character" w:customStyle="1" w:styleId="ListParagraphChar">
    <w:name w:val="List Paragraph Char"/>
    <w:aliases w:val="Body of text Char,List Paragraph1 Char,kepala Char,SUB BAB2 Char"/>
    <w:basedOn w:val="DefaultParagraphFont"/>
    <w:link w:val="ListParagraph"/>
    <w:uiPriority w:val="34"/>
    <w:qFormat/>
    <w:locked/>
    <w:rsid w:val="00F01945"/>
  </w:style>
  <w:style w:type="character" w:styleId="Hyperlink">
    <w:name w:val="Hyperlink"/>
    <w:uiPriority w:val="99"/>
    <w:unhideWhenUsed/>
    <w:qFormat/>
    <w:rsid w:val="00B178E5"/>
    <w:rPr>
      <w:color w:val="0000FF"/>
      <w:u w:val="single"/>
    </w:rPr>
  </w:style>
  <w:style w:type="character" w:styleId="Emphasis">
    <w:name w:val="Emphasis"/>
    <w:basedOn w:val="DefaultParagraphFont"/>
    <w:qFormat/>
    <w:rsid w:val="00B178E5"/>
    <w:rPr>
      <w:i/>
      <w:iCs/>
    </w:rPr>
  </w:style>
  <w:style w:type="paragraph" w:customStyle="1" w:styleId="isi">
    <w:name w:val="isi"/>
    <w:basedOn w:val="Normal"/>
    <w:qFormat/>
    <w:rsid w:val="00F01945"/>
    <w:pPr>
      <w:spacing w:after="0" w:line="288" w:lineRule="auto"/>
      <w:jc w:val="both"/>
    </w:pPr>
    <w:rPr>
      <w:rFonts w:ascii="Times New Roman" w:hAnsi="Times New Roman"/>
      <w:sz w:val="24"/>
      <w:szCs w:val="24"/>
      <w:lang w:val="en-US"/>
    </w:rPr>
  </w:style>
  <w:style w:type="character" w:styleId="CommentReference">
    <w:name w:val="annotation reference"/>
    <w:basedOn w:val="DefaultParagraphFont"/>
    <w:unhideWhenUsed/>
    <w:qFormat/>
    <w:rsid w:val="00F01945"/>
    <w:rPr>
      <w:sz w:val="16"/>
      <w:szCs w:val="16"/>
    </w:rPr>
  </w:style>
  <w:style w:type="paragraph" w:styleId="CommentText">
    <w:name w:val="annotation text"/>
    <w:basedOn w:val="Normal"/>
    <w:link w:val="CommentTextChar"/>
    <w:unhideWhenUsed/>
    <w:qFormat/>
    <w:rsid w:val="00F01945"/>
    <w:pPr>
      <w:spacing w:after="0" w:line="240" w:lineRule="auto"/>
    </w:pPr>
    <w:rPr>
      <w:sz w:val="20"/>
      <w:szCs w:val="20"/>
      <w:lang w:val="zh-CN"/>
    </w:rPr>
  </w:style>
  <w:style w:type="character" w:customStyle="1" w:styleId="CommentTextChar">
    <w:name w:val="Comment Text Char"/>
    <w:basedOn w:val="DefaultParagraphFont"/>
    <w:link w:val="CommentText"/>
    <w:uiPriority w:val="99"/>
    <w:semiHidden/>
    <w:qFormat/>
    <w:rsid w:val="00F01945"/>
    <w:rPr>
      <w:sz w:val="20"/>
      <w:szCs w:val="20"/>
      <w:lang w:val="zh-CN"/>
    </w:rPr>
  </w:style>
  <w:style w:type="paragraph" w:styleId="CommentSubject">
    <w:name w:val="annotation subject"/>
    <w:basedOn w:val="CommentText"/>
    <w:next w:val="CommentText"/>
    <w:link w:val="CommentSubjectChar"/>
    <w:unhideWhenUsed/>
    <w:qFormat/>
    <w:rsid w:val="00F01945"/>
    <w:rPr>
      <w:b/>
      <w:bCs/>
    </w:rPr>
  </w:style>
  <w:style w:type="character" w:customStyle="1" w:styleId="CommentSubjectChar">
    <w:name w:val="Comment Subject Char"/>
    <w:basedOn w:val="CommentTextChar"/>
    <w:link w:val="CommentSubject"/>
    <w:uiPriority w:val="99"/>
    <w:semiHidden/>
    <w:qFormat/>
    <w:rsid w:val="00F01945"/>
    <w:rPr>
      <w:b/>
      <w:bCs/>
      <w:sz w:val="20"/>
      <w:szCs w:val="20"/>
      <w:lang w:val="zh-CN"/>
    </w:rPr>
  </w:style>
  <w:style w:type="paragraph" w:styleId="NormalWeb">
    <w:name w:val="Normal (Web)"/>
    <w:basedOn w:val="Normal"/>
    <w:unhideWhenUsed/>
    <w:qFormat/>
    <w:rsid w:val="00F01945"/>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styleId="Strong">
    <w:name w:val="Strong"/>
    <w:qFormat/>
    <w:rsid w:val="00F01945"/>
    <w:rPr>
      <w:b/>
      <w:bCs/>
    </w:rPr>
  </w:style>
  <w:style w:type="paragraph" w:customStyle="1" w:styleId="BAB">
    <w:name w:val="BAB"/>
    <w:basedOn w:val="Heading1"/>
    <w:qFormat/>
    <w:rsid w:val="00F01945"/>
    <w:pPr>
      <w:pBdr>
        <w:top w:val="single" w:sz="18" w:space="1" w:color="auto"/>
        <w:left w:val="single" w:sz="18" w:space="4" w:color="auto"/>
        <w:bottom w:val="single" w:sz="18" w:space="6" w:color="auto"/>
        <w:right w:val="single" w:sz="18" w:space="4" w:color="auto"/>
      </w:pBdr>
      <w:spacing w:before="0" w:after="120" w:line="276" w:lineRule="auto"/>
      <w:jc w:val="right"/>
    </w:pPr>
    <w:rPr>
      <w:rFonts w:ascii="Times New Roman" w:hAnsi="Times New Roman"/>
      <w:b/>
      <w:lang w:val="en-US"/>
    </w:rPr>
  </w:style>
  <w:style w:type="paragraph" w:styleId="NoSpacing">
    <w:name w:val="No Spacing"/>
    <w:link w:val="NoSpacingChar"/>
    <w:uiPriority w:val="1"/>
    <w:qFormat/>
    <w:rsid w:val="00F01945"/>
    <w:pPr>
      <w:spacing w:after="0" w:line="240" w:lineRule="auto"/>
    </w:pPr>
    <w:rPr>
      <w:rFonts w:ascii="Calibri" w:eastAsia="Times New Roman" w:hAnsi="Calibri" w:cs="Calibri"/>
      <w:lang w:val="en-US"/>
    </w:rPr>
  </w:style>
  <w:style w:type="character" w:customStyle="1" w:styleId="NoSpacingChar">
    <w:name w:val="No Spacing Char"/>
    <w:link w:val="NoSpacing"/>
    <w:uiPriority w:val="1"/>
    <w:rsid w:val="00997F8F"/>
    <w:rPr>
      <w:rFonts w:ascii="Calibri" w:eastAsia="Times New Roman" w:hAnsi="Calibri" w:cs="Calibri"/>
      <w:lang w:val="en-US"/>
    </w:rPr>
  </w:style>
  <w:style w:type="character" w:customStyle="1" w:styleId="fontstyle01">
    <w:name w:val="fontstyle01"/>
    <w:rsid w:val="00F01945"/>
    <w:rPr>
      <w:rFonts w:ascii="AdvPSNCS-B" w:hAnsi="AdvPSNCS-B" w:hint="default"/>
      <w:color w:val="000000"/>
      <w:sz w:val="42"/>
      <w:szCs w:val="42"/>
    </w:rPr>
  </w:style>
  <w:style w:type="character" w:customStyle="1" w:styleId="fontstyle21">
    <w:name w:val="fontstyle21"/>
    <w:qFormat/>
    <w:rsid w:val="00F01945"/>
    <w:rPr>
      <w:rFonts w:ascii="HelveticaLTStd-Bold" w:hAnsi="HelveticaLTStd-Bold" w:hint="default"/>
      <w:b/>
      <w:bCs/>
      <w:color w:val="231F20"/>
      <w:sz w:val="16"/>
      <w:szCs w:val="16"/>
    </w:rPr>
  </w:style>
  <w:style w:type="paragraph" w:customStyle="1" w:styleId="subab">
    <w:name w:val="subab"/>
    <w:basedOn w:val="Heading2"/>
    <w:qFormat/>
    <w:rsid w:val="00F01945"/>
    <w:pPr>
      <w:spacing w:before="240" w:after="40"/>
    </w:pPr>
    <w:rPr>
      <w:rFonts w:ascii="Times New Roman" w:hAnsi="Times New Roman"/>
      <w:b w:val="0"/>
      <w:sz w:val="28"/>
    </w:rPr>
  </w:style>
  <w:style w:type="paragraph" w:styleId="TOCHeading">
    <w:name w:val="TOC Heading"/>
    <w:basedOn w:val="Heading1"/>
    <w:next w:val="Normal"/>
    <w:unhideWhenUsed/>
    <w:qFormat/>
    <w:rsid w:val="00E70BB7"/>
    <w:pPr>
      <w:spacing w:before="480" w:line="276" w:lineRule="auto"/>
      <w:outlineLvl w:val="9"/>
    </w:pPr>
    <w:rPr>
      <w:rFonts w:asciiTheme="majorHAnsi" w:hAnsiTheme="majorHAnsi"/>
      <w:b/>
      <w:bCs/>
      <w:color w:val="2F5496" w:themeColor="accent1" w:themeShade="BF"/>
      <w:sz w:val="28"/>
      <w:szCs w:val="28"/>
      <w:lang w:val="en-US" w:eastAsia="ja-JP"/>
    </w:rPr>
  </w:style>
  <w:style w:type="paragraph" w:styleId="TOC1">
    <w:name w:val="toc 1"/>
    <w:basedOn w:val="Normal"/>
    <w:next w:val="Normal"/>
    <w:autoRedefine/>
    <w:uiPriority w:val="39"/>
    <w:unhideWhenUsed/>
    <w:qFormat/>
    <w:rsid w:val="00CC3565"/>
    <w:pPr>
      <w:tabs>
        <w:tab w:val="right" w:leader="dot" w:pos="5943"/>
      </w:tabs>
      <w:spacing w:after="0" w:line="276" w:lineRule="auto"/>
      <w:ind w:left="851" w:hanging="851"/>
    </w:pPr>
    <w:rPr>
      <w:rFonts w:ascii="Book Antiqua" w:hAnsi="Book Antiqua"/>
      <w:b/>
      <w:noProof/>
      <w:sz w:val="20"/>
    </w:rPr>
  </w:style>
  <w:style w:type="paragraph" w:styleId="TOC2">
    <w:name w:val="toc 2"/>
    <w:basedOn w:val="Normal"/>
    <w:next w:val="Normal"/>
    <w:autoRedefine/>
    <w:uiPriority w:val="39"/>
    <w:unhideWhenUsed/>
    <w:qFormat/>
    <w:rsid w:val="00CC3565"/>
    <w:pPr>
      <w:tabs>
        <w:tab w:val="left" w:pos="993"/>
        <w:tab w:val="right" w:leader="dot" w:pos="5943"/>
      </w:tabs>
      <w:spacing w:after="0" w:line="276" w:lineRule="auto"/>
      <w:ind w:left="1134" w:hanging="283"/>
    </w:pPr>
    <w:rPr>
      <w:rFonts w:ascii="Book Antiqua" w:hAnsi="Book Antiqua"/>
      <w:sz w:val="20"/>
    </w:rPr>
  </w:style>
  <w:style w:type="character" w:customStyle="1" w:styleId="apple-style-span">
    <w:name w:val="apple-style-span"/>
    <w:rsid w:val="00997F8F"/>
  </w:style>
  <w:style w:type="paragraph" w:styleId="BodyText">
    <w:name w:val="Body Text"/>
    <w:basedOn w:val="Normal"/>
    <w:link w:val="BodyTextChar"/>
    <w:qFormat/>
    <w:rsid w:val="00997F8F"/>
    <w:pPr>
      <w:spacing w:after="0" w:line="240" w:lineRule="auto"/>
      <w:jc w:val="both"/>
    </w:pPr>
    <w:rPr>
      <w:rFonts w:ascii="Book Antiqua" w:eastAsia="Times New Roman" w:hAnsi="Book Antiqua" w:cs="Times New Roman"/>
      <w:sz w:val="24"/>
      <w:szCs w:val="24"/>
      <w:lang w:val="en-GB"/>
    </w:rPr>
  </w:style>
  <w:style w:type="character" w:customStyle="1" w:styleId="BodyTextChar">
    <w:name w:val="Body Text Char"/>
    <w:basedOn w:val="DefaultParagraphFont"/>
    <w:link w:val="BodyText"/>
    <w:uiPriority w:val="1"/>
    <w:rsid w:val="00997F8F"/>
    <w:rPr>
      <w:rFonts w:ascii="Book Antiqua" w:eastAsia="Times New Roman" w:hAnsi="Book Antiqua" w:cs="Times New Roman"/>
      <w:sz w:val="24"/>
      <w:szCs w:val="24"/>
      <w:lang w:val="en-GB"/>
    </w:rPr>
  </w:style>
  <w:style w:type="paragraph" w:styleId="BodyText2">
    <w:name w:val="Body Text 2"/>
    <w:basedOn w:val="Normal"/>
    <w:link w:val="BodyText2Char"/>
    <w:qFormat/>
    <w:rsid w:val="00997F8F"/>
    <w:pPr>
      <w:spacing w:after="120" w:line="480" w:lineRule="auto"/>
    </w:pPr>
    <w:rPr>
      <w:rFonts w:ascii="Times New Roman" w:hAnsi="Times New Roman" w:cs="Times New Roman"/>
      <w:sz w:val="24"/>
      <w:szCs w:val="24"/>
      <w:lang w:val="en-US" w:eastAsia="zh-CN"/>
    </w:rPr>
  </w:style>
  <w:style w:type="character" w:customStyle="1" w:styleId="BodyText2Char">
    <w:name w:val="Body Text 2 Char"/>
    <w:basedOn w:val="DefaultParagraphFont"/>
    <w:link w:val="BodyText2"/>
    <w:uiPriority w:val="99"/>
    <w:rsid w:val="00997F8F"/>
    <w:rPr>
      <w:rFonts w:ascii="Times New Roman" w:hAnsi="Times New Roman" w:cs="Times New Roman"/>
      <w:sz w:val="24"/>
      <w:szCs w:val="24"/>
      <w:lang w:val="en-US" w:eastAsia="zh-CN"/>
    </w:rPr>
  </w:style>
  <w:style w:type="character" w:styleId="PageNumber">
    <w:name w:val="page number"/>
    <w:qFormat/>
    <w:rsid w:val="00997F8F"/>
  </w:style>
  <w:style w:type="table" w:styleId="TableGrid">
    <w:name w:val="Table Grid"/>
    <w:basedOn w:val="TableNormal"/>
    <w:uiPriority w:val="39"/>
    <w:qFormat/>
    <w:rsid w:val="00997F8F"/>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qFormat/>
    <w:rsid w:val="00997F8F"/>
    <w:pPr>
      <w:spacing w:after="120" w:line="240" w:lineRule="auto"/>
      <w:ind w:left="360"/>
    </w:pPr>
    <w:rPr>
      <w:rFonts w:ascii="Times New Roman" w:hAnsi="Times New Roman" w:cs="Times New Roman"/>
      <w:sz w:val="16"/>
      <w:szCs w:val="16"/>
      <w:lang w:val="en-US" w:eastAsia="zh-CN"/>
    </w:rPr>
  </w:style>
  <w:style w:type="character" w:customStyle="1" w:styleId="BodyTextIndent3Char">
    <w:name w:val="Body Text Indent 3 Char"/>
    <w:basedOn w:val="DefaultParagraphFont"/>
    <w:link w:val="BodyTextIndent3"/>
    <w:uiPriority w:val="99"/>
    <w:rsid w:val="00997F8F"/>
    <w:rPr>
      <w:rFonts w:ascii="Times New Roman" w:hAnsi="Times New Roman" w:cs="Times New Roman"/>
      <w:sz w:val="16"/>
      <w:szCs w:val="16"/>
      <w:lang w:val="en-US" w:eastAsia="zh-CN"/>
    </w:rPr>
  </w:style>
  <w:style w:type="paragraph" w:styleId="BodyTextIndent2">
    <w:name w:val="Body Text Indent 2"/>
    <w:basedOn w:val="Normal"/>
    <w:link w:val="BodyTextIndent2Char"/>
    <w:qFormat/>
    <w:rsid w:val="00997F8F"/>
    <w:pPr>
      <w:numPr>
        <w:ilvl w:val="12"/>
      </w:numPr>
      <w:tabs>
        <w:tab w:val="left" w:pos="-630"/>
        <w:tab w:val="left" w:pos="993"/>
        <w:tab w:val="left" w:pos="1620"/>
        <w:tab w:val="left" w:pos="2250"/>
        <w:tab w:val="left" w:pos="3420"/>
      </w:tabs>
      <w:spacing w:after="0" w:line="360" w:lineRule="auto"/>
      <w:ind w:left="990"/>
    </w:pPr>
    <w:rPr>
      <w:rFonts w:ascii="Times New Roman" w:eastAsia="Times New Roman" w:hAnsi="Times New Roman" w:cs="Times New Roman"/>
      <w:sz w:val="24"/>
      <w:szCs w:val="20"/>
      <w:lang w:val="en-GB"/>
    </w:rPr>
  </w:style>
  <w:style w:type="character" w:customStyle="1" w:styleId="BodyTextIndent2Char">
    <w:name w:val="Body Text Indent 2 Char"/>
    <w:basedOn w:val="DefaultParagraphFont"/>
    <w:link w:val="BodyTextIndent2"/>
    <w:rsid w:val="00997F8F"/>
    <w:rPr>
      <w:rFonts w:ascii="Times New Roman" w:eastAsia="Times New Roman" w:hAnsi="Times New Roman" w:cs="Times New Roman"/>
      <w:sz w:val="24"/>
      <w:szCs w:val="20"/>
      <w:lang w:val="en-GB"/>
    </w:rPr>
  </w:style>
  <w:style w:type="paragraph" w:styleId="Title">
    <w:name w:val="Title"/>
    <w:basedOn w:val="Normal"/>
    <w:link w:val="TitleChar"/>
    <w:uiPriority w:val="10"/>
    <w:qFormat/>
    <w:rsid w:val="00997F8F"/>
    <w:pPr>
      <w:numPr>
        <w:numId w:val="1"/>
      </w:numPr>
      <w:overflowPunct w:val="0"/>
      <w:autoSpaceDE w:val="0"/>
      <w:autoSpaceDN w:val="0"/>
      <w:adjustRightInd w:val="0"/>
      <w:spacing w:after="0" w:line="240" w:lineRule="auto"/>
      <w:jc w:val="center"/>
      <w:textAlignment w:val="baseline"/>
    </w:pPr>
    <w:rPr>
      <w:rFonts w:ascii="Times New Roman" w:eastAsia="Times New Roman" w:hAnsi="Times New Roman" w:cs="Times New Roman"/>
      <w:b/>
      <w:sz w:val="28"/>
      <w:szCs w:val="20"/>
      <w:lang w:val="en-US"/>
    </w:rPr>
  </w:style>
  <w:style w:type="character" w:customStyle="1" w:styleId="TitleChar">
    <w:name w:val="Title Char"/>
    <w:basedOn w:val="DefaultParagraphFont"/>
    <w:link w:val="Title"/>
    <w:uiPriority w:val="10"/>
    <w:rsid w:val="00997F8F"/>
    <w:rPr>
      <w:rFonts w:ascii="Times New Roman" w:eastAsia="Times New Roman" w:hAnsi="Times New Roman" w:cs="Times New Roman"/>
      <w:b/>
      <w:sz w:val="28"/>
      <w:szCs w:val="20"/>
      <w:lang w:val="en-US"/>
    </w:rPr>
  </w:style>
  <w:style w:type="paragraph" w:styleId="FootnoteText">
    <w:name w:val="footnote text"/>
    <w:basedOn w:val="Normal"/>
    <w:link w:val="FootnoteTextChar"/>
    <w:qFormat/>
    <w:rsid w:val="00997F8F"/>
    <w:pPr>
      <w:spacing w:after="0" w:line="240" w:lineRule="auto"/>
    </w:pPr>
    <w:rPr>
      <w:rFonts w:ascii="Times New Roman" w:eastAsia="Times New Roman" w:hAnsi="Times New Roman" w:cs="Times New Roman"/>
      <w:sz w:val="20"/>
      <w:szCs w:val="20"/>
      <w:lang w:val="en-GB"/>
    </w:rPr>
  </w:style>
  <w:style w:type="character" w:customStyle="1" w:styleId="FootnoteTextChar">
    <w:name w:val="Footnote Text Char"/>
    <w:basedOn w:val="DefaultParagraphFont"/>
    <w:link w:val="FootnoteText"/>
    <w:uiPriority w:val="99"/>
    <w:qFormat/>
    <w:rsid w:val="00997F8F"/>
    <w:rPr>
      <w:rFonts w:ascii="Times New Roman" w:eastAsia="Times New Roman" w:hAnsi="Times New Roman" w:cs="Times New Roman"/>
      <w:sz w:val="20"/>
      <w:szCs w:val="20"/>
      <w:lang w:val="en-GB"/>
    </w:rPr>
  </w:style>
  <w:style w:type="paragraph" w:styleId="BodyText3">
    <w:name w:val="Body Text 3"/>
    <w:basedOn w:val="Normal"/>
    <w:link w:val="BodyText3Char"/>
    <w:qFormat/>
    <w:rsid w:val="00997F8F"/>
    <w:pPr>
      <w:spacing w:after="120" w:line="240" w:lineRule="auto"/>
    </w:pPr>
    <w:rPr>
      <w:rFonts w:ascii="Times New Roman" w:eastAsia="Times New Roman" w:hAnsi="Times New Roman" w:cs="Times New Roman"/>
      <w:sz w:val="16"/>
      <w:szCs w:val="16"/>
      <w:lang w:val="en-GB"/>
    </w:rPr>
  </w:style>
  <w:style w:type="character" w:customStyle="1" w:styleId="BodyText3Char">
    <w:name w:val="Body Text 3 Char"/>
    <w:basedOn w:val="DefaultParagraphFont"/>
    <w:link w:val="BodyText3"/>
    <w:uiPriority w:val="99"/>
    <w:rsid w:val="00997F8F"/>
    <w:rPr>
      <w:rFonts w:ascii="Times New Roman" w:eastAsia="Times New Roman" w:hAnsi="Times New Roman" w:cs="Times New Roman"/>
      <w:sz w:val="16"/>
      <w:szCs w:val="16"/>
      <w:lang w:val="en-GB"/>
    </w:rPr>
  </w:style>
  <w:style w:type="character" w:customStyle="1" w:styleId="toctoggle">
    <w:name w:val="toctoggle"/>
    <w:rsid w:val="00997F8F"/>
  </w:style>
  <w:style w:type="character" w:customStyle="1" w:styleId="tocnumber2">
    <w:name w:val="tocnumber2"/>
    <w:rsid w:val="00997F8F"/>
  </w:style>
  <w:style w:type="character" w:customStyle="1" w:styleId="toctext">
    <w:name w:val="toctext"/>
    <w:rsid w:val="00997F8F"/>
  </w:style>
  <w:style w:type="character" w:customStyle="1" w:styleId="editsection">
    <w:name w:val="editsection"/>
    <w:rsid w:val="00997F8F"/>
  </w:style>
  <w:style w:type="character" w:customStyle="1" w:styleId="mw-headline">
    <w:name w:val="mw-headline"/>
    <w:rsid w:val="00997F8F"/>
  </w:style>
  <w:style w:type="character" w:customStyle="1" w:styleId="hps">
    <w:name w:val="hps"/>
    <w:rsid w:val="00997F8F"/>
  </w:style>
  <w:style w:type="character" w:customStyle="1" w:styleId="fullpost">
    <w:name w:val="fullpost"/>
    <w:rsid w:val="00997F8F"/>
  </w:style>
  <w:style w:type="character" w:styleId="FootnoteReference">
    <w:name w:val="footnote reference"/>
    <w:qFormat/>
    <w:rsid w:val="00997F8F"/>
    <w:rPr>
      <w:rFonts w:cs="Times New Roman"/>
      <w:vertAlign w:val="superscript"/>
    </w:rPr>
  </w:style>
  <w:style w:type="paragraph" w:customStyle="1" w:styleId="Style">
    <w:name w:val="Style"/>
    <w:rsid w:val="00997F8F"/>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character" w:customStyle="1" w:styleId="meta-date">
    <w:name w:val="meta-date"/>
    <w:rsid w:val="00997F8F"/>
  </w:style>
  <w:style w:type="character" w:customStyle="1" w:styleId="meta-author">
    <w:name w:val="meta-author"/>
    <w:rsid w:val="00997F8F"/>
  </w:style>
  <w:style w:type="character" w:customStyle="1" w:styleId="author">
    <w:name w:val="author"/>
    <w:rsid w:val="00997F8F"/>
  </w:style>
  <w:style w:type="character" w:customStyle="1" w:styleId="meta-comments">
    <w:name w:val="meta-comments"/>
    <w:rsid w:val="00997F8F"/>
  </w:style>
  <w:style w:type="character" w:customStyle="1" w:styleId="mrsocialsharing">
    <w:name w:val="mr_social_sharing"/>
    <w:rsid w:val="00997F8F"/>
  </w:style>
  <w:style w:type="character" w:customStyle="1" w:styleId="pin1585016057860count">
    <w:name w:val="pin_1585016057860_count"/>
    <w:rsid w:val="00997F8F"/>
  </w:style>
  <w:style w:type="paragraph" w:styleId="HTMLAddress">
    <w:name w:val="HTML Address"/>
    <w:basedOn w:val="Normal"/>
    <w:link w:val="HTMLAddressChar"/>
    <w:unhideWhenUsed/>
    <w:qFormat/>
    <w:rsid w:val="00997F8F"/>
    <w:pPr>
      <w:spacing w:after="0" w:line="240" w:lineRule="auto"/>
    </w:pPr>
    <w:rPr>
      <w:rFonts w:ascii="Times New Roman" w:eastAsia="Times New Roman" w:hAnsi="Times New Roman" w:cs="Times New Roman"/>
      <w:i/>
      <w:iCs/>
      <w:sz w:val="24"/>
      <w:szCs w:val="24"/>
      <w:lang w:val="en-US"/>
    </w:rPr>
  </w:style>
  <w:style w:type="character" w:customStyle="1" w:styleId="HTMLAddressChar">
    <w:name w:val="HTML Address Char"/>
    <w:basedOn w:val="DefaultParagraphFont"/>
    <w:link w:val="HTMLAddress"/>
    <w:uiPriority w:val="99"/>
    <w:semiHidden/>
    <w:rsid w:val="00997F8F"/>
    <w:rPr>
      <w:rFonts w:ascii="Times New Roman" w:eastAsia="Times New Roman" w:hAnsi="Times New Roman" w:cs="Times New Roman"/>
      <w:i/>
      <w:iCs/>
      <w:sz w:val="24"/>
      <w:szCs w:val="24"/>
      <w:lang w:val="en-US"/>
    </w:rPr>
  </w:style>
  <w:style w:type="paragraph" w:styleId="HTMLPreformatted">
    <w:name w:val="HTML Preformatted"/>
    <w:basedOn w:val="Normal"/>
    <w:link w:val="HTMLPreformattedChar"/>
    <w:unhideWhenUsed/>
    <w:qFormat/>
    <w:rsid w:val="00997F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rsid w:val="00997F8F"/>
    <w:rPr>
      <w:rFonts w:ascii="Courier New" w:eastAsia="Times New Roman" w:hAnsi="Courier New" w:cs="Courier New"/>
      <w:sz w:val="20"/>
      <w:szCs w:val="20"/>
      <w:lang w:val="en-US"/>
    </w:rPr>
  </w:style>
  <w:style w:type="character" w:customStyle="1" w:styleId="pk-share-buttons-count">
    <w:name w:val="pk-share-buttons-count"/>
    <w:rsid w:val="00997F8F"/>
  </w:style>
  <w:style w:type="character" w:customStyle="1" w:styleId="e24kjd">
    <w:name w:val="e24kjd"/>
    <w:rsid w:val="00997F8F"/>
  </w:style>
  <w:style w:type="character" w:customStyle="1" w:styleId="kx21rb">
    <w:name w:val="kx21rb"/>
    <w:rsid w:val="00997F8F"/>
  </w:style>
  <w:style w:type="paragraph" w:customStyle="1" w:styleId="ez-toc-title">
    <w:name w:val="ez-toc-title"/>
    <w:basedOn w:val="Normal"/>
    <w:rsid w:val="00997F8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fn">
    <w:name w:val="fn"/>
    <w:rsid w:val="00997F8F"/>
  </w:style>
  <w:style w:type="character" w:customStyle="1" w:styleId="time-info">
    <w:name w:val="time-info"/>
    <w:rsid w:val="00997F8F"/>
  </w:style>
  <w:style w:type="character" w:customStyle="1" w:styleId="label-info">
    <w:name w:val="label-info"/>
    <w:rsid w:val="00997F8F"/>
  </w:style>
  <w:style w:type="character" w:customStyle="1" w:styleId="ctatext">
    <w:name w:val="ctatext"/>
    <w:rsid w:val="00997F8F"/>
  </w:style>
  <w:style w:type="character" w:customStyle="1" w:styleId="posttitle">
    <w:name w:val="posttitle"/>
    <w:rsid w:val="00997F8F"/>
  </w:style>
  <w:style w:type="character" w:customStyle="1" w:styleId="byline">
    <w:name w:val="byline"/>
    <w:rsid w:val="00997F8F"/>
  </w:style>
  <w:style w:type="character" w:customStyle="1" w:styleId="entry-author">
    <w:name w:val="entry-author"/>
    <w:rsid w:val="00997F8F"/>
  </w:style>
  <w:style w:type="character" w:customStyle="1" w:styleId="posted-on">
    <w:name w:val="posted-on"/>
    <w:rsid w:val="00997F8F"/>
  </w:style>
  <w:style w:type="paragraph" w:customStyle="1" w:styleId="01-bab">
    <w:name w:val="01-bab"/>
    <w:basedOn w:val="Normal"/>
    <w:semiHidden/>
    <w:qFormat/>
    <w:rsid w:val="00997F8F"/>
    <w:pPr>
      <w:widowControl w:val="0"/>
      <w:tabs>
        <w:tab w:val="center" w:pos="992"/>
        <w:tab w:val="center" w:pos="5727"/>
      </w:tabs>
      <w:spacing w:before="240" w:after="240" w:line="264" w:lineRule="auto"/>
      <w:ind w:firstLine="567"/>
      <w:jc w:val="both"/>
    </w:pPr>
    <w:rPr>
      <w:rFonts w:ascii="Eras Bold ITC" w:hAnsi="Eras Bold ITC" w:cs="Times New Roman"/>
      <w:noProof/>
      <w:kern w:val="2"/>
      <w:sz w:val="40"/>
      <w:szCs w:val="48"/>
    </w:rPr>
  </w:style>
  <w:style w:type="paragraph" w:customStyle="1" w:styleId="judulbab">
    <w:name w:val="judul bab"/>
    <w:basedOn w:val="Normal"/>
    <w:rsid w:val="00997F8F"/>
    <w:pPr>
      <w:widowControl w:val="0"/>
      <w:spacing w:after="120" w:line="288" w:lineRule="auto"/>
      <w:jc w:val="right"/>
    </w:pPr>
    <w:rPr>
      <w:rFonts w:ascii="Impact" w:hAnsi="Impact" w:cs="Times New Roman"/>
      <w:caps/>
      <w:kern w:val="2"/>
      <w:sz w:val="44"/>
      <w:szCs w:val="44"/>
      <w:lang w:val="en-US" w:eastAsia="zh-CN"/>
    </w:rPr>
  </w:style>
  <w:style w:type="paragraph" w:customStyle="1" w:styleId="Default">
    <w:name w:val="Default"/>
    <w:rsid w:val="00997F8F"/>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elementor-screen-only">
    <w:name w:val="elementor-screen-only"/>
    <w:rsid w:val="00997F8F"/>
  </w:style>
  <w:style w:type="character" w:customStyle="1" w:styleId="elementor-button-content-wrapper">
    <w:name w:val="elementor-button-content-wrapper"/>
    <w:rsid w:val="00997F8F"/>
  </w:style>
  <w:style w:type="character" w:customStyle="1" w:styleId="elementor-button-text">
    <w:name w:val="elementor-button-text"/>
    <w:rsid w:val="00997F8F"/>
  </w:style>
  <w:style w:type="character" w:customStyle="1" w:styleId="elementor-icon-list-text">
    <w:name w:val="elementor-icon-list-text"/>
    <w:rsid w:val="00997F8F"/>
  </w:style>
  <w:style w:type="character" w:customStyle="1" w:styleId="elementor-price-tablesubheading">
    <w:name w:val="elementor-price-table__subheading"/>
    <w:rsid w:val="00997F8F"/>
  </w:style>
  <w:style w:type="paragraph" w:customStyle="1" w:styleId="g1-footer-text">
    <w:name w:val="g1-footer-text"/>
    <w:basedOn w:val="Normal"/>
    <w:rsid w:val="00997F8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g1-footer-stamp-label">
    <w:name w:val="g1-footer-stamp-label"/>
    <w:rsid w:val="00997F8F"/>
  </w:style>
  <w:style w:type="character" w:customStyle="1" w:styleId="product-title">
    <w:name w:val="product-title"/>
    <w:rsid w:val="00997F8F"/>
  </w:style>
  <w:style w:type="character" w:customStyle="1" w:styleId="woocommerce-price-amount">
    <w:name w:val="woocommerce-price-amount"/>
    <w:rsid w:val="00997F8F"/>
  </w:style>
  <w:style w:type="character" w:customStyle="1" w:styleId="woocommerce-price-currencysymbol">
    <w:name w:val="woocommerce-price-currencysymbol"/>
    <w:rsid w:val="00997F8F"/>
  </w:style>
  <w:style w:type="paragraph" w:styleId="Bibliography">
    <w:name w:val="Bibliography"/>
    <w:basedOn w:val="Normal"/>
    <w:next w:val="Normal"/>
    <w:qFormat/>
    <w:rsid w:val="00997F8F"/>
    <w:pPr>
      <w:spacing w:after="200" w:line="276" w:lineRule="auto"/>
    </w:pPr>
    <w:rPr>
      <w:rFonts w:ascii="Calibri" w:eastAsia="Calibri" w:hAnsi="Calibri" w:cs="SimSun"/>
    </w:rPr>
  </w:style>
  <w:style w:type="character" w:customStyle="1" w:styleId="flagicon">
    <w:name w:val="flagicon"/>
    <w:rsid w:val="00997F8F"/>
  </w:style>
  <w:style w:type="character" w:customStyle="1" w:styleId="reference-text">
    <w:name w:val="reference-text"/>
    <w:rsid w:val="00997F8F"/>
  </w:style>
  <w:style w:type="character" w:styleId="HTMLCite">
    <w:name w:val="HTML Cite"/>
    <w:unhideWhenUsed/>
    <w:qFormat/>
    <w:rsid w:val="00997F8F"/>
    <w:rPr>
      <w:i/>
      <w:iCs/>
    </w:rPr>
  </w:style>
  <w:style w:type="character" w:customStyle="1" w:styleId="reference-accessdate">
    <w:name w:val="reference-accessdate"/>
    <w:rsid w:val="00997F8F"/>
  </w:style>
  <w:style w:type="character" w:customStyle="1" w:styleId="nowrap">
    <w:name w:val="nowrap"/>
    <w:rsid w:val="00997F8F"/>
  </w:style>
  <w:style w:type="character" w:customStyle="1" w:styleId="apple-converted-space">
    <w:name w:val="apple-converted-space"/>
    <w:rsid w:val="00997F8F"/>
  </w:style>
  <w:style w:type="paragraph" w:styleId="EndnoteText">
    <w:name w:val="endnote text"/>
    <w:basedOn w:val="Normal"/>
    <w:link w:val="EndnoteTextChar"/>
    <w:unhideWhenUsed/>
    <w:qFormat/>
    <w:rsid w:val="00997F8F"/>
    <w:pPr>
      <w:spacing w:after="0" w:line="240" w:lineRule="auto"/>
    </w:pPr>
    <w:rPr>
      <w:rFonts w:ascii="Calibri" w:eastAsia="Calibri" w:hAnsi="Calibri" w:cs="Arial"/>
      <w:sz w:val="20"/>
      <w:szCs w:val="20"/>
      <w:lang w:val="en-US"/>
    </w:rPr>
  </w:style>
  <w:style w:type="character" w:customStyle="1" w:styleId="EndnoteTextChar">
    <w:name w:val="Endnote Text Char"/>
    <w:basedOn w:val="DefaultParagraphFont"/>
    <w:link w:val="EndnoteText"/>
    <w:uiPriority w:val="99"/>
    <w:qFormat/>
    <w:rsid w:val="00997F8F"/>
    <w:rPr>
      <w:rFonts w:ascii="Calibri" w:eastAsia="Calibri" w:hAnsi="Calibri" w:cs="Arial"/>
      <w:sz w:val="20"/>
      <w:szCs w:val="20"/>
      <w:lang w:val="en-US"/>
    </w:rPr>
  </w:style>
  <w:style w:type="character" w:styleId="EndnoteReference">
    <w:name w:val="endnote reference"/>
    <w:unhideWhenUsed/>
    <w:qFormat/>
    <w:rsid w:val="00997F8F"/>
    <w:rPr>
      <w:vertAlign w:val="superscript"/>
    </w:rPr>
  </w:style>
  <w:style w:type="paragraph" w:customStyle="1" w:styleId="Heading11">
    <w:name w:val="Heading 11"/>
    <w:basedOn w:val="Normal"/>
    <w:uiPriority w:val="1"/>
    <w:qFormat/>
    <w:rsid w:val="00997F8F"/>
    <w:pPr>
      <w:widowControl w:val="0"/>
      <w:autoSpaceDE w:val="0"/>
      <w:autoSpaceDN w:val="0"/>
      <w:spacing w:before="237" w:after="0" w:line="240" w:lineRule="auto"/>
      <w:ind w:left="654"/>
      <w:outlineLvl w:val="1"/>
    </w:pPr>
    <w:rPr>
      <w:rFonts w:ascii="Arial" w:eastAsia="Arial" w:hAnsi="Arial" w:cs="Arial"/>
      <w:i/>
      <w:sz w:val="29"/>
      <w:szCs w:val="29"/>
      <w:lang w:val="en-US"/>
    </w:rPr>
  </w:style>
  <w:style w:type="character" w:customStyle="1" w:styleId="entry-author-name">
    <w:name w:val="entry-author-name"/>
    <w:rsid w:val="00997F8F"/>
  </w:style>
  <w:style w:type="paragraph" w:customStyle="1" w:styleId="breadcrumbs">
    <w:name w:val="breadcrumbs"/>
    <w:basedOn w:val="Normal"/>
    <w:rsid w:val="00997F8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breadcrumb">
    <w:name w:val="breadcrumb"/>
    <w:rsid w:val="00997F8F"/>
  </w:style>
  <w:style w:type="character" w:customStyle="1" w:styleId="sep">
    <w:name w:val="sep"/>
    <w:rsid w:val="00997F8F"/>
  </w:style>
  <w:style w:type="character" w:customStyle="1" w:styleId="markedcontent">
    <w:name w:val="markedcontent"/>
    <w:rsid w:val="00997F8F"/>
  </w:style>
  <w:style w:type="paragraph" w:customStyle="1" w:styleId="TableParagraph">
    <w:name w:val="Table Paragraph"/>
    <w:basedOn w:val="Normal"/>
    <w:uiPriority w:val="1"/>
    <w:qFormat/>
    <w:rsid w:val="00997F8F"/>
    <w:pPr>
      <w:widowControl w:val="0"/>
      <w:autoSpaceDE w:val="0"/>
      <w:autoSpaceDN w:val="0"/>
      <w:spacing w:before="5" w:after="0" w:line="240" w:lineRule="auto"/>
      <w:ind w:left="108"/>
    </w:pPr>
    <w:rPr>
      <w:rFonts w:ascii="Times New Roman" w:eastAsia="Times New Roman" w:hAnsi="Times New Roman" w:cs="Times New Roman"/>
      <w:lang w:val="en-US"/>
    </w:rPr>
  </w:style>
  <w:style w:type="character" w:customStyle="1" w:styleId="mandatory">
    <w:name w:val="mandatory"/>
    <w:rsid w:val="00997F8F"/>
  </w:style>
  <w:style w:type="character" w:customStyle="1" w:styleId="notranslate">
    <w:name w:val="notranslate"/>
    <w:rsid w:val="00997F8F"/>
  </w:style>
  <w:style w:type="paragraph" w:customStyle="1" w:styleId="ping">
    <w:name w:val="ping"/>
    <w:basedOn w:val="Normal"/>
    <w:rsid w:val="00997F8F"/>
    <w:pPr>
      <w:spacing w:after="120" w:line="276" w:lineRule="auto"/>
      <w:jc w:val="both"/>
    </w:pPr>
    <w:rPr>
      <w:rFonts w:ascii="Book Antiqua" w:eastAsia="Calibri" w:hAnsi="Book Antiqua" w:cs="Times New Roman"/>
      <w:lang w:val="sv-SE"/>
    </w:rPr>
  </w:style>
  <w:style w:type="paragraph" w:customStyle="1" w:styleId="Body1">
    <w:name w:val="Body 1"/>
    <w:basedOn w:val="Normal"/>
    <w:link w:val="Body1Char"/>
    <w:qFormat/>
    <w:rsid w:val="00997F8F"/>
    <w:pPr>
      <w:spacing w:after="200" w:line="360" w:lineRule="auto"/>
      <w:ind w:firstLine="720"/>
      <w:jc w:val="both"/>
    </w:pPr>
    <w:rPr>
      <w:rFonts w:ascii="Cambria" w:eastAsia="Calibri" w:hAnsi="Cambria" w:cs="Arial"/>
      <w:sz w:val="24"/>
      <w:szCs w:val="24"/>
      <w:lang w:val="en-US"/>
    </w:rPr>
  </w:style>
  <w:style w:type="character" w:customStyle="1" w:styleId="Body1Char">
    <w:name w:val="Body 1 Char"/>
    <w:link w:val="Body1"/>
    <w:rsid w:val="00997F8F"/>
    <w:rPr>
      <w:rFonts w:ascii="Cambria" w:eastAsia="Calibri" w:hAnsi="Cambria" w:cs="Arial"/>
      <w:sz w:val="24"/>
      <w:szCs w:val="24"/>
      <w:lang w:val="en-US"/>
    </w:rPr>
  </w:style>
  <w:style w:type="character" w:customStyle="1" w:styleId="A7">
    <w:name w:val="A7"/>
    <w:uiPriority w:val="99"/>
    <w:rsid w:val="00997F8F"/>
    <w:rPr>
      <w:rFonts w:cs="Minion Pro"/>
      <w:color w:val="000000"/>
      <w:sz w:val="13"/>
      <w:szCs w:val="13"/>
    </w:rPr>
  </w:style>
  <w:style w:type="character" w:customStyle="1" w:styleId="A5">
    <w:name w:val="A5"/>
    <w:uiPriority w:val="99"/>
    <w:rsid w:val="00997F8F"/>
    <w:rPr>
      <w:rFonts w:cs="Minion Pro"/>
      <w:color w:val="000000"/>
      <w:sz w:val="23"/>
      <w:szCs w:val="23"/>
    </w:rPr>
  </w:style>
  <w:style w:type="character" w:customStyle="1" w:styleId="nxtrz31d">
    <w:name w:val="nxtrz31d"/>
    <w:rsid w:val="00997F8F"/>
  </w:style>
  <w:style w:type="character" w:customStyle="1" w:styleId="spelle">
    <w:name w:val="spelle"/>
    <w:rsid w:val="00997F8F"/>
  </w:style>
  <w:style w:type="character" w:customStyle="1" w:styleId="grame">
    <w:name w:val="grame"/>
    <w:rsid w:val="00997F8F"/>
  </w:style>
  <w:style w:type="character" w:customStyle="1" w:styleId="A8">
    <w:name w:val="A8"/>
    <w:uiPriority w:val="99"/>
    <w:rsid w:val="00997F8F"/>
    <w:rPr>
      <w:rFonts w:cs="Warnock Pro"/>
      <w:color w:val="000000"/>
      <w:sz w:val="18"/>
      <w:szCs w:val="18"/>
    </w:rPr>
  </w:style>
  <w:style w:type="character" w:customStyle="1" w:styleId="y2iqfc">
    <w:name w:val="y2iqfc"/>
    <w:rsid w:val="00997F8F"/>
  </w:style>
  <w:style w:type="character" w:customStyle="1" w:styleId="SebutanYangBelumTerselesaikan">
    <w:name w:val="Sebutan Yang Belum Terselesaikan"/>
    <w:uiPriority w:val="99"/>
    <w:semiHidden/>
    <w:unhideWhenUsed/>
    <w:rsid w:val="00997F8F"/>
    <w:rPr>
      <w:color w:val="605E5C"/>
      <w:shd w:val="clear" w:color="auto" w:fill="E1DFDD"/>
    </w:rPr>
  </w:style>
  <w:style w:type="paragraph" w:styleId="z-TopofForm">
    <w:name w:val="HTML Top of Form"/>
    <w:basedOn w:val="Normal"/>
    <w:next w:val="Normal"/>
    <w:link w:val="z-TopofFormChar"/>
    <w:hidden/>
    <w:uiPriority w:val="99"/>
    <w:semiHidden/>
    <w:unhideWhenUsed/>
    <w:rsid w:val="00997F8F"/>
    <w:pPr>
      <w:pBdr>
        <w:bottom w:val="single" w:sz="6" w:space="1" w:color="auto"/>
      </w:pBdr>
      <w:spacing w:after="0" w:line="240" w:lineRule="auto"/>
      <w:jc w:val="center"/>
    </w:pPr>
    <w:rPr>
      <w:rFonts w:ascii="Arial" w:eastAsia="Times New Roman" w:hAnsi="Arial" w:cs="Arial"/>
      <w:vanish/>
      <w:sz w:val="16"/>
      <w:szCs w:val="16"/>
      <w:lang w:eastAsia="id-ID"/>
    </w:rPr>
  </w:style>
  <w:style w:type="character" w:customStyle="1" w:styleId="z-TopofFormChar">
    <w:name w:val="z-Top of Form Char"/>
    <w:basedOn w:val="DefaultParagraphFont"/>
    <w:link w:val="z-TopofForm"/>
    <w:uiPriority w:val="99"/>
    <w:semiHidden/>
    <w:rsid w:val="00997F8F"/>
    <w:rPr>
      <w:rFonts w:ascii="Arial" w:eastAsia="Times New Roman" w:hAnsi="Arial" w:cs="Arial"/>
      <w:vanish/>
      <w:sz w:val="16"/>
      <w:szCs w:val="16"/>
      <w:lang w:eastAsia="id-ID"/>
    </w:rPr>
  </w:style>
  <w:style w:type="paragraph" w:customStyle="1" w:styleId="my-0">
    <w:name w:val="my-0"/>
    <w:basedOn w:val="Normal"/>
    <w:rsid w:val="00997F8F"/>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TOC3">
    <w:name w:val="toc 3"/>
    <w:basedOn w:val="Normal"/>
    <w:uiPriority w:val="39"/>
    <w:qFormat/>
    <w:rsid w:val="00997F8F"/>
    <w:pPr>
      <w:widowControl w:val="0"/>
      <w:autoSpaceDE w:val="0"/>
      <w:autoSpaceDN w:val="0"/>
      <w:spacing w:before="138" w:after="0" w:line="240" w:lineRule="auto"/>
      <w:ind w:left="872" w:hanging="282"/>
    </w:pPr>
    <w:rPr>
      <w:rFonts w:ascii="Times New Roman" w:eastAsia="Times New Roman" w:hAnsi="Times New Roman" w:cs="Times New Roman"/>
      <w:sz w:val="24"/>
      <w:szCs w:val="24"/>
      <w:lang w:val="id"/>
    </w:rPr>
  </w:style>
  <w:style w:type="character" w:customStyle="1" w:styleId="relative">
    <w:name w:val="relative"/>
    <w:basedOn w:val="DefaultParagraphFont"/>
    <w:rsid w:val="006239C6"/>
  </w:style>
  <w:style w:type="paragraph" w:styleId="Caption">
    <w:name w:val="caption"/>
    <w:basedOn w:val="Normal"/>
    <w:next w:val="Normal"/>
    <w:unhideWhenUsed/>
    <w:qFormat/>
    <w:rsid w:val="00384BA7"/>
    <w:pPr>
      <w:spacing w:after="0" w:line="276" w:lineRule="auto"/>
      <w:jc w:val="center"/>
    </w:pPr>
    <w:rPr>
      <w:rFonts w:ascii="Book Antiqua" w:eastAsiaTheme="minorHAnsi" w:hAnsi="Book Antiqua"/>
      <w:iCs/>
      <w:color w:val="000000" w:themeColor="text1"/>
      <w:kern w:val="2"/>
      <w:sz w:val="20"/>
      <w:lang w:val="en-ID" w:bidi="th-TH"/>
      <w14:ligatures w14:val="standardContextual"/>
    </w:rPr>
  </w:style>
  <w:style w:type="paragraph" w:styleId="BlockText">
    <w:name w:val="Block Text"/>
    <w:basedOn w:val="Normal"/>
    <w:qFormat/>
    <w:rsid w:val="007B6FBE"/>
    <w:pPr>
      <w:spacing w:after="120" w:line="240" w:lineRule="auto"/>
      <w:ind w:leftChars="700" w:left="1440" w:rightChars="700" w:right="1440"/>
    </w:pPr>
    <w:rPr>
      <w:rFonts w:eastAsiaTheme="minorEastAsia"/>
      <w:sz w:val="20"/>
      <w:szCs w:val="20"/>
      <w:lang w:val="en-US" w:eastAsia="zh-CN"/>
    </w:rPr>
  </w:style>
  <w:style w:type="paragraph" w:styleId="BodyTextFirstIndent">
    <w:name w:val="Body Text First Indent"/>
    <w:basedOn w:val="BodyText"/>
    <w:link w:val="BodyTextFirstIndentChar"/>
    <w:qFormat/>
    <w:rsid w:val="007B6FBE"/>
    <w:pPr>
      <w:spacing w:after="120"/>
      <w:ind w:firstLineChars="100" w:firstLine="420"/>
      <w:jc w:val="left"/>
    </w:pPr>
    <w:rPr>
      <w:rFonts w:asciiTheme="minorHAnsi" w:eastAsiaTheme="minorEastAsia" w:hAnsiTheme="minorHAnsi" w:cstheme="minorBidi"/>
      <w:sz w:val="20"/>
      <w:szCs w:val="20"/>
      <w:lang w:val="en-US" w:eastAsia="zh-CN"/>
    </w:rPr>
  </w:style>
  <w:style w:type="character" w:customStyle="1" w:styleId="BodyTextFirstIndentChar">
    <w:name w:val="Body Text First Indent Char"/>
    <w:basedOn w:val="BodyTextChar"/>
    <w:link w:val="BodyTextFirstIndent"/>
    <w:rsid w:val="007B6FBE"/>
    <w:rPr>
      <w:rFonts w:ascii="Book Antiqua" w:eastAsiaTheme="minorEastAsia" w:hAnsi="Book Antiqua" w:cs="Times New Roman"/>
      <w:sz w:val="20"/>
      <w:szCs w:val="20"/>
      <w:lang w:val="en-US" w:eastAsia="zh-CN"/>
    </w:rPr>
  </w:style>
  <w:style w:type="paragraph" w:styleId="BodyTextIndent">
    <w:name w:val="Body Text Indent"/>
    <w:basedOn w:val="Normal"/>
    <w:link w:val="BodyTextIndentChar"/>
    <w:qFormat/>
    <w:rsid w:val="007B6FBE"/>
    <w:pPr>
      <w:spacing w:after="120" w:line="240" w:lineRule="auto"/>
      <w:ind w:leftChars="200" w:left="420"/>
    </w:pPr>
    <w:rPr>
      <w:rFonts w:eastAsiaTheme="minorEastAsia"/>
      <w:sz w:val="20"/>
      <w:szCs w:val="20"/>
      <w:lang w:val="en-US" w:eastAsia="zh-CN"/>
    </w:rPr>
  </w:style>
  <w:style w:type="character" w:customStyle="1" w:styleId="BodyTextIndentChar">
    <w:name w:val="Body Text Indent Char"/>
    <w:basedOn w:val="DefaultParagraphFont"/>
    <w:link w:val="BodyTextIndent"/>
    <w:rsid w:val="007B6FBE"/>
    <w:rPr>
      <w:rFonts w:eastAsiaTheme="minorEastAsia"/>
      <w:sz w:val="20"/>
      <w:szCs w:val="20"/>
      <w:lang w:val="en-US" w:eastAsia="zh-CN"/>
    </w:rPr>
  </w:style>
  <w:style w:type="paragraph" w:styleId="BodyTextFirstIndent2">
    <w:name w:val="Body Text First Indent 2"/>
    <w:basedOn w:val="BodyTextIndent"/>
    <w:link w:val="BodyTextFirstIndent2Char"/>
    <w:qFormat/>
    <w:rsid w:val="007B6FBE"/>
    <w:pPr>
      <w:ind w:firstLineChars="200" w:firstLine="420"/>
    </w:pPr>
  </w:style>
  <w:style w:type="character" w:customStyle="1" w:styleId="BodyTextFirstIndent2Char">
    <w:name w:val="Body Text First Indent 2 Char"/>
    <w:basedOn w:val="BodyTextIndentChar"/>
    <w:link w:val="BodyTextFirstIndent2"/>
    <w:rsid w:val="007B6FBE"/>
    <w:rPr>
      <w:rFonts w:eastAsiaTheme="minorEastAsia"/>
      <w:sz w:val="20"/>
      <w:szCs w:val="20"/>
      <w:lang w:val="en-US" w:eastAsia="zh-CN"/>
    </w:rPr>
  </w:style>
  <w:style w:type="paragraph" w:styleId="Closing">
    <w:name w:val="Closing"/>
    <w:basedOn w:val="Normal"/>
    <w:link w:val="ClosingChar"/>
    <w:qFormat/>
    <w:rsid w:val="007B6FBE"/>
    <w:pPr>
      <w:spacing w:after="0" w:line="240" w:lineRule="auto"/>
      <w:ind w:leftChars="2100" w:left="100"/>
    </w:pPr>
    <w:rPr>
      <w:rFonts w:eastAsiaTheme="minorEastAsia"/>
      <w:sz w:val="20"/>
      <w:szCs w:val="20"/>
      <w:lang w:val="en-US" w:eastAsia="zh-CN"/>
    </w:rPr>
  </w:style>
  <w:style w:type="character" w:customStyle="1" w:styleId="ClosingChar">
    <w:name w:val="Closing Char"/>
    <w:basedOn w:val="DefaultParagraphFont"/>
    <w:link w:val="Closing"/>
    <w:rsid w:val="007B6FBE"/>
    <w:rPr>
      <w:rFonts w:eastAsiaTheme="minorEastAsia"/>
      <w:sz w:val="20"/>
      <w:szCs w:val="20"/>
      <w:lang w:val="en-US" w:eastAsia="zh-CN"/>
    </w:rPr>
  </w:style>
  <w:style w:type="paragraph" w:styleId="Date">
    <w:name w:val="Date"/>
    <w:basedOn w:val="Normal"/>
    <w:next w:val="Normal"/>
    <w:link w:val="DateChar"/>
    <w:qFormat/>
    <w:rsid w:val="007B6FBE"/>
    <w:pPr>
      <w:spacing w:after="0" w:line="240" w:lineRule="auto"/>
      <w:ind w:leftChars="2500" w:left="100"/>
    </w:pPr>
    <w:rPr>
      <w:rFonts w:eastAsiaTheme="minorEastAsia"/>
      <w:sz w:val="20"/>
      <w:szCs w:val="20"/>
      <w:lang w:val="en-US" w:eastAsia="zh-CN"/>
    </w:rPr>
  </w:style>
  <w:style w:type="character" w:customStyle="1" w:styleId="DateChar">
    <w:name w:val="Date Char"/>
    <w:basedOn w:val="DefaultParagraphFont"/>
    <w:link w:val="Date"/>
    <w:rsid w:val="007B6FBE"/>
    <w:rPr>
      <w:rFonts w:eastAsiaTheme="minorEastAsia"/>
      <w:sz w:val="20"/>
      <w:szCs w:val="20"/>
      <w:lang w:val="en-US" w:eastAsia="zh-CN"/>
    </w:rPr>
  </w:style>
  <w:style w:type="paragraph" w:styleId="DocumentMap">
    <w:name w:val="Document Map"/>
    <w:basedOn w:val="Normal"/>
    <w:link w:val="DocumentMapChar"/>
    <w:qFormat/>
    <w:rsid w:val="007B6FBE"/>
    <w:pPr>
      <w:shd w:val="clear" w:color="auto" w:fill="000080"/>
      <w:spacing w:after="0" w:line="240" w:lineRule="auto"/>
    </w:pPr>
    <w:rPr>
      <w:rFonts w:eastAsiaTheme="minorEastAsia"/>
      <w:sz w:val="20"/>
      <w:szCs w:val="20"/>
      <w:lang w:val="en-US" w:eastAsia="zh-CN"/>
    </w:rPr>
  </w:style>
  <w:style w:type="character" w:customStyle="1" w:styleId="DocumentMapChar">
    <w:name w:val="Document Map Char"/>
    <w:basedOn w:val="DefaultParagraphFont"/>
    <w:link w:val="DocumentMap"/>
    <w:rsid w:val="007B6FBE"/>
    <w:rPr>
      <w:rFonts w:eastAsiaTheme="minorEastAsia"/>
      <w:sz w:val="20"/>
      <w:szCs w:val="20"/>
      <w:shd w:val="clear" w:color="auto" w:fill="000080"/>
      <w:lang w:val="en-US" w:eastAsia="zh-CN"/>
    </w:rPr>
  </w:style>
  <w:style w:type="paragraph" w:styleId="E-mailSignature">
    <w:name w:val="E-mail Signature"/>
    <w:basedOn w:val="Normal"/>
    <w:link w:val="E-mailSignatureChar"/>
    <w:qFormat/>
    <w:rsid w:val="007B6FBE"/>
    <w:pPr>
      <w:spacing w:after="0" w:line="240" w:lineRule="auto"/>
    </w:pPr>
    <w:rPr>
      <w:rFonts w:eastAsiaTheme="minorEastAsia"/>
      <w:sz w:val="20"/>
      <w:szCs w:val="20"/>
      <w:lang w:val="en-US" w:eastAsia="zh-CN"/>
    </w:rPr>
  </w:style>
  <w:style w:type="character" w:customStyle="1" w:styleId="E-mailSignatureChar">
    <w:name w:val="E-mail Signature Char"/>
    <w:basedOn w:val="DefaultParagraphFont"/>
    <w:link w:val="E-mailSignature"/>
    <w:rsid w:val="007B6FBE"/>
    <w:rPr>
      <w:rFonts w:eastAsiaTheme="minorEastAsia"/>
      <w:sz w:val="20"/>
      <w:szCs w:val="20"/>
      <w:lang w:val="en-US" w:eastAsia="zh-CN"/>
    </w:rPr>
  </w:style>
  <w:style w:type="paragraph" w:styleId="EnvelopeAddress">
    <w:name w:val="envelope address"/>
    <w:basedOn w:val="Normal"/>
    <w:qFormat/>
    <w:rsid w:val="007B6FBE"/>
    <w:pPr>
      <w:framePr w:w="7920" w:h="1980" w:hRule="exact" w:hSpace="180" w:wrap="auto" w:hAnchor="page" w:xAlign="center" w:yAlign="bottom"/>
      <w:snapToGrid w:val="0"/>
      <w:spacing w:after="0" w:line="240" w:lineRule="auto"/>
      <w:ind w:leftChars="1400" w:left="100"/>
    </w:pPr>
    <w:rPr>
      <w:rFonts w:ascii="Arial" w:eastAsiaTheme="minorEastAsia" w:hAnsi="Arial" w:cs="Arial"/>
      <w:sz w:val="24"/>
      <w:szCs w:val="24"/>
      <w:lang w:val="en-US" w:eastAsia="zh-CN"/>
    </w:rPr>
  </w:style>
  <w:style w:type="paragraph" w:styleId="EnvelopeReturn">
    <w:name w:val="envelope return"/>
    <w:basedOn w:val="Normal"/>
    <w:qFormat/>
    <w:rsid w:val="007B6FBE"/>
    <w:pPr>
      <w:snapToGrid w:val="0"/>
      <w:spacing w:after="0" w:line="240" w:lineRule="auto"/>
    </w:pPr>
    <w:rPr>
      <w:rFonts w:ascii="Arial" w:eastAsiaTheme="minorEastAsia" w:hAnsi="Arial" w:cs="Arial"/>
      <w:sz w:val="20"/>
      <w:szCs w:val="20"/>
      <w:lang w:val="en-US" w:eastAsia="zh-CN"/>
    </w:rPr>
  </w:style>
  <w:style w:type="character" w:styleId="FollowedHyperlink">
    <w:name w:val="FollowedHyperlink"/>
    <w:basedOn w:val="DefaultParagraphFont"/>
    <w:uiPriority w:val="99"/>
    <w:qFormat/>
    <w:rsid w:val="007B6FBE"/>
    <w:rPr>
      <w:color w:val="800080"/>
      <w:u w:val="single"/>
    </w:rPr>
  </w:style>
  <w:style w:type="character" w:styleId="HTMLAcronym">
    <w:name w:val="HTML Acronym"/>
    <w:basedOn w:val="DefaultParagraphFont"/>
    <w:qFormat/>
    <w:rsid w:val="007B6FBE"/>
  </w:style>
  <w:style w:type="character" w:styleId="HTMLCode">
    <w:name w:val="HTML Code"/>
    <w:basedOn w:val="DefaultParagraphFont"/>
    <w:qFormat/>
    <w:rsid w:val="007B6FBE"/>
    <w:rPr>
      <w:rFonts w:ascii="Courier New" w:hAnsi="Courier New" w:cs="Courier New"/>
      <w:sz w:val="20"/>
      <w:szCs w:val="20"/>
    </w:rPr>
  </w:style>
  <w:style w:type="character" w:styleId="HTMLDefinition">
    <w:name w:val="HTML Definition"/>
    <w:basedOn w:val="DefaultParagraphFont"/>
    <w:qFormat/>
    <w:rsid w:val="007B6FBE"/>
    <w:rPr>
      <w:i/>
      <w:iCs/>
    </w:rPr>
  </w:style>
  <w:style w:type="character" w:styleId="HTMLKeyboard">
    <w:name w:val="HTML Keyboard"/>
    <w:basedOn w:val="DefaultParagraphFont"/>
    <w:qFormat/>
    <w:rsid w:val="007B6FBE"/>
    <w:rPr>
      <w:rFonts w:ascii="Courier New" w:hAnsi="Courier New" w:cs="Courier New"/>
      <w:sz w:val="20"/>
      <w:szCs w:val="20"/>
    </w:rPr>
  </w:style>
  <w:style w:type="character" w:styleId="HTMLSample">
    <w:name w:val="HTML Sample"/>
    <w:basedOn w:val="DefaultParagraphFont"/>
    <w:qFormat/>
    <w:rsid w:val="007B6FBE"/>
    <w:rPr>
      <w:rFonts w:ascii="Courier New" w:hAnsi="Courier New" w:cs="Courier New"/>
    </w:rPr>
  </w:style>
  <w:style w:type="character" w:styleId="HTMLTypewriter">
    <w:name w:val="HTML Typewriter"/>
    <w:basedOn w:val="DefaultParagraphFont"/>
    <w:qFormat/>
    <w:rsid w:val="007B6FBE"/>
    <w:rPr>
      <w:rFonts w:ascii="Courier New" w:hAnsi="Courier New" w:cs="Courier New"/>
      <w:sz w:val="20"/>
      <w:szCs w:val="20"/>
    </w:rPr>
  </w:style>
  <w:style w:type="character" w:styleId="HTMLVariable">
    <w:name w:val="HTML Variable"/>
    <w:basedOn w:val="DefaultParagraphFont"/>
    <w:qFormat/>
    <w:rsid w:val="007B6FBE"/>
    <w:rPr>
      <w:i/>
      <w:iCs/>
    </w:rPr>
  </w:style>
  <w:style w:type="paragraph" w:styleId="Index1">
    <w:name w:val="index 1"/>
    <w:basedOn w:val="Normal"/>
    <w:next w:val="Normal"/>
    <w:qFormat/>
    <w:rsid w:val="007B6FBE"/>
    <w:pPr>
      <w:spacing w:after="0" w:line="240" w:lineRule="auto"/>
    </w:pPr>
    <w:rPr>
      <w:rFonts w:eastAsiaTheme="minorEastAsia"/>
      <w:sz w:val="20"/>
      <w:szCs w:val="20"/>
      <w:lang w:val="en-US" w:eastAsia="zh-CN"/>
    </w:rPr>
  </w:style>
  <w:style w:type="paragraph" w:styleId="Index2">
    <w:name w:val="index 2"/>
    <w:basedOn w:val="Normal"/>
    <w:next w:val="Normal"/>
    <w:qFormat/>
    <w:rsid w:val="007B6FBE"/>
    <w:pPr>
      <w:spacing w:after="0" w:line="240" w:lineRule="auto"/>
      <w:ind w:leftChars="200" w:left="200"/>
    </w:pPr>
    <w:rPr>
      <w:rFonts w:eastAsiaTheme="minorEastAsia"/>
      <w:sz w:val="20"/>
      <w:szCs w:val="20"/>
      <w:lang w:val="en-US" w:eastAsia="zh-CN"/>
    </w:rPr>
  </w:style>
  <w:style w:type="paragraph" w:styleId="Index3">
    <w:name w:val="index 3"/>
    <w:basedOn w:val="Normal"/>
    <w:next w:val="Normal"/>
    <w:qFormat/>
    <w:rsid w:val="007B6FBE"/>
    <w:pPr>
      <w:spacing w:after="0" w:line="240" w:lineRule="auto"/>
      <w:ind w:leftChars="400" w:left="400"/>
    </w:pPr>
    <w:rPr>
      <w:rFonts w:eastAsiaTheme="minorEastAsia"/>
      <w:sz w:val="20"/>
      <w:szCs w:val="20"/>
      <w:lang w:val="en-US" w:eastAsia="zh-CN"/>
    </w:rPr>
  </w:style>
  <w:style w:type="paragraph" w:styleId="Index4">
    <w:name w:val="index 4"/>
    <w:basedOn w:val="Normal"/>
    <w:next w:val="Normal"/>
    <w:qFormat/>
    <w:rsid w:val="007B6FBE"/>
    <w:pPr>
      <w:spacing w:after="0" w:line="240" w:lineRule="auto"/>
      <w:ind w:leftChars="600" w:left="600"/>
    </w:pPr>
    <w:rPr>
      <w:rFonts w:eastAsiaTheme="minorEastAsia"/>
      <w:sz w:val="20"/>
      <w:szCs w:val="20"/>
      <w:lang w:val="en-US" w:eastAsia="zh-CN"/>
    </w:rPr>
  </w:style>
  <w:style w:type="paragraph" w:styleId="Index5">
    <w:name w:val="index 5"/>
    <w:basedOn w:val="Normal"/>
    <w:next w:val="Normal"/>
    <w:qFormat/>
    <w:rsid w:val="007B6FBE"/>
    <w:pPr>
      <w:spacing w:after="0" w:line="240" w:lineRule="auto"/>
      <w:ind w:leftChars="800" w:left="800"/>
    </w:pPr>
    <w:rPr>
      <w:rFonts w:eastAsiaTheme="minorEastAsia"/>
      <w:sz w:val="20"/>
      <w:szCs w:val="20"/>
      <w:lang w:val="en-US" w:eastAsia="zh-CN"/>
    </w:rPr>
  </w:style>
  <w:style w:type="paragraph" w:styleId="Index6">
    <w:name w:val="index 6"/>
    <w:basedOn w:val="Normal"/>
    <w:next w:val="Normal"/>
    <w:qFormat/>
    <w:rsid w:val="007B6FBE"/>
    <w:pPr>
      <w:spacing w:after="0" w:line="240" w:lineRule="auto"/>
      <w:ind w:leftChars="1000" w:left="1000"/>
    </w:pPr>
    <w:rPr>
      <w:rFonts w:eastAsiaTheme="minorEastAsia"/>
      <w:sz w:val="20"/>
      <w:szCs w:val="20"/>
      <w:lang w:val="en-US" w:eastAsia="zh-CN"/>
    </w:rPr>
  </w:style>
  <w:style w:type="paragraph" w:styleId="Index7">
    <w:name w:val="index 7"/>
    <w:basedOn w:val="Normal"/>
    <w:next w:val="Normal"/>
    <w:qFormat/>
    <w:rsid w:val="007B6FBE"/>
    <w:pPr>
      <w:spacing w:after="0" w:line="240" w:lineRule="auto"/>
      <w:ind w:leftChars="1200" w:left="1200"/>
    </w:pPr>
    <w:rPr>
      <w:rFonts w:eastAsiaTheme="minorEastAsia"/>
      <w:sz w:val="20"/>
      <w:szCs w:val="20"/>
      <w:lang w:val="en-US" w:eastAsia="zh-CN"/>
    </w:rPr>
  </w:style>
  <w:style w:type="paragraph" w:styleId="Index8">
    <w:name w:val="index 8"/>
    <w:basedOn w:val="Normal"/>
    <w:next w:val="Normal"/>
    <w:qFormat/>
    <w:rsid w:val="007B6FBE"/>
    <w:pPr>
      <w:spacing w:after="0" w:line="240" w:lineRule="auto"/>
      <w:ind w:leftChars="1400" w:left="1400"/>
    </w:pPr>
    <w:rPr>
      <w:rFonts w:eastAsiaTheme="minorEastAsia"/>
      <w:sz w:val="20"/>
      <w:szCs w:val="20"/>
      <w:lang w:val="en-US" w:eastAsia="zh-CN"/>
    </w:rPr>
  </w:style>
  <w:style w:type="paragraph" w:styleId="Index9">
    <w:name w:val="index 9"/>
    <w:basedOn w:val="Normal"/>
    <w:next w:val="Normal"/>
    <w:qFormat/>
    <w:rsid w:val="007B6FBE"/>
    <w:pPr>
      <w:spacing w:after="0" w:line="240" w:lineRule="auto"/>
      <w:ind w:leftChars="1600" w:left="1600"/>
    </w:pPr>
    <w:rPr>
      <w:rFonts w:eastAsiaTheme="minorEastAsia"/>
      <w:sz w:val="20"/>
      <w:szCs w:val="20"/>
      <w:lang w:val="en-US" w:eastAsia="zh-CN"/>
    </w:rPr>
  </w:style>
  <w:style w:type="paragraph" w:styleId="IndexHeading">
    <w:name w:val="index heading"/>
    <w:basedOn w:val="Normal"/>
    <w:next w:val="Index1"/>
    <w:qFormat/>
    <w:rsid w:val="007B6FBE"/>
    <w:pPr>
      <w:spacing w:after="0" w:line="240" w:lineRule="auto"/>
    </w:pPr>
    <w:rPr>
      <w:rFonts w:ascii="Arial" w:eastAsiaTheme="minorEastAsia" w:hAnsi="Arial" w:cs="Arial"/>
      <w:b/>
      <w:bCs/>
      <w:sz w:val="20"/>
      <w:szCs w:val="20"/>
      <w:lang w:val="en-US" w:eastAsia="zh-CN"/>
    </w:rPr>
  </w:style>
  <w:style w:type="character" w:styleId="LineNumber">
    <w:name w:val="line number"/>
    <w:basedOn w:val="DefaultParagraphFont"/>
    <w:qFormat/>
    <w:rsid w:val="007B6FBE"/>
  </w:style>
  <w:style w:type="paragraph" w:styleId="List">
    <w:name w:val="List"/>
    <w:basedOn w:val="Normal"/>
    <w:qFormat/>
    <w:rsid w:val="007B6FBE"/>
    <w:pPr>
      <w:spacing w:after="0" w:line="240" w:lineRule="auto"/>
      <w:ind w:left="200" w:hangingChars="200" w:hanging="200"/>
    </w:pPr>
    <w:rPr>
      <w:rFonts w:eastAsiaTheme="minorEastAsia"/>
      <w:sz w:val="20"/>
      <w:szCs w:val="20"/>
      <w:lang w:val="en-US" w:eastAsia="zh-CN"/>
    </w:rPr>
  </w:style>
  <w:style w:type="paragraph" w:styleId="List2">
    <w:name w:val="List 2"/>
    <w:basedOn w:val="Normal"/>
    <w:qFormat/>
    <w:rsid w:val="007B6FBE"/>
    <w:pPr>
      <w:spacing w:after="0" w:line="240" w:lineRule="auto"/>
      <w:ind w:leftChars="200" w:left="100" w:hangingChars="200" w:hanging="200"/>
    </w:pPr>
    <w:rPr>
      <w:rFonts w:eastAsiaTheme="minorEastAsia"/>
      <w:sz w:val="20"/>
      <w:szCs w:val="20"/>
      <w:lang w:val="en-US" w:eastAsia="zh-CN"/>
    </w:rPr>
  </w:style>
  <w:style w:type="paragraph" w:styleId="List3">
    <w:name w:val="List 3"/>
    <w:basedOn w:val="Normal"/>
    <w:qFormat/>
    <w:rsid w:val="007B6FBE"/>
    <w:pPr>
      <w:spacing w:after="0" w:line="240" w:lineRule="auto"/>
      <w:ind w:leftChars="400" w:left="100" w:hangingChars="200" w:hanging="200"/>
    </w:pPr>
    <w:rPr>
      <w:rFonts w:eastAsiaTheme="minorEastAsia"/>
      <w:sz w:val="20"/>
      <w:szCs w:val="20"/>
      <w:lang w:val="en-US" w:eastAsia="zh-CN"/>
    </w:rPr>
  </w:style>
  <w:style w:type="paragraph" w:styleId="List4">
    <w:name w:val="List 4"/>
    <w:basedOn w:val="Normal"/>
    <w:qFormat/>
    <w:rsid w:val="007B6FBE"/>
    <w:pPr>
      <w:spacing w:after="0" w:line="240" w:lineRule="auto"/>
      <w:ind w:leftChars="600" w:left="100" w:hangingChars="200" w:hanging="200"/>
    </w:pPr>
    <w:rPr>
      <w:rFonts w:eastAsiaTheme="minorEastAsia"/>
      <w:sz w:val="20"/>
      <w:szCs w:val="20"/>
      <w:lang w:val="en-US" w:eastAsia="zh-CN"/>
    </w:rPr>
  </w:style>
  <w:style w:type="paragraph" w:styleId="List5">
    <w:name w:val="List 5"/>
    <w:basedOn w:val="Normal"/>
    <w:qFormat/>
    <w:rsid w:val="007B6FBE"/>
    <w:pPr>
      <w:spacing w:after="0" w:line="240" w:lineRule="auto"/>
      <w:ind w:leftChars="800" w:left="100" w:hangingChars="200" w:hanging="200"/>
    </w:pPr>
    <w:rPr>
      <w:rFonts w:eastAsiaTheme="minorEastAsia"/>
      <w:sz w:val="20"/>
      <w:szCs w:val="20"/>
      <w:lang w:val="en-US" w:eastAsia="zh-CN"/>
    </w:rPr>
  </w:style>
  <w:style w:type="paragraph" w:styleId="ListBullet">
    <w:name w:val="List Bullet"/>
    <w:basedOn w:val="Normal"/>
    <w:qFormat/>
    <w:rsid w:val="007B6FBE"/>
    <w:pPr>
      <w:numPr>
        <w:numId w:val="2"/>
      </w:numPr>
      <w:spacing w:after="0" w:line="240" w:lineRule="auto"/>
    </w:pPr>
    <w:rPr>
      <w:rFonts w:eastAsiaTheme="minorEastAsia"/>
      <w:sz w:val="20"/>
      <w:szCs w:val="20"/>
      <w:lang w:val="en-US" w:eastAsia="zh-CN"/>
    </w:rPr>
  </w:style>
  <w:style w:type="paragraph" w:styleId="ListBullet2">
    <w:name w:val="List Bullet 2"/>
    <w:basedOn w:val="Normal"/>
    <w:qFormat/>
    <w:rsid w:val="007B6FBE"/>
    <w:pPr>
      <w:numPr>
        <w:numId w:val="3"/>
      </w:numPr>
      <w:spacing w:after="0" w:line="240" w:lineRule="auto"/>
    </w:pPr>
    <w:rPr>
      <w:rFonts w:eastAsiaTheme="minorEastAsia"/>
      <w:sz w:val="20"/>
      <w:szCs w:val="20"/>
      <w:lang w:val="en-US" w:eastAsia="zh-CN"/>
    </w:rPr>
  </w:style>
  <w:style w:type="paragraph" w:styleId="ListBullet3">
    <w:name w:val="List Bullet 3"/>
    <w:basedOn w:val="Normal"/>
    <w:qFormat/>
    <w:rsid w:val="007B6FBE"/>
    <w:pPr>
      <w:numPr>
        <w:numId w:val="4"/>
      </w:numPr>
      <w:spacing w:after="0" w:line="240" w:lineRule="auto"/>
    </w:pPr>
    <w:rPr>
      <w:rFonts w:eastAsiaTheme="minorEastAsia"/>
      <w:sz w:val="20"/>
      <w:szCs w:val="20"/>
      <w:lang w:val="en-US" w:eastAsia="zh-CN"/>
    </w:rPr>
  </w:style>
  <w:style w:type="paragraph" w:styleId="ListBullet4">
    <w:name w:val="List Bullet 4"/>
    <w:basedOn w:val="Normal"/>
    <w:qFormat/>
    <w:rsid w:val="007B6FBE"/>
    <w:pPr>
      <w:numPr>
        <w:numId w:val="5"/>
      </w:numPr>
      <w:spacing w:after="0" w:line="240" w:lineRule="auto"/>
    </w:pPr>
    <w:rPr>
      <w:rFonts w:eastAsiaTheme="minorEastAsia"/>
      <w:sz w:val="20"/>
      <w:szCs w:val="20"/>
      <w:lang w:val="en-US" w:eastAsia="zh-CN"/>
    </w:rPr>
  </w:style>
  <w:style w:type="paragraph" w:styleId="ListBullet5">
    <w:name w:val="List Bullet 5"/>
    <w:basedOn w:val="Normal"/>
    <w:qFormat/>
    <w:rsid w:val="007B6FBE"/>
    <w:pPr>
      <w:numPr>
        <w:numId w:val="6"/>
      </w:numPr>
      <w:spacing w:after="0" w:line="240" w:lineRule="auto"/>
    </w:pPr>
    <w:rPr>
      <w:rFonts w:eastAsiaTheme="minorEastAsia"/>
      <w:sz w:val="20"/>
      <w:szCs w:val="20"/>
      <w:lang w:val="en-US" w:eastAsia="zh-CN"/>
    </w:rPr>
  </w:style>
  <w:style w:type="paragraph" w:styleId="ListContinue">
    <w:name w:val="List Continue"/>
    <w:basedOn w:val="Normal"/>
    <w:qFormat/>
    <w:rsid w:val="007B6FBE"/>
    <w:pPr>
      <w:spacing w:after="120" w:line="240" w:lineRule="auto"/>
      <w:ind w:leftChars="200" w:left="420"/>
    </w:pPr>
    <w:rPr>
      <w:rFonts w:eastAsiaTheme="minorEastAsia"/>
      <w:sz w:val="20"/>
      <w:szCs w:val="20"/>
      <w:lang w:val="en-US" w:eastAsia="zh-CN"/>
    </w:rPr>
  </w:style>
  <w:style w:type="paragraph" w:styleId="ListContinue2">
    <w:name w:val="List Continue 2"/>
    <w:basedOn w:val="Normal"/>
    <w:qFormat/>
    <w:rsid w:val="007B6FBE"/>
    <w:pPr>
      <w:spacing w:after="120" w:line="240" w:lineRule="auto"/>
      <w:ind w:leftChars="400" w:left="840"/>
    </w:pPr>
    <w:rPr>
      <w:rFonts w:eastAsiaTheme="minorEastAsia"/>
      <w:sz w:val="20"/>
      <w:szCs w:val="20"/>
      <w:lang w:val="en-US" w:eastAsia="zh-CN"/>
    </w:rPr>
  </w:style>
  <w:style w:type="paragraph" w:styleId="ListContinue3">
    <w:name w:val="List Continue 3"/>
    <w:basedOn w:val="Normal"/>
    <w:qFormat/>
    <w:rsid w:val="007B6FBE"/>
    <w:pPr>
      <w:spacing w:after="120" w:line="240" w:lineRule="auto"/>
      <w:ind w:leftChars="600" w:left="1260"/>
    </w:pPr>
    <w:rPr>
      <w:rFonts w:eastAsiaTheme="minorEastAsia"/>
      <w:sz w:val="20"/>
      <w:szCs w:val="20"/>
      <w:lang w:val="en-US" w:eastAsia="zh-CN"/>
    </w:rPr>
  </w:style>
  <w:style w:type="paragraph" w:styleId="ListContinue4">
    <w:name w:val="List Continue 4"/>
    <w:basedOn w:val="Normal"/>
    <w:qFormat/>
    <w:rsid w:val="007B6FBE"/>
    <w:pPr>
      <w:spacing w:after="120" w:line="240" w:lineRule="auto"/>
      <w:ind w:leftChars="800" w:left="1680"/>
    </w:pPr>
    <w:rPr>
      <w:rFonts w:eastAsiaTheme="minorEastAsia"/>
      <w:sz w:val="20"/>
      <w:szCs w:val="20"/>
      <w:lang w:val="en-US" w:eastAsia="zh-CN"/>
    </w:rPr>
  </w:style>
  <w:style w:type="paragraph" w:styleId="ListContinue5">
    <w:name w:val="List Continue 5"/>
    <w:basedOn w:val="Normal"/>
    <w:qFormat/>
    <w:rsid w:val="007B6FBE"/>
    <w:pPr>
      <w:spacing w:after="120" w:line="240" w:lineRule="auto"/>
      <w:ind w:leftChars="1000" w:left="2100"/>
    </w:pPr>
    <w:rPr>
      <w:rFonts w:eastAsiaTheme="minorEastAsia"/>
      <w:sz w:val="20"/>
      <w:szCs w:val="20"/>
      <w:lang w:val="en-US" w:eastAsia="zh-CN"/>
    </w:rPr>
  </w:style>
  <w:style w:type="paragraph" w:styleId="ListNumber">
    <w:name w:val="List Number"/>
    <w:basedOn w:val="Normal"/>
    <w:qFormat/>
    <w:rsid w:val="007B6FBE"/>
    <w:pPr>
      <w:numPr>
        <w:numId w:val="7"/>
      </w:numPr>
      <w:spacing w:after="0" w:line="240" w:lineRule="auto"/>
    </w:pPr>
    <w:rPr>
      <w:rFonts w:eastAsiaTheme="minorEastAsia"/>
      <w:sz w:val="20"/>
      <w:szCs w:val="20"/>
      <w:lang w:val="en-US" w:eastAsia="zh-CN"/>
    </w:rPr>
  </w:style>
  <w:style w:type="paragraph" w:styleId="ListNumber2">
    <w:name w:val="List Number 2"/>
    <w:basedOn w:val="Normal"/>
    <w:qFormat/>
    <w:rsid w:val="007B6FBE"/>
    <w:pPr>
      <w:numPr>
        <w:numId w:val="8"/>
      </w:numPr>
      <w:spacing w:after="0" w:line="240" w:lineRule="auto"/>
    </w:pPr>
    <w:rPr>
      <w:rFonts w:eastAsiaTheme="minorEastAsia"/>
      <w:sz w:val="20"/>
      <w:szCs w:val="20"/>
      <w:lang w:val="en-US" w:eastAsia="zh-CN"/>
    </w:rPr>
  </w:style>
  <w:style w:type="paragraph" w:styleId="ListNumber3">
    <w:name w:val="List Number 3"/>
    <w:basedOn w:val="Normal"/>
    <w:qFormat/>
    <w:rsid w:val="007B6FBE"/>
    <w:pPr>
      <w:numPr>
        <w:numId w:val="9"/>
      </w:numPr>
      <w:spacing w:after="0" w:line="240" w:lineRule="auto"/>
    </w:pPr>
    <w:rPr>
      <w:rFonts w:eastAsiaTheme="minorEastAsia"/>
      <w:sz w:val="20"/>
      <w:szCs w:val="20"/>
      <w:lang w:val="en-US" w:eastAsia="zh-CN"/>
    </w:rPr>
  </w:style>
  <w:style w:type="paragraph" w:styleId="ListNumber4">
    <w:name w:val="List Number 4"/>
    <w:basedOn w:val="Normal"/>
    <w:qFormat/>
    <w:rsid w:val="007B6FBE"/>
    <w:pPr>
      <w:numPr>
        <w:numId w:val="10"/>
      </w:numPr>
      <w:spacing w:after="0" w:line="240" w:lineRule="auto"/>
    </w:pPr>
    <w:rPr>
      <w:rFonts w:eastAsiaTheme="minorEastAsia"/>
      <w:sz w:val="20"/>
      <w:szCs w:val="20"/>
      <w:lang w:val="en-US" w:eastAsia="zh-CN"/>
    </w:rPr>
  </w:style>
  <w:style w:type="paragraph" w:styleId="ListNumber5">
    <w:name w:val="List Number 5"/>
    <w:basedOn w:val="Normal"/>
    <w:qFormat/>
    <w:rsid w:val="007B6FBE"/>
    <w:pPr>
      <w:numPr>
        <w:numId w:val="11"/>
      </w:numPr>
      <w:spacing w:after="0" w:line="240" w:lineRule="auto"/>
    </w:pPr>
    <w:rPr>
      <w:rFonts w:eastAsiaTheme="minorEastAsia"/>
      <w:sz w:val="20"/>
      <w:szCs w:val="20"/>
      <w:lang w:val="en-US" w:eastAsia="zh-CN"/>
    </w:rPr>
  </w:style>
  <w:style w:type="paragraph" w:styleId="MacroText">
    <w:name w:val="macro"/>
    <w:link w:val="MacroTextChar"/>
    <w:qFormat/>
    <w:rsid w:val="007B6FBE"/>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0" w:line="240" w:lineRule="auto"/>
    </w:pPr>
    <w:rPr>
      <w:rFonts w:ascii="Courier New" w:eastAsiaTheme="minorEastAsia" w:hAnsi="Courier New" w:cs="Courier New"/>
      <w:kern w:val="2"/>
      <w:sz w:val="24"/>
      <w:szCs w:val="24"/>
      <w:lang w:val="en-US" w:eastAsia="zh-CN"/>
    </w:rPr>
  </w:style>
  <w:style w:type="character" w:customStyle="1" w:styleId="MacroTextChar">
    <w:name w:val="Macro Text Char"/>
    <w:basedOn w:val="DefaultParagraphFont"/>
    <w:link w:val="MacroText"/>
    <w:rsid w:val="007B6FBE"/>
    <w:rPr>
      <w:rFonts w:ascii="Courier New" w:eastAsiaTheme="minorEastAsia" w:hAnsi="Courier New" w:cs="Courier New"/>
      <w:kern w:val="2"/>
      <w:sz w:val="24"/>
      <w:szCs w:val="24"/>
      <w:lang w:val="en-US" w:eastAsia="zh-CN"/>
    </w:rPr>
  </w:style>
  <w:style w:type="paragraph" w:styleId="MessageHeader">
    <w:name w:val="Message Header"/>
    <w:basedOn w:val="Normal"/>
    <w:link w:val="MessageHeaderChar"/>
    <w:qFormat/>
    <w:rsid w:val="007B6FBE"/>
    <w:pPr>
      <w:pBdr>
        <w:top w:val="single" w:sz="6" w:space="1" w:color="auto"/>
        <w:left w:val="single" w:sz="6" w:space="1" w:color="auto"/>
        <w:bottom w:val="single" w:sz="6" w:space="1" w:color="auto"/>
        <w:right w:val="single" w:sz="6" w:space="1" w:color="auto"/>
      </w:pBdr>
      <w:shd w:val="pct20" w:color="auto" w:fill="auto"/>
      <w:spacing w:after="0" w:line="240" w:lineRule="auto"/>
      <w:ind w:leftChars="500" w:left="1080" w:hangingChars="500" w:hanging="1080"/>
    </w:pPr>
    <w:rPr>
      <w:rFonts w:ascii="Arial" w:eastAsiaTheme="minorEastAsia" w:hAnsi="Arial" w:cs="Arial"/>
      <w:sz w:val="24"/>
      <w:szCs w:val="24"/>
      <w:lang w:val="en-US" w:eastAsia="zh-CN"/>
    </w:rPr>
  </w:style>
  <w:style w:type="character" w:customStyle="1" w:styleId="MessageHeaderChar">
    <w:name w:val="Message Header Char"/>
    <w:basedOn w:val="DefaultParagraphFont"/>
    <w:link w:val="MessageHeader"/>
    <w:rsid w:val="007B6FBE"/>
    <w:rPr>
      <w:rFonts w:ascii="Arial" w:eastAsiaTheme="minorEastAsia" w:hAnsi="Arial" w:cs="Arial"/>
      <w:sz w:val="24"/>
      <w:szCs w:val="24"/>
      <w:shd w:val="pct20" w:color="auto" w:fill="auto"/>
      <w:lang w:val="en-US" w:eastAsia="zh-CN"/>
    </w:rPr>
  </w:style>
  <w:style w:type="paragraph" w:styleId="NormalIndent">
    <w:name w:val="Normal Indent"/>
    <w:basedOn w:val="Normal"/>
    <w:qFormat/>
    <w:rsid w:val="007B6FBE"/>
    <w:pPr>
      <w:spacing w:after="0" w:line="240" w:lineRule="auto"/>
      <w:ind w:firstLineChars="200" w:firstLine="420"/>
    </w:pPr>
    <w:rPr>
      <w:rFonts w:eastAsiaTheme="minorEastAsia"/>
      <w:sz w:val="20"/>
      <w:szCs w:val="20"/>
      <w:lang w:val="en-US" w:eastAsia="zh-CN"/>
    </w:rPr>
  </w:style>
  <w:style w:type="paragraph" w:styleId="NoteHeading">
    <w:name w:val="Note Heading"/>
    <w:basedOn w:val="Normal"/>
    <w:next w:val="Normal"/>
    <w:link w:val="NoteHeadingChar"/>
    <w:qFormat/>
    <w:rsid w:val="007B6FBE"/>
    <w:pPr>
      <w:spacing w:after="0" w:line="240" w:lineRule="auto"/>
      <w:jc w:val="center"/>
    </w:pPr>
    <w:rPr>
      <w:rFonts w:eastAsiaTheme="minorEastAsia"/>
      <w:sz w:val="20"/>
      <w:szCs w:val="20"/>
      <w:lang w:val="en-US" w:eastAsia="zh-CN"/>
    </w:rPr>
  </w:style>
  <w:style w:type="character" w:customStyle="1" w:styleId="NoteHeadingChar">
    <w:name w:val="Note Heading Char"/>
    <w:basedOn w:val="DefaultParagraphFont"/>
    <w:link w:val="NoteHeading"/>
    <w:rsid w:val="007B6FBE"/>
    <w:rPr>
      <w:rFonts w:eastAsiaTheme="minorEastAsia"/>
      <w:sz w:val="20"/>
      <w:szCs w:val="20"/>
      <w:lang w:val="en-US" w:eastAsia="zh-CN"/>
    </w:rPr>
  </w:style>
  <w:style w:type="paragraph" w:styleId="PlainText">
    <w:name w:val="Plain Text"/>
    <w:basedOn w:val="Normal"/>
    <w:link w:val="PlainTextChar"/>
    <w:qFormat/>
    <w:rsid w:val="007B6FBE"/>
    <w:pPr>
      <w:spacing w:after="0" w:line="240" w:lineRule="auto"/>
    </w:pPr>
    <w:rPr>
      <w:rFonts w:ascii="SimSun" w:eastAsiaTheme="minorEastAsia" w:hAnsi="Courier New" w:cs="Courier New"/>
      <w:sz w:val="20"/>
      <w:szCs w:val="21"/>
      <w:lang w:val="en-US" w:eastAsia="zh-CN"/>
    </w:rPr>
  </w:style>
  <w:style w:type="character" w:customStyle="1" w:styleId="PlainTextChar">
    <w:name w:val="Plain Text Char"/>
    <w:basedOn w:val="DefaultParagraphFont"/>
    <w:link w:val="PlainText"/>
    <w:rsid w:val="007B6FBE"/>
    <w:rPr>
      <w:rFonts w:ascii="SimSun" w:eastAsiaTheme="minorEastAsia" w:hAnsi="Courier New" w:cs="Courier New"/>
      <w:sz w:val="20"/>
      <w:szCs w:val="21"/>
      <w:lang w:val="en-US" w:eastAsia="zh-CN"/>
    </w:rPr>
  </w:style>
  <w:style w:type="paragraph" w:styleId="Salutation">
    <w:name w:val="Salutation"/>
    <w:basedOn w:val="Normal"/>
    <w:next w:val="Normal"/>
    <w:link w:val="SalutationChar"/>
    <w:qFormat/>
    <w:rsid w:val="007B6FBE"/>
    <w:pPr>
      <w:spacing w:after="0" w:line="240" w:lineRule="auto"/>
    </w:pPr>
    <w:rPr>
      <w:rFonts w:eastAsiaTheme="minorEastAsia"/>
      <w:sz w:val="20"/>
      <w:szCs w:val="20"/>
      <w:lang w:val="en-US" w:eastAsia="zh-CN"/>
    </w:rPr>
  </w:style>
  <w:style w:type="character" w:customStyle="1" w:styleId="SalutationChar">
    <w:name w:val="Salutation Char"/>
    <w:basedOn w:val="DefaultParagraphFont"/>
    <w:link w:val="Salutation"/>
    <w:rsid w:val="007B6FBE"/>
    <w:rPr>
      <w:rFonts w:eastAsiaTheme="minorEastAsia"/>
      <w:sz w:val="20"/>
      <w:szCs w:val="20"/>
      <w:lang w:val="en-US" w:eastAsia="zh-CN"/>
    </w:rPr>
  </w:style>
  <w:style w:type="paragraph" w:styleId="Signature">
    <w:name w:val="Signature"/>
    <w:basedOn w:val="Normal"/>
    <w:link w:val="SignatureChar"/>
    <w:qFormat/>
    <w:rsid w:val="007B6FBE"/>
    <w:pPr>
      <w:spacing w:after="0" w:line="240" w:lineRule="auto"/>
      <w:ind w:leftChars="2100" w:left="100"/>
    </w:pPr>
    <w:rPr>
      <w:rFonts w:eastAsiaTheme="minorEastAsia"/>
      <w:sz w:val="20"/>
      <w:szCs w:val="20"/>
      <w:lang w:val="en-US" w:eastAsia="zh-CN"/>
    </w:rPr>
  </w:style>
  <w:style w:type="character" w:customStyle="1" w:styleId="SignatureChar">
    <w:name w:val="Signature Char"/>
    <w:basedOn w:val="DefaultParagraphFont"/>
    <w:link w:val="Signature"/>
    <w:rsid w:val="007B6FBE"/>
    <w:rPr>
      <w:rFonts w:eastAsiaTheme="minorEastAsia"/>
      <w:sz w:val="20"/>
      <w:szCs w:val="20"/>
      <w:lang w:val="en-US" w:eastAsia="zh-CN"/>
    </w:rPr>
  </w:style>
  <w:style w:type="paragraph" w:styleId="Subtitle">
    <w:name w:val="Subtitle"/>
    <w:basedOn w:val="Normal"/>
    <w:link w:val="SubtitleChar"/>
    <w:uiPriority w:val="11"/>
    <w:qFormat/>
    <w:rsid w:val="007B6FBE"/>
    <w:pPr>
      <w:spacing w:before="240" w:after="60" w:line="312" w:lineRule="auto"/>
      <w:jc w:val="center"/>
      <w:outlineLvl w:val="1"/>
    </w:pPr>
    <w:rPr>
      <w:rFonts w:ascii="Arial" w:eastAsiaTheme="minorEastAsia" w:hAnsi="Arial" w:cs="Arial"/>
      <w:b/>
      <w:bCs/>
      <w:kern w:val="28"/>
      <w:sz w:val="32"/>
      <w:szCs w:val="32"/>
      <w:lang w:val="en-US" w:eastAsia="zh-CN"/>
    </w:rPr>
  </w:style>
  <w:style w:type="character" w:customStyle="1" w:styleId="SubtitleChar">
    <w:name w:val="Subtitle Char"/>
    <w:basedOn w:val="DefaultParagraphFont"/>
    <w:link w:val="Subtitle"/>
    <w:uiPriority w:val="11"/>
    <w:rsid w:val="007B6FBE"/>
    <w:rPr>
      <w:rFonts w:ascii="Arial" w:eastAsiaTheme="minorEastAsia" w:hAnsi="Arial" w:cs="Arial"/>
      <w:b/>
      <w:bCs/>
      <w:kern w:val="28"/>
      <w:sz w:val="32"/>
      <w:szCs w:val="32"/>
      <w:lang w:val="en-US" w:eastAsia="zh-CN"/>
    </w:rPr>
  </w:style>
  <w:style w:type="paragraph" w:styleId="TableofAuthorities">
    <w:name w:val="table of authorities"/>
    <w:basedOn w:val="Normal"/>
    <w:next w:val="Normal"/>
    <w:qFormat/>
    <w:rsid w:val="007B6FBE"/>
    <w:pPr>
      <w:spacing w:after="0" w:line="240" w:lineRule="auto"/>
      <w:ind w:leftChars="200" w:left="420"/>
    </w:pPr>
    <w:rPr>
      <w:rFonts w:eastAsiaTheme="minorEastAsia"/>
      <w:sz w:val="20"/>
      <w:szCs w:val="20"/>
      <w:lang w:val="en-US" w:eastAsia="zh-CN"/>
    </w:rPr>
  </w:style>
  <w:style w:type="paragraph" w:styleId="TableofFigures">
    <w:name w:val="table of figures"/>
    <w:basedOn w:val="Normal"/>
    <w:next w:val="Normal"/>
    <w:qFormat/>
    <w:rsid w:val="007B6FBE"/>
    <w:pPr>
      <w:spacing w:after="0" w:line="240" w:lineRule="auto"/>
      <w:ind w:leftChars="200" w:left="200" w:hangingChars="200" w:hanging="200"/>
    </w:pPr>
    <w:rPr>
      <w:rFonts w:eastAsiaTheme="minorEastAsia"/>
      <w:sz w:val="20"/>
      <w:szCs w:val="20"/>
      <w:lang w:val="en-US" w:eastAsia="zh-CN"/>
    </w:rPr>
  </w:style>
  <w:style w:type="paragraph" w:styleId="TOAHeading">
    <w:name w:val="toa heading"/>
    <w:basedOn w:val="Normal"/>
    <w:next w:val="Normal"/>
    <w:qFormat/>
    <w:rsid w:val="007B6FBE"/>
    <w:pPr>
      <w:spacing w:before="120" w:after="0" w:line="240" w:lineRule="auto"/>
    </w:pPr>
    <w:rPr>
      <w:rFonts w:ascii="Arial" w:eastAsiaTheme="minorEastAsia" w:hAnsi="Arial" w:cs="Arial"/>
      <w:sz w:val="24"/>
      <w:szCs w:val="24"/>
      <w:lang w:val="en-US" w:eastAsia="zh-CN"/>
    </w:rPr>
  </w:style>
  <w:style w:type="paragraph" w:styleId="TOC4">
    <w:name w:val="toc 4"/>
    <w:basedOn w:val="Normal"/>
    <w:next w:val="Normal"/>
    <w:uiPriority w:val="39"/>
    <w:qFormat/>
    <w:rsid w:val="007B6FBE"/>
    <w:pPr>
      <w:spacing w:after="0" w:line="240" w:lineRule="auto"/>
      <w:ind w:leftChars="600" w:left="1260"/>
    </w:pPr>
    <w:rPr>
      <w:rFonts w:eastAsiaTheme="minorEastAsia"/>
      <w:sz w:val="20"/>
      <w:szCs w:val="20"/>
      <w:lang w:val="en-US" w:eastAsia="zh-CN"/>
    </w:rPr>
  </w:style>
  <w:style w:type="paragraph" w:styleId="TOC5">
    <w:name w:val="toc 5"/>
    <w:basedOn w:val="Normal"/>
    <w:next w:val="Normal"/>
    <w:uiPriority w:val="39"/>
    <w:qFormat/>
    <w:rsid w:val="007B6FBE"/>
    <w:pPr>
      <w:spacing w:after="0" w:line="240" w:lineRule="auto"/>
      <w:ind w:leftChars="800" w:left="1680"/>
    </w:pPr>
    <w:rPr>
      <w:rFonts w:eastAsiaTheme="minorEastAsia"/>
      <w:sz w:val="20"/>
      <w:szCs w:val="20"/>
      <w:lang w:val="en-US" w:eastAsia="zh-CN"/>
    </w:rPr>
  </w:style>
  <w:style w:type="paragraph" w:styleId="TOC6">
    <w:name w:val="toc 6"/>
    <w:basedOn w:val="Normal"/>
    <w:next w:val="Normal"/>
    <w:uiPriority w:val="39"/>
    <w:qFormat/>
    <w:rsid w:val="007B6FBE"/>
    <w:pPr>
      <w:spacing w:after="0" w:line="240" w:lineRule="auto"/>
      <w:ind w:leftChars="1000" w:left="2100"/>
    </w:pPr>
    <w:rPr>
      <w:rFonts w:eastAsiaTheme="minorEastAsia"/>
      <w:sz w:val="20"/>
      <w:szCs w:val="20"/>
      <w:lang w:val="en-US" w:eastAsia="zh-CN"/>
    </w:rPr>
  </w:style>
  <w:style w:type="paragraph" w:styleId="TOC7">
    <w:name w:val="toc 7"/>
    <w:basedOn w:val="Normal"/>
    <w:next w:val="Normal"/>
    <w:uiPriority w:val="39"/>
    <w:qFormat/>
    <w:rsid w:val="007B6FBE"/>
    <w:pPr>
      <w:spacing w:after="0" w:line="240" w:lineRule="auto"/>
      <w:ind w:leftChars="1200" w:left="2520"/>
    </w:pPr>
    <w:rPr>
      <w:rFonts w:eastAsiaTheme="minorEastAsia"/>
      <w:sz w:val="20"/>
      <w:szCs w:val="20"/>
      <w:lang w:val="en-US" w:eastAsia="zh-CN"/>
    </w:rPr>
  </w:style>
  <w:style w:type="paragraph" w:styleId="TOC8">
    <w:name w:val="toc 8"/>
    <w:basedOn w:val="Normal"/>
    <w:next w:val="Normal"/>
    <w:uiPriority w:val="39"/>
    <w:qFormat/>
    <w:rsid w:val="007B6FBE"/>
    <w:pPr>
      <w:spacing w:after="0" w:line="240" w:lineRule="auto"/>
      <w:ind w:leftChars="1400" w:left="2940"/>
    </w:pPr>
    <w:rPr>
      <w:rFonts w:eastAsiaTheme="minorEastAsia"/>
      <w:sz w:val="20"/>
      <w:szCs w:val="20"/>
      <w:lang w:val="en-US" w:eastAsia="zh-CN"/>
    </w:rPr>
  </w:style>
  <w:style w:type="paragraph" w:styleId="TOC9">
    <w:name w:val="toc 9"/>
    <w:basedOn w:val="Normal"/>
    <w:next w:val="Normal"/>
    <w:uiPriority w:val="39"/>
    <w:qFormat/>
    <w:rsid w:val="007B6FBE"/>
    <w:pPr>
      <w:spacing w:after="0" w:line="240" w:lineRule="auto"/>
      <w:ind w:leftChars="1600" w:left="3360"/>
    </w:pPr>
    <w:rPr>
      <w:rFonts w:eastAsiaTheme="minorEastAsia"/>
      <w:sz w:val="20"/>
      <w:szCs w:val="20"/>
      <w:lang w:val="en-US" w:eastAsia="zh-CN"/>
    </w:rPr>
  </w:style>
  <w:style w:type="table" w:customStyle="1" w:styleId="GridTable4-Accent41">
    <w:name w:val="Grid Table 4 - Accent 41"/>
    <w:basedOn w:val="TableNormal"/>
    <w:uiPriority w:val="49"/>
    <w:rsid w:val="00C126E1"/>
    <w:pPr>
      <w:spacing w:after="0" w:line="240" w:lineRule="auto"/>
    </w:pPr>
    <w:rPr>
      <w:rFonts w:eastAsiaTheme="minorHAnsi"/>
    </w:rPr>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ListParagraph11">
    <w:name w:val="List Paragraph11"/>
    <w:basedOn w:val="Normal"/>
    <w:uiPriority w:val="99"/>
    <w:qFormat/>
    <w:rsid w:val="00C126E1"/>
    <w:pPr>
      <w:widowControl w:val="0"/>
      <w:spacing w:line="278" w:lineRule="auto"/>
      <w:ind w:left="720"/>
      <w:contextualSpacing/>
      <w:jc w:val="both"/>
    </w:pPr>
    <w:rPr>
      <w:rFonts w:eastAsiaTheme="minorEastAsia"/>
      <w:kern w:val="2"/>
      <w:sz w:val="21"/>
      <w:szCs w:val="24"/>
      <w:lang w:val="en-US" w:eastAsia="zh-CN"/>
    </w:rPr>
  </w:style>
  <w:style w:type="character" w:customStyle="1" w:styleId="UnresolvedMention1">
    <w:name w:val="Unresolved Mention1"/>
    <w:basedOn w:val="DefaultParagraphFont"/>
    <w:uiPriority w:val="99"/>
    <w:unhideWhenUsed/>
    <w:rsid w:val="00C126E1"/>
    <w:rPr>
      <w:color w:val="605E5C"/>
      <w:shd w:val="clear" w:color="auto" w:fill="E1DFDD"/>
    </w:rPr>
  </w:style>
  <w:style w:type="paragraph" w:customStyle="1" w:styleId="p1">
    <w:name w:val="p1"/>
    <w:rsid w:val="00C126E1"/>
    <w:pPr>
      <w:spacing w:after="0" w:line="278" w:lineRule="auto"/>
    </w:pPr>
    <w:rPr>
      <w:rFonts w:ascii="Helvetica" w:eastAsia="Helvetica" w:hAnsi="Helvetica" w:cs="Times New Roman"/>
      <w:sz w:val="20"/>
      <w:szCs w:val="20"/>
      <w:lang w:val="en-US" w:eastAsia="zh-CN"/>
    </w:rPr>
  </w:style>
  <w:style w:type="paragraph" w:customStyle="1" w:styleId="p4">
    <w:name w:val="p4"/>
    <w:rsid w:val="00C126E1"/>
    <w:pPr>
      <w:spacing w:after="0" w:line="278" w:lineRule="auto"/>
    </w:pPr>
    <w:rPr>
      <w:rFonts w:ascii="Helvetica" w:eastAsia="Helvetica" w:hAnsi="Helvetica" w:cs="Times New Roman"/>
      <w:sz w:val="20"/>
      <w:szCs w:val="20"/>
      <w:lang w:val="en-US" w:eastAsia="zh-CN"/>
    </w:rPr>
  </w:style>
  <w:style w:type="paragraph" w:customStyle="1" w:styleId="p3">
    <w:name w:val="p3"/>
    <w:rsid w:val="00C126E1"/>
    <w:pPr>
      <w:spacing w:after="54" w:line="278" w:lineRule="auto"/>
    </w:pPr>
    <w:rPr>
      <w:rFonts w:ascii="Helvetica" w:eastAsia="Helvetica" w:hAnsi="Helvetica" w:cs="Times New Roman"/>
      <w:sz w:val="20"/>
      <w:szCs w:val="20"/>
      <w:lang w:val="en-US" w:eastAsia="zh-CN"/>
    </w:rPr>
  </w:style>
  <w:style w:type="paragraph" w:customStyle="1" w:styleId="p2">
    <w:name w:val="p2"/>
    <w:rsid w:val="00C126E1"/>
    <w:pPr>
      <w:spacing w:after="0" w:line="278" w:lineRule="auto"/>
    </w:pPr>
    <w:rPr>
      <w:rFonts w:ascii="Helvetica" w:eastAsia="Helvetica" w:hAnsi="Helvetica" w:cs="Times New Roman"/>
      <w:sz w:val="20"/>
      <w:szCs w:val="20"/>
      <w:lang w:val="en-US" w:eastAsia="zh-CN"/>
    </w:rPr>
  </w:style>
  <w:style w:type="paragraph" w:customStyle="1" w:styleId="ListParagraph2">
    <w:name w:val="List Paragraph2"/>
    <w:basedOn w:val="Normal"/>
    <w:uiPriority w:val="34"/>
    <w:unhideWhenUsed/>
    <w:qFormat/>
    <w:rsid w:val="00C126E1"/>
    <w:pPr>
      <w:spacing w:line="276" w:lineRule="auto"/>
      <w:ind w:left="720"/>
      <w:contextualSpacing/>
    </w:pPr>
    <w:rPr>
      <w:rFonts w:ascii="Arial" w:eastAsia="Arial" w:hAnsi="Arial" w:cs="Arial"/>
      <w:lang w:val="id" w:eastAsia="zh-CN"/>
    </w:rPr>
  </w:style>
  <w:style w:type="paragraph" w:customStyle="1" w:styleId="ImageCaption">
    <w:name w:val="Image Caption"/>
    <w:basedOn w:val="Caption"/>
    <w:rsid w:val="00C126E1"/>
    <w:pPr>
      <w:spacing w:after="120" w:line="240" w:lineRule="auto"/>
      <w:jc w:val="left"/>
    </w:pPr>
    <w:rPr>
      <w:rFonts w:asciiTheme="minorHAnsi" w:hAnsiTheme="minorHAnsi"/>
      <w:i/>
      <w:iCs w:val="0"/>
      <w:color w:val="auto"/>
      <w:kern w:val="0"/>
      <w:sz w:val="24"/>
      <w:szCs w:val="24"/>
      <w:lang w:val="en-US" w:bidi="ar-SA"/>
      <w14:ligatures w14:val="none"/>
    </w:rPr>
  </w:style>
  <w:style w:type="paragraph" w:styleId="Quote">
    <w:name w:val="Quote"/>
    <w:basedOn w:val="Normal"/>
    <w:next w:val="Normal"/>
    <w:link w:val="QuoteChar"/>
    <w:uiPriority w:val="29"/>
    <w:qFormat/>
    <w:rsid w:val="00006F7D"/>
    <w:pPr>
      <w:spacing w:before="160"/>
      <w:jc w:val="center"/>
    </w:pPr>
    <w:rPr>
      <w:rFonts w:eastAsiaTheme="minorHAnsi"/>
      <w:i/>
      <w:iCs/>
      <w:color w:val="404040" w:themeColor="text1" w:themeTint="BF"/>
      <w:kern w:val="2"/>
      <w:lang w:val="en-MY"/>
      <w14:ligatures w14:val="standardContextual"/>
    </w:rPr>
  </w:style>
  <w:style w:type="character" w:customStyle="1" w:styleId="QuoteChar">
    <w:name w:val="Quote Char"/>
    <w:basedOn w:val="DefaultParagraphFont"/>
    <w:link w:val="Quote"/>
    <w:uiPriority w:val="29"/>
    <w:rsid w:val="00006F7D"/>
    <w:rPr>
      <w:rFonts w:eastAsiaTheme="minorHAnsi"/>
      <w:i/>
      <w:iCs/>
      <w:color w:val="404040" w:themeColor="text1" w:themeTint="BF"/>
      <w:kern w:val="2"/>
      <w:lang w:val="en-MY"/>
      <w14:ligatures w14:val="standardContextual"/>
    </w:rPr>
  </w:style>
  <w:style w:type="character" w:styleId="IntenseEmphasis">
    <w:name w:val="Intense Emphasis"/>
    <w:basedOn w:val="DefaultParagraphFont"/>
    <w:uiPriority w:val="21"/>
    <w:qFormat/>
    <w:rsid w:val="00006F7D"/>
    <w:rPr>
      <w:i/>
      <w:iCs/>
      <w:color w:val="2F5496" w:themeColor="accent1" w:themeShade="BF"/>
    </w:rPr>
  </w:style>
  <w:style w:type="paragraph" w:styleId="IntenseQuote">
    <w:name w:val="Intense Quote"/>
    <w:basedOn w:val="Normal"/>
    <w:next w:val="Normal"/>
    <w:link w:val="IntenseQuoteChar"/>
    <w:uiPriority w:val="30"/>
    <w:qFormat/>
    <w:rsid w:val="00006F7D"/>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kern w:val="2"/>
      <w:lang w:val="en-MY"/>
      <w14:ligatures w14:val="standardContextual"/>
    </w:rPr>
  </w:style>
  <w:style w:type="character" w:customStyle="1" w:styleId="IntenseQuoteChar">
    <w:name w:val="Intense Quote Char"/>
    <w:basedOn w:val="DefaultParagraphFont"/>
    <w:link w:val="IntenseQuote"/>
    <w:uiPriority w:val="30"/>
    <w:rsid w:val="00006F7D"/>
    <w:rPr>
      <w:rFonts w:eastAsiaTheme="minorHAnsi"/>
      <w:i/>
      <w:iCs/>
      <w:color w:val="2F5496" w:themeColor="accent1" w:themeShade="BF"/>
      <w:kern w:val="2"/>
      <w:lang w:val="en-MY"/>
      <w14:ligatures w14:val="standardContextual"/>
    </w:rPr>
  </w:style>
  <w:style w:type="character" w:styleId="IntenseReference">
    <w:name w:val="Intense Reference"/>
    <w:basedOn w:val="DefaultParagraphFont"/>
    <w:uiPriority w:val="32"/>
    <w:qFormat/>
    <w:rsid w:val="00006F7D"/>
    <w:rPr>
      <w:b/>
      <w:bCs/>
      <w:smallCaps/>
      <w:color w:val="2F5496" w:themeColor="accent1" w:themeShade="BF"/>
      <w:spacing w:val="5"/>
    </w:rPr>
  </w:style>
  <w:style w:type="paragraph" w:customStyle="1" w:styleId="ListParagraphHeading5Char1UGEXZListParagraph1Bodyoftext">
    <w:name w:val="List Paragraph;Heading 5 Char1;UGEX'Z;List Paragraph1;Body of text"/>
    <w:basedOn w:val="Normal"/>
    <w:rsid w:val="00BC1D95"/>
    <w:pPr>
      <w:suppressAutoHyphens/>
      <w:ind w:leftChars="-1" w:left="720" w:hangingChars="1" w:hanging="1"/>
      <w:contextualSpacing/>
      <w:textDirection w:val="btLr"/>
      <w:textAlignment w:val="top"/>
      <w:outlineLvl w:val="0"/>
    </w:pPr>
    <w:rPr>
      <w:rFonts w:ascii="Book Antiqua" w:eastAsia="Book Antiqua" w:hAnsi="Book Antiqua" w:cs="Book Antiqua"/>
      <w:position w:val="-1"/>
      <w:sz w:val="20"/>
      <w:lang w:val="en-ID"/>
    </w:rPr>
  </w:style>
  <w:style w:type="paragraph" w:customStyle="1" w:styleId="JudulBAB0">
    <w:name w:val="Judul BAB"/>
    <w:basedOn w:val="Heading1"/>
    <w:rsid w:val="00BC1D95"/>
    <w:pPr>
      <w:suppressAutoHyphens/>
      <w:spacing w:line="276" w:lineRule="auto"/>
      <w:ind w:leftChars="-1" w:left="-1" w:hangingChars="1" w:hanging="1"/>
      <w:jc w:val="center"/>
      <w:textDirection w:val="btLr"/>
      <w:textAlignment w:val="top"/>
    </w:pPr>
    <w:rPr>
      <w:rFonts w:eastAsia="Times New Roman" w:cs="Times New Roman"/>
      <w:bCs/>
      <w:caps/>
      <w:noProof/>
      <w:color w:val="auto"/>
      <w:position w:val="-1"/>
      <w:sz w:val="32"/>
      <w:szCs w:val="20"/>
      <w:lang w:val="en-ID" w:eastAsia="en-ID"/>
    </w:rPr>
  </w:style>
  <w:style w:type="paragraph" w:customStyle="1" w:styleId="SubBAB">
    <w:name w:val="Sub BAB"/>
    <w:basedOn w:val="Heading1"/>
    <w:rsid w:val="00BC1D95"/>
    <w:pPr>
      <w:numPr>
        <w:numId w:val="12"/>
      </w:numPr>
      <w:suppressAutoHyphens/>
      <w:spacing w:before="0"/>
      <w:ind w:leftChars="-1" w:left="-1" w:hangingChars="1" w:hanging="1"/>
      <w:textDirection w:val="btLr"/>
      <w:textAlignment w:val="top"/>
    </w:pPr>
    <w:rPr>
      <w:rFonts w:eastAsia="Times New Roman" w:cs="Times New Roman"/>
      <w:b/>
      <w:bCs/>
      <w:caps/>
      <w:color w:val="auto"/>
      <w:position w:val="-1"/>
      <w:lang w:val="en-US"/>
    </w:rPr>
  </w:style>
  <w:style w:type="character" w:customStyle="1" w:styleId="JudulBABChar">
    <w:name w:val="Judul BAB Char"/>
    <w:rsid w:val="00BC1D95"/>
    <w:rPr>
      <w:rFonts w:ascii="Book Antiqua" w:eastAsia="Times New Roman" w:hAnsi="Book Antiqua" w:cs="Times New Roman"/>
      <w:caps/>
      <w:noProof/>
      <w:w w:val="100"/>
      <w:position w:val="-1"/>
      <w:sz w:val="32"/>
      <w:szCs w:val="20"/>
      <w:effect w:val="none"/>
      <w:vertAlign w:val="baseline"/>
      <w:cs w:val="0"/>
      <w:em w:val="none"/>
    </w:rPr>
  </w:style>
  <w:style w:type="character" w:customStyle="1" w:styleId="SubBABChar">
    <w:name w:val="Sub BAB Char"/>
    <w:rsid w:val="00BC1D95"/>
    <w:rPr>
      <w:rFonts w:ascii="Book Antiqua" w:eastAsia="Times New Roman" w:hAnsi="Book Antiqua" w:cs="Times New Roman"/>
      <w:b/>
      <w:noProof/>
      <w:w w:val="100"/>
      <w:position w:val="-1"/>
      <w:sz w:val="20"/>
      <w:szCs w:val="32"/>
      <w:effect w:val="none"/>
      <w:vertAlign w:val="baseline"/>
      <w:cs w:val="0"/>
      <w:em w:val="none"/>
    </w:rPr>
  </w:style>
  <w:style w:type="character" w:customStyle="1" w:styleId="CaptionChar">
    <w:name w:val="Caption Char"/>
    <w:rsid w:val="00BC1D95"/>
    <w:rPr>
      <w:rFonts w:ascii="Book Antiqua" w:hAnsi="Book Antiqua"/>
      <w:i/>
      <w:iCs/>
      <w:color w:val="44546A"/>
      <w:w w:val="100"/>
      <w:position w:val="-1"/>
      <w:sz w:val="18"/>
      <w:szCs w:val="18"/>
      <w:effect w:val="none"/>
      <w:vertAlign w:val="baseline"/>
      <w:cs w:val="0"/>
      <w:em w:val="none"/>
    </w:rPr>
  </w:style>
  <w:style w:type="paragraph" w:customStyle="1" w:styleId="EndNoteBibliography">
    <w:name w:val="EndNote Bibliography"/>
    <w:basedOn w:val="Normal"/>
    <w:rsid w:val="00BC1D95"/>
    <w:pPr>
      <w:suppressAutoHyphens/>
      <w:spacing w:line="240" w:lineRule="auto"/>
      <w:ind w:leftChars="-1" w:left="-1" w:hangingChars="1" w:hanging="1"/>
      <w:jc w:val="both"/>
      <w:textDirection w:val="btLr"/>
      <w:textAlignment w:val="top"/>
      <w:outlineLvl w:val="0"/>
    </w:pPr>
    <w:rPr>
      <w:rFonts w:ascii="Calibri" w:eastAsia="Calibri" w:hAnsi="Calibri" w:cs="Calibri"/>
      <w:noProof/>
      <w:position w:val="-1"/>
      <w:lang w:val="en-ID" w:eastAsia="en-ID"/>
    </w:rPr>
  </w:style>
  <w:style w:type="character" w:customStyle="1" w:styleId="EndNoteBibliographyChar">
    <w:name w:val="EndNote Bibliography Char"/>
    <w:rsid w:val="00BC1D95"/>
    <w:rPr>
      <w:rFonts w:ascii="Calibri" w:eastAsia="Calibri" w:hAnsi="Calibri" w:cs="Calibri"/>
      <w:noProof/>
      <w:w w:val="100"/>
      <w:position w:val="-1"/>
      <w:effect w:val="none"/>
      <w:vertAlign w:val="baseline"/>
      <w:cs w:val="0"/>
      <w:em w:val="none"/>
    </w:rPr>
  </w:style>
  <w:style w:type="character" w:customStyle="1" w:styleId="UnresolvedMention2">
    <w:name w:val="Unresolved Mention2"/>
    <w:qFormat/>
    <w:rsid w:val="00BC1D95"/>
    <w:rPr>
      <w:color w:val="605E5C"/>
      <w:w w:val="100"/>
      <w:position w:val="-1"/>
      <w:effect w:val="none"/>
      <w:shd w:val="clear" w:color="auto" w:fill="E1DFDD"/>
      <w:vertAlign w:val="baseline"/>
      <w:cs w:val="0"/>
      <w:em w:val="none"/>
    </w:rPr>
  </w:style>
  <w:style w:type="character" w:customStyle="1" w:styleId="ListParagraphCharHeading5Char1CharUGEXZCharListParagraph1CharBodyoftextChar">
    <w:name w:val="List Paragraph Char;Heading 5 Char1 Char;UGEX'Z Char;List Paragraph1 Char;Body of text Char"/>
    <w:rsid w:val="00BC1D95"/>
    <w:rPr>
      <w:rFonts w:ascii="Book Antiqua" w:hAnsi="Book Antiqua"/>
      <w:w w:val="100"/>
      <w:position w:val="-1"/>
      <w:szCs w:val="22"/>
      <w:effect w:val="none"/>
      <w:vertAlign w:val="baseline"/>
      <w:cs w:val="0"/>
      <w:em w:val="none"/>
      <w:lang w:eastAsia="en-US"/>
    </w:rPr>
  </w:style>
  <w:style w:type="character" w:styleId="UnresolvedMention">
    <w:name w:val="Unresolved Mention"/>
    <w:basedOn w:val="DefaultParagraphFont"/>
    <w:uiPriority w:val="99"/>
    <w:semiHidden/>
    <w:unhideWhenUsed/>
    <w:rsid w:val="00B258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582360">
      <w:bodyDiv w:val="1"/>
      <w:marLeft w:val="0"/>
      <w:marRight w:val="0"/>
      <w:marTop w:val="0"/>
      <w:marBottom w:val="0"/>
      <w:divBdr>
        <w:top w:val="none" w:sz="0" w:space="0" w:color="auto"/>
        <w:left w:val="none" w:sz="0" w:space="0" w:color="auto"/>
        <w:bottom w:val="none" w:sz="0" w:space="0" w:color="auto"/>
        <w:right w:val="none" w:sz="0" w:space="0" w:color="auto"/>
      </w:divBdr>
    </w:div>
    <w:div w:id="1962882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2174/1874375701004010099" TargetMode="External"/><Relationship Id="rId299" Type="http://schemas.openxmlformats.org/officeDocument/2006/relationships/hyperlink" Target="https://doi.org/10.48048/tis.2024.8105" TargetMode="External"/><Relationship Id="rId21" Type="http://schemas.openxmlformats.org/officeDocument/2006/relationships/hyperlink" Target="https://doi.org/10.3390/molecules27196239" TargetMode="External"/><Relationship Id="rId63" Type="http://schemas.openxmlformats.org/officeDocument/2006/relationships/hyperlink" Target="https://doi.org/10.48048/tis.2024.8105" TargetMode="External"/><Relationship Id="rId159" Type="http://schemas.openxmlformats.org/officeDocument/2006/relationships/hyperlink" Target="https://doi.org/10.1016/j.foodchem.2006.02.022" TargetMode="External"/><Relationship Id="rId324" Type="http://schemas.openxmlformats.org/officeDocument/2006/relationships/hyperlink" Target="https://doi.org/10.1371/journal.pone.0272457" TargetMode="External"/><Relationship Id="rId366" Type="http://schemas.openxmlformats.org/officeDocument/2006/relationships/hyperlink" Target="https://doi.org/10.1002/cncr.28592" TargetMode="External"/><Relationship Id="rId170" Type="http://schemas.openxmlformats.org/officeDocument/2006/relationships/hyperlink" Target="https://doi.org/10.1088/1742-6596/1025/1/012061" TargetMode="External"/><Relationship Id="rId226" Type="http://schemas.openxmlformats.org/officeDocument/2006/relationships/hyperlink" Target="https://doi.org/10.3390/cancers16020260" TargetMode="External"/><Relationship Id="rId433" Type="http://schemas.openxmlformats.org/officeDocument/2006/relationships/hyperlink" Target="https://doi.org/10.1155/2019/1528635" TargetMode="External"/><Relationship Id="rId268" Type="http://schemas.openxmlformats.org/officeDocument/2006/relationships/hyperlink" Target="https://doi.org/10.62400/jbs.v5i1.6365" TargetMode="External"/><Relationship Id="rId32" Type="http://schemas.openxmlformats.org/officeDocument/2006/relationships/hyperlink" Target="https://doi.org/10.1016/j.it.2020.07.001" TargetMode="External"/><Relationship Id="rId74" Type="http://schemas.openxmlformats.org/officeDocument/2006/relationships/hyperlink" Target="https://doi.org/10.1089/ars.2019.8000" TargetMode="External"/><Relationship Id="rId128" Type="http://schemas.openxmlformats.org/officeDocument/2006/relationships/hyperlink" Target="https://doi.org/10.1590/1678-7757-2016-0610" TargetMode="External"/><Relationship Id="rId335" Type="http://schemas.openxmlformats.org/officeDocument/2006/relationships/hyperlink" Target="https://doi.org/10.1002/cncr.33100" TargetMode="External"/><Relationship Id="rId377" Type="http://schemas.openxmlformats.org/officeDocument/2006/relationships/hyperlink" Target="https://doi.org/10.3390/nu13061784" TargetMode="External"/><Relationship Id="rId5" Type="http://schemas.openxmlformats.org/officeDocument/2006/relationships/webSettings" Target="webSettings.xml"/><Relationship Id="rId181" Type="http://schemas.openxmlformats.org/officeDocument/2006/relationships/hyperlink" Target="https://doi.org/10.3389/fphar.2022.953205" TargetMode="External"/><Relationship Id="rId237" Type="http://schemas.openxmlformats.org/officeDocument/2006/relationships/hyperlink" Target="https://doi.org/10.1590/1678-7757-2025-0007" TargetMode="External"/><Relationship Id="rId402" Type="http://schemas.openxmlformats.org/officeDocument/2006/relationships/hyperlink" Target="https://doi.org/10.3390/nu9060625" TargetMode="External"/><Relationship Id="rId279" Type="http://schemas.openxmlformats.org/officeDocument/2006/relationships/hyperlink" Target="https://doi.org/10.1590/1678-7757-2025-0007" TargetMode="External"/><Relationship Id="rId43" Type="http://schemas.openxmlformats.org/officeDocument/2006/relationships/hyperlink" Target="https://doi.org/10.1053/j.seminoncol.2014.02.004" TargetMode="External"/><Relationship Id="rId139" Type="http://schemas.openxmlformats.org/officeDocument/2006/relationships/hyperlink" Target="https://doi.org/10.4317/medoral.24430" TargetMode="External"/><Relationship Id="rId290" Type="http://schemas.openxmlformats.org/officeDocument/2006/relationships/hyperlink" Target="https://doi.org/10.62400/jbs.v5i1.6365" TargetMode="External"/><Relationship Id="rId304" Type="http://schemas.openxmlformats.org/officeDocument/2006/relationships/hyperlink" Target="https://doi.org/10.1002/jbt.23405" TargetMode="External"/><Relationship Id="rId346" Type="http://schemas.openxmlformats.org/officeDocument/2006/relationships/hyperlink" Target="https://doi.org/10.1002/jbt.23405" TargetMode="External"/><Relationship Id="rId388" Type="http://schemas.openxmlformats.org/officeDocument/2006/relationships/hyperlink" Target="https://doi.org/10.1186/s12870-025-06423-y" TargetMode="External"/><Relationship Id="rId85" Type="http://schemas.openxmlformats.org/officeDocument/2006/relationships/hyperlink" Target="https://doi.org/10.1007/s00204-021-03075-1" TargetMode="External"/><Relationship Id="rId150" Type="http://schemas.openxmlformats.org/officeDocument/2006/relationships/hyperlink" Target="https://doi.org/10.3390/nu13061784" TargetMode="External"/><Relationship Id="rId192" Type="http://schemas.openxmlformats.org/officeDocument/2006/relationships/hyperlink" Target="https://doi.org/10.1016/j.fitote.2010.02.001" TargetMode="External"/><Relationship Id="rId206" Type="http://schemas.openxmlformats.org/officeDocument/2006/relationships/hyperlink" Target="https://doi.org/10.3390/cancers16020260" TargetMode="External"/><Relationship Id="rId413" Type="http://schemas.openxmlformats.org/officeDocument/2006/relationships/hyperlink" Target="https://doi.org/10.62400/jbs.v5i1.6365" TargetMode="External"/><Relationship Id="rId248" Type="http://schemas.openxmlformats.org/officeDocument/2006/relationships/hyperlink" Target="https://doi.org/10.1038/sigtrans.2017.23" TargetMode="External"/><Relationship Id="rId12" Type="http://schemas.openxmlformats.org/officeDocument/2006/relationships/hyperlink" Target="https://doi.org/10.1016/j.ejphar.2014.07.025" TargetMode="External"/><Relationship Id="rId108" Type="http://schemas.openxmlformats.org/officeDocument/2006/relationships/hyperlink" Target="https://doi.org/10.1002/ame2.12166" TargetMode="External"/><Relationship Id="rId315" Type="http://schemas.openxmlformats.org/officeDocument/2006/relationships/hyperlink" Target="https://doi.org/10.62400/jbs.v5i1.6365" TargetMode="External"/><Relationship Id="rId357" Type="http://schemas.openxmlformats.org/officeDocument/2006/relationships/hyperlink" Target="https://doi.org/10.3389/fphar.2017.00656" TargetMode="External"/><Relationship Id="rId54" Type="http://schemas.openxmlformats.org/officeDocument/2006/relationships/hyperlink" Target="https://doi.org/10.1038/nrc2812" TargetMode="External"/><Relationship Id="rId96" Type="http://schemas.openxmlformats.org/officeDocument/2006/relationships/hyperlink" Target="https://doi.org/10.3390/curroncol28040228" TargetMode="External"/><Relationship Id="rId161" Type="http://schemas.openxmlformats.org/officeDocument/2006/relationships/hyperlink" Target="https://doi.org/10.3390/nu13061784" TargetMode="External"/><Relationship Id="rId217" Type="http://schemas.openxmlformats.org/officeDocument/2006/relationships/hyperlink" Target="https://doi.org/10.1371/journal.pone.0272457" TargetMode="External"/><Relationship Id="rId399" Type="http://schemas.openxmlformats.org/officeDocument/2006/relationships/hyperlink" Target="https://doi.org/10.3390/cancers16020260" TargetMode="External"/><Relationship Id="rId259" Type="http://schemas.openxmlformats.org/officeDocument/2006/relationships/hyperlink" Target="https://doi.org/10.3390/cancers16020260" TargetMode="External"/><Relationship Id="rId424" Type="http://schemas.openxmlformats.org/officeDocument/2006/relationships/hyperlink" Target="https://doi.org/10.1590/1678-7757-2025-0007" TargetMode="External"/><Relationship Id="rId23" Type="http://schemas.openxmlformats.org/officeDocument/2006/relationships/hyperlink" Target="https://doi.org/10.1002/cncr.33103" TargetMode="External"/><Relationship Id="rId119" Type="http://schemas.openxmlformats.org/officeDocument/2006/relationships/hyperlink" Target="https://doi.org/10.1016/j.tripleo.2008.09.006" TargetMode="External"/><Relationship Id="rId270" Type="http://schemas.openxmlformats.org/officeDocument/2006/relationships/hyperlink" Target="https://doi.org/10.1002/jbt.23405" TargetMode="External"/><Relationship Id="rId326" Type="http://schemas.openxmlformats.org/officeDocument/2006/relationships/hyperlink" Target="https://doi.org/10.1186/s12870-025-06423-y" TargetMode="External"/><Relationship Id="rId65" Type="http://schemas.openxmlformats.org/officeDocument/2006/relationships/hyperlink" Target="https://doi.org/10.1016/j.jobcr.2021.08.006" TargetMode="External"/><Relationship Id="rId130" Type="http://schemas.openxmlformats.org/officeDocument/2006/relationships/hyperlink" Target="https://doi.org/10.48048/tis.2024.8105" TargetMode="External"/><Relationship Id="rId368" Type="http://schemas.openxmlformats.org/officeDocument/2006/relationships/hyperlink" Target="https://doi.org/10.1186/s12870-025-06423-y" TargetMode="External"/><Relationship Id="rId172" Type="http://schemas.openxmlformats.org/officeDocument/2006/relationships/hyperlink" Target="https://doi.org/10.1016/j.jfca.2004.06.001" TargetMode="External"/><Relationship Id="rId228" Type="http://schemas.openxmlformats.org/officeDocument/2006/relationships/hyperlink" Target="https://doi.org/10.48048/tis.2024.8105" TargetMode="External"/><Relationship Id="rId435" Type="http://schemas.openxmlformats.org/officeDocument/2006/relationships/fontTable" Target="fontTable.xml"/><Relationship Id="rId281" Type="http://schemas.openxmlformats.org/officeDocument/2006/relationships/hyperlink" Target="https://doi.org/10.1007/s00520-013-1921-2" TargetMode="External"/><Relationship Id="rId337" Type="http://schemas.openxmlformats.org/officeDocument/2006/relationships/hyperlink" Target="https://doi.org/10.3389/fphar.2017.00656" TargetMode="External"/><Relationship Id="rId34" Type="http://schemas.openxmlformats.org/officeDocument/2006/relationships/hyperlink" Target="https://doi.org/10.1007/s00280-019-03977-z" TargetMode="External"/><Relationship Id="rId76" Type="http://schemas.openxmlformats.org/officeDocument/2006/relationships/hyperlink" Target="https://doi.org/10.1038/nrc2812" TargetMode="External"/><Relationship Id="rId141" Type="http://schemas.openxmlformats.org/officeDocument/2006/relationships/hyperlink" Target="https://doi.org/10.1016/S2221-1691(13)60075-1" TargetMode="External"/><Relationship Id="rId379" Type="http://schemas.openxmlformats.org/officeDocument/2006/relationships/hyperlink" Target="https://doi.org/10.48048/tis.2024.8105" TargetMode="External"/><Relationship Id="rId7" Type="http://schemas.openxmlformats.org/officeDocument/2006/relationships/endnotes" Target="endnotes.xml"/><Relationship Id="rId183" Type="http://schemas.openxmlformats.org/officeDocument/2006/relationships/hyperlink" Target="https://doi.org/10.62400/jbs.v5i1.6365" TargetMode="External"/><Relationship Id="rId239" Type="http://schemas.openxmlformats.org/officeDocument/2006/relationships/hyperlink" Target="https://doi.org/10.1038/nrc2812" TargetMode="External"/><Relationship Id="rId390" Type="http://schemas.openxmlformats.org/officeDocument/2006/relationships/hyperlink" Target="https://doi.org/10.1155/2019/1528635" TargetMode="External"/><Relationship Id="rId404" Type="http://schemas.openxmlformats.org/officeDocument/2006/relationships/hyperlink" Target="https://doi.org/10.1007/s00210-022-02343-y" TargetMode="External"/><Relationship Id="rId250" Type="http://schemas.openxmlformats.org/officeDocument/2006/relationships/hyperlink" Target="https://doi.org/10.1016/j.oraloncology.2007.03.007" TargetMode="External"/><Relationship Id="rId292" Type="http://schemas.openxmlformats.org/officeDocument/2006/relationships/hyperlink" Target="https://doi.org/10.1002/jbt.23405" TargetMode="External"/><Relationship Id="rId306" Type="http://schemas.openxmlformats.org/officeDocument/2006/relationships/hyperlink" Target="https://doi.org/10.1590/1678-7757-2025-0007" TargetMode="External"/><Relationship Id="rId45" Type="http://schemas.openxmlformats.org/officeDocument/2006/relationships/hyperlink" Target="https://doi.org/10.1016/j.bioorg.2019.102925" TargetMode="External"/><Relationship Id="rId87" Type="http://schemas.openxmlformats.org/officeDocument/2006/relationships/hyperlink" Target="https://doi.org/10.1016/j.bbagen.2012.09.018" TargetMode="External"/><Relationship Id="rId110" Type="http://schemas.openxmlformats.org/officeDocument/2006/relationships/hyperlink" Target="https://doi.org/10.1093/ilar.51.4.342" TargetMode="External"/><Relationship Id="rId348" Type="http://schemas.openxmlformats.org/officeDocument/2006/relationships/hyperlink" Target="https://doi.org/10.1371/journal.pone.0272457" TargetMode="External"/><Relationship Id="rId152" Type="http://schemas.openxmlformats.org/officeDocument/2006/relationships/hyperlink" Target="https://doi.org/10.1002/jbt.23405" TargetMode="External"/><Relationship Id="rId194" Type="http://schemas.openxmlformats.org/officeDocument/2006/relationships/hyperlink" Target="https://doi.org/10.1371/journal.pone.0272457" TargetMode="External"/><Relationship Id="rId208" Type="http://schemas.openxmlformats.org/officeDocument/2006/relationships/hyperlink" Target="https://doi.org/10.3390/nu9060625" TargetMode="External"/><Relationship Id="rId415" Type="http://schemas.openxmlformats.org/officeDocument/2006/relationships/hyperlink" Target="https://doi.org/10.1002/cncr.28592" TargetMode="External"/><Relationship Id="rId261" Type="http://schemas.openxmlformats.org/officeDocument/2006/relationships/hyperlink" Target="https://doi.org/10.3389/fphar.2017.00656" TargetMode="External"/><Relationship Id="rId14" Type="http://schemas.openxmlformats.org/officeDocument/2006/relationships/hyperlink" Target="https://doi.org/10.1038/s41392-021-00783-3" TargetMode="External"/><Relationship Id="rId56" Type="http://schemas.openxmlformats.org/officeDocument/2006/relationships/hyperlink" Target="https://doi.org/10.3390/cancers12071836" TargetMode="External"/><Relationship Id="rId317" Type="http://schemas.openxmlformats.org/officeDocument/2006/relationships/hyperlink" Target="https://doi.org/10.1002/jbt.23405" TargetMode="External"/><Relationship Id="rId359" Type="http://schemas.openxmlformats.org/officeDocument/2006/relationships/hyperlink" Target="https://doi.org/10.3390/nu13061784" TargetMode="External"/><Relationship Id="rId98" Type="http://schemas.openxmlformats.org/officeDocument/2006/relationships/hyperlink" Target="https://doi.org/10.1371/journal.pone.0081162" TargetMode="External"/><Relationship Id="rId121" Type="http://schemas.openxmlformats.org/officeDocument/2006/relationships/hyperlink" Target="https://doi.org/10.7324/JAPS.2020.101119" TargetMode="External"/><Relationship Id="rId163" Type="http://schemas.openxmlformats.org/officeDocument/2006/relationships/hyperlink" Target="https://doi.org/10.1007/s11746-014-2503-4" TargetMode="External"/><Relationship Id="rId219" Type="http://schemas.openxmlformats.org/officeDocument/2006/relationships/hyperlink" Target="https://doi.org/10.1186/s12870-025-06423-y" TargetMode="External"/><Relationship Id="rId370" Type="http://schemas.openxmlformats.org/officeDocument/2006/relationships/hyperlink" Target="https://doi.org/10.3389/fonc.2021.645166" TargetMode="External"/><Relationship Id="rId426" Type="http://schemas.openxmlformats.org/officeDocument/2006/relationships/hyperlink" Target="https://doi.org/10.1371/journal.pone.0272457" TargetMode="External"/><Relationship Id="rId230" Type="http://schemas.openxmlformats.org/officeDocument/2006/relationships/hyperlink" Target="https://doi.org/10.62400/jbs.v5i1.6365" TargetMode="External"/><Relationship Id="rId25" Type="http://schemas.openxmlformats.org/officeDocument/2006/relationships/hyperlink" Target="https://doi.org/10.3322/caac.21660" TargetMode="External"/><Relationship Id="rId67" Type="http://schemas.openxmlformats.org/officeDocument/2006/relationships/hyperlink" Target="https://doi.org/10.1002/cncr.28592" TargetMode="External"/><Relationship Id="rId272" Type="http://schemas.openxmlformats.org/officeDocument/2006/relationships/hyperlink" Target="https://doi.org/10.1016/j.intimp.2015.06.023" TargetMode="External"/><Relationship Id="rId328" Type="http://schemas.openxmlformats.org/officeDocument/2006/relationships/hyperlink" Target="https://doi.org/10.1155/2019/1528635" TargetMode="External"/><Relationship Id="rId132" Type="http://schemas.openxmlformats.org/officeDocument/2006/relationships/hyperlink" Target="https://doi.org/10.1159/000341517" TargetMode="External"/><Relationship Id="rId174" Type="http://schemas.openxmlformats.org/officeDocument/2006/relationships/hyperlink" Target="https://doi.org/10.3390/cancers16020260" TargetMode="External"/><Relationship Id="rId381" Type="http://schemas.openxmlformats.org/officeDocument/2006/relationships/hyperlink" Target="https://doi.org/10.62400/jbs.v5i1.6365" TargetMode="External"/><Relationship Id="rId241" Type="http://schemas.openxmlformats.org/officeDocument/2006/relationships/hyperlink" Target="https://doi.org/10.1002/cncr.20162" TargetMode="External"/><Relationship Id="rId36" Type="http://schemas.openxmlformats.org/officeDocument/2006/relationships/hyperlink" Target="https://doi.org/10.1007/s00210-022-02343-y" TargetMode="External"/><Relationship Id="rId283" Type="http://schemas.openxmlformats.org/officeDocument/2006/relationships/hyperlink" Target="https://doi.org/10.3390/cancers16020260" TargetMode="External"/><Relationship Id="rId339" Type="http://schemas.openxmlformats.org/officeDocument/2006/relationships/hyperlink" Target="https://doi.org/10.3390/nu13061784" TargetMode="External"/><Relationship Id="rId78" Type="http://schemas.openxmlformats.org/officeDocument/2006/relationships/hyperlink" Target="https://doi.org/10.1002/cncr.20162" TargetMode="External"/><Relationship Id="rId101" Type="http://schemas.openxmlformats.org/officeDocument/2006/relationships/hyperlink" Target="https://doi.org/10.28932/jmh.v4i2.4632" TargetMode="External"/><Relationship Id="rId143" Type="http://schemas.openxmlformats.org/officeDocument/2006/relationships/hyperlink" Target="https://doi.org/10.1055/s-0035-1557838" TargetMode="External"/><Relationship Id="rId185" Type="http://schemas.openxmlformats.org/officeDocument/2006/relationships/hyperlink" Target="https://doi.org/10.1016/S1875-5364(16)30088-7" TargetMode="External"/><Relationship Id="rId350" Type="http://schemas.openxmlformats.org/officeDocument/2006/relationships/hyperlink" Target="https://doi.org/10.1038/nrc2812" TargetMode="External"/><Relationship Id="rId406" Type="http://schemas.openxmlformats.org/officeDocument/2006/relationships/hyperlink" Target="https://doi.org/10.1016/j.ejphar.2014.07.025" TargetMode="External"/><Relationship Id="rId9" Type="http://schemas.openxmlformats.org/officeDocument/2006/relationships/footer" Target="footer1.xml"/><Relationship Id="rId210" Type="http://schemas.openxmlformats.org/officeDocument/2006/relationships/hyperlink" Target="https://doi.org/10.3390/nu13061784" TargetMode="External"/><Relationship Id="rId392" Type="http://schemas.openxmlformats.org/officeDocument/2006/relationships/hyperlink" Target="https://doi.org/10.1016/S2221-1691(13)60075-1" TargetMode="External"/><Relationship Id="rId252" Type="http://schemas.openxmlformats.org/officeDocument/2006/relationships/hyperlink" Target="https://doi.org/10.1002/jbt.23405" TargetMode="External"/><Relationship Id="rId294" Type="http://schemas.openxmlformats.org/officeDocument/2006/relationships/hyperlink" Target="https://doi.org/10.1590/1678-7757-2025-0007" TargetMode="External"/><Relationship Id="rId308" Type="http://schemas.openxmlformats.org/officeDocument/2006/relationships/hyperlink" Target="https://doi.org/10.1038/nrc2812" TargetMode="External"/><Relationship Id="rId47" Type="http://schemas.openxmlformats.org/officeDocument/2006/relationships/hyperlink" Target="https://doi.org/10.1039/c8dt00838h" TargetMode="External"/><Relationship Id="rId89" Type="http://schemas.openxmlformats.org/officeDocument/2006/relationships/hyperlink" Target="https://doi.org/10.1007/s00204-012-0850-y" TargetMode="External"/><Relationship Id="rId112" Type="http://schemas.openxmlformats.org/officeDocument/2006/relationships/hyperlink" Target="https://doi.org/10.48048/tis.2024.8105" TargetMode="External"/><Relationship Id="rId154" Type="http://schemas.openxmlformats.org/officeDocument/2006/relationships/hyperlink" Target="https://doi.org/10.1371/journal.pone.0272457" TargetMode="External"/><Relationship Id="rId361" Type="http://schemas.openxmlformats.org/officeDocument/2006/relationships/hyperlink" Target="https://doi.org/10.48048/tis.2024.8105" TargetMode="External"/><Relationship Id="rId196" Type="http://schemas.openxmlformats.org/officeDocument/2006/relationships/hyperlink" Target="https://doi.org/10.1186/s12870-025-06423-y" TargetMode="External"/><Relationship Id="rId417" Type="http://schemas.openxmlformats.org/officeDocument/2006/relationships/hyperlink" Target="https://doi.org/10.1038/sigtrans.2017.23" TargetMode="External"/><Relationship Id="rId16" Type="http://schemas.openxmlformats.org/officeDocument/2006/relationships/hyperlink" Target="https://doi.org/10.12740/PP/129447" TargetMode="External"/><Relationship Id="rId221" Type="http://schemas.openxmlformats.org/officeDocument/2006/relationships/hyperlink" Target="https://doi.org/10.1155/2019/1528635" TargetMode="External"/><Relationship Id="rId263" Type="http://schemas.openxmlformats.org/officeDocument/2006/relationships/hyperlink" Target="https://doi.org/10.3390/nu13061784" TargetMode="External"/><Relationship Id="rId319" Type="http://schemas.openxmlformats.org/officeDocument/2006/relationships/hyperlink" Target="https://doi.org/10.28932/jmh.v4i2.4632" TargetMode="External"/><Relationship Id="rId58" Type="http://schemas.openxmlformats.org/officeDocument/2006/relationships/hyperlink" Target="https://doi.org/10.1007/s00520-013-1921-2" TargetMode="External"/><Relationship Id="rId123" Type="http://schemas.openxmlformats.org/officeDocument/2006/relationships/hyperlink" Target="https://doi.org/10.3389/fonc.2021.645166" TargetMode="External"/><Relationship Id="rId330" Type="http://schemas.openxmlformats.org/officeDocument/2006/relationships/hyperlink" Target="https://doi.org/10.1055/s-0035-1557838" TargetMode="External"/><Relationship Id="rId165" Type="http://schemas.openxmlformats.org/officeDocument/2006/relationships/hyperlink" Target="https://doi.org/10.1371/journal.pone.0272457" TargetMode="External"/><Relationship Id="rId372" Type="http://schemas.openxmlformats.org/officeDocument/2006/relationships/hyperlink" Target="https://doi.org/10.1155/2019/1528635" TargetMode="External"/><Relationship Id="rId428" Type="http://schemas.openxmlformats.org/officeDocument/2006/relationships/hyperlink" Target="https://doi.org/10.1186/s12870-025-06423-y" TargetMode="External"/><Relationship Id="rId232" Type="http://schemas.openxmlformats.org/officeDocument/2006/relationships/hyperlink" Target="https://doi.org/10.1016/j.jobcr.2021.08.006" TargetMode="External"/><Relationship Id="rId274" Type="http://schemas.openxmlformats.org/officeDocument/2006/relationships/hyperlink" Target="https://doi.org/10.48048/tis.2024.8105" TargetMode="External"/><Relationship Id="rId27" Type="http://schemas.openxmlformats.org/officeDocument/2006/relationships/hyperlink" Target="https://doi.org/10.1038/s41586-019-1730-1" TargetMode="External"/><Relationship Id="rId69" Type="http://schemas.openxmlformats.org/officeDocument/2006/relationships/hyperlink" Target="https://doi.org/10.3389/froh.2022.995160" TargetMode="External"/><Relationship Id="rId134" Type="http://schemas.openxmlformats.org/officeDocument/2006/relationships/hyperlink" Target="https://doi.org/10.1007/s00280-006-0420-5" TargetMode="External"/><Relationship Id="rId80" Type="http://schemas.openxmlformats.org/officeDocument/2006/relationships/hyperlink" Target="https://doi.org/10.1097/SPC.0000000000000537" TargetMode="External"/><Relationship Id="rId176" Type="http://schemas.openxmlformats.org/officeDocument/2006/relationships/hyperlink" Target="https://doi.org/10.1007/s00210-022-02343-y" TargetMode="External"/><Relationship Id="rId341" Type="http://schemas.openxmlformats.org/officeDocument/2006/relationships/hyperlink" Target="https://doi.org/10.1016/j.jobcr.2021.08.006" TargetMode="External"/><Relationship Id="rId383" Type="http://schemas.openxmlformats.org/officeDocument/2006/relationships/hyperlink" Target="https://doi.org/10.1002/jbt.23405" TargetMode="External"/><Relationship Id="rId201" Type="http://schemas.openxmlformats.org/officeDocument/2006/relationships/hyperlink" Target="https://doi.org/10.3390/nu7010055" TargetMode="External"/><Relationship Id="rId243" Type="http://schemas.openxmlformats.org/officeDocument/2006/relationships/hyperlink" Target="https://doi.org/10.1101/gad.183434.111" TargetMode="External"/><Relationship Id="rId285" Type="http://schemas.openxmlformats.org/officeDocument/2006/relationships/hyperlink" Target="https://doi.org/10.3390/nu13061784" TargetMode="External"/><Relationship Id="rId38" Type="http://schemas.openxmlformats.org/officeDocument/2006/relationships/hyperlink" Target="https://doi.org/10.1016/j.ejphar.2014.07.025" TargetMode="External"/><Relationship Id="rId103" Type="http://schemas.openxmlformats.org/officeDocument/2006/relationships/hyperlink" Target="https://doi.org/10.1016/j.jnutbio.2012.04.005" TargetMode="External"/><Relationship Id="rId310" Type="http://schemas.openxmlformats.org/officeDocument/2006/relationships/hyperlink" Target="https://doi.org/10.3390/cancers16020260" TargetMode="External"/><Relationship Id="rId91" Type="http://schemas.openxmlformats.org/officeDocument/2006/relationships/hyperlink" Target="https://doi.org/10.3390/nu13061784" TargetMode="External"/><Relationship Id="rId145" Type="http://schemas.openxmlformats.org/officeDocument/2006/relationships/hyperlink" Target="https://doi.org/10.1016/j.foodchem.2006.02.022" TargetMode="External"/><Relationship Id="rId187" Type="http://schemas.openxmlformats.org/officeDocument/2006/relationships/hyperlink" Target="https://doi.org/10.2478/10004-1254-60-2009-2005" TargetMode="External"/><Relationship Id="rId352" Type="http://schemas.openxmlformats.org/officeDocument/2006/relationships/hyperlink" Target="https://doi.org/10.1155/2019/1528635" TargetMode="External"/><Relationship Id="rId394" Type="http://schemas.openxmlformats.org/officeDocument/2006/relationships/hyperlink" Target="https://doi.org/10.1007/s00520-013-1921-2" TargetMode="External"/><Relationship Id="rId408" Type="http://schemas.openxmlformats.org/officeDocument/2006/relationships/hyperlink" Target="https://doi.org/10.3389/fphar.2017.00656" TargetMode="External"/><Relationship Id="rId212" Type="http://schemas.openxmlformats.org/officeDocument/2006/relationships/hyperlink" Target="https://doi.org/10.62400/jbs.v5i1.6365" TargetMode="External"/><Relationship Id="rId254" Type="http://schemas.openxmlformats.org/officeDocument/2006/relationships/hyperlink" Target="https://doi.org/10.1101/cshperspect.a000034" TargetMode="External"/><Relationship Id="rId28" Type="http://schemas.openxmlformats.org/officeDocument/2006/relationships/hyperlink" Target="https://doi.org/10.1038/s41586-019-1730-1" TargetMode="External"/><Relationship Id="rId49" Type="http://schemas.openxmlformats.org/officeDocument/2006/relationships/hyperlink" Target="https://doi.org/10.1016/j.ica.2019.119154" TargetMode="External"/><Relationship Id="rId114" Type="http://schemas.openxmlformats.org/officeDocument/2006/relationships/hyperlink" Target="https://doi.org/10.62400/jbs.v5i1.6365" TargetMode="External"/><Relationship Id="rId275" Type="http://schemas.openxmlformats.org/officeDocument/2006/relationships/hyperlink" Target="https://doi.org/10.1038/sigtrans.2017.23" TargetMode="External"/><Relationship Id="rId296" Type="http://schemas.openxmlformats.org/officeDocument/2006/relationships/hyperlink" Target="https://doi.org/10.1038/nrc2812" TargetMode="External"/><Relationship Id="rId300" Type="http://schemas.openxmlformats.org/officeDocument/2006/relationships/hyperlink" Target="https://doi.org/10.48048/tis.2024.8105" TargetMode="External"/><Relationship Id="rId60" Type="http://schemas.openxmlformats.org/officeDocument/2006/relationships/hyperlink" Target="https://doi.org/10.1007/s00210-022-02343-y" TargetMode="External"/><Relationship Id="rId81" Type="http://schemas.openxmlformats.org/officeDocument/2006/relationships/hyperlink" Target="https://doi.org/10.1155/2014/360438" TargetMode="External"/><Relationship Id="rId135" Type="http://schemas.openxmlformats.org/officeDocument/2006/relationships/hyperlink" Target="https://doi.org/10.1016/j.kint.2017.01.018" TargetMode="External"/><Relationship Id="rId156" Type="http://schemas.openxmlformats.org/officeDocument/2006/relationships/hyperlink" Target="https://doi.org/10.1186/s12870-025-06423-y" TargetMode="External"/><Relationship Id="rId177" Type="http://schemas.openxmlformats.org/officeDocument/2006/relationships/hyperlink" Target="https://doi.org/10.3389/fphar.2017.00656" TargetMode="External"/><Relationship Id="rId198" Type="http://schemas.openxmlformats.org/officeDocument/2006/relationships/hyperlink" Target="https://doi.org/10.1007/978-3-7643-8340-4_6" TargetMode="External"/><Relationship Id="rId321" Type="http://schemas.openxmlformats.org/officeDocument/2006/relationships/hyperlink" Target="https://doi.org/10.1590/1678-7757-2025-0007" TargetMode="External"/><Relationship Id="rId342" Type="http://schemas.openxmlformats.org/officeDocument/2006/relationships/hyperlink" Target="https://doi.org/10.1016/j.jobcr.2021.08.006" TargetMode="External"/><Relationship Id="rId363" Type="http://schemas.openxmlformats.org/officeDocument/2006/relationships/hyperlink" Target="https://doi.org/10.1016/j.jobcr.2021.08.006" TargetMode="External"/><Relationship Id="rId384" Type="http://schemas.openxmlformats.org/officeDocument/2006/relationships/hyperlink" Target="https://doi.org/10.1002/jbt.23405" TargetMode="External"/><Relationship Id="rId419" Type="http://schemas.openxmlformats.org/officeDocument/2006/relationships/hyperlink" Target="https://doi.org/10.1002/jbt.23405" TargetMode="External"/><Relationship Id="rId202" Type="http://schemas.openxmlformats.org/officeDocument/2006/relationships/hyperlink" Target="https://doi.org/10.3390/nu7010055" TargetMode="External"/><Relationship Id="rId223" Type="http://schemas.openxmlformats.org/officeDocument/2006/relationships/hyperlink" Target="https://doi.org/10.1007/s00520-013-1921-2" TargetMode="External"/><Relationship Id="rId244" Type="http://schemas.openxmlformats.org/officeDocument/2006/relationships/hyperlink" Target="https://doi.org/10.1101/gad.183434.111" TargetMode="External"/><Relationship Id="rId430" Type="http://schemas.openxmlformats.org/officeDocument/2006/relationships/hyperlink" Target="https://doi.org/10.1038/nrc2812" TargetMode="External"/><Relationship Id="rId18" Type="http://schemas.openxmlformats.org/officeDocument/2006/relationships/hyperlink" Target="https://doi.org/10.1016/j.ejca.2020.01.011" TargetMode="External"/><Relationship Id="rId39" Type="http://schemas.openxmlformats.org/officeDocument/2006/relationships/hyperlink" Target="https://doi.org/10.1007/s00280-016-3023-z" TargetMode="External"/><Relationship Id="rId265" Type="http://schemas.openxmlformats.org/officeDocument/2006/relationships/hyperlink" Target="https://doi.org/10.48048/tis.2024.8105" TargetMode="External"/><Relationship Id="rId286" Type="http://schemas.openxmlformats.org/officeDocument/2006/relationships/hyperlink" Target="https://doi.org/10.3390/nu13061784" TargetMode="External"/><Relationship Id="rId50" Type="http://schemas.openxmlformats.org/officeDocument/2006/relationships/hyperlink" Target="https://doi.org/10.1016/j.ica.2019.119154" TargetMode="External"/><Relationship Id="rId104" Type="http://schemas.openxmlformats.org/officeDocument/2006/relationships/hyperlink" Target="https://doi.org/10.1016/j.jnutbio.2012.04.005" TargetMode="External"/><Relationship Id="rId125" Type="http://schemas.openxmlformats.org/officeDocument/2006/relationships/hyperlink" Target="https://doi.org/10.18502/kls.v4i4.2294" TargetMode="External"/><Relationship Id="rId146" Type="http://schemas.openxmlformats.org/officeDocument/2006/relationships/hyperlink" Target="https://doi.org/10.1016/j.foodchem.2006.02.022" TargetMode="External"/><Relationship Id="rId167" Type="http://schemas.openxmlformats.org/officeDocument/2006/relationships/hyperlink" Target="https://doi.org/10.1007/s12161-014-9818-7" TargetMode="External"/><Relationship Id="rId188" Type="http://schemas.openxmlformats.org/officeDocument/2006/relationships/hyperlink" Target="https://doi.org/10.2478/10004-1254-60-2009-2005" TargetMode="External"/><Relationship Id="rId311" Type="http://schemas.openxmlformats.org/officeDocument/2006/relationships/hyperlink" Target="https://doi.org/10.3390/nu13061784" TargetMode="External"/><Relationship Id="rId332" Type="http://schemas.openxmlformats.org/officeDocument/2006/relationships/hyperlink" Target="https://doi.org/10.3390/cancers16020260" TargetMode="External"/><Relationship Id="rId353" Type="http://schemas.openxmlformats.org/officeDocument/2006/relationships/hyperlink" Target="https://doi.org/10.3390/cancers16020260" TargetMode="External"/><Relationship Id="rId374" Type="http://schemas.openxmlformats.org/officeDocument/2006/relationships/hyperlink" Target="https://doi.org/10.3390/cancers16020260" TargetMode="External"/><Relationship Id="rId395" Type="http://schemas.openxmlformats.org/officeDocument/2006/relationships/hyperlink" Target="https://doi.org/10.1177/0960327110392095" TargetMode="External"/><Relationship Id="rId409" Type="http://schemas.openxmlformats.org/officeDocument/2006/relationships/hyperlink" Target="https://doi.org/10.3390/nu13061784" TargetMode="External"/><Relationship Id="rId71" Type="http://schemas.openxmlformats.org/officeDocument/2006/relationships/hyperlink" Target="https://doi.org/10.1016/j.oraloncology.2007.03.007" TargetMode="External"/><Relationship Id="rId92" Type="http://schemas.openxmlformats.org/officeDocument/2006/relationships/hyperlink" Target="https://doi.org/10.3390/nu13061784" TargetMode="External"/><Relationship Id="rId213" Type="http://schemas.openxmlformats.org/officeDocument/2006/relationships/hyperlink" Target="https://doi.org/10.1002/jbt.23405" TargetMode="External"/><Relationship Id="rId234" Type="http://schemas.openxmlformats.org/officeDocument/2006/relationships/hyperlink" Target="https://doi.org/10.1002/cncr.28592" TargetMode="External"/><Relationship Id="rId420" Type="http://schemas.openxmlformats.org/officeDocument/2006/relationships/hyperlink" Target="https://doi.org/10.1002/jbt.23405" TargetMode="External"/><Relationship Id="rId2" Type="http://schemas.openxmlformats.org/officeDocument/2006/relationships/numbering" Target="numbering.xml"/><Relationship Id="rId29" Type="http://schemas.openxmlformats.org/officeDocument/2006/relationships/hyperlink" Target="https://doi.org/10.1038/s41577-020-0306-5" TargetMode="External"/><Relationship Id="rId255" Type="http://schemas.openxmlformats.org/officeDocument/2006/relationships/hyperlink" Target="https://doi.org/10.1038/nrc2812" TargetMode="External"/><Relationship Id="rId276" Type="http://schemas.openxmlformats.org/officeDocument/2006/relationships/hyperlink" Target="https://doi.org/10.1038/sigtrans.2017.23" TargetMode="External"/><Relationship Id="rId297" Type="http://schemas.openxmlformats.org/officeDocument/2006/relationships/hyperlink" Target="https://doi.org/10.3390/cancers16020260" TargetMode="External"/><Relationship Id="rId40" Type="http://schemas.openxmlformats.org/officeDocument/2006/relationships/hyperlink" Target="https://doi.org/10.1007/s00280-016-3023-z" TargetMode="External"/><Relationship Id="rId115" Type="http://schemas.openxmlformats.org/officeDocument/2006/relationships/hyperlink" Target="https://doi.org/10.1007/978-3-7091-1082-6_2" TargetMode="External"/><Relationship Id="rId136" Type="http://schemas.openxmlformats.org/officeDocument/2006/relationships/hyperlink" Target="https://doi.org/10.1016/j.kint.2017.01.018" TargetMode="External"/><Relationship Id="rId157" Type="http://schemas.openxmlformats.org/officeDocument/2006/relationships/hyperlink" Target="https://doi.org/10.1155/2019/1528635" TargetMode="External"/><Relationship Id="rId178" Type="http://schemas.openxmlformats.org/officeDocument/2006/relationships/hyperlink" Target="https://doi.org/10.3389/fphar.2017.00656" TargetMode="External"/><Relationship Id="rId301" Type="http://schemas.openxmlformats.org/officeDocument/2006/relationships/hyperlink" Target="https://doi.org/10.62400/jbs.v5i1.6365" TargetMode="External"/><Relationship Id="rId322" Type="http://schemas.openxmlformats.org/officeDocument/2006/relationships/hyperlink" Target="https://doi.org/10.1590/1678-7757-2025-0007" TargetMode="External"/><Relationship Id="rId343" Type="http://schemas.openxmlformats.org/officeDocument/2006/relationships/hyperlink" Target="https://doi.org/10.1002/cncr.28592" TargetMode="External"/><Relationship Id="rId364" Type="http://schemas.openxmlformats.org/officeDocument/2006/relationships/hyperlink" Target="https://doi.org/10.1016/j.jobcr.2021.08.006" TargetMode="External"/><Relationship Id="rId61" Type="http://schemas.openxmlformats.org/officeDocument/2006/relationships/hyperlink" Target="https://doi.org/10.1002/cncr.33100" TargetMode="External"/><Relationship Id="rId82" Type="http://schemas.openxmlformats.org/officeDocument/2006/relationships/hyperlink" Target="https://doi.org/10.1155/2014/360438" TargetMode="External"/><Relationship Id="rId199" Type="http://schemas.openxmlformats.org/officeDocument/2006/relationships/hyperlink" Target="https://doi.org/10.1155/2019/1528635" TargetMode="External"/><Relationship Id="rId203" Type="http://schemas.openxmlformats.org/officeDocument/2006/relationships/hyperlink" Target="https://doi.org/10.1177/0960327110392095" TargetMode="External"/><Relationship Id="rId385" Type="http://schemas.openxmlformats.org/officeDocument/2006/relationships/hyperlink" Target="https://doi.org/10.1590/1678-7757-2025-0007" TargetMode="External"/><Relationship Id="rId19" Type="http://schemas.openxmlformats.org/officeDocument/2006/relationships/hyperlink" Target="https://doi.org/10.48048/tis.2024.8105" TargetMode="External"/><Relationship Id="rId224" Type="http://schemas.openxmlformats.org/officeDocument/2006/relationships/hyperlink" Target="https://doi.org/10.1007/s00520-013-1921-2" TargetMode="External"/><Relationship Id="rId245" Type="http://schemas.openxmlformats.org/officeDocument/2006/relationships/hyperlink" Target="https://doi.org/10.48048/tis.2024.8105" TargetMode="External"/><Relationship Id="rId266" Type="http://schemas.openxmlformats.org/officeDocument/2006/relationships/hyperlink" Target="https://doi.org/10.48048/tis.2024.8105" TargetMode="External"/><Relationship Id="rId287" Type="http://schemas.openxmlformats.org/officeDocument/2006/relationships/hyperlink" Target="https://doi.org/10.48048/tis.2024.8105" TargetMode="External"/><Relationship Id="rId410" Type="http://schemas.openxmlformats.org/officeDocument/2006/relationships/hyperlink" Target="https://doi.org/10.3390/nu13061784" TargetMode="External"/><Relationship Id="rId431" Type="http://schemas.openxmlformats.org/officeDocument/2006/relationships/hyperlink" Target="https://doi.org/10.3389/fonc.2021.645166" TargetMode="External"/><Relationship Id="rId30" Type="http://schemas.openxmlformats.org/officeDocument/2006/relationships/hyperlink" Target="https://doi.org/10.1038/s41577-020-0306-5" TargetMode="External"/><Relationship Id="rId105" Type="http://schemas.openxmlformats.org/officeDocument/2006/relationships/hyperlink" Target="https://doi.org/10.1007/s00520-015-2947-8" TargetMode="External"/><Relationship Id="rId126" Type="http://schemas.openxmlformats.org/officeDocument/2006/relationships/hyperlink" Target="https://doi.org/10.18502/kls.v4i4.2294" TargetMode="External"/><Relationship Id="rId147" Type="http://schemas.openxmlformats.org/officeDocument/2006/relationships/hyperlink" Target="https://doi.org/10.3389/fphar.2017.00656" TargetMode="External"/><Relationship Id="rId168" Type="http://schemas.openxmlformats.org/officeDocument/2006/relationships/hyperlink" Target="https://doi.org/10.1007/s12161-014-9818-7" TargetMode="External"/><Relationship Id="rId312" Type="http://schemas.openxmlformats.org/officeDocument/2006/relationships/hyperlink" Target="https://doi.org/10.3390/nu13061784" TargetMode="External"/><Relationship Id="rId333" Type="http://schemas.openxmlformats.org/officeDocument/2006/relationships/hyperlink" Target="https://doi.org/10.3390/nu9060625" TargetMode="External"/><Relationship Id="rId354" Type="http://schemas.openxmlformats.org/officeDocument/2006/relationships/hyperlink" Target="https://doi.org/10.3390/cancers16020260" TargetMode="External"/><Relationship Id="rId51" Type="http://schemas.openxmlformats.org/officeDocument/2006/relationships/hyperlink" Target="https://doi.org/10.1038/s41568-020-00308-y" TargetMode="External"/><Relationship Id="rId72" Type="http://schemas.openxmlformats.org/officeDocument/2006/relationships/hyperlink" Target="https://doi.org/10.1016/j.oraloncology.2007.03.007" TargetMode="External"/><Relationship Id="rId93" Type="http://schemas.openxmlformats.org/officeDocument/2006/relationships/hyperlink" Target="https://doi.org/10.1016/j.ajme.2017.09.001" TargetMode="External"/><Relationship Id="rId189" Type="http://schemas.openxmlformats.org/officeDocument/2006/relationships/hyperlink" Target="https://doi.org/10.1007/s11694-018-9957-6" TargetMode="External"/><Relationship Id="rId375" Type="http://schemas.openxmlformats.org/officeDocument/2006/relationships/hyperlink" Target="https://doi.org/10.3390/nu9060625" TargetMode="External"/><Relationship Id="rId396" Type="http://schemas.openxmlformats.org/officeDocument/2006/relationships/hyperlink" Target="https://doi.org/10.1177/0960327110392095" TargetMode="External"/><Relationship Id="rId3" Type="http://schemas.openxmlformats.org/officeDocument/2006/relationships/styles" Target="styles.xml"/><Relationship Id="rId214" Type="http://schemas.openxmlformats.org/officeDocument/2006/relationships/hyperlink" Target="https://doi.org/10.1002/jbt.23405" TargetMode="External"/><Relationship Id="rId235" Type="http://schemas.openxmlformats.org/officeDocument/2006/relationships/hyperlink" Target="https://doi.org/10.1002/jbt.23405" TargetMode="External"/><Relationship Id="rId256" Type="http://schemas.openxmlformats.org/officeDocument/2006/relationships/hyperlink" Target="https://doi.org/10.1038/nrc2812" TargetMode="External"/><Relationship Id="rId277" Type="http://schemas.openxmlformats.org/officeDocument/2006/relationships/hyperlink" Target="https://doi.org/10.1002/jbt.23405" TargetMode="External"/><Relationship Id="rId298" Type="http://schemas.openxmlformats.org/officeDocument/2006/relationships/hyperlink" Target="https://doi.org/10.3390/cancers16020260" TargetMode="External"/><Relationship Id="rId400" Type="http://schemas.openxmlformats.org/officeDocument/2006/relationships/hyperlink" Target="https://doi.org/10.3390/cancers16020260" TargetMode="External"/><Relationship Id="rId421" Type="http://schemas.openxmlformats.org/officeDocument/2006/relationships/hyperlink" Target="https://doi.org/10.28932/jmh.v4i2.4632" TargetMode="External"/><Relationship Id="rId116" Type="http://schemas.openxmlformats.org/officeDocument/2006/relationships/hyperlink" Target="https://doi.org/10.1007/978-3-7091-1082-6_2" TargetMode="External"/><Relationship Id="rId137" Type="http://schemas.openxmlformats.org/officeDocument/2006/relationships/hyperlink" Target="https://doi.org/10.1590/S0102-865020150120000009" TargetMode="External"/><Relationship Id="rId158" Type="http://schemas.openxmlformats.org/officeDocument/2006/relationships/hyperlink" Target="https://doi.org/10.1155/2019/1528635" TargetMode="External"/><Relationship Id="rId302" Type="http://schemas.openxmlformats.org/officeDocument/2006/relationships/hyperlink" Target="https://doi.org/10.62400/jbs.v5i1.6365" TargetMode="External"/><Relationship Id="rId323" Type="http://schemas.openxmlformats.org/officeDocument/2006/relationships/hyperlink" Target="https://doi.org/10.1371/journal.pone.0272457" TargetMode="External"/><Relationship Id="rId344" Type="http://schemas.openxmlformats.org/officeDocument/2006/relationships/hyperlink" Target="https://doi.org/10.1002/cncr.28592" TargetMode="External"/><Relationship Id="rId20" Type="http://schemas.openxmlformats.org/officeDocument/2006/relationships/hyperlink" Target="https://doi.org/10.48048/tis.2024.8105" TargetMode="External"/><Relationship Id="rId41" Type="http://schemas.openxmlformats.org/officeDocument/2006/relationships/hyperlink" Target="https://doi.org/10.1038/onc.2011.384" TargetMode="External"/><Relationship Id="rId62" Type="http://schemas.openxmlformats.org/officeDocument/2006/relationships/hyperlink" Target="https://doi.org/10.1002/cncr.33100" TargetMode="External"/><Relationship Id="rId83" Type="http://schemas.openxmlformats.org/officeDocument/2006/relationships/hyperlink" Target="https://doi.org/10.3390/cancers16020260" TargetMode="External"/><Relationship Id="rId179" Type="http://schemas.openxmlformats.org/officeDocument/2006/relationships/hyperlink" Target="https://doi.org/10.3390/nu13061784" TargetMode="External"/><Relationship Id="rId365" Type="http://schemas.openxmlformats.org/officeDocument/2006/relationships/hyperlink" Target="https://doi.org/10.1002/cncr.28592" TargetMode="External"/><Relationship Id="rId386" Type="http://schemas.openxmlformats.org/officeDocument/2006/relationships/hyperlink" Target="https://doi.org/10.1590/1678-7757-2025-0007" TargetMode="External"/><Relationship Id="rId190" Type="http://schemas.openxmlformats.org/officeDocument/2006/relationships/hyperlink" Target="https://doi.org/10.1007/s11694-018-9957-6" TargetMode="External"/><Relationship Id="rId204" Type="http://schemas.openxmlformats.org/officeDocument/2006/relationships/hyperlink" Target="https://doi.org/10.1177/0960327110392095" TargetMode="External"/><Relationship Id="rId225" Type="http://schemas.openxmlformats.org/officeDocument/2006/relationships/hyperlink" Target="https://doi.org/10.3390/cancers16020260" TargetMode="External"/><Relationship Id="rId246" Type="http://schemas.openxmlformats.org/officeDocument/2006/relationships/hyperlink" Target="https://doi.org/10.48048/tis.2024.8105" TargetMode="External"/><Relationship Id="rId267" Type="http://schemas.openxmlformats.org/officeDocument/2006/relationships/hyperlink" Target="https://doi.org/10.62400/jbs.v5i1.6365" TargetMode="External"/><Relationship Id="rId288" Type="http://schemas.openxmlformats.org/officeDocument/2006/relationships/hyperlink" Target="https://doi.org/10.48048/tis.2024.8105" TargetMode="External"/><Relationship Id="rId411" Type="http://schemas.openxmlformats.org/officeDocument/2006/relationships/hyperlink" Target="https://doi.org/10.48048/tis.2024.8105" TargetMode="External"/><Relationship Id="rId432" Type="http://schemas.openxmlformats.org/officeDocument/2006/relationships/hyperlink" Target="https://doi.org/10.3389/fonc.2021.645166" TargetMode="External"/><Relationship Id="rId106" Type="http://schemas.openxmlformats.org/officeDocument/2006/relationships/hyperlink" Target="https://doi.org/10.1007/s00520-015-2947-8" TargetMode="External"/><Relationship Id="rId127" Type="http://schemas.openxmlformats.org/officeDocument/2006/relationships/hyperlink" Target="https://doi.org/10.1590/1678-7757-2016-0610" TargetMode="External"/><Relationship Id="rId313" Type="http://schemas.openxmlformats.org/officeDocument/2006/relationships/hyperlink" Target="https://doi.org/10.48048/tis.2024.8105" TargetMode="External"/><Relationship Id="rId10" Type="http://schemas.openxmlformats.org/officeDocument/2006/relationships/footer" Target="footer2.xml"/><Relationship Id="rId31" Type="http://schemas.openxmlformats.org/officeDocument/2006/relationships/hyperlink" Target="https://doi.org/10.1016/j.it.2020.07.001" TargetMode="External"/><Relationship Id="rId52" Type="http://schemas.openxmlformats.org/officeDocument/2006/relationships/hyperlink" Target="https://doi.org/10.1038/s41568-020-00308-y" TargetMode="External"/><Relationship Id="rId73" Type="http://schemas.openxmlformats.org/officeDocument/2006/relationships/hyperlink" Target="https://doi.org/10.1089/ars.2019.8000" TargetMode="External"/><Relationship Id="rId94" Type="http://schemas.openxmlformats.org/officeDocument/2006/relationships/hyperlink" Target="https://doi.org/10.1016/j.ajme.2017.09.001" TargetMode="External"/><Relationship Id="rId148" Type="http://schemas.openxmlformats.org/officeDocument/2006/relationships/hyperlink" Target="https://doi.org/10.3389/fphar.2017.00656" TargetMode="External"/><Relationship Id="rId169" Type="http://schemas.openxmlformats.org/officeDocument/2006/relationships/hyperlink" Target="https://doi.org/10.1088/1742-6596/1025/1/012061" TargetMode="External"/><Relationship Id="rId334" Type="http://schemas.openxmlformats.org/officeDocument/2006/relationships/hyperlink" Target="https://doi.org/10.3390/nu9060625" TargetMode="External"/><Relationship Id="rId355" Type="http://schemas.openxmlformats.org/officeDocument/2006/relationships/hyperlink" Target="https://doi.org/10.1002/cncr.33100" TargetMode="External"/><Relationship Id="rId376" Type="http://schemas.openxmlformats.org/officeDocument/2006/relationships/hyperlink" Target="https://doi.org/10.3390/nu9060625" TargetMode="External"/><Relationship Id="rId397" Type="http://schemas.openxmlformats.org/officeDocument/2006/relationships/hyperlink" Target="https://doi.org/10.1055/s-0035-1557838" TargetMode="External"/><Relationship Id="rId4" Type="http://schemas.openxmlformats.org/officeDocument/2006/relationships/settings" Target="settings.xml"/><Relationship Id="rId180" Type="http://schemas.openxmlformats.org/officeDocument/2006/relationships/hyperlink" Target="https://doi.org/10.3390/nu13061784" TargetMode="External"/><Relationship Id="rId215" Type="http://schemas.openxmlformats.org/officeDocument/2006/relationships/hyperlink" Target="https://doi.org/10.28932/jmh.v4i2.4632" TargetMode="External"/><Relationship Id="rId236" Type="http://schemas.openxmlformats.org/officeDocument/2006/relationships/hyperlink" Target="https://doi.org/10.1002/jbt.23405" TargetMode="External"/><Relationship Id="rId257" Type="http://schemas.openxmlformats.org/officeDocument/2006/relationships/hyperlink" Target="https://doi.org/10.1055/s-0035-1557838" TargetMode="External"/><Relationship Id="rId278" Type="http://schemas.openxmlformats.org/officeDocument/2006/relationships/hyperlink" Target="https://doi.org/10.1002/jbt.23405" TargetMode="External"/><Relationship Id="rId401" Type="http://schemas.openxmlformats.org/officeDocument/2006/relationships/hyperlink" Target="https://doi.org/10.3390/nu9060625" TargetMode="External"/><Relationship Id="rId422" Type="http://schemas.openxmlformats.org/officeDocument/2006/relationships/hyperlink" Target="https://doi.org/10.28932/jmh.v4i2.4632" TargetMode="External"/><Relationship Id="rId303" Type="http://schemas.openxmlformats.org/officeDocument/2006/relationships/hyperlink" Target="https://doi.org/10.1002/jbt.23405" TargetMode="External"/><Relationship Id="rId42" Type="http://schemas.openxmlformats.org/officeDocument/2006/relationships/hyperlink" Target="https://doi.org/10.1038/onc.2011.384" TargetMode="External"/><Relationship Id="rId84" Type="http://schemas.openxmlformats.org/officeDocument/2006/relationships/hyperlink" Target="https://doi.org/10.3390/cancers16020260" TargetMode="External"/><Relationship Id="rId138" Type="http://schemas.openxmlformats.org/officeDocument/2006/relationships/hyperlink" Target="https://doi.org/10.1590/S0102-865020150120000009" TargetMode="External"/><Relationship Id="rId345" Type="http://schemas.openxmlformats.org/officeDocument/2006/relationships/hyperlink" Target="https://doi.org/10.1002/jbt.23405" TargetMode="External"/><Relationship Id="rId387" Type="http://schemas.openxmlformats.org/officeDocument/2006/relationships/hyperlink" Target="https://doi.org/10.1186/s12870-025-06423-y" TargetMode="External"/><Relationship Id="rId191" Type="http://schemas.openxmlformats.org/officeDocument/2006/relationships/hyperlink" Target="https://doi.org/10.1016/j.fitote.2010.02.001" TargetMode="External"/><Relationship Id="rId205" Type="http://schemas.openxmlformats.org/officeDocument/2006/relationships/hyperlink" Target="https://doi.org/10.3390/cancers16020260" TargetMode="External"/><Relationship Id="rId247" Type="http://schemas.openxmlformats.org/officeDocument/2006/relationships/hyperlink" Target="https://doi.org/10.1038/sigtrans.2017.23" TargetMode="External"/><Relationship Id="rId412" Type="http://schemas.openxmlformats.org/officeDocument/2006/relationships/hyperlink" Target="https://doi.org/10.48048/tis.2024.8105" TargetMode="External"/><Relationship Id="rId107" Type="http://schemas.openxmlformats.org/officeDocument/2006/relationships/hyperlink" Target="https://doi.org/10.1002/ame2.12166" TargetMode="External"/><Relationship Id="rId289" Type="http://schemas.openxmlformats.org/officeDocument/2006/relationships/hyperlink" Target="https://doi.org/10.62400/jbs.v5i1.6365" TargetMode="External"/><Relationship Id="rId11" Type="http://schemas.openxmlformats.org/officeDocument/2006/relationships/hyperlink" Target="https://doi.org/10.1016/j.ejphar.2014.07.025" TargetMode="External"/><Relationship Id="rId53" Type="http://schemas.openxmlformats.org/officeDocument/2006/relationships/hyperlink" Target="https://doi.org/10.1038/nrc2812" TargetMode="External"/><Relationship Id="rId149" Type="http://schemas.openxmlformats.org/officeDocument/2006/relationships/hyperlink" Target="https://doi.org/10.3390/nu13061784" TargetMode="External"/><Relationship Id="rId314" Type="http://schemas.openxmlformats.org/officeDocument/2006/relationships/hyperlink" Target="https://doi.org/10.48048/tis.2024.8105" TargetMode="External"/><Relationship Id="rId356" Type="http://schemas.openxmlformats.org/officeDocument/2006/relationships/hyperlink" Target="https://doi.org/10.1002/cncr.33100" TargetMode="External"/><Relationship Id="rId398" Type="http://schemas.openxmlformats.org/officeDocument/2006/relationships/hyperlink" Target="https://doi.org/10.1055/s-0035-1557838" TargetMode="External"/><Relationship Id="rId95" Type="http://schemas.openxmlformats.org/officeDocument/2006/relationships/hyperlink" Target="https://doi.org/10.3390/curroncol28040228" TargetMode="External"/><Relationship Id="rId160" Type="http://schemas.openxmlformats.org/officeDocument/2006/relationships/hyperlink" Target="https://doi.org/10.1016/j.foodchem.2006.02.022" TargetMode="External"/><Relationship Id="rId216" Type="http://schemas.openxmlformats.org/officeDocument/2006/relationships/hyperlink" Target="https://doi.org/10.28932/jmh.v4i2.4632" TargetMode="External"/><Relationship Id="rId423" Type="http://schemas.openxmlformats.org/officeDocument/2006/relationships/hyperlink" Target="https://doi.org/10.1590/1678-7757-2025-0007" TargetMode="External"/><Relationship Id="rId258" Type="http://schemas.openxmlformats.org/officeDocument/2006/relationships/hyperlink" Target="https://doi.org/10.1055/s-0035-1557838" TargetMode="External"/><Relationship Id="rId22" Type="http://schemas.openxmlformats.org/officeDocument/2006/relationships/hyperlink" Target="https://doi.org/10.3390/molecules27196239" TargetMode="External"/><Relationship Id="rId64" Type="http://schemas.openxmlformats.org/officeDocument/2006/relationships/hyperlink" Target="https://doi.org/10.48048/tis.2024.8105" TargetMode="External"/><Relationship Id="rId118" Type="http://schemas.openxmlformats.org/officeDocument/2006/relationships/hyperlink" Target="https://doi.org/10.2174/1874375701004010099" TargetMode="External"/><Relationship Id="rId325" Type="http://schemas.openxmlformats.org/officeDocument/2006/relationships/hyperlink" Target="https://doi.org/10.1186/s12870-025-06423-y" TargetMode="External"/><Relationship Id="rId367" Type="http://schemas.openxmlformats.org/officeDocument/2006/relationships/hyperlink" Target="https://doi.org/10.1186/s12870-025-06423-y" TargetMode="External"/><Relationship Id="rId171" Type="http://schemas.openxmlformats.org/officeDocument/2006/relationships/hyperlink" Target="https://doi.org/10.1016/j.jfca.2004.06.001" TargetMode="External"/><Relationship Id="rId227" Type="http://schemas.openxmlformats.org/officeDocument/2006/relationships/hyperlink" Target="https://doi.org/10.48048/tis.2024.8105" TargetMode="External"/><Relationship Id="rId269" Type="http://schemas.openxmlformats.org/officeDocument/2006/relationships/hyperlink" Target="https://doi.org/10.1002/jbt.23405" TargetMode="External"/><Relationship Id="rId434" Type="http://schemas.openxmlformats.org/officeDocument/2006/relationships/hyperlink" Target="https://doi.org/10.1155/2019/1528635" TargetMode="External"/><Relationship Id="rId33" Type="http://schemas.openxmlformats.org/officeDocument/2006/relationships/hyperlink" Target="https://doi.org/10.1007/s00280-019-03977-z" TargetMode="External"/><Relationship Id="rId129" Type="http://schemas.openxmlformats.org/officeDocument/2006/relationships/hyperlink" Target="https://doi.org/10.48048/tis.2024.8105" TargetMode="External"/><Relationship Id="rId280" Type="http://schemas.openxmlformats.org/officeDocument/2006/relationships/hyperlink" Target="https://doi.org/10.1590/1678-7757-2025-0007" TargetMode="External"/><Relationship Id="rId336" Type="http://schemas.openxmlformats.org/officeDocument/2006/relationships/hyperlink" Target="https://doi.org/10.1002/cncr.33100" TargetMode="External"/><Relationship Id="rId75" Type="http://schemas.openxmlformats.org/officeDocument/2006/relationships/hyperlink" Target="https://doi.org/10.1038/nrc2812" TargetMode="External"/><Relationship Id="rId140" Type="http://schemas.openxmlformats.org/officeDocument/2006/relationships/hyperlink" Target="https://doi.org/10.4317/medoral.24430" TargetMode="External"/><Relationship Id="rId182" Type="http://schemas.openxmlformats.org/officeDocument/2006/relationships/hyperlink" Target="https://doi.org/10.3389/fphar.2022.953205" TargetMode="External"/><Relationship Id="rId378" Type="http://schemas.openxmlformats.org/officeDocument/2006/relationships/hyperlink" Target="https://doi.org/10.3390/nu13061784" TargetMode="External"/><Relationship Id="rId403" Type="http://schemas.openxmlformats.org/officeDocument/2006/relationships/hyperlink" Target="https://doi.org/10.1007/s00210-022-02343-y" TargetMode="External"/><Relationship Id="rId6" Type="http://schemas.openxmlformats.org/officeDocument/2006/relationships/footnotes" Target="footnotes.xml"/><Relationship Id="rId238" Type="http://schemas.openxmlformats.org/officeDocument/2006/relationships/hyperlink" Target="https://doi.org/10.1590/1678-7757-2025-0007" TargetMode="External"/><Relationship Id="rId291" Type="http://schemas.openxmlformats.org/officeDocument/2006/relationships/hyperlink" Target="https://doi.org/10.1002/jbt.23405" TargetMode="External"/><Relationship Id="rId305" Type="http://schemas.openxmlformats.org/officeDocument/2006/relationships/hyperlink" Target="https://doi.org/10.1590/1678-7757-2025-0007" TargetMode="External"/><Relationship Id="rId347" Type="http://schemas.openxmlformats.org/officeDocument/2006/relationships/hyperlink" Target="https://doi.org/10.1371/journal.pone.0272457" TargetMode="External"/><Relationship Id="rId44" Type="http://schemas.openxmlformats.org/officeDocument/2006/relationships/hyperlink" Target="https://doi.org/10.1053/j.seminoncol.2014.02.004" TargetMode="External"/><Relationship Id="rId86" Type="http://schemas.openxmlformats.org/officeDocument/2006/relationships/hyperlink" Target="https://doi.org/10.1007/s00204-021-03075-1" TargetMode="External"/><Relationship Id="rId151" Type="http://schemas.openxmlformats.org/officeDocument/2006/relationships/hyperlink" Target="https://doi.org/10.1002/jbt.23405" TargetMode="External"/><Relationship Id="rId389" Type="http://schemas.openxmlformats.org/officeDocument/2006/relationships/hyperlink" Target="https://doi.org/10.1155/2019/1528635" TargetMode="External"/><Relationship Id="rId193" Type="http://schemas.openxmlformats.org/officeDocument/2006/relationships/hyperlink" Target="https://doi.org/10.1371/journal.pone.0272457" TargetMode="External"/><Relationship Id="rId207" Type="http://schemas.openxmlformats.org/officeDocument/2006/relationships/hyperlink" Target="https://doi.org/10.3390/nu9060625" TargetMode="External"/><Relationship Id="rId249" Type="http://schemas.openxmlformats.org/officeDocument/2006/relationships/hyperlink" Target="https://doi.org/10.1016/j.oraloncology.2007.03.007" TargetMode="External"/><Relationship Id="rId414" Type="http://schemas.openxmlformats.org/officeDocument/2006/relationships/hyperlink" Target="https://doi.org/10.62400/jbs.v5i1.6365" TargetMode="External"/><Relationship Id="rId13" Type="http://schemas.openxmlformats.org/officeDocument/2006/relationships/hyperlink" Target="https://doi.org/10.1038/s41392-021-00783-3" TargetMode="External"/><Relationship Id="rId109" Type="http://schemas.openxmlformats.org/officeDocument/2006/relationships/hyperlink" Target="https://doi.org/10.1093/ilar.51.4.342" TargetMode="External"/><Relationship Id="rId260" Type="http://schemas.openxmlformats.org/officeDocument/2006/relationships/hyperlink" Target="https://doi.org/10.3390/cancers16020260" TargetMode="External"/><Relationship Id="rId316" Type="http://schemas.openxmlformats.org/officeDocument/2006/relationships/hyperlink" Target="https://doi.org/10.62400/jbs.v5i1.6365" TargetMode="External"/><Relationship Id="rId55" Type="http://schemas.openxmlformats.org/officeDocument/2006/relationships/hyperlink" Target="https://doi.org/10.3390/cancers12071836" TargetMode="External"/><Relationship Id="rId97" Type="http://schemas.openxmlformats.org/officeDocument/2006/relationships/hyperlink" Target="https://doi.org/10.1371/journal.pone.0081162" TargetMode="External"/><Relationship Id="rId120" Type="http://schemas.openxmlformats.org/officeDocument/2006/relationships/hyperlink" Target="https://doi.org/10.1016/j.tripleo.2008.09.006" TargetMode="External"/><Relationship Id="rId358" Type="http://schemas.openxmlformats.org/officeDocument/2006/relationships/hyperlink" Target="https://doi.org/10.3389/fphar.2017.00656" TargetMode="External"/><Relationship Id="rId162" Type="http://schemas.openxmlformats.org/officeDocument/2006/relationships/hyperlink" Target="https://doi.org/10.3390/nu13061784" TargetMode="External"/><Relationship Id="rId218" Type="http://schemas.openxmlformats.org/officeDocument/2006/relationships/hyperlink" Target="https://doi.org/10.1371/journal.pone.0272457" TargetMode="External"/><Relationship Id="rId425" Type="http://schemas.openxmlformats.org/officeDocument/2006/relationships/hyperlink" Target="https://doi.org/10.1371/journal.pone.0272457" TargetMode="External"/><Relationship Id="rId271" Type="http://schemas.openxmlformats.org/officeDocument/2006/relationships/hyperlink" Target="https://doi.org/10.1016/j.intimp.2015.06.023" TargetMode="External"/><Relationship Id="rId24" Type="http://schemas.openxmlformats.org/officeDocument/2006/relationships/hyperlink" Target="https://doi.org/10.1002/cncr.33103" TargetMode="External"/><Relationship Id="rId66" Type="http://schemas.openxmlformats.org/officeDocument/2006/relationships/hyperlink" Target="https://doi.org/10.1016/j.jobcr.2021.08.006" TargetMode="External"/><Relationship Id="rId131" Type="http://schemas.openxmlformats.org/officeDocument/2006/relationships/hyperlink" Target="https://doi.org/10.1159/000341517" TargetMode="External"/><Relationship Id="rId327" Type="http://schemas.openxmlformats.org/officeDocument/2006/relationships/hyperlink" Target="https://doi.org/10.1155/2019/1528635" TargetMode="External"/><Relationship Id="rId369" Type="http://schemas.openxmlformats.org/officeDocument/2006/relationships/hyperlink" Target="https://doi.org/10.3389/fonc.2021.645166" TargetMode="External"/><Relationship Id="rId173" Type="http://schemas.openxmlformats.org/officeDocument/2006/relationships/hyperlink" Target="https://doi.org/10.3390/cancers16020260" TargetMode="External"/><Relationship Id="rId229" Type="http://schemas.openxmlformats.org/officeDocument/2006/relationships/hyperlink" Target="https://doi.org/10.62400/jbs.v5i1.6365" TargetMode="External"/><Relationship Id="rId380" Type="http://schemas.openxmlformats.org/officeDocument/2006/relationships/hyperlink" Target="https://doi.org/10.48048/tis.2024.8105" TargetMode="External"/><Relationship Id="rId436" Type="http://schemas.openxmlformats.org/officeDocument/2006/relationships/theme" Target="theme/theme1.xml"/><Relationship Id="rId240" Type="http://schemas.openxmlformats.org/officeDocument/2006/relationships/hyperlink" Target="https://doi.org/10.1038/nrc2812" TargetMode="External"/><Relationship Id="rId35" Type="http://schemas.openxmlformats.org/officeDocument/2006/relationships/hyperlink" Target="https://doi.org/10.1007/s00210-022-02343-y" TargetMode="External"/><Relationship Id="rId77" Type="http://schemas.openxmlformats.org/officeDocument/2006/relationships/hyperlink" Target="https://doi.org/10.1002/cncr.20162" TargetMode="External"/><Relationship Id="rId100" Type="http://schemas.openxmlformats.org/officeDocument/2006/relationships/hyperlink" Target="https://doi.org/10.3164/jcbn.14-1" TargetMode="External"/><Relationship Id="rId282" Type="http://schemas.openxmlformats.org/officeDocument/2006/relationships/hyperlink" Target="https://doi.org/10.1007/s00520-013-1921-2" TargetMode="External"/><Relationship Id="rId338" Type="http://schemas.openxmlformats.org/officeDocument/2006/relationships/hyperlink" Target="https://doi.org/10.3389/fphar.2017.00656" TargetMode="External"/><Relationship Id="rId8" Type="http://schemas.openxmlformats.org/officeDocument/2006/relationships/image" Target="media/image1.jpeg"/><Relationship Id="rId142" Type="http://schemas.openxmlformats.org/officeDocument/2006/relationships/hyperlink" Target="https://doi.org/10.1016/S2221-1691(13)60075-1" TargetMode="External"/><Relationship Id="rId184" Type="http://schemas.openxmlformats.org/officeDocument/2006/relationships/hyperlink" Target="https://doi.org/10.62400/jbs.v5i1.6365" TargetMode="External"/><Relationship Id="rId391" Type="http://schemas.openxmlformats.org/officeDocument/2006/relationships/hyperlink" Target="https://doi.org/10.1016/S2221-1691(13)60075-1" TargetMode="External"/><Relationship Id="rId405" Type="http://schemas.openxmlformats.org/officeDocument/2006/relationships/hyperlink" Target="https://doi.org/10.1016/j.ejphar.2014.07.025" TargetMode="External"/><Relationship Id="rId251" Type="http://schemas.openxmlformats.org/officeDocument/2006/relationships/hyperlink" Target="https://doi.org/10.1002/jbt.23405" TargetMode="External"/><Relationship Id="rId46" Type="http://schemas.openxmlformats.org/officeDocument/2006/relationships/hyperlink" Target="https://doi.org/10.1016/j.bioorg.2019.102925" TargetMode="External"/><Relationship Id="rId293" Type="http://schemas.openxmlformats.org/officeDocument/2006/relationships/hyperlink" Target="https://doi.org/10.1590/1678-7757-2025-0007" TargetMode="External"/><Relationship Id="rId307" Type="http://schemas.openxmlformats.org/officeDocument/2006/relationships/hyperlink" Target="https://doi.org/10.1038/nrc2812" TargetMode="External"/><Relationship Id="rId349" Type="http://schemas.openxmlformats.org/officeDocument/2006/relationships/hyperlink" Target="https://doi.org/10.1038/nrc2812" TargetMode="External"/><Relationship Id="rId88" Type="http://schemas.openxmlformats.org/officeDocument/2006/relationships/hyperlink" Target="https://doi.org/10.1016/j.bbagen.2012.09.018" TargetMode="External"/><Relationship Id="rId111" Type="http://schemas.openxmlformats.org/officeDocument/2006/relationships/hyperlink" Target="https://doi.org/10.48048/tis.2024.8105" TargetMode="External"/><Relationship Id="rId153" Type="http://schemas.openxmlformats.org/officeDocument/2006/relationships/hyperlink" Target="https://doi.org/10.1371/journal.pone.0272457" TargetMode="External"/><Relationship Id="rId195" Type="http://schemas.openxmlformats.org/officeDocument/2006/relationships/hyperlink" Target="https://doi.org/10.1186/s12870-025-06423-y" TargetMode="External"/><Relationship Id="rId209" Type="http://schemas.openxmlformats.org/officeDocument/2006/relationships/hyperlink" Target="https://doi.org/10.3390/nu13061784" TargetMode="External"/><Relationship Id="rId360" Type="http://schemas.openxmlformats.org/officeDocument/2006/relationships/hyperlink" Target="https://doi.org/10.3390/nu13061784" TargetMode="External"/><Relationship Id="rId416" Type="http://schemas.openxmlformats.org/officeDocument/2006/relationships/hyperlink" Target="https://doi.org/10.1002/cncr.28592" TargetMode="External"/><Relationship Id="rId220" Type="http://schemas.openxmlformats.org/officeDocument/2006/relationships/hyperlink" Target="https://doi.org/10.1186/s12870-025-06423-y" TargetMode="External"/><Relationship Id="rId15" Type="http://schemas.openxmlformats.org/officeDocument/2006/relationships/hyperlink" Target="https://doi.org/10.12740/PP/129447" TargetMode="External"/><Relationship Id="rId57" Type="http://schemas.openxmlformats.org/officeDocument/2006/relationships/hyperlink" Target="https://doi.org/10.1007/s00520-013-1921-2" TargetMode="External"/><Relationship Id="rId262" Type="http://schemas.openxmlformats.org/officeDocument/2006/relationships/hyperlink" Target="https://doi.org/10.3389/fphar.2017.00656" TargetMode="External"/><Relationship Id="rId318" Type="http://schemas.openxmlformats.org/officeDocument/2006/relationships/hyperlink" Target="https://doi.org/10.1002/jbt.23405" TargetMode="External"/><Relationship Id="rId99" Type="http://schemas.openxmlformats.org/officeDocument/2006/relationships/hyperlink" Target="https://doi.org/10.3164/jcbn.14-1" TargetMode="External"/><Relationship Id="rId122" Type="http://schemas.openxmlformats.org/officeDocument/2006/relationships/hyperlink" Target="https://doi.org/10.7324/JAPS.2020.101119" TargetMode="External"/><Relationship Id="rId164" Type="http://schemas.openxmlformats.org/officeDocument/2006/relationships/hyperlink" Target="https://doi.org/10.1007/s11746-014-2503-4" TargetMode="External"/><Relationship Id="rId371" Type="http://schemas.openxmlformats.org/officeDocument/2006/relationships/hyperlink" Target="https://doi.org/10.1155/2019/1528635" TargetMode="External"/><Relationship Id="rId427" Type="http://schemas.openxmlformats.org/officeDocument/2006/relationships/hyperlink" Target="https://doi.org/10.1186/s12870-025-06423-y" TargetMode="External"/><Relationship Id="rId26" Type="http://schemas.openxmlformats.org/officeDocument/2006/relationships/hyperlink" Target="https://doi.org/10.3322/caac.21660" TargetMode="External"/><Relationship Id="rId231" Type="http://schemas.openxmlformats.org/officeDocument/2006/relationships/hyperlink" Target="https://doi.org/10.1016/j.jobcr.2021.08.006" TargetMode="External"/><Relationship Id="rId273" Type="http://schemas.openxmlformats.org/officeDocument/2006/relationships/hyperlink" Target="https://doi.org/10.48048/tis.2024.8105" TargetMode="External"/><Relationship Id="rId329" Type="http://schemas.openxmlformats.org/officeDocument/2006/relationships/hyperlink" Target="https://doi.org/10.1055/s-0035-1557838" TargetMode="External"/><Relationship Id="rId68" Type="http://schemas.openxmlformats.org/officeDocument/2006/relationships/hyperlink" Target="https://doi.org/10.1002/cncr.28592" TargetMode="External"/><Relationship Id="rId133" Type="http://schemas.openxmlformats.org/officeDocument/2006/relationships/hyperlink" Target="https://doi.org/10.1007/s00280-006-0420-5" TargetMode="External"/><Relationship Id="rId175" Type="http://schemas.openxmlformats.org/officeDocument/2006/relationships/hyperlink" Target="https://doi.org/10.1007/s00210-022-02343-y" TargetMode="External"/><Relationship Id="rId340" Type="http://schemas.openxmlformats.org/officeDocument/2006/relationships/hyperlink" Target="https://doi.org/10.3390/nu13061784" TargetMode="External"/><Relationship Id="rId200" Type="http://schemas.openxmlformats.org/officeDocument/2006/relationships/hyperlink" Target="https://doi.org/10.1155/2019/1528635" TargetMode="External"/><Relationship Id="rId382" Type="http://schemas.openxmlformats.org/officeDocument/2006/relationships/hyperlink" Target="https://doi.org/10.62400/jbs.v5i1.6365" TargetMode="External"/><Relationship Id="rId242" Type="http://schemas.openxmlformats.org/officeDocument/2006/relationships/hyperlink" Target="https://doi.org/10.1002/cncr.20162" TargetMode="External"/><Relationship Id="rId284" Type="http://schemas.openxmlformats.org/officeDocument/2006/relationships/hyperlink" Target="https://doi.org/10.3390/cancers16020260" TargetMode="External"/><Relationship Id="rId37" Type="http://schemas.openxmlformats.org/officeDocument/2006/relationships/hyperlink" Target="https://doi.org/10.1016/j.ejphar.2014.07.025" TargetMode="External"/><Relationship Id="rId79" Type="http://schemas.openxmlformats.org/officeDocument/2006/relationships/hyperlink" Target="https://doi.org/10.1097/SPC.0000000000000537" TargetMode="External"/><Relationship Id="rId102" Type="http://schemas.openxmlformats.org/officeDocument/2006/relationships/hyperlink" Target="https://doi.org/10.28932/jmh.v4i2.4632" TargetMode="External"/><Relationship Id="rId144" Type="http://schemas.openxmlformats.org/officeDocument/2006/relationships/hyperlink" Target="https://doi.org/10.1055/s-0035-1557838" TargetMode="External"/><Relationship Id="rId90" Type="http://schemas.openxmlformats.org/officeDocument/2006/relationships/hyperlink" Target="https://doi.org/10.1007/s00204-012-0850-y" TargetMode="External"/><Relationship Id="rId186" Type="http://schemas.openxmlformats.org/officeDocument/2006/relationships/hyperlink" Target="https://doi.org/10.1016/S1875-5364(16)30088-7" TargetMode="External"/><Relationship Id="rId351" Type="http://schemas.openxmlformats.org/officeDocument/2006/relationships/hyperlink" Target="https://doi.org/10.1155/2019/1528635" TargetMode="External"/><Relationship Id="rId393" Type="http://schemas.openxmlformats.org/officeDocument/2006/relationships/hyperlink" Target="https://doi.org/10.1007/s00520-013-1921-2" TargetMode="External"/><Relationship Id="rId407" Type="http://schemas.openxmlformats.org/officeDocument/2006/relationships/hyperlink" Target="https://doi.org/10.3389/fphar.2017.00656" TargetMode="External"/><Relationship Id="rId211" Type="http://schemas.openxmlformats.org/officeDocument/2006/relationships/hyperlink" Target="https://doi.org/10.62400/jbs.v5i1.6365" TargetMode="External"/><Relationship Id="rId253" Type="http://schemas.openxmlformats.org/officeDocument/2006/relationships/hyperlink" Target="https://doi.org/10.1101/cshperspect.a000034" TargetMode="External"/><Relationship Id="rId295" Type="http://schemas.openxmlformats.org/officeDocument/2006/relationships/hyperlink" Target="https://doi.org/10.1038/nrc2812" TargetMode="External"/><Relationship Id="rId309" Type="http://schemas.openxmlformats.org/officeDocument/2006/relationships/hyperlink" Target="https://doi.org/10.3390/cancers16020260" TargetMode="External"/><Relationship Id="rId48" Type="http://schemas.openxmlformats.org/officeDocument/2006/relationships/hyperlink" Target="https://doi.org/10.1039/c8dt00838h" TargetMode="External"/><Relationship Id="rId113" Type="http://schemas.openxmlformats.org/officeDocument/2006/relationships/hyperlink" Target="https://doi.org/10.62400/jbs.v5i1.6365" TargetMode="External"/><Relationship Id="rId320" Type="http://schemas.openxmlformats.org/officeDocument/2006/relationships/hyperlink" Target="https://doi.org/10.28932/jmh.v4i2.4632" TargetMode="External"/><Relationship Id="rId155" Type="http://schemas.openxmlformats.org/officeDocument/2006/relationships/hyperlink" Target="https://doi.org/10.1186/s12870-025-06423-y" TargetMode="External"/><Relationship Id="rId197" Type="http://schemas.openxmlformats.org/officeDocument/2006/relationships/hyperlink" Target="https://doi.org/10.1007/978-3-7643-8340-4_6" TargetMode="External"/><Relationship Id="rId362" Type="http://schemas.openxmlformats.org/officeDocument/2006/relationships/hyperlink" Target="https://doi.org/10.48048/tis.2024.8105" TargetMode="External"/><Relationship Id="rId418" Type="http://schemas.openxmlformats.org/officeDocument/2006/relationships/hyperlink" Target="https://doi.org/10.1038/sigtrans.2017.23" TargetMode="External"/><Relationship Id="rId222" Type="http://schemas.openxmlformats.org/officeDocument/2006/relationships/hyperlink" Target="https://doi.org/10.1155/2019/1528635" TargetMode="External"/><Relationship Id="rId264" Type="http://schemas.openxmlformats.org/officeDocument/2006/relationships/hyperlink" Target="https://doi.org/10.3390/nu13061784" TargetMode="External"/><Relationship Id="rId17" Type="http://schemas.openxmlformats.org/officeDocument/2006/relationships/hyperlink" Target="https://doi.org/10.1016/j.ejca.2020.01.011" TargetMode="External"/><Relationship Id="rId59" Type="http://schemas.openxmlformats.org/officeDocument/2006/relationships/hyperlink" Target="https://doi.org/10.1007/s00210-022-02343-y" TargetMode="External"/><Relationship Id="rId124" Type="http://schemas.openxmlformats.org/officeDocument/2006/relationships/hyperlink" Target="https://doi.org/10.3389/fonc.2021.645166" TargetMode="External"/><Relationship Id="rId70" Type="http://schemas.openxmlformats.org/officeDocument/2006/relationships/hyperlink" Target="https://doi.org/10.3389/froh.2022.995160" TargetMode="External"/><Relationship Id="rId166" Type="http://schemas.openxmlformats.org/officeDocument/2006/relationships/hyperlink" Target="https://doi.org/10.1371/journal.pone.0272457" TargetMode="External"/><Relationship Id="rId331" Type="http://schemas.openxmlformats.org/officeDocument/2006/relationships/hyperlink" Target="https://doi.org/10.3390/cancers16020260" TargetMode="External"/><Relationship Id="rId373" Type="http://schemas.openxmlformats.org/officeDocument/2006/relationships/hyperlink" Target="https://doi.org/10.3390/cancers16020260" TargetMode="External"/><Relationship Id="rId429" Type="http://schemas.openxmlformats.org/officeDocument/2006/relationships/hyperlink" Target="https://doi.org/10.1038/nrc2812" TargetMode="External"/><Relationship Id="rId1" Type="http://schemas.openxmlformats.org/officeDocument/2006/relationships/customXml" Target="../customXml/item1.xml"/><Relationship Id="rId233" Type="http://schemas.openxmlformats.org/officeDocument/2006/relationships/hyperlink" Target="https://doi.org/10.1002/cncr.285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76D29-FA74-426D-8BBE-839496CBA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1</Pages>
  <Words>76543</Words>
  <Characters>436297</Characters>
  <Application>Microsoft Office Word</Application>
  <DocSecurity>0</DocSecurity>
  <Lines>3635</Lines>
  <Paragraphs>1023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Flash</dc:creator>
  <cp:lastModifiedBy>EUREKA</cp:lastModifiedBy>
  <cp:revision>38</cp:revision>
  <cp:lastPrinted>2026-02-28T07:34:00Z</cp:lastPrinted>
  <dcterms:created xsi:type="dcterms:W3CDTF">2026-02-22T04:57:00Z</dcterms:created>
  <dcterms:modified xsi:type="dcterms:W3CDTF">2026-02-28T07:35:00Z</dcterms:modified>
</cp:coreProperties>
</file>