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5DA77" w14:textId="77777777" w:rsidR="00F906E2" w:rsidRDefault="00000000">
      <w:pPr>
        <w:ind w:left="1" w:hanging="3"/>
        <w:jc w:val="center"/>
        <w:rPr>
          <w:rFonts w:ascii="Tahoma" w:eastAsia="Tahoma" w:hAnsi="Tahoma" w:cs="Tahoma"/>
          <w:sz w:val="32"/>
          <w:szCs w:val="32"/>
        </w:rPr>
      </w:pPr>
      <w:r>
        <w:rPr>
          <w:rFonts w:ascii="Tahoma" w:eastAsia="Tahoma" w:hAnsi="Tahoma" w:cs="Tahoma"/>
          <w:b/>
          <w:sz w:val="32"/>
          <w:szCs w:val="32"/>
        </w:rPr>
        <w:t>COPYRIGHT TRANSFER AND AUTHOR STATEMENTS</w:t>
      </w:r>
    </w:p>
    <w:p w14:paraId="008AEEC9" w14:textId="77777777" w:rsidR="00F906E2" w:rsidRDefault="00F906E2">
      <w:pPr>
        <w:ind w:left="0" w:hanging="2"/>
        <w:jc w:val="center"/>
        <w:rPr>
          <w:rFonts w:ascii="Tahoma" w:eastAsia="Tahoma" w:hAnsi="Tahoma" w:cs="Tahoma"/>
          <w:sz w:val="18"/>
          <w:szCs w:val="18"/>
        </w:rPr>
      </w:pPr>
    </w:p>
    <w:p w14:paraId="6CF7498B" w14:textId="77777777" w:rsidR="00F906E2" w:rsidRDefault="00F906E2">
      <w:pPr>
        <w:ind w:left="0" w:hanging="2"/>
        <w:jc w:val="center"/>
        <w:rPr>
          <w:rFonts w:ascii="Tahoma" w:eastAsia="Tahoma" w:hAnsi="Tahoma" w:cs="Tahoma"/>
          <w:sz w:val="18"/>
          <w:szCs w:val="18"/>
        </w:rPr>
      </w:pPr>
    </w:p>
    <w:p w14:paraId="65CD3FFF"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 xml:space="preserve">Please complete and sign this form and send it back to us with the final version of your manuscript. It is required to obtain a written confirmation from authors in order to acquire copyrights for papers published by </w:t>
      </w:r>
      <w:r>
        <w:rPr>
          <w:rFonts w:ascii="Tahoma" w:eastAsia="Tahoma" w:hAnsi="Tahoma" w:cs="Tahoma"/>
          <w:b/>
          <w:sz w:val="18"/>
          <w:szCs w:val="18"/>
        </w:rPr>
        <w:t>Majalah Obstetri &amp; Ginekologi (Journal of Obstetrics &amp; Gynecology Science/MOG)</w:t>
      </w:r>
      <w:r>
        <w:rPr>
          <w:rFonts w:ascii="Tahoma" w:eastAsia="Tahoma" w:hAnsi="Tahoma" w:cs="Tahoma"/>
          <w:sz w:val="18"/>
          <w:szCs w:val="18"/>
        </w:rPr>
        <w:t>.</w:t>
      </w:r>
    </w:p>
    <w:p w14:paraId="0E1D119A" w14:textId="77777777" w:rsidR="00F906E2" w:rsidRDefault="00F906E2">
      <w:pPr>
        <w:ind w:left="0" w:hanging="2"/>
        <w:jc w:val="both"/>
        <w:rPr>
          <w:rFonts w:ascii="Tahoma" w:eastAsia="Tahoma" w:hAnsi="Tahoma" w:cs="Tahoma"/>
          <w:sz w:val="18"/>
          <w:szCs w:val="18"/>
        </w:rPr>
      </w:pPr>
    </w:p>
    <w:tbl>
      <w:tblPr>
        <w:tblStyle w:val="a"/>
        <w:tblW w:w="80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6"/>
        <w:gridCol w:w="5563"/>
      </w:tblGrid>
      <w:tr w:rsidR="00F906E2" w14:paraId="4E593E7F" w14:textId="77777777">
        <w:trPr>
          <w:jc w:val="center"/>
        </w:trPr>
        <w:tc>
          <w:tcPr>
            <w:tcW w:w="2446" w:type="dxa"/>
          </w:tcPr>
          <w:p w14:paraId="0C38ED02"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Full Name and Surname</w:t>
            </w:r>
          </w:p>
        </w:tc>
        <w:tc>
          <w:tcPr>
            <w:tcW w:w="5563" w:type="dxa"/>
          </w:tcPr>
          <w:p w14:paraId="7EE911B5" w14:textId="77333B3F" w:rsidR="00F906E2" w:rsidRPr="00210D72" w:rsidRDefault="00210D72">
            <w:pPr>
              <w:widowControl/>
              <w:pBdr>
                <w:top w:val="nil"/>
                <w:left w:val="nil"/>
                <w:bottom w:val="nil"/>
                <w:right w:val="nil"/>
                <w:between w:val="nil"/>
              </w:pBdr>
              <w:spacing w:line="240" w:lineRule="auto"/>
              <w:ind w:left="0" w:hanging="2"/>
              <w:rPr>
                <w:bCs/>
                <w:color w:val="000000"/>
                <w:sz w:val="18"/>
                <w:szCs w:val="18"/>
              </w:rPr>
            </w:pPr>
            <w:r w:rsidRPr="00210D72">
              <w:rPr>
                <w:rFonts w:eastAsia="Book Antiqua"/>
                <w:bCs/>
                <w:sz w:val="18"/>
                <w:szCs w:val="18"/>
              </w:rPr>
              <w:t>Kartini</w:t>
            </w:r>
          </w:p>
        </w:tc>
      </w:tr>
      <w:tr w:rsidR="00F906E2" w14:paraId="6BFE8108" w14:textId="77777777">
        <w:trPr>
          <w:jc w:val="center"/>
        </w:trPr>
        <w:tc>
          <w:tcPr>
            <w:tcW w:w="2446" w:type="dxa"/>
          </w:tcPr>
          <w:p w14:paraId="50BF5DC9"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Title</w:t>
            </w:r>
          </w:p>
        </w:tc>
        <w:tc>
          <w:tcPr>
            <w:tcW w:w="5563" w:type="dxa"/>
          </w:tcPr>
          <w:p w14:paraId="587DC514" w14:textId="6140778A" w:rsidR="00F906E2" w:rsidRDefault="00F906E2" w:rsidP="00210D72">
            <w:pPr>
              <w:spacing w:before="41"/>
              <w:ind w:left="0" w:right="78" w:hanging="2"/>
              <w:rPr>
                <w:color w:val="000000"/>
                <w:sz w:val="18"/>
                <w:szCs w:val="18"/>
              </w:rPr>
            </w:pPr>
          </w:p>
        </w:tc>
      </w:tr>
      <w:tr w:rsidR="00F906E2" w14:paraId="5E83442C" w14:textId="77777777">
        <w:trPr>
          <w:jc w:val="center"/>
        </w:trPr>
        <w:tc>
          <w:tcPr>
            <w:tcW w:w="2446" w:type="dxa"/>
          </w:tcPr>
          <w:p w14:paraId="1DA8F7E9"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Affiliation</w:t>
            </w:r>
          </w:p>
        </w:tc>
        <w:tc>
          <w:tcPr>
            <w:tcW w:w="5563" w:type="dxa"/>
          </w:tcPr>
          <w:p w14:paraId="763B5D9D" w14:textId="5311385A" w:rsidR="00F906E2" w:rsidRPr="00210D72" w:rsidRDefault="00210D72" w:rsidP="00210D72">
            <w:pPr>
              <w:spacing w:before="41"/>
              <w:ind w:left="0" w:right="78" w:hanging="2"/>
              <w:rPr>
                <w:rFonts w:eastAsia="Book Antiqua"/>
                <w:bCs/>
                <w:sz w:val="18"/>
                <w:szCs w:val="18"/>
              </w:rPr>
            </w:pPr>
            <w:r w:rsidRPr="00210D72">
              <w:rPr>
                <w:rFonts w:eastAsia="Book Antiqua"/>
                <w:bCs/>
                <w:sz w:val="18"/>
                <w:szCs w:val="18"/>
              </w:rPr>
              <w:t>Midwifery Interest, Department of Midwifery, Poltekkes Kemenkes Kendari, Indonesia</w:t>
            </w:r>
          </w:p>
        </w:tc>
      </w:tr>
      <w:tr w:rsidR="00F906E2" w14:paraId="0D42D815" w14:textId="77777777">
        <w:trPr>
          <w:jc w:val="center"/>
        </w:trPr>
        <w:tc>
          <w:tcPr>
            <w:tcW w:w="2446" w:type="dxa"/>
          </w:tcPr>
          <w:p w14:paraId="6CDB3ACD"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Address</w:t>
            </w:r>
          </w:p>
        </w:tc>
        <w:tc>
          <w:tcPr>
            <w:tcW w:w="5563" w:type="dxa"/>
          </w:tcPr>
          <w:p w14:paraId="316BBD1D" w14:textId="5AB5D74D" w:rsidR="00F906E2" w:rsidRDefault="00210D72">
            <w:pPr>
              <w:widowControl/>
              <w:pBdr>
                <w:top w:val="nil"/>
                <w:left w:val="nil"/>
                <w:bottom w:val="nil"/>
                <w:right w:val="nil"/>
                <w:between w:val="nil"/>
              </w:pBdr>
              <w:spacing w:line="240" w:lineRule="auto"/>
              <w:ind w:left="0" w:hanging="2"/>
              <w:rPr>
                <w:color w:val="000000"/>
                <w:sz w:val="18"/>
                <w:szCs w:val="18"/>
              </w:rPr>
            </w:pPr>
            <w:r w:rsidRPr="00210D72">
              <w:rPr>
                <w:color w:val="000000"/>
                <w:sz w:val="18"/>
                <w:szCs w:val="18"/>
              </w:rPr>
              <w:t>Jalan Beringin 3, Kendari Caddi, Kendari District, Southeast Sulawesi, Indonesia</w:t>
            </w:r>
          </w:p>
        </w:tc>
      </w:tr>
      <w:tr w:rsidR="00F906E2" w14:paraId="12E0BB8E" w14:textId="77777777">
        <w:trPr>
          <w:jc w:val="center"/>
        </w:trPr>
        <w:tc>
          <w:tcPr>
            <w:tcW w:w="2446" w:type="dxa"/>
          </w:tcPr>
          <w:p w14:paraId="5868493C"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Postal code</w:t>
            </w:r>
          </w:p>
        </w:tc>
        <w:tc>
          <w:tcPr>
            <w:tcW w:w="5563" w:type="dxa"/>
          </w:tcPr>
          <w:p w14:paraId="33CE7810" w14:textId="5B5ABAC6" w:rsidR="00F906E2" w:rsidRDefault="00210D72">
            <w:pPr>
              <w:widowControl/>
              <w:pBdr>
                <w:top w:val="nil"/>
                <w:left w:val="nil"/>
                <w:bottom w:val="nil"/>
                <w:right w:val="nil"/>
                <w:between w:val="nil"/>
              </w:pBdr>
              <w:spacing w:line="240" w:lineRule="auto"/>
              <w:ind w:left="0" w:hanging="2"/>
              <w:rPr>
                <w:color w:val="000000"/>
                <w:sz w:val="18"/>
                <w:szCs w:val="18"/>
              </w:rPr>
            </w:pPr>
            <w:r>
              <w:rPr>
                <w:color w:val="000000"/>
                <w:sz w:val="18"/>
                <w:szCs w:val="18"/>
              </w:rPr>
              <w:t>93127</w:t>
            </w:r>
          </w:p>
        </w:tc>
      </w:tr>
      <w:tr w:rsidR="00F906E2" w14:paraId="1AE76DD4" w14:textId="77777777">
        <w:trPr>
          <w:jc w:val="center"/>
        </w:trPr>
        <w:tc>
          <w:tcPr>
            <w:tcW w:w="2446" w:type="dxa"/>
          </w:tcPr>
          <w:p w14:paraId="528803D6"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City</w:t>
            </w:r>
          </w:p>
        </w:tc>
        <w:tc>
          <w:tcPr>
            <w:tcW w:w="5563" w:type="dxa"/>
          </w:tcPr>
          <w:p w14:paraId="47080CFF" w14:textId="6734C751" w:rsidR="00F906E2" w:rsidRDefault="00210D72">
            <w:pPr>
              <w:widowControl/>
              <w:pBdr>
                <w:top w:val="nil"/>
                <w:left w:val="nil"/>
                <w:bottom w:val="nil"/>
                <w:right w:val="nil"/>
                <w:between w:val="nil"/>
              </w:pBdr>
              <w:spacing w:line="240" w:lineRule="auto"/>
              <w:ind w:left="0" w:hanging="2"/>
              <w:rPr>
                <w:color w:val="000000"/>
                <w:sz w:val="18"/>
                <w:szCs w:val="18"/>
              </w:rPr>
            </w:pPr>
            <w:r>
              <w:rPr>
                <w:color w:val="000000"/>
                <w:sz w:val="18"/>
                <w:szCs w:val="18"/>
              </w:rPr>
              <w:t>Kendari</w:t>
            </w:r>
          </w:p>
        </w:tc>
      </w:tr>
      <w:tr w:rsidR="00F906E2" w14:paraId="055D4DA3" w14:textId="77777777">
        <w:trPr>
          <w:jc w:val="center"/>
        </w:trPr>
        <w:tc>
          <w:tcPr>
            <w:tcW w:w="2446" w:type="dxa"/>
          </w:tcPr>
          <w:p w14:paraId="3B6D13AA"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Country</w:t>
            </w:r>
          </w:p>
        </w:tc>
        <w:tc>
          <w:tcPr>
            <w:tcW w:w="5563" w:type="dxa"/>
          </w:tcPr>
          <w:p w14:paraId="62983CB1" w14:textId="558F58D4" w:rsidR="00F906E2" w:rsidRPr="00210D72" w:rsidRDefault="00210D72" w:rsidP="00210D72">
            <w:pPr>
              <w:spacing w:before="41"/>
              <w:ind w:left="0" w:right="78" w:hanging="2"/>
              <w:rPr>
                <w:rFonts w:eastAsia="Book Antiqua"/>
                <w:bCs/>
                <w:sz w:val="18"/>
                <w:szCs w:val="18"/>
              </w:rPr>
            </w:pPr>
            <w:r w:rsidRPr="00210D72">
              <w:rPr>
                <w:rFonts w:eastAsia="Book Antiqua"/>
                <w:bCs/>
                <w:sz w:val="18"/>
                <w:szCs w:val="18"/>
              </w:rPr>
              <w:t>Indonesia</w:t>
            </w:r>
          </w:p>
        </w:tc>
      </w:tr>
      <w:tr w:rsidR="00F906E2" w14:paraId="0F6742F1" w14:textId="77777777">
        <w:trPr>
          <w:jc w:val="center"/>
        </w:trPr>
        <w:tc>
          <w:tcPr>
            <w:tcW w:w="2446" w:type="dxa"/>
          </w:tcPr>
          <w:p w14:paraId="677818F0"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Telephone</w:t>
            </w:r>
          </w:p>
        </w:tc>
        <w:tc>
          <w:tcPr>
            <w:tcW w:w="5563" w:type="dxa"/>
          </w:tcPr>
          <w:p w14:paraId="0561AE45" w14:textId="70E481B2" w:rsidR="00F906E2" w:rsidRDefault="00210D72">
            <w:pPr>
              <w:widowControl/>
              <w:pBdr>
                <w:top w:val="nil"/>
                <w:left w:val="nil"/>
                <w:bottom w:val="nil"/>
                <w:right w:val="nil"/>
                <w:between w:val="nil"/>
              </w:pBdr>
              <w:spacing w:line="240" w:lineRule="auto"/>
              <w:ind w:left="0" w:hanging="2"/>
              <w:rPr>
                <w:color w:val="000000"/>
                <w:sz w:val="18"/>
                <w:szCs w:val="18"/>
              </w:rPr>
            </w:pPr>
            <w:r w:rsidRPr="00210D72">
              <w:rPr>
                <w:color w:val="000000"/>
                <w:sz w:val="18"/>
                <w:szCs w:val="18"/>
              </w:rPr>
              <w:t>08114094899</w:t>
            </w:r>
          </w:p>
        </w:tc>
      </w:tr>
      <w:tr w:rsidR="00F906E2" w14:paraId="6DB91CCD" w14:textId="77777777">
        <w:trPr>
          <w:jc w:val="center"/>
        </w:trPr>
        <w:tc>
          <w:tcPr>
            <w:tcW w:w="2446" w:type="dxa"/>
          </w:tcPr>
          <w:p w14:paraId="077FE209"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Fax</w:t>
            </w:r>
          </w:p>
        </w:tc>
        <w:tc>
          <w:tcPr>
            <w:tcW w:w="5563" w:type="dxa"/>
          </w:tcPr>
          <w:p w14:paraId="500F1583" w14:textId="6EF29F3F" w:rsidR="00F906E2" w:rsidRDefault="00E54672">
            <w:pPr>
              <w:widowControl/>
              <w:pBdr>
                <w:top w:val="nil"/>
                <w:left w:val="nil"/>
                <w:bottom w:val="nil"/>
                <w:right w:val="nil"/>
                <w:between w:val="nil"/>
              </w:pBdr>
              <w:spacing w:line="240" w:lineRule="auto"/>
              <w:ind w:left="0" w:hanging="2"/>
              <w:rPr>
                <w:color w:val="000000"/>
                <w:sz w:val="18"/>
                <w:szCs w:val="18"/>
              </w:rPr>
            </w:pPr>
            <w:r w:rsidRPr="00210D72">
              <w:rPr>
                <w:color w:val="000000"/>
                <w:sz w:val="18"/>
                <w:szCs w:val="18"/>
              </w:rPr>
              <w:t>08114094899</w:t>
            </w:r>
          </w:p>
        </w:tc>
      </w:tr>
      <w:tr w:rsidR="00F906E2" w14:paraId="402B2AB5" w14:textId="77777777">
        <w:trPr>
          <w:jc w:val="center"/>
        </w:trPr>
        <w:tc>
          <w:tcPr>
            <w:tcW w:w="2446" w:type="dxa"/>
          </w:tcPr>
          <w:p w14:paraId="7192D8FC"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E-mail</w:t>
            </w:r>
          </w:p>
        </w:tc>
        <w:tc>
          <w:tcPr>
            <w:tcW w:w="5563" w:type="dxa"/>
          </w:tcPr>
          <w:p w14:paraId="299B26C5" w14:textId="45EA68C3" w:rsidR="00F906E2" w:rsidRDefault="00210D72">
            <w:pPr>
              <w:widowControl/>
              <w:pBdr>
                <w:top w:val="nil"/>
                <w:left w:val="nil"/>
                <w:bottom w:val="nil"/>
                <w:right w:val="nil"/>
                <w:between w:val="nil"/>
              </w:pBdr>
              <w:spacing w:line="240" w:lineRule="auto"/>
              <w:ind w:left="0" w:hanging="2"/>
              <w:rPr>
                <w:color w:val="000000"/>
                <w:sz w:val="18"/>
                <w:szCs w:val="18"/>
              </w:rPr>
            </w:pPr>
            <w:r w:rsidRPr="00210D72">
              <w:rPr>
                <w:color w:val="000000"/>
                <w:sz w:val="18"/>
                <w:szCs w:val="18"/>
              </w:rPr>
              <w:t>gloriakartini@gmail.com</w:t>
            </w:r>
          </w:p>
        </w:tc>
      </w:tr>
      <w:tr w:rsidR="00F906E2" w14:paraId="287B1755" w14:textId="77777777">
        <w:trPr>
          <w:jc w:val="center"/>
        </w:trPr>
        <w:tc>
          <w:tcPr>
            <w:tcW w:w="2446" w:type="dxa"/>
          </w:tcPr>
          <w:p w14:paraId="5312451C"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Paper Title</w:t>
            </w:r>
          </w:p>
        </w:tc>
        <w:tc>
          <w:tcPr>
            <w:tcW w:w="5563" w:type="dxa"/>
          </w:tcPr>
          <w:p w14:paraId="7EF21776" w14:textId="08825BF4" w:rsidR="00F906E2" w:rsidRPr="00E54672" w:rsidRDefault="00E54672" w:rsidP="00E54672">
            <w:pPr>
              <w:tabs>
                <w:tab w:val="center" w:pos="3968"/>
                <w:tab w:val="left" w:pos="5497"/>
              </w:tabs>
              <w:ind w:leftChars="0" w:left="0" w:firstLineChars="0" w:firstLine="0"/>
              <w:rPr>
                <w:rFonts w:eastAsia="Book Antiqua"/>
                <w:sz w:val="18"/>
                <w:szCs w:val="18"/>
              </w:rPr>
            </w:pPr>
            <w:r w:rsidRPr="00E54672">
              <w:rPr>
                <w:sz w:val="18"/>
                <w:szCs w:val="18"/>
              </w:rPr>
              <w:t>The Effect Of Guided Imagery And Golden Banana Cookies On Estimated Fetal Weight</w:t>
            </w:r>
          </w:p>
        </w:tc>
      </w:tr>
      <w:tr w:rsidR="00F906E2" w14:paraId="2D0BF1D8" w14:textId="77777777">
        <w:trPr>
          <w:trHeight w:val="295"/>
          <w:jc w:val="center"/>
        </w:trPr>
        <w:tc>
          <w:tcPr>
            <w:tcW w:w="2446" w:type="dxa"/>
          </w:tcPr>
          <w:p w14:paraId="153AEF53"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Authors</w:t>
            </w:r>
          </w:p>
        </w:tc>
        <w:tc>
          <w:tcPr>
            <w:tcW w:w="5563" w:type="dxa"/>
          </w:tcPr>
          <w:p w14:paraId="43EB48EE" w14:textId="1B418460" w:rsidR="00E54672" w:rsidRPr="00E54672" w:rsidRDefault="00E54672" w:rsidP="00E54672">
            <w:pPr>
              <w:pBdr>
                <w:top w:val="nil"/>
                <w:left w:val="nil"/>
                <w:bottom w:val="nil"/>
                <w:right w:val="nil"/>
                <w:between w:val="nil"/>
              </w:pBdr>
              <w:spacing w:line="240" w:lineRule="auto"/>
              <w:ind w:left="0" w:hanging="2"/>
              <w:rPr>
                <w:rFonts w:eastAsia="Gill Sans"/>
                <w:bCs/>
                <w:color w:val="000000"/>
                <w:sz w:val="18"/>
                <w:szCs w:val="18"/>
              </w:rPr>
            </w:pPr>
            <w:r w:rsidRPr="00E54672">
              <w:rPr>
                <w:rFonts w:eastAsia="Book Antiqua"/>
                <w:bCs/>
                <w:sz w:val="18"/>
                <w:szCs w:val="18"/>
              </w:rPr>
              <w:t>Kartini</w:t>
            </w:r>
            <w:r w:rsidRPr="00E54672">
              <w:rPr>
                <w:rFonts w:eastAsia="Gill Sans"/>
                <w:bCs/>
                <w:color w:val="000000"/>
                <w:sz w:val="18"/>
                <w:szCs w:val="18"/>
              </w:rPr>
              <w:t xml:space="preserve">, </w:t>
            </w:r>
            <w:r w:rsidRPr="00E54672">
              <w:rPr>
                <w:rFonts w:eastAsia="Book Antiqua"/>
                <w:bCs/>
                <w:sz w:val="18"/>
                <w:szCs w:val="18"/>
              </w:rPr>
              <w:t>Arsulfa</w:t>
            </w:r>
            <w:hyperlink r:id="rId7"/>
            <w:r w:rsidRPr="00E54672">
              <w:rPr>
                <w:rFonts w:eastAsia="Gill Sans"/>
                <w:bCs/>
                <w:color w:val="000000"/>
                <w:sz w:val="18"/>
                <w:szCs w:val="18"/>
              </w:rPr>
              <w:t xml:space="preserve">, </w:t>
            </w:r>
            <w:r w:rsidRPr="00E54672">
              <w:rPr>
                <w:rFonts w:eastAsia="Book Antiqua"/>
                <w:bCs/>
                <w:sz w:val="18"/>
                <w:szCs w:val="18"/>
              </w:rPr>
              <w:t>Farming</w:t>
            </w:r>
            <w:hyperlink r:id="rId8"/>
            <w:r w:rsidRPr="00E54672">
              <w:rPr>
                <w:rFonts w:eastAsia="Gill Sans"/>
                <w:bCs/>
                <w:color w:val="000000"/>
                <w:sz w:val="18"/>
                <w:szCs w:val="18"/>
              </w:rPr>
              <w:t xml:space="preserve">, </w:t>
            </w:r>
            <w:r w:rsidRPr="00E54672">
              <w:rPr>
                <w:rFonts w:eastAsia="Book Antiqua"/>
                <w:bCs/>
                <w:sz w:val="18"/>
                <w:szCs w:val="18"/>
              </w:rPr>
              <w:t>Sultina Sarita</w:t>
            </w:r>
            <w:hyperlink r:id="rId9"/>
            <w:r w:rsidRPr="00E54672">
              <w:rPr>
                <w:rFonts w:eastAsia="Gill Sans"/>
                <w:bCs/>
                <w:color w:val="000000"/>
                <w:sz w:val="18"/>
                <w:szCs w:val="18"/>
              </w:rPr>
              <w:t xml:space="preserve">, </w:t>
            </w:r>
            <w:r w:rsidRPr="00E54672">
              <w:rPr>
                <w:rFonts w:eastAsia="Book Antiqua"/>
                <w:bCs/>
                <w:sz w:val="18"/>
                <w:szCs w:val="18"/>
              </w:rPr>
              <w:t>Halijah</w:t>
            </w:r>
            <w:hyperlink r:id="rId10"/>
            <w:r w:rsidRPr="00E54672">
              <w:rPr>
                <w:rFonts w:eastAsia="Consolas"/>
                <w:bCs/>
                <w:color w:val="000000"/>
                <w:sz w:val="18"/>
                <w:szCs w:val="18"/>
              </w:rPr>
              <w:t xml:space="preserve">, </w:t>
            </w:r>
            <w:r w:rsidRPr="00E54672">
              <w:rPr>
                <w:rFonts w:eastAsia="Book Antiqua"/>
                <w:bCs/>
                <w:sz w:val="18"/>
                <w:szCs w:val="18"/>
              </w:rPr>
              <w:t>Syahrianti</w:t>
            </w:r>
            <w:r w:rsidRPr="00E54672">
              <w:rPr>
                <w:rFonts w:eastAsia="Gill Sans"/>
                <w:bCs/>
                <w:color w:val="000000"/>
                <w:sz w:val="18"/>
                <w:szCs w:val="18"/>
              </w:rPr>
              <w:t xml:space="preserve">, </w:t>
            </w:r>
            <w:r w:rsidRPr="00E54672">
              <w:rPr>
                <w:rFonts w:eastAsia="Book Antiqua"/>
                <w:bCs/>
                <w:sz w:val="18"/>
                <w:szCs w:val="18"/>
              </w:rPr>
              <w:t>Siti Aisa</w:t>
            </w:r>
            <w:hyperlink r:id="rId11"/>
            <w:r w:rsidRPr="00E54672">
              <w:rPr>
                <w:bCs/>
                <w:sz w:val="18"/>
                <w:szCs w:val="18"/>
              </w:rPr>
              <w:t xml:space="preserve">, </w:t>
            </w:r>
            <w:r w:rsidRPr="00E54672">
              <w:rPr>
                <w:rFonts w:eastAsia="Book Antiqua"/>
                <w:bCs/>
                <w:sz w:val="18"/>
                <w:szCs w:val="18"/>
              </w:rPr>
              <w:t>Hikmadayani</w:t>
            </w:r>
            <w:r w:rsidRPr="00E54672">
              <w:rPr>
                <w:rFonts w:eastAsia="Gill Sans"/>
                <w:bCs/>
                <w:color w:val="000000"/>
                <w:sz w:val="18"/>
                <w:szCs w:val="18"/>
              </w:rPr>
              <w:t xml:space="preserve"> </w:t>
            </w:r>
          </w:p>
          <w:p w14:paraId="10FBF5A8" w14:textId="77777777" w:rsidR="00F906E2" w:rsidRDefault="00F906E2" w:rsidP="00E54672">
            <w:pPr>
              <w:widowControl/>
              <w:pBdr>
                <w:top w:val="nil"/>
                <w:left w:val="nil"/>
                <w:bottom w:val="nil"/>
                <w:right w:val="nil"/>
                <w:between w:val="nil"/>
              </w:pBdr>
              <w:spacing w:line="240" w:lineRule="auto"/>
              <w:ind w:leftChars="0" w:left="0" w:firstLineChars="0" w:firstLine="0"/>
              <w:rPr>
                <w:color w:val="000000"/>
                <w:sz w:val="18"/>
                <w:szCs w:val="18"/>
              </w:rPr>
            </w:pPr>
          </w:p>
        </w:tc>
      </w:tr>
      <w:tr w:rsidR="00F906E2" w14:paraId="44B87F58" w14:textId="77777777">
        <w:trPr>
          <w:trHeight w:val="295"/>
          <w:jc w:val="center"/>
        </w:trPr>
        <w:tc>
          <w:tcPr>
            <w:tcW w:w="2446" w:type="dxa"/>
          </w:tcPr>
          <w:p w14:paraId="3E49ADB5" w14:textId="77777777" w:rsidR="00F906E2" w:rsidRDefault="00000000">
            <w:pPr>
              <w:widowControl/>
              <w:pBdr>
                <w:top w:val="nil"/>
                <w:left w:val="nil"/>
                <w:bottom w:val="nil"/>
                <w:right w:val="nil"/>
                <w:between w:val="nil"/>
              </w:pBdr>
              <w:spacing w:line="240" w:lineRule="auto"/>
              <w:ind w:left="0" w:hanging="2"/>
              <w:rPr>
                <w:rFonts w:ascii="Tahoma" w:eastAsia="Tahoma" w:hAnsi="Tahoma" w:cs="Tahoma"/>
                <w:color w:val="000000"/>
                <w:sz w:val="18"/>
                <w:szCs w:val="18"/>
              </w:rPr>
            </w:pPr>
            <w:r>
              <w:rPr>
                <w:rFonts w:ascii="Tahoma" w:eastAsia="Tahoma" w:hAnsi="Tahoma" w:cs="Tahoma"/>
                <w:b/>
                <w:color w:val="000000"/>
                <w:sz w:val="18"/>
                <w:szCs w:val="18"/>
              </w:rPr>
              <w:t>Manuscript ID</w:t>
            </w:r>
          </w:p>
        </w:tc>
        <w:tc>
          <w:tcPr>
            <w:tcW w:w="5563" w:type="dxa"/>
          </w:tcPr>
          <w:p w14:paraId="2B99C21C" w14:textId="77777777" w:rsidR="00F906E2" w:rsidRDefault="00000000">
            <w:pPr>
              <w:widowControl/>
              <w:pBdr>
                <w:top w:val="nil"/>
                <w:left w:val="nil"/>
                <w:bottom w:val="nil"/>
                <w:right w:val="nil"/>
                <w:between w:val="nil"/>
              </w:pBdr>
              <w:spacing w:line="240" w:lineRule="auto"/>
              <w:ind w:left="0" w:hanging="2"/>
              <w:rPr>
                <w:color w:val="000000"/>
                <w:sz w:val="18"/>
                <w:szCs w:val="18"/>
              </w:rPr>
            </w:pPr>
            <w:r>
              <w:rPr>
                <w:sz w:val="18"/>
                <w:szCs w:val="18"/>
              </w:rPr>
              <w:t>(filled by the editorial assistant)</w:t>
            </w:r>
          </w:p>
        </w:tc>
      </w:tr>
    </w:tbl>
    <w:p w14:paraId="74FA1E45" w14:textId="77777777" w:rsidR="00F906E2" w:rsidRDefault="00F906E2">
      <w:pPr>
        <w:ind w:left="0" w:hanging="2"/>
        <w:rPr>
          <w:sz w:val="18"/>
          <w:szCs w:val="18"/>
        </w:rPr>
      </w:pPr>
      <w:bookmarkStart w:id="0" w:name="bookmark=id.gjdgxs" w:colFirst="0" w:colLast="0"/>
      <w:bookmarkEnd w:id="0"/>
    </w:p>
    <w:p w14:paraId="3A682BF6" w14:textId="77777777" w:rsidR="00F906E2" w:rsidRDefault="00000000">
      <w:pPr>
        <w:ind w:left="0" w:right="424" w:hanging="2"/>
        <w:jc w:val="center"/>
        <w:rPr>
          <w:rFonts w:ascii="Tahoma" w:eastAsia="Tahoma" w:hAnsi="Tahoma" w:cs="Tahoma"/>
          <w:sz w:val="18"/>
          <w:szCs w:val="18"/>
        </w:rPr>
      </w:pPr>
      <w:r>
        <w:rPr>
          <w:rFonts w:ascii="Tahoma" w:eastAsia="Tahoma" w:hAnsi="Tahoma" w:cs="Tahoma"/>
          <w:b/>
          <w:sz w:val="18"/>
          <w:szCs w:val="18"/>
        </w:rPr>
        <w:t>Copyright Transfer Statement</w:t>
      </w:r>
    </w:p>
    <w:p w14:paraId="496B4F9D" w14:textId="77777777" w:rsidR="00F906E2" w:rsidRDefault="00F906E2">
      <w:pPr>
        <w:ind w:left="0" w:right="424" w:hanging="2"/>
        <w:rPr>
          <w:rFonts w:ascii="Tahoma" w:eastAsia="Tahoma" w:hAnsi="Tahoma" w:cs="Tahoma"/>
          <w:sz w:val="18"/>
          <w:szCs w:val="18"/>
        </w:rPr>
      </w:pPr>
    </w:p>
    <w:p w14:paraId="34DA0C4F"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The copyright to this article is transferred to Majalah Obstetri &amp; Ginekologi (Journal of Obstetrics &amp; Gynecology Science) (MOG) if and when the article is accepted for publication. The undersigned hereby transfers any and all rights in and to the paper including without limitation all copyrights to</w:t>
      </w:r>
      <w:r>
        <w:rPr>
          <w:rFonts w:ascii="Tahoma" w:eastAsia="Tahoma" w:hAnsi="Tahoma" w:cs="Tahoma"/>
          <w:b/>
          <w:sz w:val="18"/>
          <w:szCs w:val="18"/>
        </w:rPr>
        <w:t xml:space="preserve"> </w:t>
      </w:r>
      <w:r>
        <w:rPr>
          <w:rFonts w:ascii="Tahoma" w:eastAsia="Tahoma" w:hAnsi="Tahoma" w:cs="Tahoma"/>
          <w:sz w:val="18"/>
          <w:szCs w:val="18"/>
        </w:rPr>
        <w:t>MOG. The undersigned hereby represents and warrants that the paper is original and that he/she is the author of the paper, except for material that is clearly identified as to its original source, with permission notices from the copyright owners where required. The undersigned represents that he/she has the power and authority to make and execute this assignment.</w:t>
      </w:r>
    </w:p>
    <w:p w14:paraId="2C16F71C" w14:textId="77777777" w:rsidR="00F906E2" w:rsidRDefault="00F906E2">
      <w:pPr>
        <w:widowControl/>
        <w:pBdr>
          <w:top w:val="nil"/>
          <w:left w:val="nil"/>
          <w:bottom w:val="nil"/>
          <w:right w:val="nil"/>
          <w:between w:val="nil"/>
        </w:pBdr>
        <w:spacing w:line="240" w:lineRule="auto"/>
        <w:ind w:left="0" w:right="424" w:hanging="2"/>
        <w:jc w:val="both"/>
        <w:rPr>
          <w:rFonts w:ascii="Tahoma" w:eastAsia="Tahoma" w:hAnsi="Tahoma" w:cs="Tahoma"/>
          <w:color w:val="000000"/>
          <w:sz w:val="18"/>
          <w:szCs w:val="18"/>
        </w:rPr>
      </w:pPr>
    </w:p>
    <w:p w14:paraId="0812C0CC" w14:textId="77777777" w:rsidR="00F906E2" w:rsidRDefault="00000000">
      <w:pPr>
        <w:ind w:left="0" w:right="424" w:hanging="2"/>
        <w:jc w:val="both"/>
        <w:rPr>
          <w:rFonts w:ascii="Tahoma" w:eastAsia="Tahoma" w:hAnsi="Tahoma" w:cs="Tahoma"/>
          <w:sz w:val="18"/>
          <w:szCs w:val="18"/>
        </w:rPr>
      </w:pPr>
      <w:r>
        <w:rPr>
          <w:rFonts w:ascii="Tahoma" w:eastAsia="Tahoma" w:hAnsi="Tahoma" w:cs="Tahoma"/>
          <w:b/>
          <w:sz w:val="18"/>
          <w:szCs w:val="18"/>
        </w:rPr>
        <w:t>Scholarly communication rights (CC BY-NC-SA)</w:t>
      </w:r>
    </w:p>
    <w:p w14:paraId="527AFA7F" w14:textId="77777777" w:rsidR="00F906E2" w:rsidRDefault="00F906E2">
      <w:pPr>
        <w:ind w:left="0" w:right="424" w:hanging="2"/>
        <w:jc w:val="both"/>
        <w:rPr>
          <w:rFonts w:ascii="Tahoma" w:eastAsia="Tahoma" w:hAnsi="Tahoma" w:cs="Tahoma"/>
          <w:sz w:val="18"/>
          <w:szCs w:val="18"/>
        </w:rPr>
      </w:pPr>
    </w:p>
    <w:p w14:paraId="52E8B04E"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I understand that I retain the copyright in the Article and that no rights in patents, trademarks or other intellectual property rights are transferred to the MOG. As the author of the Article, I understand that I shall have: (i) the same rights to reuse the Article as those allowed to third party users of the Article under the CC BY-NC-SA License, as well as (ii) the right to use the Article in a subsequent compilation of my works or to extend the Article to book length form, to include the Article in a thesis or dissertation, or otherwise to use or re-use portions or excerpts in other works, for both commercial and non-commercial purposes. Except for such uses, I understand that the license of publishing rights I have granted to the MOG gives the Journal the exclusive right to make or sub-license commercial use.</w:t>
      </w:r>
    </w:p>
    <w:p w14:paraId="43C075D4" w14:textId="77777777" w:rsidR="00F906E2" w:rsidRDefault="00F906E2">
      <w:pPr>
        <w:ind w:left="0" w:right="424" w:hanging="2"/>
        <w:jc w:val="both"/>
        <w:rPr>
          <w:rFonts w:ascii="Tahoma" w:eastAsia="Tahoma" w:hAnsi="Tahoma" w:cs="Tahoma"/>
          <w:sz w:val="18"/>
          <w:szCs w:val="18"/>
        </w:rPr>
      </w:pPr>
    </w:p>
    <w:p w14:paraId="49752985" w14:textId="77777777" w:rsidR="00F906E2" w:rsidRDefault="00000000">
      <w:pPr>
        <w:ind w:left="0" w:right="424" w:hanging="2"/>
        <w:jc w:val="both"/>
        <w:rPr>
          <w:rFonts w:ascii="Tahoma" w:eastAsia="Tahoma" w:hAnsi="Tahoma" w:cs="Tahoma"/>
          <w:sz w:val="18"/>
          <w:szCs w:val="18"/>
        </w:rPr>
      </w:pPr>
      <w:r>
        <w:rPr>
          <w:rFonts w:ascii="Tahoma" w:eastAsia="Tahoma" w:hAnsi="Tahoma" w:cs="Tahoma"/>
          <w:b/>
          <w:sz w:val="18"/>
          <w:szCs w:val="18"/>
        </w:rPr>
        <w:t>User rights (CC BY-NC-SA)</w:t>
      </w:r>
    </w:p>
    <w:p w14:paraId="2EC6B58C" w14:textId="77777777" w:rsidR="00F906E2" w:rsidRDefault="00F906E2">
      <w:pPr>
        <w:ind w:left="0" w:right="424" w:hanging="2"/>
        <w:jc w:val="both"/>
        <w:rPr>
          <w:rFonts w:ascii="Tahoma" w:eastAsia="Tahoma" w:hAnsi="Tahoma" w:cs="Tahoma"/>
          <w:sz w:val="18"/>
          <w:szCs w:val="18"/>
        </w:rPr>
      </w:pPr>
    </w:p>
    <w:p w14:paraId="182F9AB9"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The publisher will apply the Creative Commons Attribution-Noncommercial-ShareAlike Works 4.0 International License (CC BY-NC-SA) to the Article where it publishes the Article in the journal on its online platforms on an Open Access basis. The CC BY-NC-SA license allows users to copy, to create extracts, abstracts and new works from the Article, to alter and revise the Article, provided this is not done for commercial purposes, and that the user gives appropriate credit (with a link to the formal publication through the relevant DOI), provides a link to the license, indicates if changes were made and the licensor is not represented as endorsing the use made of the work. Further, any new works must be made available on the same conditions.</w:t>
      </w:r>
    </w:p>
    <w:p w14:paraId="754F5D08" w14:textId="77777777" w:rsidR="00F906E2" w:rsidRDefault="00F906E2">
      <w:pPr>
        <w:ind w:left="0" w:right="424" w:hanging="2"/>
        <w:jc w:val="both"/>
        <w:rPr>
          <w:rFonts w:ascii="Tahoma" w:eastAsia="Tahoma" w:hAnsi="Tahoma" w:cs="Tahoma"/>
          <w:sz w:val="18"/>
          <w:szCs w:val="18"/>
        </w:rPr>
      </w:pPr>
    </w:p>
    <w:p w14:paraId="00B0F418" w14:textId="77777777" w:rsidR="00F906E2" w:rsidRDefault="00000000">
      <w:pPr>
        <w:ind w:left="0" w:right="424" w:hanging="2"/>
        <w:jc w:val="both"/>
        <w:rPr>
          <w:rFonts w:ascii="Tahoma" w:eastAsia="Tahoma" w:hAnsi="Tahoma" w:cs="Tahoma"/>
          <w:sz w:val="18"/>
          <w:szCs w:val="18"/>
        </w:rPr>
      </w:pPr>
      <w:r>
        <w:rPr>
          <w:rFonts w:ascii="Tahoma" w:eastAsia="Tahoma" w:hAnsi="Tahoma" w:cs="Tahoma"/>
          <w:b/>
          <w:sz w:val="18"/>
          <w:szCs w:val="18"/>
        </w:rPr>
        <w:t>Reversion of rights</w:t>
      </w:r>
    </w:p>
    <w:p w14:paraId="1F90FDAF" w14:textId="77777777" w:rsidR="00F906E2" w:rsidRDefault="00F906E2">
      <w:pPr>
        <w:ind w:left="0" w:right="424" w:hanging="2"/>
        <w:jc w:val="both"/>
        <w:rPr>
          <w:rFonts w:ascii="Tahoma" w:eastAsia="Tahoma" w:hAnsi="Tahoma" w:cs="Tahoma"/>
          <w:sz w:val="18"/>
          <w:szCs w:val="18"/>
        </w:rPr>
      </w:pPr>
    </w:p>
    <w:p w14:paraId="1860E890"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Articles may sometimes be accepted for publication but later rejected in the publication process, even in some cases after public posting in "Articles in Press" form, in which event all rights will revert to the author.</w:t>
      </w:r>
    </w:p>
    <w:p w14:paraId="58C68DF4" w14:textId="77777777" w:rsidR="00F906E2" w:rsidRDefault="00F906E2">
      <w:pPr>
        <w:ind w:left="0" w:right="424" w:hanging="2"/>
        <w:jc w:val="both"/>
        <w:rPr>
          <w:rFonts w:ascii="Tahoma" w:eastAsia="Tahoma" w:hAnsi="Tahoma" w:cs="Tahoma"/>
          <w:sz w:val="18"/>
          <w:szCs w:val="18"/>
        </w:rPr>
      </w:pPr>
    </w:p>
    <w:p w14:paraId="54409D39" w14:textId="77777777" w:rsidR="00F906E2" w:rsidRDefault="00000000">
      <w:pPr>
        <w:ind w:left="0" w:right="424" w:hanging="2"/>
        <w:jc w:val="both"/>
        <w:rPr>
          <w:rFonts w:ascii="Tahoma" w:eastAsia="Tahoma" w:hAnsi="Tahoma" w:cs="Tahoma"/>
          <w:sz w:val="18"/>
          <w:szCs w:val="18"/>
        </w:rPr>
      </w:pPr>
      <w:r>
        <w:rPr>
          <w:rFonts w:ascii="Tahoma" w:eastAsia="Tahoma" w:hAnsi="Tahoma" w:cs="Tahoma"/>
          <w:b/>
          <w:sz w:val="18"/>
          <w:szCs w:val="18"/>
        </w:rPr>
        <w:t>Copyright notice</w:t>
      </w:r>
    </w:p>
    <w:p w14:paraId="4DDC721E" w14:textId="77777777" w:rsidR="00F906E2" w:rsidRDefault="00F906E2">
      <w:pPr>
        <w:ind w:left="0" w:right="424" w:hanging="2"/>
        <w:jc w:val="both"/>
        <w:rPr>
          <w:rFonts w:ascii="Tahoma" w:eastAsia="Tahoma" w:hAnsi="Tahoma" w:cs="Tahoma"/>
          <w:sz w:val="18"/>
          <w:szCs w:val="18"/>
        </w:rPr>
      </w:pPr>
    </w:p>
    <w:p w14:paraId="1D12BDA5"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The publisher shall publish and distribute the Article with the appropriate copyright notice.</w:t>
      </w:r>
    </w:p>
    <w:p w14:paraId="73022720" w14:textId="77777777" w:rsidR="00F906E2" w:rsidRDefault="00F906E2">
      <w:pPr>
        <w:ind w:left="0" w:right="424" w:hanging="2"/>
        <w:jc w:val="both"/>
        <w:rPr>
          <w:rFonts w:ascii="Tahoma" w:eastAsia="Tahoma" w:hAnsi="Tahoma" w:cs="Tahoma"/>
          <w:sz w:val="18"/>
          <w:szCs w:val="18"/>
        </w:rPr>
      </w:pPr>
    </w:p>
    <w:p w14:paraId="34A3DBB4" w14:textId="77777777" w:rsidR="00F906E2" w:rsidRDefault="00F906E2">
      <w:pPr>
        <w:ind w:left="0" w:right="424" w:hanging="2"/>
        <w:jc w:val="both"/>
        <w:rPr>
          <w:rFonts w:ascii="Tahoma" w:eastAsia="Tahoma" w:hAnsi="Tahoma" w:cs="Tahoma"/>
          <w:sz w:val="18"/>
          <w:szCs w:val="18"/>
        </w:rPr>
      </w:pPr>
    </w:p>
    <w:p w14:paraId="0D306395" w14:textId="77777777" w:rsidR="00F906E2" w:rsidRDefault="00000000">
      <w:pPr>
        <w:ind w:left="0" w:right="424" w:hanging="2"/>
        <w:jc w:val="center"/>
        <w:rPr>
          <w:rFonts w:ascii="Tahoma" w:eastAsia="Tahoma" w:hAnsi="Tahoma" w:cs="Tahoma"/>
          <w:sz w:val="18"/>
          <w:szCs w:val="18"/>
        </w:rPr>
      </w:pPr>
      <w:r>
        <w:rPr>
          <w:rFonts w:ascii="Tahoma" w:eastAsia="Tahoma" w:hAnsi="Tahoma" w:cs="Tahoma"/>
          <w:b/>
          <w:sz w:val="18"/>
          <w:szCs w:val="18"/>
        </w:rPr>
        <w:t>Author Statement</w:t>
      </w:r>
    </w:p>
    <w:p w14:paraId="146900C8" w14:textId="77777777" w:rsidR="00F906E2" w:rsidRDefault="00F906E2">
      <w:pPr>
        <w:ind w:left="0" w:right="424" w:hanging="2"/>
        <w:jc w:val="both"/>
        <w:rPr>
          <w:rFonts w:ascii="Tahoma" w:eastAsia="Tahoma" w:hAnsi="Tahoma" w:cs="Tahoma"/>
          <w:sz w:val="18"/>
          <w:szCs w:val="18"/>
        </w:rPr>
      </w:pPr>
    </w:p>
    <w:p w14:paraId="1B4FAE3C"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 The Article I have submitted to the journal for review is original, has been written by the stated authors and has not been published elsewhere.</w:t>
      </w:r>
    </w:p>
    <w:p w14:paraId="5ADBE267"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 The Article was not submitted for review to another journal while under review by this journal and will not be submitted to any other journal.</w:t>
      </w:r>
    </w:p>
    <w:p w14:paraId="40896282"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 The Article and the Supplemental Materials contain no libelous or other unlawful statements and do not contain any materials that violate any personal or proprietary rights of any other person or entity.</w:t>
      </w:r>
    </w:p>
    <w:p w14:paraId="7194EDF0"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 I have obtained written permission from copyright owners for any excerpts from copyrighted works that are included and have credited the sources in the Article or the Supplemental Materials.</w:t>
      </w:r>
    </w:p>
    <w:p w14:paraId="797912C9"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 Except as expressly set out in this License Agreement, the Article is not subject to any prior rights or licenses, and if my or any of my co-authors' institution has any policy that might restrict my ability to grant exclusive rights under this License Agreement, a written waiver of that policy has been obtained.</w:t>
      </w:r>
    </w:p>
    <w:p w14:paraId="34D299F0"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 xml:space="preserve">• If I am using any personal details or images of patients, research subjects or other individuals, I have obtained all consents required by applicable law and complied with the publisher’s policies relating to the use of such images or personal information. </w:t>
      </w:r>
    </w:p>
    <w:p w14:paraId="0E685BD7"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 If the Article or any of the Supplemental Materials were prepared jointly with other authors, I have informed the co-author(s) of the terms of this License Agreement and that I am signing on their behalf as their agent, and I am authorized to do so.</w:t>
      </w:r>
    </w:p>
    <w:p w14:paraId="5497FDCD" w14:textId="77777777" w:rsidR="00F906E2" w:rsidRDefault="00F906E2">
      <w:pPr>
        <w:ind w:left="0" w:right="424" w:hanging="2"/>
        <w:jc w:val="both"/>
        <w:rPr>
          <w:rFonts w:ascii="Tahoma" w:eastAsia="Tahoma" w:hAnsi="Tahoma" w:cs="Tahoma"/>
          <w:sz w:val="18"/>
          <w:szCs w:val="18"/>
        </w:rPr>
      </w:pPr>
    </w:p>
    <w:p w14:paraId="65F0923D"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The full details of the license are available at http://creativecommons.org/licenses/by-nc-sa/4.0.</w:t>
      </w:r>
    </w:p>
    <w:p w14:paraId="59271629" w14:textId="77777777" w:rsidR="00F906E2" w:rsidRDefault="00F906E2">
      <w:pPr>
        <w:ind w:left="0" w:right="424" w:hanging="2"/>
        <w:jc w:val="both"/>
        <w:rPr>
          <w:rFonts w:ascii="Tahoma" w:eastAsia="Tahoma" w:hAnsi="Tahoma" w:cs="Tahoma"/>
          <w:sz w:val="18"/>
          <w:szCs w:val="18"/>
        </w:rPr>
      </w:pPr>
    </w:p>
    <w:p w14:paraId="4B8A013B" w14:textId="77777777" w:rsidR="00F906E2" w:rsidRDefault="00000000">
      <w:pPr>
        <w:ind w:left="0" w:right="424" w:hanging="2"/>
        <w:jc w:val="both"/>
        <w:rPr>
          <w:rFonts w:ascii="Tahoma" w:eastAsia="Tahoma" w:hAnsi="Tahoma" w:cs="Tahoma"/>
          <w:sz w:val="18"/>
          <w:szCs w:val="18"/>
        </w:rPr>
      </w:pPr>
      <w:r>
        <w:rPr>
          <w:rFonts w:ascii="Tahoma" w:eastAsia="Tahoma" w:hAnsi="Tahoma" w:cs="Tahoma"/>
          <w:sz w:val="18"/>
          <w:szCs w:val="18"/>
        </w:rPr>
        <w:t>The corresponding author signs for and accepts responsibility for releasing this material on behalf of any and all co-authors. This agreement is to be signed by at least one of the authors who have obtained the assent of the co-author(s) where applicable. After submission of this agreement signed by the corresponding author, changes of authorship or in the order of the authors listed will not be accepted.</w:t>
      </w:r>
    </w:p>
    <w:p w14:paraId="085E0236" w14:textId="77777777" w:rsidR="00F906E2" w:rsidRDefault="00F906E2">
      <w:pPr>
        <w:ind w:left="0" w:right="424" w:hanging="2"/>
        <w:rPr>
          <w:rFonts w:ascii="Tahoma" w:eastAsia="Tahoma" w:hAnsi="Tahoma" w:cs="Tahoma"/>
          <w:color w:val="FF0000"/>
          <w:sz w:val="18"/>
          <w:szCs w:val="18"/>
        </w:rPr>
      </w:pPr>
    </w:p>
    <w:p w14:paraId="198799ED" w14:textId="77777777" w:rsidR="00F906E2" w:rsidRDefault="00F906E2">
      <w:pPr>
        <w:ind w:left="0" w:right="424" w:hanging="2"/>
        <w:rPr>
          <w:rFonts w:ascii="Tahoma" w:eastAsia="Tahoma" w:hAnsi="Tahoma" w:cs="Tahoma"/>
          <w:color w:val="FF0000"/>
          <w:sz w:val="18"/>
          <w:szCs w:val="18"/>
        </w:rPr>
      </w:pPr>
    </w:p>
    <w:p w14:paraId="0228D771" w14:textId="77777777" w:rsidR="00F906E2" w:rsidRDefault="00000000">
      <w:pPr>
        <w:ind w:left="0" w:right="424" w:hanging="2"/>
        <w:rPr>
          <w:rFonts w:ascii="Tahoma" w:eastAsia="Tahoma" w:hAnsi="Tahoma" w:cs="Tahoma"/>
          <w:sz w:val="18"/>
          <w:szCs w:val="18"/>
        </w:rPr>
      </w:pPr>
      <w:r>
        <w:rPr>
          <w:rFonts w:ascii="Tahoma" w:eastAsia="Tahoma" w:hAnsi="Tahoma" w:cs="Tahoma"/>
          <w:sz w:val="18"/>
          <w:szCs w:val="18"/>
        </w:rPr>
        <w:t>Yours Sincerely,</w:t>
      </w:r>
    </w:p>
    <w:p w14:paraId="73DDC252" w14:textId="77777777" w:rsidR="00F906E2" w:rsidRDefault="00F906E2">
      <w:pPr>
        <w:ind w:left="0" w:right="424" w:hanging="2"/>
        <w:rPr>
          <w:rFonts w:ascii="Tahoma" w:eastAsia="Tahoma" w:hAnsi="Tahoma" w:cs="Tahoma"/>
          <w:sz w:val="18"/>
          <w:szCs w:val="18"/>
        </w:rPr>
      </w:pPr>
    </w:p>
    <w:p w14:paraId="1D74AD71" w14:textId="77777777" w:rsidR="00F906E2" w:rsidRDefault="00F906E2">
      <w:pPr>
        <w:ind w:left="0" w:right="424" w:hanging="2"/>
        <w:rPr>
          <w:rFonts w:ascii="Tahoma" w:eastAsia="Tahoma" w:hAnsi="Tahoma" w:cs="Tahoma"/>
          <w:sz w:val="18"/>
          <w:szCs w:val="18"/>
        </w:rPr>
      </w:pPr>
    </w:p>
    <w:p w14:paraId="202E96F4" w14:textId="00718197" w:rsidR="00F906E2" w:rsidRDefault="00000000">
      <w:pPr>
        <w:ind w:left="0" w:right="424" w:hanging="2"/>
        <w:rPr>
          <w:rFonts w:ascii="Tahoma" w:eastAsia="Tahoma" w:hAnsi="Tahoma" w:cs="Tahoma"/>
          <w:sz w:val="18"/>
          <w:szCs w:val="18"/>
        </w:rPr>
      </w:pPr>
      <w:r>
        <w:rPr>
          <w:rFonts w:ascii="Tahoma" w:eastAsia="Tahoma" w:hAnsi="Tahoma" w:cs="Tahoma"/>
          <w:sz w:val="18"/>
          <w:szCs w:val="18"/>
        </w:rPr>
        <w:t>Corresponding Author‘s Full Name :</w:t>
      </w:r>
      <w:r w:rsidR="0005355A">
        <w:rPr>
          <w:rFonts w:ascii="Tahoma" w:eastAsia="Tahoma" w:hAnsi="Tahoma" w:cs="Tahoma"/>
          <w:sz w:val="18"/>
          <w:szCs w:val="18"/>
        </w:rPr>
        <w:tab/>
        <w:t>Kartini</w:t>
      </w:r>
      <w:r w:rsidR="0005355A">
        <w:rPr>
          <w:rFonts w:ascii="Tahoma" w:eastAsia="Tahoma" w:hAnsi="Tahoma" w:cs="Tahoma"/>
          <w:sz w:val="18"/>
          <w:szCs w:val="18"/>
        </w:rPr>
        <w:tab/>
      </w:r>
      <w:r w:rsidR="0005355A">
        <w:rPr>
          <w:rFonts w:ascii="Tahoma" w:eastAsia="Tahoma" w:hAnsi="Tahoma" w:cs="Tahoma"/>
          <w:sz w:val="18"/>
          <w:szCs w:val="18"/>
        </w:rPr>
        <w:tab/>
      </w:r>
      <w:r w:rsidR="0005355A">
        <w:rPr>
          <w:rFonts w:ascii="Tahoma" w:eastAsia="Tahoma" w:hAnsi="Tahoma" w:cs="Tahoma"/>
          <w:sz w:val="18"/>
          <w:szCs w:val="18"/>
        </w:rPr>
        <w:tab/>
      </w:r>
      <w:r>
        <w:rPr>
          <w:rFonts w:ascii="Tahoma" w:eastAsia="Tahoma" w:hAnsi="Tahoma" w:cs="Tahoma"/>
          <w:sz w:val="18"/>
          <w:szCs w:val="18"/>
        </w:rPr>
        <w:t xml:space="preserve">           Signature : </w:t>
      </w:r>
      <w:r w:rsidR="0005355A">
        <w:rPr>
          <w:rFonts w:ascii="Tahoma" w:eastAsia="Tahoma" w:hAnsi="Tahoma" w:cs="Tahoma"/>
          <w:sz w:val="18"/>
          <w:szCs w:val="18"/>
        </w:rPr>
        <w:tab/>
      </w:r>
    </w:p>
    <w:p w14:paraId="3661CC62" w14:textId="77777777" w:rsidR="00F906E2" w:rsidRDefault="00F906E2">
      <w:pPr>
        <w:ind w:left="0" w:right="424" w:hanging="2"/>
        <w:rPr>
          <w:rFonts w:ascii="Tahoma" w:eastAsia="Tahoma" w:hAnsi="Tahoma" w:cs="Tahoma"/>
          <w:sz w:val="18"/>
          <w:szCs w:val="18"/>
        </w:rPr>
      </w:pPr>
    </w:p>
    <w:p w14:paraId="60EA98DA" w14:textId="77777777" w:rsidR="00F906E2" w:rsidRDefault="00F906E2">
      <w:pPr>
        <w:ind w:left="0" w:right="424" w:hanging="2"/>
        <w:rPr>
          <w:rFonts w:ascii="Tahoma" w:eastAsia="Tahoma" w:hAnsi="Tahoma" w:cs="Tahoma"/>
          <w:sz w:val="18"/>
          <w:szCs w:val="18"/>
        </w:rPr>
      </w:pPr>
    </w:p>
    <w:p w14:paraId="22F6C774" w14:textId="2EEC12B9" w:rsidR="00F906E2" w:rsidRDefault="00000000">
      <w:pPr>
        <w:ind w:left="0" w:right="424" w:hanging="2"/>
        <w:rPr>
          <w:rFonts w:ascii="Tahoma" w:eastAsia="Tahoma" w:hAnsi="Tahoma" w:cs="Tahoma"/>
          <w:sz w:val="18"/>
          <w:szCs w:val="18"/>
        </w:rPr>
      </w:pPr>
      <w:r>
        <w:rPr>
          <w:rFonts w:ascii="Tahoma" w:eastAsia="Tahoma" w:hAnsi="Tahoma" w:cs="Tahoma"/>
          <w:sz w:val="18"/>
          <w:szCs w:val="18"/>
        </w:rPr>
        <w:t xml:space="preserve">Date : </w:t>
      </w:r>
      <w:r w:rsidR="0005355A">
        <w:rPr>
          <w:rFonts w:ascii="Tahoma" w:eastAsia="Tahoma" w:hAnsi="Tahoma" w:cs="Tahoma"/>
          <w:sz w:val="18"/>
          <w:szCs w:val="18"/>
        </w:rPr>
        <w:t>18, February 2026</w:t>
      </w:r>
    </w:p>
    <w:p w14:paraId="704E61F6" w14:textId="77777777" w:rsidR="00F906E2" w:rsidRDefault="00F906E2">
      <w:pPr>
        <w:ind w:left="0" w:hanging="2"/>
        <w:rPr>
          <w:rFonts w:ascii="Tahoma" w:eastAsia="Tahoma" w:hAnsi="Tahoma" w:cs="Tahoma"/>
          <w:sz w:val="18"/>
          <w:szCs w:val="18"/>
        </w:rPr>
      </w:pPr>
    </w:p>
    <w:sectPr w:rsidR="00F906E2">
      <w:headerReference w:type="default" r:id="rId12"/>
      <w:footerReference w:type="even" r:id="rId13"/>
      <w:footerReference w:type="default" r:id="rId14"/>
      <w:pgSz w:w="11907" w:h="16840"/>
      <w:pgMar w:top="539" w:right="567" w:bottom="539" w:left="1418"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5032" w14:textId="77777777" w:rsidR="00484EDC" w:rsidRDefault="00484EDC">
      <w:pPr>
        <w:spacing w:line="240" w:lineRule="auto"/>
        <w:ind w:left="0" w:hanging="2"/>
      </w:pPr>
      <w:r>
        <w:separator/>
      </w:r>
    </w:p>
  </w:endnote>
  <w:endnote w:type="continuationSeparator" w:id="0">
    <w:p w14:paraId="54A81212" w14:textId="77777777" w:rsidR="00484EDC" w:rsidRDefault="00484ED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568DE3A-CC79-4B42-AE9B-4B396313BDDD}"/>
    <w:embedBold r:id="rId2" w:fontKey="{431BCB3D-E2AA-490F-962B-D5243261DA32}"/>
  </w:font>
  <w:font w:name="Frutiger 45 Ligh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3" w:fontKey="{FF756E68-BD06-409D-AF90-B992B74CF87B}"/>
    <w:embedItalic r:id="rId4" w:fontKey="{3B1ACE2F-D7BF-439C-B894-041417E49C82}"/>
  </w:font>
  <w:font w:name="Book Antiqua">
    <w:panose1 w:val="02040602050305030304"/>
    <w:charset w:val="00"/>
    <w:family w:val="roman"/>
    <w:pitch w:val="variable"/>
    <w:sig w:usb0="00000287" w:usb1="00000000" w:usb2="00000000" w:usb3="00000000" w:csb0="0000009F" w:csb1="00000000"/>
    <w:embedRegular r:id="rId5" w:fontKey="{9BFD4F75-5557-4563-BB6F-775E28E36DD0}"/>
  </w:font>
  <w:font w:name="Gill Sans">
    <w:altName w:val="Calibri"/>
    <w:charset w:val="00"/>
    <w:family w:val="auto"/>
    <w:pitch w:val="default"/>
  </w:font>
  <w:font w:name="Consolas">
    <w:panose1 w:val="020B0609020204030204"/>
    <w:charset w:val="00"/>
    <w:family w:val="modern"/>
    <w:pitch w:val="fixed"/>
    <w:sig w:usb0="E00006FF" w:usb1="0000FCFF" w:usb2="00000001" w:usb3="00000000" w:csb0="0000019F" w:csb1="00000000"/>
    <w:embedRegular r:id="rId6" w:fontKey="{A2B2391D-8DD2-42BE-BC1C-BEDBF9B1F5FC}"/>
  </w:font>
  <w:font w:name="Bookman Old Style">
    <w:panose1 w:val="02050604050505020204"/>
    <w:charset w:val="00"/>
    <w:family w:val="roman"/>
    <w:pitch w:val="variable"/>
    <w:sig w:usb0="00000287" w:usb1="00000000" w:usb2="00000000" w:usb3="00000000" w:csb0="0000009F" w:csb1="00000000"/>
    <w:embedRegular r:id="rId7" w:fontKey="{09DFCC05-2F79-4B1C-A689-DE8E90980A8F}"/>
    <w:embedBold r:id="rId8" w:fontKey="{709CED01-74ED-44A8-9F35-458F1A5CA062}"/>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9" w:fontKey="{14F52BAD-14D2-43F3-899E-F6042319465E}"/>
  </w:font>
  <w:font w:name="Calibri">
    <w:panose1 w:val="020F0502020204030204"/>
    <w:charset w:val="00"/>
    <w:family w:val="swiss"/>
    <w:pitch w:val="variable"/>
    <w:sig w:usb0="E4002EFF" w:usb1="C200247B" w:usb2="00000009" w:usb3="00000000" w:csb0="000001FF" w:csb1="00000000"/>
    <w:embedRegular r:id="rId10" w:fontKey="{7D1A1501-F00F-4588-8A98-677F6A1B9EAE}"/>
  </w:font>
  <w:font w:name="Cambria">
    <w:altName w:val="Cambria"/>
    <w:panose1 w:val="02040503050406030204"/>
    <w:charset w:val="00"/>
    <w:family w:val="roman"/>
    <w:pitch w:val="variable"/>
    <w:sig w:usb0="E00006FF" w:usb1="420024FF" w:usb2="02000000" w:usb3="00000000" w:csb0="0000019F" w:csb1="00000000"/>
    <w:embedRegular r:id="rId11" w:fontKey="{51003DDB-78C0-48A5-9422-00C0B76D2D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0ABE" w14:textId="77777777" w:rsidR="00F906E2" w:rsidRDefault="00000000">
    <w:pPr>
      <w:pBdr>
        <w:top w:val="nil"/>
        <w:left w:val="nil"/>
        <w:bottom w:val="nil"/>
        <w:right w:val="nil"/>
        <w:between w:val="nil"/>
      </w:pBdr>
      <w:tabs>
        <w:tab w:val="center" w:pos="4320"/>
        <w:tab w:val="right" w:pos="8640"/>
      </w:tabs>
      <w:spacing w:line="240" w:lineRule="auto"/>
      <w:ind w:left="0" w:hanging="2"/>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7A01DA42" w14:textId="77777777" w:rsidR="00F906E2" w:rsidRDefault="00F906E2">
    <w:pPr>
      <w:pBdr>
        <w:top w:val="nil"/>
        <w:left w:val="nil"/>
        <w:bottom w:val="nil"/>
        <w:right w:val="nil"/>
        <w:between w:val="nil"/>
      </w:pBdr>
      <w:tabs>
        <w:tab w:val="center" w:pos="4320"/>
        <w:tab w:val="right" w:pos="8640"/>
      </w:tabs>
      <w:spacing w:line="240" w:lineRule="auto"/>
      <w:ind w:left="0" w:right="360" w:hanging="2"/>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2049" w14:textId="77777777" w:rsidR="00F906E2" w:rsidRDefault="00000000">
    <w:pPr>
      <w:pBdr>
        <w:top w:val="nil"/>
        <w:left w:val="nil"/>
        <w:bottom w:val="nil"/>
        <w:right w:val="nil"/>
        <w:between w:val="nil"/>
      </w:pBdr>
      <w:tabs>
        <w:tab w:val="center" w:pos="4320"/>
        <w:tab w:val="right" w:pos="8640"/>
      </w:tabs>
      <w:spacing w:line="240" w:lineRule="auto"/>
      <w:ind w:left="0" w:right="360" w:hanging="2"/>
      <w:jc w:val="center"/>
      <w:rPr>
        <w:color w:val="000000"/>
        <w:sz w:val="20"/>
        <w:szCs w:val="20"/>
      </w:rPr>
    </w:pPr>
    <w:r>
      <w:rPr>
        <w:color w:val="000000"/>
        <w:sz w:val="20"/>
        <w:szCs w:val="20"/>
      </w:rPr>
      <w:t>Majalah Obstetri &amp; Ginekologi (Journal of Obstetrics &amp; Gynecology Science)</w:t>
    </w:r>
  </w:p>
  <w:p w14:paraId="5ADA53CE" w14:textId="77777777" w:rsidR="00F906E2" w:rsidRDefault="00000000">
    <w:pPr>
      <w:pBdr>
        <w:top w:val="nil"/>
        <w:left w:val="nil"/>
        <w:bottom w:val="nil"/>
        <w:right w:val="nil"/>
        <w:between w:val="nil"/>
      </w:pBdr>
      <w:tabs>
        <w:tab w:val="center" w:pos="4320"/>
        <w:tab w:val="right" w:pos="8640"/>
      </w:tabs>
      <w:spacing w:line="240" w:lineRule="auto"/>
      <w:ind w:left="0" w:right="360" w:hanging="2"/>
      <w:jc w:val="center"/>
      <w:rPr>
        <w:color w:val="000000"/>
        <w:sz w:val="20"/>
        <w:szCs w:val="20"/>
      </w:rPr>
    </w:pPr>
    <w:r>
      <w:rPr>
        <w:color w:val="000000"/>
        <w:sz w:val="20"/>
        <w:szCs w:val="20"/>
      </w:rPr>
      <w:t>E-ISSN: 2598-1013 P-ISSN: 0854-0381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4F7F1" w14:textId="77777777" w:rsidR="00484EDC" w:rsidRDefault="00484EDC">
      <w:pPr>
        <w:spacing w:line="240" w:lineRule="auto"/>
        <w:ind w:left="0" w:hanging="2"/>
      </w:pPr>
      <w:r>
        <w:separator/>
      </w:r>
    </w:p>
  </w:footnote>
  <w:footnote w:type="continuationSeparator" w:id="0">
    <w:p w14:paraId="51EFBB4E" w14:textId="77777777" w:rsidR="00484EDC" w:rsidRDefault="00484ED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5600" w14:textId="77777777" w:rsidR="00F906E2" w:rsidRDefault="00000000">
    <w:pPr>
      <w:widowControl/>
      <w:ind w:left="0" w:right="566" w:hanging="2"/>
      <w:jc w:val="center"/>
      <w:rPr>
        <w:sz w:val="22"/>
        <w:szCs w:val="22"/>
      </w:rPr>
    </w:pPr>
    <w:r>
      <w:rPr>
        <w:rFonts w:ascii="Consolas" w:eastAsia="Consolas" w:hAnsi="Consolas" w:cs="Consolas"/>
        <w:sz w:val="21"/>
        <w:szCs w:val="21"/>
      </w:rPr>
      <w:pict w14:anchorId="58A2E2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642.2pt;height:59.25pt;rotation:315;z-index:-251657728;mso-position-horizontal:center;mso-position-horizontal-relative:margin;mso-position-vertical:center;mso-position-vertical-relative:margin" fillcolor="#e8eaed" stroked="f">
          <v:textpath style="font-family:&quot;&amp;quot&quot;;font-size:1pt" string="Majalah Obstetri &amp; Ginekologi"/>
          <w10:wrap anchorx="margin" anchory="margin"/>
        </v:shape>
      </w:pict>
    </w:r>
    <w:r>
      <w:rPr>
        <w:rFonts w:ascii="Consolas" w:eastAsia="Consolas" w:hAnsi="Consolas" w:cs="Consolas"/>
        <w:sz w:val="21"/>
        <w:szCs w:val="21"/>
      </w:rPr>
      <w:tab/>
    </w:r>
    <w:r>
      <w:rPr>
        <w:b/>
      </w:rPr>
      <w:t>FAKULTAS KEDOKTERAN UNIVERSITAS AIRLANGGA</w:t>
    </w:r>
    <w:r>
      <w:rPr>
        <w:noProof/>
      </w:rPr>
      <w:drawing>
        <wp:anchor distT="0" distB="0" distL="0" distR="0" simplePos="0" relativeHeight="251656704" behindDoc="1" locked="0" layoutInCell="1" hidden="0" allowOverlap="1" wp14:anchorId="7BD2EDBC" wp14:editId="65F75156">
          <wp:simplePos x="0" y="0"/>
          <wp:positionH relativeFrom="column">
            <wp:posOffset>-415289</wp:posOffset>
          </wp:positionH>
          <wp:positionV relativeFrom="paragraph">
            <wp:posOffset>10795</wp:posOffset>
          </wp:positionV>
          <wp:extent cx="854075" cy="86677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54075" cy="866775"/>
                  </a:xfrm>
                  <a:prstGeom prst="rect">
                    <a:avLst/>
                  </a:prstGeom>
                  <a:ln/>
                </pic:spPr>
              </pic:pic>
            </a:graphicData>
          </a:graphic>
        </wp:anchor>
      </w:drawing>
    </w:r>
  </w:p>
  <w:p w14:paraId="4243222E" w14:textId="77777777" w:rsidR="00F906E2" w:rsidRDefault="00000000">
    <w:pPr>
      <w:widowControl/>
      <w:ind w:left="1" w:right="566" w:hanging="3"/>
      <w:jc w:val="center"/>
      <w:rPr>
        <w:sz w:val="26"/>
        <w:szCs w:val="26"/>
      </w:rPr>
    </w:pPr>
    <w:r>
      <w:rPr>
        <w:b/>
        <w:sz w:val="26"/>
        <w:szCs w:val="26"/>
      </w:rPr>
      <w:t>DEPARTEMEN OBSTETRI DAN GINEKOLOGI</w:t>
    </w:r>
  </w:p>
  <w:p w14:paraId="248312EF" w14:textId="77777777" w:rsidR="00F906E2" w:rsidRDefault="00000000">
    <w:pPr>
      <w:widowControl/>
      <w:ind w:left="1" w:right="566" w:hanging="3"/>
      <w:jc w:val="center"/>
      <w:rPr>
        <w:rFonts w:ascii="Bookman Old Style" w:eastAsia="Bookman Old Style" w:hAnsi="Bookman Old Style" w:cs="Bookman Old Style"/>
        <w:sz w:val="32"/>
        <w:szCs w:val="32"/>
      </w:rPr>
    </w:pPr>
    <w:r>
      <w:rPr>
        <w:rFonts w:ascii="Bookman Old Style" w:eastAsia="Bookman Old Style" w:hAnsi="Bookman Old Style" w:cs="Bookman Old Style"/>
        <w:b/>
        <w:sz w:val="32"/>
        <w:szCs w:val="32"/>
      </w:rPr>
      <w:t>MAJALAH OBSTETRI &amp; GINEKOLOGI</w:t>
    </w:r>
  </w:p>
  <w:p w14:paraId="537A1498" w14:textId="77777777" w:rsidR="00F906E2" w:rsidRDefault="00000000">
    <w:pPr>
      <w:widowControl/>
      <w:tabs>
        <w:tab w:val="left" w:pos="6825"/>
      </w:tabs>
      <w:ind w:right="566"/>
      <w:rPr>
        <w:rFonts w:ascii="Courier New" w:eastAsia="Courier New" w:hAnsi="Courier New" w:cs="Courier New"/>
        <w:sz w:val="6"/>
        <w:szCs w:val="6"/>
      </w:rPr>
    </w:pPr>
    <w:r>
      <w:rPr>
        <w:rFonts w:ascii="Courier New" w:eastAsia="Courier New" w:hAnsi="Courier New" w:cs="Courier New"/>
        <w:sz w:val="6"/>
        <w:szCs w:val="6"/>
      </w:rPr>
      <w:tab/>
    </w:r>
  </w:p>
  <w:p w14:paraId="0D74E6C9" w14:textId="77777777" w:rsidR="00F906E2" w:rsidRDefault="00000000">
    <w:pPr>
      <w:widowControl/>
      <w:ind w:left="0" w:right="566" w:hanging="2"/>
      <w:jc w:val="center"/>
      <w:rPr>
        <w:rFonts w:ascii="Arial Narrow" w:eastAsia="Arial Narrow" w:hAnsi="Arial Narrow" w:cs="Arial Narrow"/>
        <w:sz w:val="20"/>
        <w:szCs w:val="20"/>
      </w:rPr>
    </w:pPr>
    <w:r>
      <w:rPr>
        <w:rFonts w:ascii="Arial Narrow" w:eastAsia="Arial Narrow" w:hAnsi="Arial Narrow" w:cs="Arial Narrow"/>
        <w:sz w:val="20"/>
        <w:szCs w:val="20"/>
      </w:rPr>
      <w:t>Sekretariat: Departemen Obstetri &amp; Ginekologi, FK Unair, RSUD Dr Soetomo Surabaya, Jl. Prof dr Moestopo 6-8,</w:t>
    </w:r>
  </w:p>
  <w:p w14:paraId="58C65F25" w14:textId="77777777" w:rsidR="00F906E2" w:rsidRDefault="00000000">
    <w:pPr>
      <w:widowControl/>
      <w:ind w:left="0" w:right="566" w:hanging="2"/>
      <w:jc w:val="center"/>
      <w:rPr>
        <w:rFonts w:ascii="Arial Narrow" w:eastAsia="Arial Narrow" w:hAnsi="Arial Narrow" w:cs="Arial Narrow"/>
        <w:sz w:val="20"/>
        <w:szCs w:val="20"/>
      </w:rPr>
    </w:pPr>
    <w:r>
      <w:rPr>
        <w:rFonts w:ascii="Arial Narrow" w:eastAsia="Arial Narrow" w:hAnsi="Arial Narrow" w:cs="Arial Narrow"/>
        <w:sz w:val="20"/>
        <w:szCs w:val="20"/>
      </w:rPr>
      <w:t>Surabaya 60286. Telp. 031-5501185. Faks. 031-5037733, email: mog@journal.unair.ac.id</w:t>
    </w:r>
  </w:p>
  <w:p w14:paraId="4D3CFC23" w14:textId="77777777" w:rsidR="00F906E2" w:rsidRDefault="00000000">
    <w:pPr>
      <w:widowControl/>
      <w:pBdr>
        <w:top w:val="nil"/>
        <w:left w:val="nil"/>
        <w:bottom w:val="nil"/>
        <w:right w:val="nil"/>
        <w:between w:val="nil"/>
      </w:pBdr>
      <w:ind w:left="0" w:right="-594" w:hanging="2"/>
      <w:jc w:val="center"/>
      <w:rPr>
        <w:rFonts w:ascii="Calibri" w:eastAsia="Calibri" w:hAnsi="Calibri" w:cs="Calibri"/>
        <w:sz w:val="22"/>
        <w:szCs w:val="22"/>
      </w:rPr>
    </w:pPr>
    <w:r>
      <w:rPr>
        <w:noProof/>
      </w:rPr>
      <mc:AlternateContent>
        <mc:Choice Requires="wps">
          <w:drawing>
            <wp:anchor distT="4294967295" distB="4294967295" distL="114300" distR="114300" simplePos="0" relativeHeight="251657728" behindDoc="0" locked="0" layoutInCell="1" hidden="0" allowOverlap="1" wp14:anchorId="5BF83CD0" wp14:editId="5D41D8F8">
              <wp:simplePos x="0" y="0"/>
              <wp:positionH relativeFrom="column">
                <wp:posOffset>-787399</wp:posOffset>
              </wp:positionH>
              <wp:positionV relativeFrom="paragraph">
                <wp:posOffset>132096</wp:posOffset>
              </wp:positionV>
              <wp:extent cx="0" cy="28575"/>
              <wp:effectExtent l="0" t="0" r="0" b="0"/>
              <wp:wrapNone/>
              <wp:docPr id="1" name="Straight Arrow Connector 1"/>
              <wp:cNvGraphicFramePr/>
              <a:graphic xmlns:a="http://schemas.openxmlformats.org/drawingml/2006/main">
                <a:graphicData uri="http://schemas.microsoft.com/office/word/2010/wordprocessingShape">
                  <wps:wsp>
                    <wps:cNvCnPr/>
                    <wps:spPr>
                      <a:xfrm>
                        <a:off x="1679828" y="3780000"/>
                        <a:ext cx="7332345" cy="0"/>
                      </a:xfrm>
                      <a:prstGeom prst="straightConnector1">
                        <a:avLst/>
                      </a:prstGeom>
                      <a:noFill/>
                      <a:ln w="2857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-787399</wp:posOffset>
              </wp:positionH>
              <wp:positionV relativeFrom="paragraph">
                <wp:posOffset>132096</wp:posOffset>
              </wp:positionV>
              <wp:extent cx="0" cy="28575"/>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28575"/>
                      </a:xfrm>
                      <a:prstGeom prst="rect"/>
                      <a:ln/>
                    </pic:spPr>
                  </pic:pic>
                </a:graphicData>
              </a:graphic>
            </wp:anchor>
          </w:drawing>
        </mc:Fallback>
      </mc:AlternateContent>
    </w:r>
  </w:p>
  <w:p w14:paraId="37A1A18F" w14:textId="77777777" w:rsidR="00F906E2" w:rsidRDefault="00F906E2">
    <w:pPr>
      <w:pBdr>
        <w:top w:val="nil"/>
        <w:left w:val="nil"/>
        <w:bottom w:val="nil"/>
        <w:right w:val="nil"/>
        <w:between w:val="nil"/>
      </w:pBdr>
      <w:tabs>
        <w:tab w:val="center" w:pos="4536"/>
        <w:tab w:val="right" w:pos="9072"/>
      </w:tabs>
      <w:spacing w:line="240" w:lineRule="auto"/>
      <w:ind w:left="0" w:hanging="2"/>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6E2"/>
    <w:rsid w:val="0005355A"/>
    <w:rsid w:val="00210D72"/>
    <w:rsid w:val="00484EDC"/>
    <w:rsid w:val="009C2C33"/>
    <w:rsid w:val="00BD759F"/>
    <w:rsid w:val="00E54672"/>
    <w:rsid w:val="00F906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BC8B3"/>
  <w15:docId w15:val="{88529CF0-164F-4578-87F6-BFA4BE5A5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autoSpaceDN w:val="0"/>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widowControl/>
      <w:autoSpaceDE/>
      <w:autoSpaceDN/>
      <w:jc w:val="center"/>
    </w:pPr>
    <w:rPr>
      <w:sz w:val="32"/>
      <w:lang w:val="de-DE" w:eastAsia="de-DE"/>
    </w:rPr>
  </w:style>
  <w:style w:type="character" w:styleId="Hyperlink">
    <w:name w:val="Hyperlink"/>
    <w:rPr>
      <w:color w:val="0000FF"/>
      <w:w w:val="100"/>
      <w:position w:val="-1"/>
      <w:u w:val="single"/>
      <w:effect w:val="none"/>
      <w:vertAlign w:val="baseline"/>
      <w:cs w:val="0"/>
      <w:em w:val="none"/>
    </w:rPr>
  </w:style>
  <w:style w:type="character" w:customStyle="1" w:styleId="maintext1">
    <w:name w:val="maintext1"/>
    <w:rPr>
      <w:rFonts w:ascii="Arial" w:hAnsi="Arial" w:cs="Arial" w:hint="default"/>
      <w:w w:val="100"/>
      <w:position w:val="-1"/>
      <w:sz w:val="20"/>
      <w:szCs w:val="20"/>
      <w:effect w:val="none"/>
      <w:vertAlign w:val="baseline"/>
      <w:cs w:val="0"/>
      <w:em w:val="none"/>
    </w:rPr>
  </w:style>
  <w:style w:type="character" w:customStyle="1" w:styleId="Zita">
    <w:name w:val="Zita"/>
    <w:rPr>
      <w:rFonts w:ascii="Arial" w:hAnsi="Arial" w:cs="Arial"/>
      <w:color w:val="auto"/>
      <w:w w:val="100"/>
      <w:position w:val="-1"/>
      <w:sz w:val="20"/>
      <w:szCs w:val="20"/>
      <w:effect w:val="none"/>
      <w:vertAlign w:val="baseline"/>
      <w:cs w:val="0"/>
      <w:em w:val="none"/>
    </w:rPr>
  </w:style>
  <w:style w:type="paragraph" w:styleId="Footer">
    <w:name w:val="footer"/>
    <w:basedOn w:val="Normal"/>
    <w:pPr>
      <w:tabs>
        <w:tab w:val="center" w:pos="4320"/>
        <w:tab w:val="right" w:pos="8640"/>
      </w:tabs>
    </w:pPr>
    <w:rPr>
      <w:sz w:val="20"/>
      <w:szCs w:val="20"/>
    </w:rPr>
  </w:style>
  <w:style w:type="paragraph" w:styleId="Header">
    <w:name w:val="header"/>
    <w:basedOn w:val="Normal"/>
    <w:pPr>
      <w:tabs>
        <w:tab w:val="center" w:pos="4536"/>
        <w:tab w:val="right" w:pos="9072"/>
      </w:tabs>
    </w:pPr>
  </w:style>
  <w:style w:type="paragraph" w:styleId="BalloonText">
    <w:name w:val="Balloon Text"/>
    <w:basedOn w:val="Normal"/>
    <w:rPr>
      <w:rFonts w:ascii="Tahoma" w:hAnsi="Tahoma" w:cs="Tahoma"/>
      <w:sz w:val="16"/>
      <w:szCs w:val="16"/>
    </w:rPr>
  </w:style>
  <w:style w:type="paragraph" w:customStyle="1" w:styleId="StandardohneAbstandnach">
    <w:name w:val="Standard ohne Abstand nach"/>
    <w:basedOn w:val="Normal"/>
    <w:pPr>
      <w:widowControl/>
      <w:tabs>
        <w:tab w:val="left" w:pos="567"/>
        <w:tab w:val="left" w:pos="1730"/>
        <w:tab w:val="left" w:pos="2014"/>
        <w:tab w:val="left" w:pos="3459"/>
        <w:tab w:val="left" w:pos="3742"/>
        <w:tab w:val="left" w:pos="5189"/>
      </w:tabs>
      <w:autoSpaceDE/>
      <w:autoSpaceDN/>
    </w:pPr>
    <w:rPr>
      <w:rFonts w:ascii="Frutiger 45 Light" w:hAnsi="Frutiger 45 Light"/>
      <w:sz w:val="22"/>
      <w:lang w:val="de-DE" w:eastAsia="de-DE"/>
    </w:r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autoSpaceDE w:val="0"/>
      <w:autoSpaceDN w:val="0"/>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getitle">
    <w:name w:val="pagetitle"/>
    <w:basedOn w:val="Normal"/>
    <w:pPr>
      <w:widowControl/>
      <w:autoSpaceDE/>
      <w:autoSpaceDN/>
      <w:spacing w:before="100" w:beforeAutospacing="1" w:after="100" w:afterAutospacing="1"/>
    </w:pPr>
    <w:rPr>
      <w:lang w:val="hu-HU" w:eastAsia="hu-HU"/>
    </w:rPr>
  </w:style>
  <w:style w:type="paragraph" w:styleId="NormalWeb">
    <w:name w:val="Normal (Web)"/>
    <w:basedOn w:val="Normal"/>
    <w:pPr>
      <w:widowControl/>
      <w:autoSpaceDE/>
      <w:autoSpaceDN/>
      <w:spacing w:before="100" w:beforeAutospacing="1" w:after="100" w:afterAutospacing="1"/>
    </w:pPr>
    <w:rPr>
      <w:lang w:val="hu-HU" w:eastAsia="hu-HU"/>
    </w:rPr>
  </w:style>
  <w:style w:type="paragraph" w:styleId="BodyText">
    <w:name w:val="Body Text"/>
    <w:basedOn w:val="Normal"/>
    <w:pPr>
      <w:widowControl/>
      <w:autoSpaceDE/>
      <w:autoSpaceDN/>
    </w:pPr>
    <w:rPr>
      <w:noProof/>
      <w:lang/>
    </w:rPr>
  </w:style>
  <w:style w:type="character" w:styleId="Emphasis">
    <w:name w:val="Emphasis"/>
    <w:rPr>
      <w:i/>
      <w:i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rcid.org/"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rcid.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orcid.org/" TargetMode="External"/><Relationship Id="rId4" Type="http://schemas.openxmlformats.org/officeDocument/2006/relationships/webSettings" Target="webSettings.xml"/><Relationship Id="rId9" Type="http://schemas.openxmlformats.org/officeDocument/2006/relationships/hyperlink" Target="https://orcid.org/"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vWolpXS63bpS5eL9njjG4Nr+CA==">CgMxLjAyCWlkLmdqZGd4czgAciExNzQwdWZmZ2c5UHZRSEE1LS13VnpCc2M3cm1vSktkci0=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IACSIT;IJMRCR</dc:creator>
  <cp:lastModifiedBy>acer nitro</cp:lastModifiedBy>
  <cp:revision>3</cp:revision>
  <dcterms:created xsi:type="dcterms:W3CDTF">2019-10-08T09:47:00Z</dcterms:created>
  <dcterms:modified xsi:type="dcterms:W3CDTF">2026-02-18T09:37:00Z</dcterms:modified>
</cp:coreProperties>
</file>