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4054" w14:textId="5DE69A44" w:rsidR="00327708" w:rsidRPr="00DB5266" w:rsidRDefault="00327708" w:rsidP="00327708">
      <w:pPr>
        <w:bidi w:val="0"/>
        <w:rPr>
          <w:rFonts w:asciiTheme="majorHAnsi" w:hAnsiTheme="majorHAnsi"/>
          <w:b/>
          <w:bCs/>
          <w:sz w:val="24"/>
          <w:szCs w:val="24"/>
        </w:rPr>
      </w:pPr>
      <w:r w:rsidRPr="00DB5266">
        <w:rPr>
          <w:rFonts w:asciiTheme="majorHAnsi" w:hAnsiTheme="majorHAnsi"/>
          <w:b/>
          <w:bCs/>
          <w:sz w:val="24"/>
          <w:szCs w:val="24"/>
        </w:rPr>
        <w:t xml:space="preserve">Programmed Death-Ligand 1 Immunohistochemical Expression </w:t>
      </w:r>
      <w:r w:rsidR="00DB5266" w:rsidRPr="00DB5266">
        <w:rPr>
          <w:rFonts w:asciiTheme="majorHAnsi" w:hAnsiTheme="majorHAnsi"/>
          <w:b/>
          <w:bCs/>
          <w:sz w:val="24"/>
          <w:szCs w:val="24"/>
        </w:rPr>
        <w:t>i</w:t>
      </w:r>
      <w:r w:rsidRPr="00DB5266">
        <w:rPr>
          <w:rFonts w:asciiTheme="majorHAnsi" w:hAnsiTheme="majorHAnsi"/>
          <w:b/>
          <w:bCs/>
          <w:sz w:val="24"/>
          <w:szCs w:val="24"/>
        </w:rPr>
        <w:t>n Invasive Urothelial Carcinoma Of The Bladder: Association With Lymphovascular Invasion</w:t>
      </w:r>
    </w:p>
    <w:p w14:paraId="2B33CED2" w14:textId="4DF1F778" w:rsidR="00327708" w:rsidRPr="00DB5266" w:rsidRDefault="00327708" w:rsidP="00327708">
      <w:pPr>
        <w:pStyle w:val="Heading2"/>
        <w:bidi w:val="0"/>
        <w:rPr>
          <w:rFonts w:eastAsiaTheme="minorHAnsi" w:cstheme="minorBidi"/>
          <w:color w:val="auto"/>
          <w:sz w:val="24"/>
          <w:szCs w:val="24"/>
        </w:rPr>
      </w:pPr>
      <w:r w:rsidRPr="00DB5266">
        <w:rPr>
          <w:rFonts w:eastAsiaTheme="minorHAnsi" w:cstheme="minorBidi"/>
          <w:color w:val="auto"/>
          <w:sz w:val="24"/>
          <w:szCs w:val="24"/>
        </w:rPr>
        <w:t>Lidya Imelda Laksmi*</w:t>
      </w:r>
      <w:r w:rsidRPr="00DB5266">
        <w:rPr>
          <w:rFonts w:eastAsiaTheme="minorHAnsi" w:cstheme="minorBidi"/>
          <w:color w:val="auto"/>
          <w:sz w:val="24"/>
          <w:szCs w:val="24"/>
          <w:vertAlign w:val="superscript"/>
        </w:rPr>
        <w:t>1,2</w:t>
      </w:r>
      <w:r w:rsidRPr="00DB5266">
        <w:rPr>
          <w:rFonts w:eastAsiaTheme="minorHAnsi" w:cstheme="minorBidi"/>
          <w:color w:val="auto"/>
          <w:sz w:val="24"/>
          <w:szCs w:val="24"/>
        </w:rPr>
        <w:t>, Causa Trisna Mariedina</w:t>
      </w:r>
      <w:r w:rsidRPr="00DB5266">
        <w:rPr>
          <w:rFonts w:eastAsiaTheme="minorHAnsi" w:cstheme="minorBidi"/>
          <w:color w:val="auto"/>
          <w:sz w:val="24"/>
          <w:szCs w:val="24"/>
          <w:vertAlign w:val="superscript"/>
        </w:rPr>
        <w:t>1</w:t>
      </w:r>
      <w:r w:rsidRPr="00DB5266">
        <w:rPr>
          <w:rFonts w:eastAsiaTheme="minorHAnsi" w:cstheme="minorBidi"/>
          <w:color w:val="auto"/>
          <w:sz w:val="24"/>
          <w:szCs w:val="24"/>
        </w:rPr>
        <w:t>, Betty</w:t>
      </w:r>
      <w:r w:rsidRPr="00DB5266">
        <w:rPr>
          <w:rFonts w:eastAsiaTheme="minorHAnsi" w:cstheme="minorBidi"/>
          <w:color w:val="auto"/>
          <w:sz w:val="24"/>
          <w:szCs w:val="24"/>
          <w:vertAlign w:val="superscript"/>
        </w:rPr>
        <w:t>1</w:t>
      </w:r>
    </w:p>
    <w:p w14:paraId="416AA7A8" w14:textId="77777777" w:rsidR="00327708" w:rsidRPr="00DB5266" w:rsidRDefault="00327708" w:rsidP="00327708">
      <w:pPr>
        <w:pStyle w:val="Heading2"/>
        <w:numPr>
          <w:ilvl w:val="0"/>
          <w:numId w:val="1"/>
        </w:numPr>
        <w:tabs>
          <w:tab w:val="num" w:pos="360"/>
        </w:tabs>
        <w:bidi w:val="0"/>
        <w:ind w:left="0" w:firstLine="0"/>
        <w:rPr>
          <w:rFonts w:eastAsiaTheme="minorHAnsi" w:cstheme="minorBidi"/>
          <w:color w:val="auto"/>
          <w:sz w:val="24"/>
          <w:szCs w:val="24"/>
        </w:rPr>
      </w:pPr>
      <w:r w:rsidRPr="00DB5266">
        <w:rPr>
          <w:rFonts w:eastAsiaTheme="minorHAnsi" w:cstheme="minorBidi"/>
          <w:color w:val="auto"/>
          <w:sz w:val="24"/>
          <w:szCs w:val="24"/>
        </w:rPr>
        <w:t>Department of Anatomical Pathology, Faculty of Medicine, Universitas Sumatera Utara, North Sumatra, Indonesia</w:t>
      </w:r>
    </w:p>
    <w:p w14:paraId="4CB85DE1" w14:textId="5E634401" w:rsidR="00327708" w:rsidRPr="00DB5266" w:rsidRDefault="00327708" w:rsidP="00327708">
      <w:pPr>
        <w:pStyle w:val="Heading2"/>
        <w:numPr>
          <w:ilvl w:val="0"/>
          <w:numId w:val="1"/>
        </w:numPr>
        <w:tabs>
          <w:tab w:val="num" w:pos="360"/>
        </w:tabs>
        <w:bidi w:val="0"/>
        <w:ind w:left="0" w:firstLine="0"/>
        <w:rPr>
          <w:rFonts w:eastAsiaTheme="minorHAnsi" w:cstheme="minorBidi"/>
          <w:color w:val="auto"/>
          <w:sz w:val="24"/>
          <w:szCs w:val="24"/>
        </w:rPr>
      </w:pPr>
      <w:r w:rsidRPr="00DB5266">
        <w:rPr>
          <w:rFonts w:eastAsiaTheme="minorHAnsi" w:cstheme="minorBidi"/>
          <w:color w:val="auto"/>
          <w:sz w:val="24"/>
          <w:szCs w:val="24"/>
        </w:rPr>
        <w:t>Anatomical Pathology Unit, Rumah Sakit Pendidikan Prof. dr. Chairuddin Panusunan Lubis, North Sumatra, Indonesia</w:t>
      </w:r>
    </w:p>
    <w:p w14:paraId="1645F990" w14:textId="77777777" w:rsidR="00327708" w:rsidRPr="00DB5266" w:rsidRDefault="00327708" w:rsidP="00327708">
      <w:pPr>
        <w:pStyle w:val="Heading2"/>
        <w:bidi w:val="0"/>
        <w:rPr>
          <w:color w:val="auto"/>
          <w:sz w:val="24"/>
          <w:szCs w:val="24"/>
        </w:rPr>
      </w:pPr>
      <w:r w:rsidRPr="00DB5266">
        <w:rPr>
          <w:color w:val="auto"/>
          <w:sz w:val="24"/>
          <w:szCs w:val="24"/>
        </w:rPr>
        <w:t>Corresponding Author:</w:t>
      </w:r>
    </w:p>
    <w:p w14:paraId="7BA34F65" w14:textId="55A9C9C6" w:rsidR="00327708" w:rsidRPr="00DB5266" w:rsidRDefault="00327708" w:rsidP="00327708">
      <w:pPr>
        <w:bidi w:val="0"/>
        <w:spacing w:after="0" w:line="240" w:lineRule="auto"/>
        <w:rPr>
          <w:rFonts w:asciiTheme="majorHAnsi" w:hAnsiTheme="majorHAnsi"/>
          <w:sz w:val="24"/>
          <w:szCs w:val="24"/>
        </w:rPr>
      </w:pPr>
      <w:r w:rsidRPr="00DB5266">
        <w:rPr>
          <w:rFonts w:asciiTheme="majorHAnsi" w:hAnsiTheme="majorHAnsi"/>
          <w:sz w:val="24"/>
          <w:szCs w:val="24"/>
        </w:rPr>
        <w:t>Dr. dr. Lidya Imelda Laksmi, M.Ked(PA), Sp.PA(K)</w:t>
      </w:r>
    </w:p>
    <w:p w14:paraId="7147F20B" w14:textId="4FA37280" w:rsidR="00327708" w:rsidRPr="00DB5266" w:rsidRDefault="00DB5266" w:rsidP="00327708">
      <w:pPr>
        <w:bidi w:val="0"/>
        <w:spacing w:after="0"/>
        <w:rPr>
          <w:rFonts w:asciiTheme="majorHAnsi" w:hAnsiTheme="majorHAnsi"/>
          <w:sz w:val="24"/>
          <w:szCs w:val="24"/>
          <w:lang w:val="sv-SE"/>
        </w:rPr>
      </w:pPr>
      <w:r w:rsidRPr="00DB5266">
        <w:rPr>
          <w:rFonts w:asciiTheme="majorHAnsi" w:hAnsiTheme="majorHAnsi"/>
          <w:sz w:val="24"/>
          <w:szCs w:val="24"/>
          <w:lang w:val="sv-SE"/>
        </w:rPr>
        <w:t>Address: Jl. Universitas No. 1, Gedung Abdul Hakim Lt. 1, Kampus USU, Medan, Indonesia</w:t>
      </w:r>
    </w:p>
    <w:p w14:paraId="3C060681" w14:textId="5869670B" w:rsidR="00327708" w:rsidRPr="00DB5266" w:rsidRDefault="00327708" w:rsidP="00FB0F97">
      <w:pPr>
        <w:bidi w:val="0"/>
        <w:spacing w:after="0"/>
        <w:jc w:val="center"/>
        <w:rPr>
          <w:rFonts w:asciiTheme="majorHAnsi" w:hAnsiTheme="majorHAnsi"/>
          <w:b/>
          <w:bCs/>
          <w:sz w:val="24"/>
          <w:szCs w:val="24"/>
          <w:lang w:val="sv-SE"/>
        </w:rPr>
      </w:pPr>
      <w:r w:rsidRPr="00DB5266">
        <w:rPr>
          <w:rFonts w:asciiTheme="majorHAnsi" w:hAnsiTheme="majorHAnsi"/>
          <w:b/>
          <w:bCs/>
          <w:sz w:val="24"/>
          <w:szCs w:val="24"/>
          <w:lang w:val="sv-SE"/>
        </w:rPr>
        <w:t>Abstract</w:t>
      </w:r>
    </w:p>
    <w:p w14:paraId="37FD1BA6" w14:textId="23A9D1F0" w:rsidR="00327708" w:rsidRPr="00DB5266" w:rsidRDefault="00DB5266" w:rsidP="00327708">
      <w:pPr>
        <w:bidi w:val="0"/>
        <w:spacing w:after="0"/>
        <w:jc w:val="both"/>
        <w:rPr>
          <w:rFonts w:asciiTheme="majorHAnsi" w:hAnsiTheme="majorHAnsi"/>
          <w:sz w:val="24"/>
          <w:szCs w:val="24"/>
        </w:rPr>
      </w:pPr>
      <w:r w:rsidRPr="00DB5266">
        <w:rPr>
          <w:rFonts w:asciiTheme="majorHAnsi" w:eastAsiaTheme="majorEastAsia" w:hAnsiTheme="majorHAnsi" w:cstheme="majorBidi"/>
          <w:b/>
          <w:bCs/>
          <w:sz w:val="24"/>
          <w:szCs w:val="24"/>
        </w:rPr>
        <w:t>Objective</w:t>
      </w:r>
      <w:r w:rsidR="00327708" w:rsidRPr="00DB5266">
        <w:rPr>
          <w:rStyle w:val="Heading2Char"/>
          <w:b/>
          <w:bCs/>
          <w:color w:val="auto"/>
          <w:sz w:val="24"/>
          <w:szCs w:val="24"/>
        </w:rPr>
        <w:t>:</w:t>
      </w:r>
      <w:r w:rsidR="00327708" w:rsidRPr="00DB5266">
        <w:rPr>
          <w:rFonts w:asciiTheme="majorHAnsi" w:hAnsiTheme="majorHAnsi"/>
          <w:sz w:val="24"/>
          <w:szCs w:val="24"/>
        </w:rPr>
        <w:t xml:space="preserve"> Invasive urothelial carcinoma of the urinary bladder is a heterogeneous malignancy with variable biological behavior and clinical outcomes. Programmed death-ligand 1 (PD-L1) immunohistochemical expression has been widely investigated as a potential biomarker in urothelial carcinoma; however, its clinicopathological significance remains inconsistent.</w:t>
      </w:r>
    </w:p>
    <w:p w14:paraId="041A7943" w14:textId="08594EC4" w:rsidR="00327708" w:rsidRPr="00DB5266" w:rsidRDefault="00DB5266" w:rsidP="00327708">
      <w:pPr>
        <w:bidi w:val="0"/>
        <w:spacing w:after="0"/>
        <w:jc w:val="both"/>
        <w:rPr>
          <w:rFonts w:asciiTheme="majorHAnsi" w:hAnsiTheme="majorHAnsi"/>
          <w:sz w:val="24"/>
          <w:szCs w:val="24"/>
        </w:rPr>
      </w:pPr>
      <w:r w:rsidRPr="00DB5266">
        <w:rPr>
          <w:rFonts w:asciiTheme="majorHAnsi" w:eastAsiaTheme="majorEastAsia" w:hAnsiTheme="majorHAnsi" w:cstheme="majorBidi"/>
          <w:b/>
          <w:bCs/>
          <w:sz w:val="24"/>
          <w:szCs w:val="24"/>
        </w:rPr>
        <w:t>Materials and Methods</w:t>
      </w:r>
      <w:r w:rsidR="00327708" w:rsidRPr="00DB5266">
        <w:rPr>
          <w:rStyle w:val="Heading2Char"/>
          <w:color w:val="auto"/>
          <w:sz w:val="24"/>
          <w:szCs w:val="24"/>
        </w:rPr>
        <w:t>:</w:t>
      </w:r>
      <w:r w:rsidR="00327708" w:rsidRPr="00DB5266">
        <w:rPr>
          <w:rFonts w:asciiTheme="majorHAnsi" w:hAnsiTheme="majorHAnsi"/>
          <w:sz w:val="24"/>
          <w:szCs w:val="24"/>
        </w:rPr>
        <w:t xml:space="preserve"> This analytical cross-sectional study evaluated the clinicopathological characteristics of invasive urothelial carcinoma of the bladder and analyzed their association with PD-L1 immunohistochemical expression. A total of 32 formalin-fixed, paraffin-embedded tissue samples diagnosed over a three-year period were included. The variables assessed comprised age, sex, lymphovascular invasion, perineural invasion, tumor-infiltrating lymphocytes, and histological subtypes based on the WHO Classification of Urinary and Male Genital Tumours, 5th edition (2022). PD-L1 immunohistochemistry was performed using a monoclonal rabbit anti-human PD-L1 antibody (GeneAb™; 1:100 dilution), with tonsil tissue used as a positive control. PD-L1 expression was evaluated using the Combined Positive Score (CPS), and a CPS of ≥10 was considered positive. </w:t>
      </w:r>
    </w:p>
    <w:p w14:paraId="06AABD89" w14:textId="77777777" w:rsidR="00327708" w:rsidRPr="00DB5266" w:rsidRDefault="00327708" w:rsidP="00327708">
      <w:pPr>
        <w:bidi w:val="0"/>
        <w:spacing w:after="0"/>
        <w:jc w:val="both"/>
        <w:rPr>
          <w:rFonts w:asciiTheme="majorHAnsi" w:hAnsiTheme="majorHAnsi"/>
          <w:sz w:val="24"/>
          <w:szCs w:val="24"/>
        </w:rPr>
      </w:pPr>
      <w:r w:rsidRPr="00DB5266">
        <w:rPr>
          <w:rStyle w:val="Heading2Char"/>
          <w:b/>
          <w:bCs/>
          <w:color w:val="auto"/>
          <w:sz w:val="24"/>
          <w:szCs w:val="24"/>
        </w:rPr>
        <w:t>Results</w:t>
      </w:r>
      <w:r w:rsidRPr="00DB5266">
        <w:rPr>
          <w:rStyle w:val="Heading2Char"/>
          <w:color w:val="auto"/>
          <w:sz w:val="24"/>
          <w:szCs w:val="24"/>
        </w:rPr>
        <w:t>:</w:t>
      </w:r>
      <w:r w:rsidRPr="00DB5266">
        <w:rPr>
          <w:rFonts w:asciiTheme="majorHAnsi" w:hAnsiTheme="majorHAnsi"/>
          <w:sz w:val="24"/>
          <w:szCs w:val="24"/>
        </w:rPr>
        <w:t xml:space="preserve"> PD-L1 expression was identified in 3 of 32 cases (9.4%). A statistically significant association was found between PD-L1 expression and lymphovascular invasion (p = 0.033). No significant association was observed between PD-L1 expression and tumor-infiltrating lymphocytes or other clinicopathological parameters.</w:t>
      </w:r>
    </w:p>
    <w:p w14:paraId="5F35DB1A" w14:textId="77777777" w:rsidR="00327708" w:rsidRPr="00DB5266" w:rsidRDefault="00327708" w:rsidP="00327708">
      <w:pPr>
        <w:bidi w:val="0"/>
        <w:spacing w:after="0"/>
        <w:jc w:val="both"/>
        <w:rPr>
          <w:rFonts w:asciiTheme="majorHAnsi" w:hAnsiTheme="majorHAnsi"/>
          <w:sz w:val="24"/>
          <w:szCs w:val="24"/>
        </w:rPr>
      </w:pPr>
      <w:r w:rsidRPr="00DB5266">
        <w:rPr>
          <w:rStyle w:val="Heading2Char"/>
          <w:b/>
          <w:bCs/>
          <w:color w:val="auto"/>
          <w:sz w:val="24"/>
          <w:szCs w:val="24"/>
        </w:rPr>
        <w:t>Conclusion</w:t>
      </w:r>
      <w:r w:rsidRPr="00DB5266">
        <w:rPr>
          <w:rStyle w:val="Heading2Char"/>
          <w:color w:val="auto"/>
          <w:sz w:val="24"/>
          <w:szCs w:val="24"/>
        </w:rPr>
        <w:t>:</w:t>
      </w:r>
      <w:r w:rsidRPr="00DB5266">
        <w:rPr>
          <w:rFonts w:asciiTheme="majorHAnsi" w:hAnsiTheme="majorHAnsi"/>
          <w:b/>
          <w:bCs/>
          <w:sz w:val="24"/>
          <w:szCs w:val="24"/>
        </w:rPr>
        <w:t xml:space="preserve"> </w:t>
      </w:r>
      <w:r w:rsidRPr="00DB5266">
        <w:rPr>
          <w:rFonts w:asciiTheme="majorHAnsi" w:hAnsiTheme="majorHAnsi"/>
          <w:sz w:val="24"/>
          <w:szCs w:val="24"/>
        </w:rPr>
        <w:t xml:space="preserve">PD-L1 expression in invasive urothelial carcinoma of the bladder was significantly associated with lymphovascular invasion, suggesting a closer relationship with tumor invasiveness than with immune cell infiltration. </w:t>
      </w:r>
    </w:p>
    <w:p w14:paraId="568804B1" w14:textId="77777777" w:rsidR="00327708" w:rsidRPr="00DB5266" w:rsidRDefault="00327708" w:rsidP="00327708">
      <w:pPr>
        <w:bidi w:val="0"/>
        <w:spacing w:after="0"/>
        <w:jc w:val="both"/>
        <w:rPr>
          <w:rFonts w:asciiTheme="majorHAnsi" w:hAnsiTheme="majorHAnsi"/>
          <w:sz w:val="24"/>
          <w:szCs w:val="24"/>
        </w:rPr>
      </w:pPr>
    </w:p>
    <w:p w14:paraId="0272ACB5" w14:textId="4B6479E7" w:rsidR="00327708" w:rsidRPr="00DB5266" w:rsidRDefault="00327708" w:rsidP="00327708">
      <w:pPr>
        <w:bidi w:val="0"/>
        <w:spacing w:after="0"/>
        <w:jc w:val="both"/>
        <w:rPr>
          <w:rFonts w:asciiTheme="majorHAnsi" w:hAnsiTheme="majorHAnsi"/>
          <w:sz w:val="24"/>
          <w:szCs w:val="24"/>
        </w:rPr>
      </w:pPr>
      <w:r w:rsidRPr="00DB5266">
        <w:rPr>
          <w:rFonts w:asciiTheme="majorHAnsi" w:hAnsiTheme="majorHAnsi"/>
          <w:sz w:val="24"/>
          <w:szCs w:val="24"/>
        </w:rPr>
        <w:t>Keyword</w:t>
      </w:r>
      <w:r w:rsidR="00DB5266" w:rsidRPr="00DB5266">
        <w:rPr>
          <w:rFonts w:asciiTheme="majorHAnsi" w:hAnsiTheme="majorHAnsi"/>
          <w:sz w:val="24"/>
          <w:szCs w:val="24"/>
        </w:rPr>
        <w:t>s</w:t>
      </w:r>
      <w:r w:rsidRPr="00DB5266">
        <w:rPr>
          <w:rFonts w:asciiTheme="majorHAnsi" w:hAnsiTheme="majorHAnsi"/>
          <w:sz w:val="24"/>
          <w:szCs w:val="24"/>
        </w:rPr>
        <w:t>: invasive urothelial carcinoma; PD-L1; immunohistochemistry; lymphovascular invasion; bladder cancer</w:t>
      </w:r>
    </w:p>
    <w:p w14:paraId="2087D6BE" w14:textId="77777777" w:rsidR="00327708" w:rsidRPr="00DB5266" w:rsidRDefault="00327708" w:rsidP="00327708">
      <w:pPr>
        <w:bidi w:val="0"/>
        <w:rPr>
          <w:sz w:val="24"/>
          <w:szCs w:val="24"/>
        </w:rPr>
      </w:pPr>
    </w:p>
    <w:p w14:paraId="4798F534" w14:textId="77777777" w:rsidR="00FB0F97" w:rsidRPr="00DB5266" w:rsidRDefault="00FB0F97" w:rsidP="00FB0F97">
      <w:pPr>
        <w:pStyle w:val="Heading1"/>
        <w:bidi w:val="0"/>
        <w:rPr>
          <w:b/>
          <w:bCs/>
          <w:color w:val="auto"/>
          <w:sz w:val="24"/>
          <w:szCs w:val="24"/>
        </w:rPr>
      </w:pPr>
      <w:r w:rsidRPr="00DB5266">
        <w:rPr>
          <w:b/>
          <w:bCs/>
          <w:color w:val="auto"/>
          <w:sz w:val="24"/>
          <w:szCs w:val="24"/>
        </w:rPr>
        <w:lastRenderedPageBreak/>
        <w:t>Introduction</w:t>
      </w:r>
    </w:p>
    <w:p w14:paraId="5203AB59"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Bladder cancer most commonly arises from the urothelial lining of the urinary bladder, with urothelial carcinoma representing the predominant histological subtype. Globally, bladder cancer ranks among the most common malignancies and remains an important cause of cancer-related mortality. In 2022, approximately 614,298 new cases of bladder cancer and 212,536 related deaths were reported worldwide [1,2]. Bladder cancer occurs more frequently in men, with a reported male-to-female ratio of approximately 5:1, and its incidence increases with advancing age [1].</w:t>
      </w:r>
    </w:p>
    <w:p w14:paraId="71D15EE7"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The therapeutic approach to urothelial carcinoma is primarily determined by the depth of tumor invasion [3]. Neoadjuvant or adjuvant treatment strategies are selected according to tumor stage and the presence or absence of metastatic disease [4,5]. In recent years, immunotherapy targeting the programmed cell death-1 (PD-1) pathway and its ligand, programmed death-ligand 1 (PD-L1), has emerged as an important treatment option, particularly in patients who are refractory to or ineligible for platinum-based chemotherapy [6,7].</w:t>
      </w:r>
    </w:p>
    <w:p w14:paraId="0832C180"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PD-L1 expression can be assessed by immunohistochemistry and has become one of the most extensively studied biomarkers in immune checkpoint inhibitor therapy. Several studies have demonstrated associations between PD-L1 expression and therapeutic response; however, the clinicopathological relevance of PD-L1 expression in urothelial carcinoma remains controversial [6,7]. Variability in study design, antibody clones, scoring systems, and tumor heterogeneity may contribute to inconsistent findings regarding the relationship between PD-L1 expression and histopathological characteristics.</w:t>
      </w:r>
    </w:p>
    <w:p w14:paraId="1E360F76"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 xml:space="preserve">Previous studies have suggested that PD-L1 expression may be associated with aggressive tumor features, including high grade, advanced stage, lymphovascular invasion, and specific </w:t>
      </w:r>
      <w:r w:rsidRPr="00DB5266">
        <w:rPr>
          <w:rFonts w:asciiTheme="majorHAnsi" w:hAnsiTheme="majorHAnsi"/>
          <w:sz w:val="24"/>
          <w:szCs w:val="24"/>
          <w:lang w:val="en-ID"/>
        </w:rPr>
        <w:lastRenderedPageBreak/>
        <w:t>histological variants. Nevertheless, data concerning the relationship between PD-L1 immunohistochemical expression and lymphovascular invasion, tumor-infiltrating lymphocytes, and histological subtypes in invasive urothelial carcinoma remain limited and inconclusive, particularly in routine diagnostic practice.</w:t>
      </w:r>
    </w:p>
    <w:p w14:paraId="1AFBF20B"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Therefore, this study aimed to evaluate the clinicopathological characteristics of invasive urothelial carcinoma of the bladder and to analyze their association with PD-L1 immunohistochemical expression, with particular emphasis on lymphovascular invasion, tumor-infiltrating lymphocytes, and histological subtypes as defined by the WHO Classification of Urinary and Male Genital Tumours, 5th edition (2022).</w:t>
      </w:r>
    </w:p>
    <w:p w14:paraId="4ED2E5EE" w14:textId="77777777" w:rsidR="00FB0F97" w:rsidRPr="00DB5266" w:rsidRDefault="00FB0F97" w:rsidP="00FB0F97">
      <w:pPr>
        <w:pStyle w:val="Heading1"/>
        <w:bidi w:val="0"/>
        <w:jc w:val="both"/>
        <w:rPr>
          <w:b/>
          <w:bCs/>
          <w:color w:val="auto"/>
          <w:sz w:val="24"/>
          <w:szCs w:val="24"/>
        </w:rPr>
      </w:pPr>
      <w:r w:rsidRPr="00DB5266">
        <w:rPr>
          <w:b/>
          <w:bCs/>
          <w:color w:val="auto"/>
          <w:sz w:val="24"/>
          <w:szCs w:val="24"/>
        </w:rPr>
        <w:t>Materials and Methods</w:t>
      </w:r>
    </w:p>
    <w:p w14:paraId="0BCBC94F"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Study Design</w:t>
      </w:r>
    </w:p>
    <w:p w14:paraId="23F69A1E"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This was an analytical study with a cross-sectional design.</w:t>
      </w:r>
    </w:p>
    <w:p w14:paraId="46833023"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Study Population and Samples</w:t>
      </w:r>
    </w:p>
    <w:p w14:paraId="31DA943E"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The study population comprised patients who underwent biopsy or transurethral resection of bladder tumor and were histopathologically diagnosed with invasive urothelial carcinoma based on hematoxylin-eosin staining. A total of 32 formalin-fixed, paraffin-embedded tissue samples collected over a three-year period were included according to predefined inclusion and exclusion criteria. Consecutive sampling was applied.</w:t>
      </w:r>
    </w:p>
    <w:p w14:paraId="2975ED16"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Histopathological Evaluation</w:t>
      </w:r>
    </w:p>
    <w:p w14:paraId="2C152150"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 xml:space="preserve">The clinicopathological variables evaluated in this study included age, sex, clinical stage, lymphovascular invasion (LVI), perineural invasion (PNI), tumor-infiltrating lymphocytes (TILs), and histological subtypes. Histological classification and subtype determination were </w:t>
      </w:r>
      <w:r w:rsidRPr="00DB5266">
        <w:rPr>
          <w:rFonts w:asciiTheme="majorHAnsi" w:hAnsiTheme="majorHAnsi"/>
          <w:sz w:val="24"/>
          <w:szCs w:val="24"/>
          <w:lang w:val="en-ID"/>
        </w:rPr>
        <w:lastRenderedPageBreak/>
        <w:t>performed in accordance with the WHO Classification of Urinary and Male Genital Tumours, 5th edition (2022).</w:t>
      </w:r>
    </w:p>
    <w:p w14:paraId="41ABB601"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Immunohistochemistry for PD-L1</w:t>
      </w:r>
    </w:p>
    <w:p w14:paraId="73722A30"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Immunohistochemical staining for PD-L1 was performed using a monoclonal rabbit anti-human PD-L1 antibody (GeneAb™) at a dilution of 1:100 (GenomeMe). Tonsil tissue was used as a positive control. PD-L1 expression was evaluated based on membranous and/or cytoplasmic staining in tumor cells, lymphocytes, and macrophages.</w:t>
      </w:r>
    </w:p>
    <w:p w14:paraId="7DC96DDE"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PD-L1 Scoring System</w:t>
      </w:r>
    </w:p>
    <w:p w14:paraId="3388D65C"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PD-L1 immunohistochemical expression was assessed using the Combined Positive Score (CPS), calculated as follows:</w:t>
      </w:r>
    </w:p>
    <w:p w14:paraId="239452E0"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CPS = (number of PD-L1-positive tumor cells, lymphocytes, and macrophages / total number of viable tumor cells) × 100</w:t>
      </w:r>
    </w:p>
    <w:p w14:paraId="0C3C31D9"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A CPS value of ≥10 was considered positive.</w:t>
      </w:r>
    </w:p>
    <w:p w14:paraId="7C50F678"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Data Collection</w:t>
      </w:r>
    </w:p>
    <w:p w14:paraId="490C52FA"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Samples were identified through the pathology data storage system. Slide and paraffin block identification numbers corresponding to histopathological diagnoses of invasive urothelial carcinoma were retrieved and reviewed to confirm eligibility.</w:t>
      </w:r>
    </w:p>
    <w:p w14:paraId="78D8248C" w14:textId="77777777" w:rsidR="00FB0F97" w:rsidRPr="00DB5266" w:rsidRDefault="00FB0F97" w:rsidP="00FB0F97">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Statistical Analysis</w:t>
      </w:r>
    </w:p>
    <w:p w14:paraId="16FF0600"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Descriptive statistics were used to summarize the frequency distribution of clinicopathological characteristics. Associations between PD-L1 immunohistochemical expression and clinicopathological variables were analyzed using Fisher’s exact test or the Chi-square test, as appropriate. A p-value of &lt;0.05 was considered statistically significant.</w:t>
      </w:r>
    </w:p>
    <w:p w14:paraId="0CD709A0" w14:textId="77777777" w:rsidR="0093094C" w:rsidRPr="00DB5266" w:rsidRDefault="0093094C" w:rsidP="00FB0F97">
      <w:pPr>
        <w:bidi w:val="0"/>
        <w:spacing w:after="0" w:line="480" w:lineRule="auto"/>
        <w:jc w:val="both"/>
        <w:rPr>
          <w:rFonts w:asciiTheme="majorHAnsi" w:hAnsiTheme="majorHAnsi"/>
          <w:b/>
          <w:bCs/>
          <w:sz w:val="24"/>
          <w:szCs w:val="24"/>
          <w:lang w:val="en-ID"/>
        </w:rPr>
      </w:pPr>
    </w:p>
    <w:p w14:paraId="75F7A72E" w14:textId="77777777" w:rsidR="0093094C" w:rsidRPr="00DB5266" w:rsidRDefault="0093094C" w:rsidP="0093094C">
      <w:pPr>
        <w:bidi w:val="0"/>
        <w:spacing w:after="0" w:line="480" w:lineRule="auto"/>
        <w:jc w:val="both"/>
        <w:rPr>
          <w:rFonts w:asciiTheme="majorHAnsi" w:hAnsiTheme="majorHAnsi"/>
          <w:b/>
          <w:bCs/>
          <w:sz w:val="24"/>
          <w:szCs w:val="24"/>
          <w:lang w:val="en-ID"/>
        </w:rPr>
      </w:pPr>
    </w:p>
    <w:p w14:paraId="5095DA48" w14:textId="3098EE38" w:rsidR="00FB0F97" w:rsidRPr="00DB5266" w:rsidRDefault="00FB0F97" w:rsidP="0093094C">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lastRenderedPageBreak/>
        <w:t>Ethical Considerations</w:t>
      </w:r>
    </w:p>
    <w:p w14:paraId="1FE3E369" w14:textId="77777777" w:rsidR="00FB0F97" w:rsidRPr="00DB5266" w:rsidRDefault="00FB0F97" w:rsidP="00FB0F97">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This study was approved by the Health Research Ethics Committee of the Faculty of Medicine, Universitas Sumatera Utara, Medan, Indonesia (Approval No. 1088/KEPK/USU/2024). As the study used archived histopathological specimens and secondary data, informed consent from individual patients was waived by the ethics committee.</w:t>
      </w:r>
    </w:p>
    <w:p w14:paraId="4D366E81" w14:textId="77777777" w:rsidR="0071076B" w:rsidRPr="00DB5266" w:rsidRDefault="0071076B" w:rsidP="0071076B">
      <w:pPr>
        <w:pStyle w:val="Heading1"/>
        <w:bidi w:val="0"/>
        <w:rPr>
          <w:b/>
          <w:bCs/>
          <w:color w:val="auto"/>
          <w:sz w:val="24"/>
          <w:szCs w:val="24"/>
        </w:rPr>
      </w:pPr>
      <w:r w:rsidRPr="00DB5266">
        <w:rPr>
          <w:b/>
          <w:bCs/>
          <w:color w:val="auto"/>
          <w:sz w:val="24"/>
          <w:szCs w:val="24"/>
        </w:rPr>
        <w:t>Results</w:t>
      </w:r>
    </w:p>
    <w:p w14:paraId="3C3A186A"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The clinicopathological characteristics of invasive urothelial carcinoma are summarized in Table 1. The correlations between lymphovascular invasion and PD-L1 immunohistochemical expression and between tumor-infiltrating lymphocytes and PD-L1 immunohistochemical expression are presented in Tables 2 and 3, respectively.</w:t>
      </w:r>
    </w:p>
    <w:p w14:paraId="1BC77446"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As shown in Table 1, invasive urothelial carcinoma was predominantly observed in male patients, accounting for 26 cases (81.3%), whereas female patients comprised 6 cases (18.7%). Most patients were aged 60 years or older (16 cases, 50.0%), followed by those aged 50-59 years (12 cases, 37.5%). No cases were identified in patients younger than 30 years.</w:t>
      </w:r>
    </w:p>
    <w:p w14:paraId="4DC46C22"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Clinical stage information was unavailable for most cases (31/32, 96.9%), with only one case documented as stage III. Lymphovascular invasion was identified in 11 cases (34.4%), whereas 21 cases (65.6%) showed no evidence of lymphovascular invasion. Perineural invasion was not observed in any of the examined samples.</w:t>
      </w:r>
    </w:p>
    <w:p w14:paraId="037531DE"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Regarding the tumor immune microenvironment, tumor-infiltrating lymphocytes were most frequently classified as mild in 16 cases (50.0%), followed by severe infiltration in 10 cases (31.3%) and moderate infiltration in 6 cases (18.7%).</w:t>
      </w:r>
    </w:p>
    <w:p w14:paraId="4206B923"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 xml:space="preserve">Histologically, the most common subtype was urothelial carcinoma with squamous differentiation, identified in 12 cases (37.5%), followed by clear cell urothelial carcinoma in 11 </w:t>
      </w:r>
      <w:r w:rsidRPr="00DB5266">
        <w:rPr>
          <w:rFonts w:asciiTheme="majorHAnsi" w:hAnsiTheme="majorHAnsi"/>
        </w:rPr>
        <w:lastRenderedPageBreak/>
        <w:t>cases (34.4%). Other histological variants, including nested urothelial carcinoma and micropapillary urothelial carcinoma, were infrequent, each observed in 2 cases (6.3%). Lipid-rich urothelial carcinoma accounted for 5 cases (15.6%). PD-L1 immunohistochemical expression was negative in most cases (29/32, 90.6%), whereas positive expression was observed in 3 cases (9.4%).</w:t>
      </w:r>
    </w:p>
    <w:p w14:paraId="16F942FE"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As shown in Table 2, PD-L1 immunohistochemical expression was observed only in cases with lymphovascular invasion. Among tumors with lymphovascular invasion, PD-L1 positivity was found in 3 cases (27.3%), while 8 cases (72.7%) were PD-L1 negative. In contrast, none of the tumors without lymphovascular invasion showed PD-L1 expression; all 21 cases (100%) were PD-L1 negative. Fisher’s exact test demonstrated a statistically significant association between lymphovascular invasion and PD-L1 immunohistochemical expression (p = 0.033).</w:t>
      </w:r>
    </w:p>
    <w:p w14:paraId="738BC47D"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r w:rsidRPr="00DB5266">
        <w:rPr>
          <w:rFonts w:asciiTheme="majorHAnsi" w:hAnsiTheme="majorHAnsi"/>
        </w:rPr>
        <w:t>As presented in Table 3, PD-L1 immunohistochemical expression was detected in tumors with mild and moderate TILs. Among cases with mild TILs, PD-L1 positivity was observed in 2 cases (12.5%), while 14 cases (87.5%) were PD-L1 negative. In the moderate TIL group, PD-L1 positivity was found in 1 case (16.7%), whereas 5 cases (83.3%) were negative. No PD-L1 immunohistochemical expression was observed in tumors with severe TILs, as all 10 cases (100%) were PD-L1 negative. Statistical analysis showed no significant association between tumor-infiltrating lymphocytes and PD-L1 immunohistochemical expression (p = 0.565).</w:t>
      </w:r>
    </w:p>
    <w:p w14:paraId="5AF44C87" w14:textId="77777777" w:rsidR="0071076B" w:rsidRPr="00DB5266" w:rsidRDefault="0071076B" w:rsidP="0071076B">
      <w:pPr>
        <w:pStyle w:val="NormalWeb"/>
        <w:spacing w:before="0" w:beforeAutospacing="0" w:after="0" w:afterAutospacing="0" w:line="480" w:lineRule="auto"/>
        <w:jc w:val="both"/>
        <w:rPr>
          <w:rFonts w:asciiTheme="majorHAnsi" w:hAnsiTheme="majorHAnsi"/>
        </w:rPr>
      </w:pPr>
    </w:p>
    <w:p w14:paraId="5BBF6888" w14:textId="77777777" w:rsidR="0071076B" w:rsidRPr="00DB5266" w:rsidRDefault="0071076B" w:rsidP="0071076B">
      <w:pPr>
        <w:pStyle w:val="Heading1"/>
        <w:bidi w:val="0"/>
        <w:spacing w:before="0"/>
        <w:rPr>
          <w:b/>
          <w:bCs/>
          <w:color w:val="auto"/>
          <w:sz w:val="24"/>
          <w:szCs w:val="24"/>
        </w:rPr>
      </w:pPr>
      <w:r w:rsidRPr="00DB5266">
        <w:rPr>
          <w:b/>
          <w:bCs/>
          <w:color w:val="auto"/>
          <w:sz w:val="24"/>
          <w:szCs w:val="24"/>
        </w:rPr>
        <w:t>Discussion</w:t>
      </w:r>
    </w:p>
    <w:p w14:paraId="5919FE4C"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 xml:space="preserve">In the present study, invasive urothelial carcinoma was predominantly observed in male patients (81.3%), with a male-to-female ratio of 4.3:1. This finding is consistent with previous studies reporting a higher prevalence of urothelial carcinoma among men [7,10,11]. The higher incidence in male patients has been attributed to several factors, including smoking habits, </w:t>
      </w:r>
      <w:r w:rsidRPr="00DB5266">
        <w:rPr>
          <w:rFonts w:asciiTheme="majorHAnsi" w:hAnsiTheme="majorHAnsi"/>
          <w:sz w:val="24"/>
          <w:szCs w:val="24"/>
          <w:lang w:val="en-ID"/>
        </w:rPr>
        <w:lastRenderedPageBreak/>
        <w:t>occupational exposure, hormonal influences, and genetic susceptibility. Testosterone and androgen receptor-mediated signaling have also been proposed to contribute to urothelial carcinogenesis [12].</w:t>
      </w:r>
    </w:p>
    <w:p w14:paraId="553DA218"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In this study, invasive urothelial carcinoma was most frequently identified in patients aged 60 years or older, with a mean age of 58.97 years and a median age of 59.5 years. This finding is in line with previous reports indicating that urothelial carcinoma predominantly affects older individuals [10,11,13]. Urothelial carcinoma in younger patients is relatively uncommon and may be associated with specific risk factors, including genetic predisposition and chronic inflammatory conditions [14].</w:t>
      </w:r>
    </w:p>
    <w:p w14:paraId="38804F8E"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Lymphovascular invasion was identified in 34.3% of cases, and PD-L1 positivity was observed exclusively in tumors with lymphovascular invasion, with a statistically significant association (p = 0.033). Lymphovascular invasion is a well-recognized marker of tumor aggressiveness because it reflects the capacity of tumor cells to invade vascular and lymphatic channels and potentially disseminate to distant sites. Previous studies have likewise emphasized the prognostic relevance of lymphovascular invasion in urothelial carcinoma [15-18]. Some studies have demonstrated a significant association between PD-L1 expression and vascular or lymphatic invasion [16], whereas others did not find a significant relationship [19]. These discrepancies may be related to differences in antibody clones, scoring systems, sample size, and tumor heterogeneity.</w:t>
      </w:r>
    </w:p>
    <w:p w14:paraId="2D78D673"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 xml:space="preserve">Tumor-infiltrating lymphocytes were most commonly classified as mild in the present study, and no significant association was identified between TILs and PD-L1 immunohistochemical expression (p = 0.565). This finding is consistent with the report by Rinonce et al. [21], although other investigators have found a stronger relationship between immune infiltration and PD-L1 expression [20,24,26]. The interaction between PD-L1 expression and TIL density is complex. </w:t>
      </w:r>
      <w:r w:rsidRPr="00DB5266">
        <w:rPr>
          <w:rFonts w:asciiTheme="majorHAnsi" w:hAnsiTheme="majorHAnsi"/>
          <w:sz w:val="24"/>
          <w:szCs w:val="24"/>
          <w:lang w:val="en-ID"/>
        </w:rPr>
        <w:lastRenderedPageBreak/>
        <w:t>PD-L1 expression may be induced not only by immune-mediated mechanisms but also by intrinsic tumor signaling pathways such as PI3K-AKT and JAK-STAT activation [22-26]. In addition, TILs may become functionally exhausted, limiting cytokine production and weakening immune-driven PD-L1 upregulation.</w:t>
      </w:r>
    </w:p>
    <w:p w14:paraId="0FC7C7C8"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In the present study, the most common histopathological subtype was urothelial carcinoma with squamous differentiation, and PD-L1 positivity was observed only in this subtype. However, the association between histological subtype and PD-L1 expression did not reach statistical significance. Histopathological subtyping has therapeutic and prognostic implications in bladder cancer, especially because certain variants are associated with more aggressive clinical behavior and distinct treatment considerations [27-29].</w:t>
      </w:r>
    </w:p>
    <w:p w14:paraId="7E47FA80"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PD-L1 immunohistochemical expression is known to vary according to the antibody clone used and the scoring method applied [22,30]. In this study, PD-L1 positivity was detected in 9.4% of cases using the GeneAb™ monoclonal rabbit anti-human PD-L1 antibody, with positive staining observed in tumor cells and immune cells. This relatively low proportion may reflect biological differences, methodological variation, or the limited sample size.</w:t>
      </w:r>
    </w:p>
    <w:p w14:paraId="2A61FF35"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This study has several limitations. First, clinical stage data were unavailable in most cases, precluding further analysis of the relationship between PD-L1 expression and stage. Second, perineural invasion could not be analyzed because it was absent in all cases. Third, the relatively small sample size may have limited the statistical power to detect associations with some clinicopathological variables.</w:t>
      </w:r>
    </w:p>
    <w:p w14:paraId="0C884DBA"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Overall, the present findings suggest that PD-L1 expression in invasive urothelial carcinoma of the bladder may be more closely related to tumor invasiveness, as reflected by lymphovascular invasion, than to immune cell infiltration.</w:t>
      </w:r>
    </w:p>
    <w:p w14:paraId="105C93C9"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p>
    <w:p w14:paraId="32E0049F" w14:textId="10AE78CA" w:rsidR="0071076B" w:rsidRPr="00DB5266" w:rsidRDefault="0071076B" w:rsidP="0071076B">
      <w:pPr>
        <w:autoSpaceDE w:val="0"/>
        <w:autoSpaceDN w:val="0"/>
        <w:bidi w:val="0"/>
        <w:adjustRightInd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lastRenderedPageBreak/>
        <w:t>Conclusion</w:t>
      </w:r>
    </w:p>
    <w:p w14:paraId="571E10E4"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Invasive urothelial carcinoma of the urinary bladder in this study was most frequently observed in male patients, in individuals aged 60 years or older, in tumors with mild tumor-infiltrating lymphocytes, and in tumors with squamous differentiation.</w:t>
      </w:r>
    </w:p>
    <w:p w14:paraId="377ADF75" w14:textId="77777777" w:rsidR="0071076B" w:rsidRPr="00DB5266" w:rsidRDefault="0071076B" w:rsidP="0071076B">
      <w:pPr>
        <w:autoSpaceDE w:val="0"/>
        <w:autoSpaceDN w:val="0"/>
        <w:bidi w:val="0"/>
        <w:adjustRightInd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A statistically significant association was identified between PD-L1 immunohistochemical expression and lymphovascular invasion (p = 0.033), whereas no significant association was observed between PD-L1 expression and tumor-infiltrating lymphocytes or other clinicopathological variables evaluated in this study. These findings suggest that PD-L1 expression in invasive urothelial carcinoma may be more closely related to tumor invasiveness than to immune cell infiltration.</w:t>
      </w:r>
    </w:p>
    <w:p w14:paraId="04EF5DA6" w14:textId="77777777" w:rsidR="0071076B" w:rsidRPr="00DB5266" w:rsidRDefault="0071076B" w:rsidP="0071076B">
      <w:pPr>
        <w:bidi w:val="0"/>
        <w:spacing w:after="0" w:line="480" w:lineRule="auto"/>
        <w:jc w:val="both"/>
        <w:rPr>
          <w:rFonts w:asciiTheme="majorHAnsi" w:hAnsiTheme="majorHAnsi"/>
          <w:b/>
          <w:bCs/>
          <w:sz w:val="24"/>
          <w:szCs w:val="24"/>
          <w:lang w:val="en-ID"/>
        </w:rPr>
      </w:pPr>
    </w:p>
    <w:p w14:paraId="25152D8F" w14:textId="50A27F02" w:rsidR="0071076B" w:rsidRPr="00DB5266" w:rsidRDefault="0071076B" w:rsidP="0071076B">
      <w:pPr>
        <w:bidi w:val="0"/>
        <w:spacing w:after="0" w:line="480" w:lineRule="auto"/>
        <w:jc w:val="both"/>
        <w:rPr>
          <w:rFonts w:asciiTheme="majorHAnsi" w:hAnsiTheme="majorHAnsi"/>
          <w:b/>
          <w:bCs/>
          <w:sz w:val="24"/>
          <w:szCs w:val="24"/>
          <w:lang w:val="en-ID"/>
        </w:rPr>
      </w:pPr>
      <w:r w:rsidRPr="00DB5266">
        <w:rPr>
          <w:rFonts w:asciiTheme="majorHAnsi" w:hAnsiTheme="majorHAnsi"/>
          <w:b/>
          <w:bCs/>
          <w:sz w:val="24"/>
          <w:szCs w:val="24"/>
          <w:lang w:val="en-ID"/>
        </w:rPr>
        <w:t>Acknowledgments</w:t>
      </w:r>
    </w:p>
    <w:p w14:paraId="4A697DC8" w14:textId="38818870" w:rsidR="00FB0F97" w:rsidRPr="00DB5266" w:rsidRDefault="0071076B" w:rsidP="0071076B">
      <w:pPr>
        <w:bidi w:val="0"/>
        <w:spacing w:after="0" w:line="480" w:lineRule="auto"/>
        <w:jc w:val="both"/>
        <w:rPr>
          <w:rFonts w:asciiTheme="majorHAnsi" w:hAnsiTheme="majorHAnsi"/>
          <w:sz w:val="24"/>
          <w:szCs w:val="24"/>
          <w:lang w:val="en-ID"/>
        </w:rPr>
      </w:pPr>
      <w:r w:rsidRPr="00DB5266">
        <w:rPr>
          <w:rFonts w:asciiTheme="majorHAnsi" w:hAnsiTheme="majorHAnsi"/>
          <w:sz w:val="24"/>
          <w:szCs w:val="24"/>
          <w:lang w:val="en-ID"/>
        </w:rPr>
        <w:t>This research did not receive any specific grant from funding agencies in the public, commercial, or not-for-profit sectors. This study was approved by the Health Research Ethics Committee of the Faculty of Medicine, Universitas Sumatera Utara, Medan, Indonesia (Approval No. 1088/KEPK/USU/2024). The authors declare no conflict of interest.</w:t>
      </w:r>
    </w:p>
    <w:p w14:paraId="5442270D" w14:textId="77777777" w:rsidR="0071076B" w:rsidRPr="00DB5266" w:rsidRDefault="0071076B" w:rsidP="0071076B">
      <w:pPr>
        <w:bidi w:val="0"/>
        <w:spacing w:after="0" w:line="480" w:lineRule="auto"/>
        <w:jc w:val="both"/>
        <w:rPr>
          <w:rFonts w:asciiTheme="majorHAnsi" w:hAnsiTheme="majorHAnsi"/>
          <w:sz w:val="24"/>
          <w:szCs w:val="24"/>
          <w:lang w:val="en-ID"/>
        </w:rPr>
      </w:pPr>
    </w:p>
    <w:p w14:paraId="3BDA0681" w14:textId="77777777" w:rsidR="0071076B" w:rsidRPr="00DB5266" w:rsidRDefault="0071076B" w:rsidP="007571CC">
      <w:pPr>
        <w:pStyle w:val="Heading1"/>
        <w:bidi w:val="0"/>
        <w:spacing w:before="0"/>
        <w:rPr>
          <w:b/>
          <w:bCs/>
          <w:color w:val="auto"/>
          <w:sz w:val="24"/>
          <w:szCs w:val="24"/>
        </w:rPr>
      </w:pPr>
      <w:r w:rsidRPr="00DB5266">
        <w:rPr>
          <w:b/>
          <w:bCs/>
          <w:color w:val="auto"/>
          <w:sz w:val="24"/>
          <w:szCs w:val="24"/>
        </w:rPr>
        <w:t>References</w:t>
      </w:r>
    </w:p>
    <w:p w14:paraId="36386060"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Ferlay J, Ervik M, Lam F, Laversanne M, Colombet M, Mery L, et al. Global Cancer Observatory: Cancer Today [Internet]. Lyon: International Agency for Research on Cancer; 2024 [cited 2024 May 1]. Available from: https://gco.iarc.who.int/today.</w:t>
      </w:r>
    </w:p>
    <w:p w14:paraId="2BD610BA"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Sung H, Ferlay J, Siegel RL, Laversanne M, Soerjomataram I, Jemal A, et al. Global cancer statistics 2020: GLOBOCAN estimates of incidence and mortality worldwide for 36 cancers in 185 countries. CA Cancer J Clin. 2021;71(3):209–249. doi:10.3322/caac.21660.</w:t>
      </w:r>
    </w:p>
    <w:p w14:paraId="4E4C7ED8"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Babjuk M, Böhle A, Burger M, Capoun O, Cohen D, Compérat EM, et al. EAU guidelines on non-muscle-invasive urothelial carcinoma of the bladder: update 2016. Eur Urol. 2017;71(3):447–461.</w:t>
      </w:r>
    </w:p>
    <w:p w14:paraId="67AB050D"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Witjes JA, Lebret T, Compérat EM, Cowan NC, De Santis M, Bruins HM, et al. Updated 2016 EAU guidelines on muscle-invasive and metastatic bladder cancer. Eur Urol. 2017;71(3):462–475. doi:10.1016/j.eururo.2016.06.020.</w:t>
      </w:r>
    </w:p>
    <w:p w14:paraId="26EDA2BC"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lastRenderedPageBreak/>
        <w:t>Tang K, Li H, Xia D, Hu Z, Zhuang Q, Liu J, et al. Laparoscopic versus open radical cystectomy in bladder cancer: a systematic review and meta-analysis. PLoS One. 2014;9(5):e95667. doi:10.1371/journal.pone.0095667.</w:t>
      </w:r>
    </w:p>
    <w:p w14:paraId="0588C611"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Liu H, Ye T, Yang X, Lv P, Wu X, Zhou H, et al. Predictive and prognostic role of PD-L1 in urothelial carcinoma patients treated with anti-PD-1/PD-L1 therapy: a systematic review and meta-analysis. Dis Markers. 2020;2020:8375348. doi:10.1155/2020/8375348.</w:t>
      </w:r>
    </w:p>
    <w:p w14:paraId="3D2B6D67" w14:textId="65D0DBAE"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Al Nabhani S, Al Harthy A, Al Riyami M, Al Sinawi S, Al Rashdi A, Al Husseni S, et al. Programmed death-ligand 1 expression in bladder cancer and its correlation with tumor grade, stage, and outcome. Oman Med J. 2022;37(6):e441. doi:10.5001/omj.2022.96.</w:t>
      </w:r>
    </w:p>
    <w:p w14:paraId="4610EDCC"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Al-Samawi AS, Aulaqi SM. Urinary bladder cancer in Yemen. Oman Med J. 2013;28(5):337–340. doi:10.5001/omj.2013.97.</w:t>
      </w:r>
    </w:p>
    <w:p w14:paraId="127F7BBC"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Altaf J, Mahesar MA, Jatoi T. Clinicopathological features of bladder tumors in a single institution in Pakistan. Int J Clin Case Stud. 2017;1(1):22–29.</w:t>
      </w:r>
    </w:p>
    <w:p w14:paraId="3FBA9FDB"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Anugrah PP, Nandana PI, Andari MY. Incidence of urinary bladder cancer at West Nusa Tenggara Provincial Hospital, 2017–2018. J Kedokt Univ Mataram. 2019;8(2):1–6. doi:10.29303/jku.v8i2.332.</w:t>
      </w:r>
    </w:p>
    <w:p w14:paraId="7593761D"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Panjaitan AM. Profile of bladder cancer patients at Haji Adam Malik General Hospital, 2011–2015 [dissertation]. Medan: Universitas Sumatera Utara; 2017.</w:t>
      </w:r>
    </w:p>
    <w:p w14:paraId="35272368"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Martínez-Rojo E, Berumen LC, García-Alcocer G, Escobar-Cabrera J. The role of androgens and androgen receptor in human bladder cancer. Biomolecules. 2021;11(4):594. doi:10.3390/biom11040594.</w:t>
      </w:r>
    </w:p>
    <w:p w14:paraId="398623C6"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Siegel RL, Miller KD, Jemal A. Cancer statistics, 2020. CA Cancer J Clin. 2020;70(1):7–30. doi:10.3322/caac.21590.</w:t>
      </w:r>
    </w:p>
    <w:p w14:paraId="6A173858"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Telli O, Sarici H, Ozgur BC, Doluoglu OG, Sunay MM, Bozkurt S, et al. Urothelial cancer of the bladder in young versus older adults. Kaohsiung J Med Sci. 2014;30(9):466–470. doi:10.1016/j.kjms.2014.02.017.</w:t>
      </w:r>
    </w:p>
    <w:p w14:paraId="17D98ADF"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Danzig MR, Mallin K, McKiernan JM, Stadler WM, Sridhar SS, Morgan TM, et al. Prognostic importance of lymphovascular invasion in urothelial carcinoma. Cancer. 2018;124(12):2507–2514. doi:10.1002/cncr.31372.</w:t>
      </w:r>
    </w:p>
    <w:p w14:paraId="0FB14D01"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Plage H, Furlano K, Hofbauer S, Weinberger S, Ralla B, Franz A, et al. PD-L1 expression in tumor and inflammatory cells in muscle-invasive urothelial carcinoma. BMC Urol. 2024;24(1):96. doi:10.1186/s12894-024-01482-z.</w:t>
      </w:r>
    </w:p>
    <w:p w14:paraId="1FE3D77D"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Kucuk U, Pala EE, Cakir E, Sezer O, Bayol U, Divrik RT, et al. Prognostic factors in urothelial carcinoma of the bladder. Cent European J Urol. 2015;68(1):30–36. doi:10.5173/ceju.2015.01.465.</w:t>
      </w:r>
    </w:p>
    <w:p w14:paraId="02CE8BC3"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Kim H, Kim M, Kwak C, Kim HH, Ku JH. Prognostic significance of lymphovascular invasion in bladder cancer: a meta-analysis. PLoS One. 2014;9(2):e89259. doi:10.1371/journal.pone.0089259.</w:t>
      </w:r>
    </w:p>
    <w:p w14:paraId="48D477E7"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Pichler R, Heidegger I, Fritz J, Danzl M, Sprung S, Zelger B, et al. PD-L1 expression in bladder cancer and oncologic outcome. Oncotarget. 2017;8(40):66849–66864. doi:10.18632/oncotarget.19913.</w:t>
      </w:r>
    </w:p>
    <w:p w14:paraId="1A08BE60"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Liu K, Zhao K, Wang L, Sun E. Prognostic value of tumor-infiltrating inflammatory cells in bladder cancer. Pathol Res Pract. 2018;214(8):1074–1080. doi:10.1016/j.prp.2018.05.010.</w:t>
      </w:r>
    </w:p>
    <w:p w14:paraId="5C7C311B"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Rinonce HT, Ambarwati THD, Syaebani M, Pudjohartono MF, Adevita S, Ferronika P, et al. Association between PD-L1 expression and clinicopathological characteristics in bladder cancer. Med J Malaysia. 2022;77(Suppl 1):78–83.</w:t>
      </w:r>
    </w:p>
    <w:p w14:paraId="2374B68C"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lastRenderedPageBreak/>
        <w:t>Vranic S, Gatalica Z. PD-L1 testing by immunohistochemistry in immuno-oncology. Biomol Biomed. 2023;23(1):15–25. doi:10.17305/bjbms.2022.7953.</w:t>
      </w:r>
    </w:p>
    <w:p w14:paraId="4F8BD540"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Coulie PG, Van den Eynde BJ, Van der Bruggen P. Tumour antigens recognized by T lymphocytes. Nat Rev Cancer. 2014;14:135–146.</w:t>
      </w:r>
    </w:p>
    <w:p w14:paraId="4280E186"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Nukui A, Kamai T, Arai K, Kijima T, Kobayashi M, Narimatsu T, et al. PD-L1 expression and tumor-infiltrating lymphocytes in urothelial carcinoma. Cancer Immunol Immunother. 2020;69:1555–1564.</w:t>
      </w:r>
    </w:p>
    <w:p w14:paraId="6558B362"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Bellmunt J, Powles T, Vogelzang NJ. PD-1/PD-L1 immunotherapy for bladder cancer. Cancer Treat Rev. 2017;54:58–67.</w:t>
      </w:r>
    </w:p>
    <w:p w14:paraId="16E6B169"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Miyake M, Hori S, Owari T, Oda Y, Tatsumi Y, Nakai Y, et al. Tumor-infiltrating lymphocytes and PD-L1 in urological malignancies. Cancers (Basel). 2020;12(11):3153. doi:10.3390/cancers12113153.</w:t>
      </w:r>
    </w:p>
    <w:p w14:paraId="0BD4627E" w14:textId="09B612A2"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Nechifor-Boilă IA, Loghin A, Nechifor-Boilă A, Decaussin-Petrucci M, Voidăzan S, Chibelean BC, et al. PD-L1 expression in muscle-invasive urothelial carcinoma. Life (Basel). 2021;11(5):404. doi:10.3390/life11050404.</w:t>
      </w:r>
    </w:p>
    <w:p w14:paraId="6DD32F06"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Widjaja T, Ediana M, Zuraidah E. Molecular subtypes of bladder cancer as therapeutic guidance. Pratista Patologi. 2024;9(1):1–10.</w:t>
      </w:r>
    </w:p>
    <w:p w14:paraId="59BFDC4F"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Kumari N, Jha A, Vasudeva P, Agrawal U. High-grade urothelial carcinoma transforming to micropapillary variant. Iran J Med Sci. 2017;42(3):318–321.</w:t>
      </w:r>
    </w:p>
    <w:p w14:paraId="3073A887"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Davis AA, Patel VG. PD-L1 as a predictive biomarker: FDA approvals. J Immunother Cancer. 2019;7(1):278. doi:10.1186/s40425-019-0768-9.</w:t>
      </w:r>
    </w:p>
    <w:p w14:paraId="6015171C" w14:textId="77777777" w:rsidR="0071076B" w:rsidRPr="00DB5266" w:rsidRDefault="0071076B" w:rsidP="007571CC">
      <w:pPr>
        <w:pStyle w:val="ListParagraph"/>
        <w:numPr>
          <w:ilvl w:val="0"/>
          <w:numId w:val="9"/>
        </w:numPr>
        <w:autoSpaceDE w:val="0"/>
        <w:autoSpaceDN w:val="0"/>
        <w:bidi w:val="0"/>
        <w:adjustRightInd w:val="0"/>
        <w:spacing w:after="0" w:line="240" w:lineRule="auto"/>
        <w:ind w:left="284" w:hanging="284"/>
        <w:jc w:val="both"/>
        <w:rPr>
          <w:rFonts w:asciiTheme="majorHAnsi" w:hAnsiTheme="majorHAnsi" w:cs="Calibri"/>
          <w:sz w:val="24"/>
          <w:szCs w:val="24"/>
        </w:rPr>
      </w:pPr>
      <w:r w:rsidRPr="00DB5266">
        <w:rPr>
          <w:rFonts w:asciiTheme="majorHAnsi" w:hAnsiTheme="majorHAnsi" w:cs="Calibri"/>
          <w:sz w:val="24"/>
          <w:szCs w:val="24"/>
        </w:rPr>
        <w:t>Ding X, Chen Q, Yang Z, Li J, Zhan H, Lu N, et al. Prognostic value of PD-L1 in urothelial carcinoma: a meta-analysis. Cancer Manag Res. 2019;11:4171–4184.</w:t>
      </w:r>
    </w:p>
    <w:p w14:paraId="242485BC"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sz w:val="24"/>
          <w:szCs w:val="24"/>
        </w:rPr>
      </w:pPr>
    </w:p>
    <w:p w14:paraId="282B3ABD"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1D793C67"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31DBB54D"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b/>
          <w:bCs/>
          <w:sz w:val="32"/>
          <w:szCs w:val="32"/>
        </w:rPr>
      </w:pPr>
      <w:r w:rsidRPr="00DB5266">
        <w:rPr>
          <w:rFonts w:asciiTheme="majorHAnsi" w:hAnsiTheme="majorHAnsi" w:cs="Calibri"/>
          <w:b/>
          <w:bCs/>
          <w:sz w:val="32"/>
          <w:szCs w:val="32"/>
        </w:rPr>
        <w:t>Table</w:t>
      </w:r>
    </w:p>
    <w:p w14:paraId="54C712C1" w14:textId="77777777" w:rsidR="0071076B" w:rsidRPr="00DB5266" w:rsidRDefault="0071076B" w:rsidP="0071076B">
      <w:pPr>
        <w:spacing w:before="100" w:beforeAutospacing="1" w:after="100" w:afterAutospacing="1" w:line="480" w:lineRule="auto"/>
        <w:jc w:val="center"/>
        <w:outlineLvl w:val="2"/>
        <w:rPr>
          <w:rFonts w:asciiTheme="majorHAnsi" w:hAnsiTheme="majorHAnsi" w:cs="Times New Roman"/>
        </w:rPr>
      </w:pPr>
      <w:r w:rsidRPr="00DB5266">
        <w:rPr>
          <w:rFonts w:asciiTheme="majorHAnsi" w:hAnsiTheme="majorHAnsi" w:cs="Times New Roman"/>
        </w:rPr>
        <w:t>Table 1. Clinicopathological characteristics of samples with invasive urothelial carcinoma.</w:t>
      </w:r>
    </w:p>
    <w:tbl>
      <w:tblPr>
        <w:tblStyle w:val="TableGrid"/>
        <w:tblpPr w:leftFromText="180" w:rightFromText="180" w:vertAnchor="text" w:tblpXSpec="center" w:tblpY="1"/>
        <w:tblOverlap w:val="never"/>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99"/>
        <w:gridCol w:w="1235"/>
        <w:gridCol w:w="1524"/>
      </w:tblGrid>
      <w:tr w:rsidR="00DB5266" w:rsidRPr="00DB5266" w14:paraId="42B5BB56" w14:textId="77777777" w:rsidTr="00DD03BF">
        <w:trPr>
          <w:tblHeader/>
        </w:trPr>
        <w:tc>
          <w:tcPr>
            <w:tcW w:w="4999" w:type="dxa"/>
            <w:tcBorders>
              <w:top w:val="single" w:sz="4" w:space="0" w:color="auto"/>
              <w:bottom w:val="single" w:sz="4" w:space="0" w:color="auto"/>
            </w:tcBorders>
            <w:vAlign w:val="center"/>
          </w:tcPr>
          <w:p w14:paraId="74275066" w14:textId="77777777" w:rsidR="0071076B" w:rsidRPr="00DB5266" w:rsidRDefault="0071076B" w:rsidP="00DD03BF">
            <w:pPr>
              <w:jc w:val="center"/>
              <w:rPr>
                <w:rFonts w:asciiTheme="majorHAnsi" w:hAnsiTheme="majorHAnsi" w:cs="Times New Roman"/>
                <w:b/>
                <w:bCs/>
                <w:sz w:val="24"/>
                <w:szCs w:val="24"/>
              </w:rPr>
            </w:pPr>
            <w:bookmarkStart w:id="0" w:name="_Hlk184680283"/>
            <w:r w:rsidRPr="00DB5266">
              <w:rPr>
                <w:rFonts w:asciiTheme="majorHAnsi" w:hAnsiTheme="majorHAnsi" w:cs="Times New Roman"/>
                <w:b/>
                <w:bCs/>
                <w:sz w:val="24"/>
                <w:szCs w:val="24"/>
              </w:rPr>
              <w:t>Variabel</w:t>
            </w:r>
          </w:p>
        </w:tc>
        <w:tc>
          <w:tcPr>
            <w:tcW w:w="1235" w:type="dxa"/>
            <w:tcBorders>
              <w:top w:val="single" w:sz="4" w:space="0" w:color="auto"/>
              <w:bottom w:val="single" w:sz="4" w:space="0" w:color="auto"/>
            </w:tcBorders>
          </w:tcPr>
          <w:p w14:paraId="2344548A"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Frequency</w:t>
            </w:r>
          </w:p>
          <w:p w14:paraId="0F6BF2CD"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(n=32)</w:t>
            </w:r>
          </w:p>
        </w:tc>
        <w:tc>
          <w:tcPr>
            <w:tcW w:w="1524" w:type="dxa"/>
            <w:tcBorders>
              <w:top w:val="single" w:sz="4" w:space="0" w:color="auto"/>
              <w:bottom w:val="single" w:sz="4" w:space="0" w:color="auto"/>
            </w:tcBorders>
          </w:tcPr>
          <w:p w14:paraId="3B4E4C95"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Percent</w:t>
            </w:r>
          </w:p>
          <w:p w14:paraId="45DCCD1D"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w:t>
            </w:r>
          </w:p>
        </w:tc>
      </w:tr>
      <w:tr w:rsidR="00DB5266" w:rsidRPr="00DB5266" w14:paraId="4E6C09AB" w14:textId="77777777" w:rsidTr="00DD03BF">
        <w:tc>
          <w:tcPr>
            <w:tcW w:w="4999" w:type="dxa"/>
            <w:tcBorders>
              <w:top w:val="single" w:sz="4" w:space="0" w:color="auto"/>
            </w:tcBorders>
          </w:tcPr>
          <w:p w14:paraId="50E09800" w14:textId="77777777" w:rsidR="0071076B" w:rsidRPr="00DB5266" w:rsidRDefault="0071076B" w:rsidP="0049257E">
            <w:pPr>
              <w:jc w:val="right"/>
              <w:rPr>
                <w:rFonts w:asciiTheme="majorHAnsi" w:hAnsiTheme="majorHAnsi" w:cs="Times New Roman"/>
                <w:sz w:val="24"/>
                <w:szCs w:val="24"/>
              </w:rPr>
            </w:pPr>
            <w:r w:rsidRPr="00DB5266">
              <w:rPr>
                <w:rFonts w:asciiTheme="majorHAnsi" w:hAnsiTheme="majorHAnsi" w:cs="Times New Roman"/>
                <w:sz w:val="24"/>
                <w:szCs w:val="24"/>
              </w:rPr>
              <w:t>Sex</w:t>
            </w:r>
          </w:p>
        </w:tc>
        <w:tc>
          <w:tcPr>
            <w:tcW w:w="1235" w:type="dxa"/>
            <w:tcBorders>
              <w:top w:val="single" w:sz="4" w:space="0" w:color="auto"/>
            </w:tcBorders>
          </w:tcPr>
          <w:p w14:paraId="533415F6" w14:textId="77777777" w:rsidR="0071076B" w:rsidRPr="00DB5266" w:rsidRDefault="0071076B" w:rsidP="00DD03BF">
            <w:pPr>
              <w:jc w:val="center"/>
              <w:rPr>
                <w:rFonts w:asciiTheme="majorHAnsi" w:hAnsiTheme="majorHAnsi" w:cs="Times New Roman"/>
                <w:sz w:val="24"/>
                <w:szCs w:val="24"/>
              </w:rPr>
            </w:pPr>
          </w:p>
        </w:tc>
        <w:tc>
          <w:tcPr>
            <w:tcW w:w="1524" w:type="dxa"/>
            <w:tcBorders>
              <w:top w:val="single" w:sz="4" w:space="0" w:color="auto"/>
            </w:tcBorders>
          </w:tcPr>
          <w:p w14:paraId="103B4FAB" w14:textId="77777777" w:rsidR="0071076B" w:rsidRPr="00DB5266" w:rsidRDefault="0071076B" w:rsidP="00DD03BF">
            <w:pPr>
              <w:jc w:val="center"/>
              <w:rPr>
                <w:rFonts w:asciiTheme="majorHAnsi" w:hAnsiTheme="majorHAnsi" w:cs="Times New Roman"/>
                <w:sz w:val="24"/>
                <w:szCs w:val="24"/>
              </w:rPr>
            </w:pPr>
          </w:p>
        </w:tc>
      </w:tr>
      <w:tr w:rsidR="00DB5266" w:rsidRPr="00DB5266" w14:paraId="248FBEBD" w14:textId="77777777" w:rsidTr="00DD03BF">
        <w:tc>
          <w:tcPr>
            <w:tcW w:w="4999" w:type="dxa"/>
          </w:tcPr>
          <w:p w14:paraId="21BBC7F4" w14:textId="77777777" w:rsidR="0071076B" w:rsidRPr="00DB5266" w:rsidRDefault="0071076B" w:rsidP="0049257E">
            <w:pPr>
              <w:pStyle w:val="ListParagraph"/>
              <w:numPr>
                <w:ilvl w:val="0"/>
                <w:numId w:val="2"/>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Male</w:t>
            </w:r>
          </w:p>
        </w:tc>
        <w:tc>
          <w:tcPr>
            <w:tcW w:w="1235" w:type="dxa"/>
          </w:tcPr>
          <w:p w14:paraId="3BF2A585"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26</w:t>
            </w:r>
          </w:p>
        </w:tc>
        <w:tc>
          <w:tcPr>
            <w:tcW w:w="1524" w:type="dxa"/>
          </w:tcPr>
          <w:p w14:paraId="66C4BCE6"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81.3</w:t>
            </w:r>
          </w:p>
        </w:tc>
      </w:tr>
      <w:tr w:rsidR="00DB5266" w:rsidRPr="00DB5266" w14:paraId="1E9DD05C" w14:textId="77777777" w:rsidTr="00DD03BF">
        <w:tc>
          <w:tcPr>
            <w:tcW w:w="4999" w:type="dxa"/>
          </w:tcPr>
          <w:p w14:paraId="399523D0" w14:textId="77777777" w:rsidR="0071076B" w:rsidRPr="00DB5266" w:rsidRDefault="0071076B" w:rsidP="0049257E">
            <w:pPr>
              <w:pStyle w:val="ListParagraph"/>
              <w:numPr>
                <w:ilvl w:val="0"/>
                <w:numId w:val="2"/>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Female</w:t>
            </w:r>
          </w:p>
        </w:tc>
        <w:tc>
          <w:tcPr>
            <w:tcW w:w="1235" w:type="dxa"/>
          </w:tcPr>
          <w:p w14:paraId="298BC385"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w:t>
            </w:r>
          </w:p>
        </w:tc>
        <w:tc>
          <w:tcPr>
            <w:tcW w:w="1524" w:type="dxa"/>
          </w:tcPr>
          <w:p w14:paraId="71D8A0C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18.7</w:t>
            </w:r>
          </w:p>
        </w:tc>
      </w:tr>
      <w:tr w:rsidR="00DB5266" w:rsidRPr="00DB5266" w14:paraId="65C26CFA" w14:textId="77777777" w:rsidTr="00DD03BF">
        <w:tc>
          <w:tcPr>
            <w:tcW w:w="4999" w:type="dxa"/>
          </w:tcPr>
          <w:p w14:paraId="274F24E0" w14:textId="77777777" w:rsidR="0071076B" w:rsidRPr="00DB5266" w:rsidRDefault="0071076B" w:rsidP="0049257E">
            <w:pPr>
              <w:jc w:val="right"/>
              <w:rPr>
                <w:rFonts w:asciiTheme="majorHAnsi" w:hAnsiTheme="majorHAnsi" w:cs="Times New Roman"/>
                <w:sz w:val="24"/>
                <w:szCs w:val="24"/>
                <w:lang w:val="sv-SE"/>
              </w:rPr>
            </w:pPr>
            <w:r w:rsidRPr="00DB5266">
              <w:rPr>
                <w:rFonts w:asciiTheme="majorHAnsi" w:hAnsiTheme="majorHAnsi" w:cs="Times New Roman"/>
                <w:sz w:val="24"/>
                <w:szCs w:val="24"/>
                <w:lang w:val="sv-SE"/>
              </w:rPr>
              <w:t>Age</w:t>
            </w:r>
          </w:p>
        </w:tc>
        <w:tc>
          <w:tcPr>
            <w:tcW w:w="1235" w:type="dxa"/>
          </w:tcPr>
          <w:p w14:paraId="22467BD8" w14:textId="77777777" w:rsidR="0071076B" w:rsidRPr="00DB5266" w:rsidRDefault="0071076B" w:rsidP="00DD03BF">
            <w:pPr>
              <w:jc w:val="center"/>
              <w:rPr>
                <w:rFonts w:asciiTheme="majorHAnsi" w:hAnsiTheme="majorHAnsi" w:cs="Times New Roman"/>
                <w:sz w:val="24"/>
                <w:szCs w:val="24"/>
              </w:rPr>
            </w:pPr>
          </w:p>
        </w:tc>
        <w:tc>
          <w:tcPr>
            <w:tcW w:w="1524" w:type="dxa"/>
          </w:tcPr>
          <w:p w14:paraId="0509D87A" w14:textId="77777777" w:rsidR="0071076B" w:rsidRPr="00DB5266" w:rsidRDefault="0071076B" w:rsidP="00DD03BF">
            <w:pPr>
              <w:jc w:val="center"/>
              <w:rPr>
                <w:rFonts w:asciiTheme="majorHAnsi" w:hAnsiTheme="majorHAnsi" w:cs="Times New Roman"/>
                <w:sz w:val="24"/>
                <w:szCs w:val="24"/>
              </w:rPr>
            </w:pPr>
          </w:p>
        </w:tc>
      </w:tr>
      <w:tr w:rsidR="00DB5266" w:rsidRPr="00DB5266" w14:paraId="15051D7C" w14:textId="77777777" w:rsidTr="00DD03BF">
        <w:tc>
          <w:tcPr>
            <w:tcW w:w="4999" w:type="dxa"/>
            <w:vAlign w:val="center"/>
          </w:tcPr>
          <w:p w14:paraId="6EDB968C" w14:textId="77777777" w:rsidR="0071076B" w:rsidRPr="00DB5266" w:rsidRDefault="0071076B" w:rsidP="0049257E">
            <w:pPr>
              <w:pStyle w:val="ListParagraph"/>
              <w:numPr>
                <w:ilvl w:val="0"/>
                <w:numId w:val="2"/>
              </w:numPr>
              <w:bidi w:val="0"/>
              <w:spacing w:after="0" w:line="240" w:lineRule="auto"/>
              <w:rPr>
                <w:rFonts w:asciiTheme="majorHAnsi" w:hAnsiTheme="majorHAnsi" w:cs="Times New Roman"/>
                <w:sz w:val="24"/>
                <w:szCs w:val="24"/>
                <w:lang w:val="sv-SE"/>
              </w:rPr>
            </w:pPr>
            <w:r w:rsidRPr="00DB5266">
              <w:rPr>
                <w:rFonts w:asciiTheme="majorHAnsi" w:hAnsiTheme="majorHAnsi" w:cs="Times New Roman"/>
                <w:sz w:val="24"/>
                <w:szCs w:val="24"/>
              </w:rPr>
              <w:t>&lt;30 years</w:t>
            </w:r>
          </w:p>
        </w:tc>
        <w:tc>
          <w:tcPr>
            <w:tcW w:w="1235" w:type="dxa"/>
          </w:tcPr>
          <w:p w14:paraId="792B6FF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12745C49"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635D73AD" w14:textId="77777777" w:rsidTr="00DD03BF">
        <w:tc>
          <w:tcPr>
            <w:tcW w:w="4999" w:type="dxa"/>
            <w:vAlign w:val="center"/>
          </w:tcPr>
          <w:p w14:paraId="0048E409" w14:textId="77777777" w:rsidR="0071076B" w:rsidRPr="00DB5266" w:rsidRDefault="0071076B" w:rsidP="0049257E">
            <w:pPr>
              <w:pStyle w:val="ListParagraph"/>
              <w:numPr>
                <w:ilvl w:val="0"/>
                <w:numId w:val="2"/>
              </w:numPr>
              <w:bidi w:val="0"/>
              <w:spacing w:after="0" w:line="240" w:lineRule="auto"/>
              <w:rPr>
                <w:rFonts w:asciiTheme="majorHAnsi" w:hAnsiTheme="majorHAnsi" w:cs="Times New Roman"/>
                <w:sz w:val="24"/>
                <w:szCs w:val="24"/>
                <w:lang w:val="sv-SE"/>
              </w:rPr>
            </w:pPr>
            <w:r w:rsidRPr="00DB5266">
              <w:rPr>
                <w:rFonts w:asciiTheme="majorHAnsi" w:hAnsiTheme="majorHAnsi" w:cs="Times New Roman"/>
                <w:sz w:val="24"/>
                <w:szCs w:val="24"/>
              </w:rPr>
              <w:t>30-39 years</w:t>
            </w:r>
          </w:p>
        </w:tc>
        <w:tc>
          <w:tcPr>
            <w:tcW w:w="1235" w:type="dxa"/>
          </w:tcPr>
          <w:p w14:paraId="0760D369"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w:t>
            </w:r>
          </w:p>
        </w:tc>
        <w:tc>
          <w:tcPr>
            <w:tcW w:w="1524" w:type="dxa"/>
          </w:tcPr>
          <w:p w14:paraId="289B2815"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6.2</w:t>
            </w:r>
          </w:p>
        </w:tc>
      </w:tr>
      <w:tr w:rsidR="00DB5266" w:rsidRPr="00DB5266" w14:paraId="1D0BBA4E" w14:textId="77777777" w:rsidTr="0049257E">
        <w:tc>
          <w:tcPr>
            <w:tcW w:w="4999" w:type="dxa"/>
            <w:tcBorders>
              <w:bottom w:val="single" w:sz="4" w:space="0" w:color="auto"/>
            </w:tcBorders>
            <w:vAlign w:val="center"/>
          </w:tcPr>
          <w:p w14:paraId="132B9E70" w14:textId="77777777" w:rsidR="0071076B" w:rsidRPr="00DB5266" w:rsidRDefault="0071076B" w:rsidP="0049257E">
            <w:pPr>
              <w:pStyle w:val="ListParagraph"/>
              <w:numPr>
                <w:ilvl w:val="0"/>
                <w:numId w:val="2"/>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40-49 years</w:t>
            </w:r>
          </w:p>
        </w:tc>
        <w:tc>
          <w:tcPr>
            <w:tcW w:w="1235" w:type="dxa"/>
            <w:tcBorders>
              <w:bottom w:val="single" w:sz="4" w:space="0" w:color="auto"/>
            </w:tcBorders>
          </w:tcPr>
          <w:p w14:paraId="0B69DDBF"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w:t>
            </w:r>
          </w:p>
        </w:tc>
        <w:tc>
          <w:tcPr>
            <w:tcW w:w="1524" w:type="dxa"/>
            <w:tcBorders>
              <w:bottom w:val="single" w:sz="4" w:space="0" w:color="auto"/>
            </w:tcBorders>
          </w:tcPr>
          <w:p w14:paraId="776C9E8F"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6.2</w:t>
            </w:r>
          </w:p>
        </w:tc>
      </w:tr>
      <w:tr w:rsidR="00DB5266" w:rsidRPr="00DB5266" w14:paraId="718E95A3" w14:textId="77777777" w:rsidTr="0049257E">
        <w:tc>
          <w:tcPr>
            <w:tcW w:w="4999" w:type="dxa"/>
            <w:tcBorders>
              <w:top w:val="single" w:sz="4" w:space="0" w:color="auto"/>
            </w:tcBorders>
            <w:vAlign w:val="center"/>
          </w:tcPr>
          <w:p w14:paraId="65F6FA9B" w14:textId="77777777" w:rsidR="0071076B" w:rsidRPr="00DB5266" w:rsidRDefault="0071076B" w:rsidP="0071076B">
            <w:pPr>
              <w:pStyle w:val="ListParagraph"/>
              <w:numPr>
                <w:ilvl w:val="0"/>
                <w:numId w:val="2"/>
              </w:numPr>
              <w:bidi w:val="0"/>
              <w:spacing w:after="0" w:line="240" w:lineRule="auto"/>
              <w:jc w:val="both"/>
              <w:rPr>
                <w:rFonts w:asciiTheme="majorHAnsi" w:hAnsiTheme="majorHAnsi" w:cs="Times New Roman"/>
                <w:sz w:val="24"/>
                <w:szCs w:val="24"/>
                <w:lang w:val="sv-SE"/>
              </w:rPr>
            </w:pPr>
            <w:r w:rsidRPr="00DB5266">
              <w:rPr>
                <w:rFonts w:asciiTheme="majorHAnsi" w:hAnsiTheme="majorHAnsi" w:cs="Times New Roman"/>
                <w:sz w:val="24"/>
                <w:szCs w:val="24"/>
              </w:rPr>
              <w:lastRenderedPageBreak/>
              <w:t>50-59 years</w:t>
            </w:r>
          </w:p>
        </w:tc>
        <w:tc>
          <w:tcPr>
            <w:tcW w:w="1235" w:type="dxa"/>
            <w:tcBorders>
              <w:top w:val="single" w:sz="4" w:space="0" w:color="auto"/>
            </w:tcBorders>
          </w:tcPr>
          <w:p w14:paraId="4EF8F5F5"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12</w:t>
            </w:r>
          </w:p>
        </w:tc>
        <w:tc>
          <w:tcPr>
            <w:tcW w:w="1524" w:type="dxa"/>
            <w:tcBorders>
              <w:top w:val="single" w:sz="4" w:space="0" w:color="auto"/>
            </w:tcBorders>
          </w:tcPr>
          <w:p w14:paraId="40009630"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37.6</w:t>
            </w:r>
          </w:p>
        </w:tc>
      </w:tr>
      <w:tr w:rsidR="00DB5266" w:rsidRPr="00DB5266" w14:paraId="573F2C70" w14:textId="77777777" w:rsidTr="00DD03BF">
        <w:tc>
          <w:tcPr>
            <w:tcW w:w="4999" w:type="dxa"/>
            <w:tcBorders>
              <w:bottom w:val="single" w:sz="4" w:space="0" w:color="auto"/>
            </w:tcBorders>
            <w:vAlign w:val="center"/>
          </w:tcPr>
          <w:p w14:paraId="060F8521" w14:textId="77777777" w:rsidR="0071076B" w:rsidRPr="00DB5266" w:rsidRDefault="0071076B" w:rsidP="0071076B">
            <w:pPr>
              <w:pStyle w:val="ListParagraph"/>
              <w:numPr>
                <w:ilvl w:val="0"/>
                <w:numId w:val="2"/>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 60 years</w:t>
            </w:r>
          </w:p>
        </w:tc>
        <w:tc>
          <w:tcPr>
            <w:tcW w:w="1235" w:type="dxa"/>
            <w:tcBorders>
              <w:bottom w:val="single" w:sz="4" w:space="0" w:color="auto"/>
            </w:tcBorders>
          </w:tcPr>
          <w:p w14:paraId="1C7300A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16</w:t>
            </w:r>
          </w:p>
        </w:tc>
        <w:tc>
          <w:tcPr>
            <w:tcW w:w="1524" w:type="dxa"/>
            <w:tcBorders>
              <w:bottom w:val="single" w:sz="4" w:space="0" w:color="auto"/>
            </w:tcBorders>
          </w:tcPr>
          <w:p w14:paraId="02ECF351"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50.0</w:t>
            </w:r>
          </w:p>
        </w:tc>
      </w:tr>
      <w:tr w:rsidR="00DB5266" w:rsidRPr="00DB5266" w14:paraId="5C97DB4E" w14:textId="77777777" w:rsidTr="00DD03BF">
        <w:tc>
          <w:tcPr>
            <w:tcW w:w="4999" w:type="dxa"/>
            <w:tcBorders>
              <w:top w:val="single" w:sz="4" w:space="0" w:color="auto"/>
              <w:bottom w:val="single" w:sz="4" w:space="0" w:color="auto"/>
            </w:tcBorders>
          </w:tcPr>
          <w:p w14:paraId="2D989F81" w14:textId="52C8BF1B" w:rsidR="0071076B" w:rsidRPr="00DB5266" w:rsidRDefault="0071076B" w:rsidP="0049257E">
            <w:pPr>
              <w:jc w:val="center"/>
              <w:rPr>
                <w:rFonts w:asciiTheme="majorHAnsi" w:hAnsiTheme="majorHAnsi" w:cs="Times New Roman"/>
                <w:sz w:val="24"/>
                <w:szCs w:val="24"/>
              </w:rPr>
            </w:pPr>
            <w:r w:rsidRPr="00DB5266">
              <w:rPr>
                <w:rFonts w:asciiTheme="majorHAnsi" w:hAnsiTheme="majorHAnsi" w:cs="Times New Roman"/>
                <w:sz w:val="24"/>
                <w:szCs w:val="24"/>
              </w:rPr>
              <w:t>Clinical stages</w:t>
            </w:r>
          </w:p>
        </w:tc>
        <w:tc>
          <w:tcPr>
            <w:tcW w:w="1235" w:type="dxa"/>
            <w:tcBorders>
              <w:top w:val="single" w:sz="4" w:space="0" w:color="auto"/>
              <w:bottom w:val="single" w:sz="4" w:space="0" w:color="auto"/>
            </w:tcBorders>
          </w:tcPr>
          <w:p w14:paraId="532BE809" w14:textId="77777777" w:rsidR="0071076B" w:rsidRPr="00DB5266" w:rsidRDefault="0071076B" w:rsidP="00DD03BF">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567188BF" w14:textId="77777777" w:rsidR="0071076B" w:rsidRPr="00DB5266" w:rsidRDefault="0071076B" w:rsidP="00DD03BF">
            <w:pPr>
              <w:jc w:val="center"/>
              <w:rPr>
                <w:rFonts w:asciiTheme="majorHAnsi" w:hAnsiTheme="majorHAnsi" w:cs="Times New Roman"/>
                <w:sz w:val="24"/>
                <w:szCs w:val="24"/>
              </w:rPr>
            </w:pPr>
          </w:p>
        </w:tc>
      </w:tr>
      <w:tr w:rsidR="00DB5266" w:rsidRPr="00DB5266" w14:paraId="7C8F0EE5" w14:textId="77777777" w:rsidTr="00DD03BF">
        <w:tc>
          <w:tcPr>
            <w:tcW w:w="4999" w:type="dxa"/>
            <w:tcBorders>
              <w:top w:val="single" w:sz="4" w:space="0" w:color="auto"/>
            </w:tcBorders>
            <w:vAlign w:val="center"/>
          </w:tcPr>
          <w:p w14:paraId="48C529F5" w14:textId="77777777" w:rsidR="0071076B" w:rsidRPr="00DB5266" w:rsidRDefault="0071076B" w:rsidP="0071076B">
            <w:pPr>
              <w:pStyle w:val="ListParagraph"/>
              <w:numPr>
                <w:ilvl w:val="0"/>
                <w:numId w:val="3"/>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Stage 1</w:t>
            </w:r>
          </w:p>
        </w:tc>
        <w:tc>
          <w:tcPr>
            <w:tcW w:w="1235" w:type="dxa"/>
            <w:tcBorders>
              <w:top w:val="single" w:sz="4" w:space="0" w:color="auto"/>
            </w:tcBorders>
          </w:tcPr>
          <w:p w14:paraId="4EE7880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w:t>
            </w:r>
          </w:p>
        </w:tc>
        <w:tc>
          <w:tcPr>
            <w:tcW w:w="1524" w:type="dxa"/>
            <w:tcBorders>
              <w:top w:val="single" w:sz="4" w:space="0" w:color="auto"/>
            </w:tcBorders>
          </w:tcPr>
          <w:p w14:paraId="235B31B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w:t>
            </w:r>
          </w:p>
        </w:tc>
      </w:tr>
      <w:tr w:rsidR="00DB5266" w:rsidRPr="00DB5266" w14:paraId="0C5DD9C4" w14:textId="77777777" w:rsidTr="00DD03BF">
        <w:tc>
          <w:tcPr>
            <w:tcW w:w="4999" w:type="dxa"/>
            <w:vAlign w:val="center"/>
          </w:tcPr>
          <w:p w14:paraId="173B6A18" w14:textId="77777777" w:rsidR="0071076B" w:rsidRPr="00DB5266" w:rsidRDefault="0071076B" w:rsidP="0071076B">
            <w:pPr>
              <w:pStyle w:val="ListParagraph"/>
              <w:numPr>
                <w:ilvl w:val="0"/>
                <w:numId w:val="3"/>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Stage 2</w:t>
            </w:r>
          </w:p>
        </w:tc>
        <w:tc>
          <w:tcPr>
            <w:tcW w:w="1235" w:type="dxa"/>
          </w:tcPr>
          <w:p w14:paraId="5D61DAC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w:t>
            </w:r>
          </w:p>
        </w:tc>
        <w:tc>
          <w:tcPr>
            <w:tcW w:w="1524" w:type="dxa"/>
          </w:tcPr>
          <w:p w14:paraId="0E13101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w:t>
            </w:r>
          </w:p>
        </w:tc>
      </w:tr>
      <w:tr w:rsidR="00DB5266" w:rsidRPr="00DB5266" w14:paraId="7F80E513" w14:textId="77777777" w:rsidTr="00DD03BF">
        <w:tc>
          <w:tcPr>
            <w:tcW w:w="4999" w:type="dxa"/>
            <w:vAlign w:val="center"/>
          </w:tcPr>
          <w:p w14:paraId="0777F4A5" w14:textId="77777777" w:rsidR="0071076B" w:rsidRPr="00DB5266" w:rsidRDefault="0071076B" w:rsidP="0071076B">
            <w:pPr>
              <w:pStyle w:val="ListParagraph"/>
              <w:numPr>
                <w:ilvl w:val="0"/>
                <w:numId w:val="3"/>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Stage 3</w:t>
            </w:r>
          </w:p>
        </w:tc>
        <w:tc>
          <w:tcPr>
            <w:tcW w:w="1235" w:type="dxa"/>
          </w:tcPr>
          <w:p w14:paraId="1FF11983"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w:t>
            </w:r>
          </w:p>
        </w:tc>
        <w:tc>
          <w:tcPr>
            <w:tcW w:w="1524" w:type="dxa"/>
          </w:tcPr>
          <w:p w14:paraId="7F6C7992"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3.1</w:t>
            </w:r>
          </w:p>
        </w:tc>
      </w:tr>
      <w:tr w:rsidR="00DB5266" w:rsidRPr="00DB5266" w14:paraId="576F7678" w14:textId="77777777" w:rsidTr="00DD03BF">
        <w:tc>
          <w:tcPr>
            <w:tcW w:w="4999" w:type="dxa"/>
            <w:vAlign w:val="center"/>
          </w:tcPr>
          <w:p w14:paraId="0EE100AB" w14:textId="77777777" w:rsidR="0071076B" w:rsidRPr="00DB5266" w:rsidRDefault="0071076B" w:rsidP="0071076B">
            <w:pPr>
              <w:pStyle w:val="ListParagraph"/>
              <w:numPr>
                <w:ilvl w:val="0"/>
                <w:numId w:val="3"/>
              </w:numPr>
              <w:bidi w:val="0"/>
              <w:spacing w:after="0" w:line="240" w:lineRule="auto"/>
              <w:jc w:val="both"/>
              <w:rPr>
                <w:rFonts w:asciiTheme="majorHAnsi" w:hAnsiTheme="majorHAnsi" w:cs="Times New Roman"/>
                <w:sz w:val="24"/>
                <w:szCs w:val="24"/>
                <w:lang w:val="sv-SE"/>
              </w:rPr>
            </w:pPr>
            <w:r w:rsidRPr="00DB5266">
              <w:rPr>
                <w:rFonts w:asciiTheme="majorHAnsi" w:hAnsiTheme="majorHAnsi" w:cs="Times New Roman"/>
                <w:sz w:val="24"/>
                <w:szCs w:val="24"/>
              </w:rPr>
              <w:t>Stage 4</w:t>
            </w:r>
          </w:p>
        </w:tc>
        <w:tc>
          <w:tcPr>
            <w:tcW w:w="1235" w:type="dxa"/>
          </w:tcPr>
          <w:p w14:paraId="68E34FD9"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w:t>
            </w:r>
          </w:p>
        </w:tc>
        <w:tc>
          <w:tcPr>
            <w:tcW w:w="1524" w:type="dxa"/>
          </w:tcPr>
          <w:p w14:paraId="737B2CB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w:t>
            </w:r>
          </w:p>
        </w:tc>
      </w:tr>
      <w:tr w:rsidR="00DB5266" w:rsidRPr="00DB5266" w14:paraId="71AE4AAA" w14:textId="77777777" w:rsidTr="00DD03BF">
        <w:tc>
          <w:tcPr>
            <w:tcW w:w="4999" w:type="dxa"/>
            <w:tcBorders>
              <w:bottom w:val="single" w:sz="4" w:space="0" w:color="auto"/>
            </w:tcBorders>
          </w:tcPr>
          <w:p w14:paraId="6A20BB86" w14:textId="77777777" w:rsidR="0071076B" w:rsidRPr="00DB5266" w:rsidRDefault="0071076B" w:rsidP="0071076B">
            <w:pPr>
              <w:pStyle w:val="ListParagraph"/>
              <w:numPr>
                <w:ilvl w:val="0"/>
                <w:numId w:val="3"/>
              </w:numPr>
              <w:bidi w:val="0"/>
              <w:spacing w:after="0" w:line="240" w:lineRule="auto"/>
              <w:jc w:val="both"/>
              <w:rPr>
                <w:rFonts w:asciiTheme="majorHAnsi" w:hAnsiTheme="majorHAnsi" w:cs="Times New Roman"/>
                <w:i/>
                <w:sz w:val="24"/>
                <w:szCs w:val="24"/>
                <w:lang w:val="sv-SE"/>
              </w:rPr>
            </w:pPr>
            <w:r w:rsidRPr="00DB5266">
              <w:rPr>
                <w:rFonts w:asciiTheme="majorHAnsi" w:hAnsiTheme="majorHAnsi" w:cs="Times New Roman"/>
                <w:i/>
                <w:sz w:val="24"/>
                <w:szCs w:val="24"/>
                <w:lang w:val="sv-SE"/>
              </w:rPr>
              <w:t>Not Available</w:t>
            </w:r>
          </w:p>
        </w:tc>
        <w:tc>
          <w:tcPr>
            <w:tcW w:w="1235" w:type="dxa"/>
            <w:tcBorders>
              <w:bottom w:val="single" w:sz="4" w:space="0" w:color="auto"/>
            </w:tcBorders>
          </w:tcPr>
          <w:p w14:paraId="04C6ED0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31</w:t>
            </w:r>
          </w:p>
        </w:tc>
        <w:tc>
          <w:tcPr>
            <w:tcW w:w="1524" w:type="dxa"/>
            <w:tcBorders>
              <w:bottom w:val="single" w:sz="4" w:space="0" w:color="auto"/>
            </w:tcBorders>
          </w:tcPr>
          <w:p w14:paraId="5E800E3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96.9</w:t>
            </w:r>
          </w:p>
        </w:tc>
      </w:tr>
      <w:tr w:rsidR="00DB5266" w:rsidRPr="00DB5266" w14:paraId="3D618419" w14:textId="77777777" w:rsidTr="00DD03BF">
        <w:tc>
          <w:tcPr>
            <w:tcW w:w="4999" w:type="dxa"/>
            <w:tcBorders>
              <w:top w:val="single" w:sz="4" w:space="0" w:color="auto"/>
              <w:bottom w:val="single" w:sz="4" w:space="0" w:color="auto"/>
            </w:tcBorders>
          </w:tcPr>
          <w:p w14:paraId="4673512C" w14:textId="77777777" w:rsidR="0071076B" w:rsidRPr="00DB5266" w:rsidRDefault="0071076B" w:rsidP="0049257E">
            <w:pPr>
              <w:jc w:val="center"/>
              <w:rPr>
                <w:rFonts w:asciiTheme="majorHAnsi" w:hAnsiTheme="majorHAnsi" w:cs="Times New Roman"/>
                <w:sz w:val="24"/>
                <w:szCs w:val="24"/>
              </w:rPr>
            </w:pPr>
            <w:r w:rsidRPr="00DB5266">
              <w:rPr>
                <w:rFonts w:asciiTheme="majorHAnsi" w:hAnsiTheme="majorHAnsi" w:cs="Times New Roman"/>
                <w:sz w:val="24"/>
                <w:szCs w:val="24"/>
              </w:rPr>
              <w:t>Lymphovascular invasion (LVI)</w:t>
            </w:r>
          </w:p>
        </w:tc>
        <w:tc>
          <w:tcPr>
            <w:tcW w:w="1235" w:type="dxa"/>
            <w:tcBorders>
              <w:top w:val="single" w:sz="4" w:space="0" w:color="auto"/>
              <w:bottom w:val="single" w:sz="4" w:space="0" w:color="auto"/>
            </w:tcBorders>
          </w:tcPr>
          <w:p w14:paraId="50FDD0BC" w14:textId="77777777" w:rsidR="0071076B" w:rsidRPr="00DB5266" w:rsidRDefault="0071076B" w:rsidP="00DD03BF">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343DAEA3" w14:textId="77777777" w:rsidR="0071076B" w:rsidRPr="00DB5266" w:rsidRDefault="0071076B" w:rsidP="00DD03BF">
            <w:pPr>
              <w:jc w:val="center"/>
              <w:rPr>
                <w:rFonts w:asciiTheme="majorHAnsi" w:hAnsiTheme="majorHAnsi" w:cs="Times New Roman"/>
                <w:sz w:val="24"/>
                <w:szCs w:val="24"/>
              </w:rPr>
            </w:pPr>
          </w:p>
        </w:tc>
      </w:tr>
      <w:tr w:rsidR="00DB5266" w:rsidRPr="00DB5266" w14:paraId="5E0B1DD0" w14:textId="77777777" w:rsidTr="00DD03BF">
        <w:tc>
          <w:tcPr>
            <w:tcW w:w="4999" w:type="dxa"/>
            <w:tcBorders>
              <w:top w:val="single" w:sz="4" w:space="0" w:color="auto"/>
            </w:tcBorders>
          </w:tcPr>
          <w:p w14:paraId="61158799" w14:textId="77777777" w:rsidR="0071076B" w:rsidRPr="00DB5266" w:rsidRDefault="0071076B" w:rsidP="0071076B">
            <w:pPr>
              <w:pStyle w:val="ListParagraph"/>
              <w:numPr>
                <w:ilvl w:val="0"/>
                <w:numId w:val="4"/>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Absent</w:t>
            </w:r>
          </w:p>
        </w:tc>
        <w:tc>
          <w:tcPr>
            <w:tcW w:w="1235" w:type="dxa"/>
            <w:tcBorders>
              <w:top w:val="single" w:sz="4" w:space="0" w:color="auto"/>
            </w:tcBorders>
          </w:tcPr>
          <w:p w14:paraId="11FFF49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21</w:t>
            </w:r>
          </w:p>
        </w:tc>
        <w:tc>
          <w:tcPr>
            <w:tcW w:w="1524" w:type="dxa"/>
            <w:tcBorders>
              <w:top w:val="single" w:sz="4" w:space="0" w:color="auto"/>
            </w:tcBorders>
          </w:tcPr>
          <w:p w14:paraId="23570FF0"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65.6</w:t>
            </w:r>
          </w:p>
        </w:tc>
      </w:tr>
      <w:tr w:rsidR="00DB5266" w:rsidRPr="00DB5266" w14:paraId="67DB7B18" w14:textId="77777777" w:rsidTr="00DD03BF">
        <w:tc>
          <w:tcPr>
            <w:tcW w:w="4999" w:type="dxa"/>
            <w:tcBorders>
              <w:bottom w:val="single" w:sz="4" w:space="0" w:color="auto"/>
            </w:tcBorders>
          </w:tcPr>
          <w:p w14:paraId="6B83942B" w14:textId="77777777" w:rsidR="0071076B" w:rsidRPr="00DB5266" w:rsidRDefault="0071076B" w:rsidP="0071076B">
            <w:pPr>
              <w:pStyle w:val="ListParagraph"/>
              <w:numPr>
                <w:ilvl w:val="0"/>
                <w:numId w:val="4"/>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Present</w:t>
            </w:r>
          </w:p>
        </w:tc>
        <w:tc>
          <w:tcPr>
            <w:tcW w:w="1235" w:type="dxa"/>
            <w:tcBorders>
              <w:bottom w:val="single" w:sz="4" w:space="0" w:color="auto"/>
            </w:tcBorders>
          </w:tcPr>
          <w:p w14:paraId="31D82D22"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11</w:t>
            </w:r>
          </w:p>
        </w:tc>
        <w:tc>
          <w:tcPr>
            <w:tcW w:w="1524" w:type="dxa"/>
            <w:tcBorders>
              <w:bottom w:val="single" w:sz="4" w:space="0" w:color="auto"/>
            </w:tcBorders>
          </w:tcPr>
          <w:p w14:paraId="4D48406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34.3</w:t>
            </w:r>
          </w:p>
        </w:tc>
      </w:tr>
      <w:tr w:rsidR="00DB5266" w:rsidRPr="00DB5266" w14:paraId="5349EAD7" w14:textId="77777777" w:rsidTr="00DD03BF">
        <w:tc>
          <w:tcPr>
            <w:tcW w:w="4999" w:type="dxa"/>
            <w:tcBorders>
              <w:top w:val="single" w:sz="4" w:space="0" w:color="auto"/>
              <w:bottom w:val="single" w:sz="4" w:space="0" w:color="auto"/>
            </w:tcBorders>
          </w:tcPr>
          <w:p w14:paraId="6A0E3317" w14:textId="77777777" w:rsidR="0071076B" w:rsidRPr="00DB5266" w:rsidRDefault="0071076B" w:rsidP="0049257E">
            <w:pPr>
              <w:jc w:val="center"/>
              <w:rPr>
                <w:rFonts w:asciiTheme="majorHAnsi" w:hAnsiTheme="majorHAnsi" w:cs="Times New Roman"/>
                <w:sz w:val="24"/>
                <w:szCs w:val="24"/>
              </w:rPr>
            </w:pPr>
            <w:r w:rsidRPr="00DB5266">
              <w:rPr>
                <w:rFonts w:asciiTheme="majorHAnsi" w:hAnsiTheme="majorHAnsi" w:cs="Times New Roman"/>
                <w:sz w:val="24"/>
                <w:szCs w:val="24"/>
              </w:rPr>
              <w:t>Perineural invasion (PNI)</w:t>
            </w:r>
          </w:p>
        </w:tc>
        <w:tc>
          <w:tcPr>
            <w:tcW w:w="1235" w:type="dxa"/>
            <w:tcBorders>
              <w:top w:val="single" w:sz="4" w:space="0" w:color="auto"/>
              <w:bottom w:val="single" w:sz="4" w:space="0" w:color="auto"/>
            </w:tcBorders>
          </w:tcPr>
          <w:p w14:paraId="3DCADE5C" w14:textId="77777777" w:rsidR="0071076B" w:rsidRPr="00DB5266" w:rsidRDefault="0071076B" w:rsidP="00DD03BF">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2AC14391" w14:textId="77777777" w:rsidR="0071076B" w:rsidRPr="00DB5266" w:rsidRDefault="0071076B" w:rsidP="00DD03BF">
            <w:pPr>
              <w:jc w:val="center"/>
              <w:rPr>
                <w:rFonts w:asciiTheme="majorHAnsi" w:hAnsiTheme="majorHAnsi" w:cs="Times New Roman"/>
                <w:sz w:val="24"/>
                <w:szCs w:val="24"/>
              </w:rPr>
            </w:pPr>
          </w:p>
        </w:tc>
      </w:tr>
      <w:tr w:rsidR="00DB5266" w:rsidRPr="00DB5266" w14:paraId="34481F25" w14:textId="77777777" w:rsidTr="00DD03BF">
        <w:tc>
          <w:tcPr>
            <w:tcW w:w="4999" w:type="dxa"/>
            <w:tcBorders>
              <w:top w:val="single" w:sz="4" w:space="0" w:color="auto"/>
            </w:tcBorders>
          </w:tcPr>
          <w:p w14:paraId="55C319CA" w14:textId="77777777" w:rsidR="0071076B" w:rsidRPr="00DB5266" w:rsidRDefault="0071076B" w:rsidP="0071076B">
            <w:pPr>
              <w:pStyle w:val="ListParagraph"/>
              <w:numPr>
                <w:ilvl w:val="0"/>
                <w:numId w:val="5"/>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Absent</w:t>
            </w:r>
          </w:p>
        </w:tc>
        <w:tc>
          <w:tcPr>
            <w:tcW w:w="1235" w:type="dxa"/>
            <w:tcBorders>
              <w:top w:val="single" w:sz="4" w:space="0" w:color="auto"/>
            </w:tcBorders>
          </w:tcPr>
          <w:p w14:paraId="38C13280"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32</w:t>
            </w:r>
          </w:p>
        </w:tc>
        <w:tc>
          <w:tcPr>
            <w:tcW w:w="1524" w:type="dxa"/>
            <w:tcBorders>
              <w:top w:val="single" w:sz="4" w:space="0" w:color="auto"/>
            </w:tcBorders>
          </w:tcPr>
          <w:p w14:paraId="66BB235A"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100</w:t>
            </w:r>
          </w:p>
        </w:tc>
      </w:tr>
      <w:tr w:rsidR="00DB5266" w:rsidRPr="00DB5266" w14:paraId="2FDF2E43" w14:textId="77777777" w:rsidTr="00DD03BF">
        <w:tc>
          <w:tcPr>
            <w:tcW w:w="4999" w:type="dxa"/>
          </w:tcPr>
          <w:p w14:paraId="4DDF940D" w14:textId="77777777" w:rsidR="0071076B" w:rsidRPr="00DB5266" w:rsidRDefault="0071076B" w:rsidP="0071076B">
            <w:pPr>
              <w:pStyle w:val="ListParagraph"/>
              <w:numPr>
                <w:ilvl w:val="0"/>
                <w:numId w:val="5"/>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Present</w:t>
            </w:r>
          </w:p>
        </w:tc>
        <w:tc>
          <w:tcPr>
            <w:tcW w:w="1235" w:type="dxa"/>
          </w:tcPr>
          <w:p w14:paraId="153F86C0"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412126E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43AED214" w14:textId="77777777" w:rsidTr="00DD03BF">
        <w:tc>
          <w:tcPr>
            <w:tcW w:w="4999" w:type="dxa"/>
          </w:tcPr>
          <w:p w14:paraId="1FFE83DA" w14:textId="77777777" w:rsidR="0071076B" w:rsidRPr="00DB5266" w:rsidRDefault="0071076B" w:rsidP="0049257E">
            <w:pPr>
              <w:jc w:val="center"/>
              <w:rPr>
                <w:rFonts w:asciiTheme="majorHAnsi" w:hAnsiTheme="majorHAnsi" w:cs="Times New Roman"/>
                <w:sz w:val="24"/>
                <w:szCs w:val="24"/>
              </w:rPr>
            </w:pPr>
            <w:r w:rsidRPr="00DB5266">
              <w:rPr>
                <w:rFonts w:asciiTheme="majorHAnsi" w:hAnsiTheme="majorHAnsi" w:cs="Times New Roman"/>
                <w:sz w:val="24"/>
                <w:szCs w:val="24"/>
              </w:rPr>
              <w:t>Tumor-infiltrating lymphocytes (TILs)</w:t>
            </w:r>
          </w:p>
        </w:tc>
        <w:tc>
          <w:tcPr>
            <w:tcW w:w="1235" w:type="dxa"/>
          </w:tcPr>
          <w:p w14:paraId="02150EED" w14:textId="77777777" w:rsidR="0071076B" w:rsidRPr="00DB5266" w:rsidRDefault="0071076B" w:rsidP="00DD03BF">
            <w:pPr>
              <w:jc w:val="center"/>
              <w:rPr>
                <w:rFonts w:asciiTheme="majorHAnsi" w:hAnsiTheme="majorHAnsi" w:cs="Times New Roman"/>
                <w:sz w:val="24"/>
                <w:szCs w:val="24"/>
              </w:rPr>
            </w:pPr>
          </w:p>
        </w:tc>
        <w:tc>
          <w:tcPr>
            <w:tcW w:w="1524" w:type="dxa"/>
          </w:tcPr>
          <w:p w14:paraId="7CEA4D92" w14:textId="77777777" w:rsidR="0071076B" w:rsidRPr="00DB5266" w:rsidRDefault="0071076B" w:rsidP="00DD03BF">
            <w:pPr>
              <w:jc w:val="center"/>
              <w:rPr>
                <w:rFonts w:asciiTheme="majorHAnsi" w:hAnsiTheme="majorHAnsi" w:cs="Times New Roman"/>
                <w:sz w:val="24"/>
                <w:szCs w:val="24"/>
              </w:rPr>
            </w:pPr>
          </w:p>
        </w:tc>
      </w:tr>
      <w:tr w:rsidR="00DB5266" w:rsidRPr="00DB5266" w14:paraId="17F8388D" w14:textId="77777777" w:rsidTr="00DD03BF">
        <w:tc>
          <w:tcPr>
            <w:tcW w:w="4999" w:type="dxa"/>
          </w:tcPr>
          <w:p w14:paraId="24BE135F" w14:textId="77777777" w:rsidR="0071076B" w:rsidRPr="00DB5266" w:rsidRDefault="0071076B" w:rsidP="0071076B">
            <w:pPr>
              <w:pStyle w:val="ListParagraph"/>
              <w:numPr>
                <w:ilvl w:val="0"/>
                <w:numId w:val="6"/>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 xml:space="preserve">Mild </w:t>
            </w:r>
          </w:p>
        </w:tc>
        <w:tc>
          <w:tcPr>
            <w:tcW w:w="1235" w:type="dxa"/>
          </w:tcPr>
          <w:p w14:paraId="2AF9EFA4"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16</w:t>
            </w:r>
          </w:p>
        </w:tc>
        <w:tc>
          <w:tcPr>
            <w:tcW w:w="1524" w:type="dxa"/>
          </w:tcPr>
          <w:p w14:paraId="516B2F0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50.0</w:t>
            </w:r>
          </w:p>
        </w:tc>
      </w:tr>
      <w:tr w:rsidR="00DB5266" w:rsidRPr="00DB5266" w14:paraId="580289C5" w14:textId="77777777" w:rsidTr="00DD03BF">
        <w:tc>
          <w:tcPr>
            <w:tcW w:w="4999" w:type="dxa"/>
          </w:tcPr>
          <w:p w14:paraId="289E2941" w14:textId="77777777" w:rsidR="0071076B" w:rsidRPr="00DB5266" w:rsidRDefault="0071076B" w:rsidP="0071076B">
            <w:pPr>
              <w:pStyle w:val="ListParagraph"/>
              <w:numPr>
                <w:ilvl w:val="0"/>
                <w:numId w:val="6"/>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Moderate</w:t>
            </w:r>
          </w:p>
        </w:tc>
        <w:tc>
          <w:tcPr>
            <w:tcW w:w="1235" w:type="dxa"/>
          </w:tcPr>
          <w:p w14:paraId="56A166A6"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w:t>
            </w:r>
          </w:p>
        </w:tc>
        <w:tc>
          <w:tcPr>
            <w:tcW w:w="1524" w:type="dxa"/>
          </w:tcPr>
          <w:p w14:paraId="08EBC573"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18.7</w:t>
            </w:r>
          </w:p>
        </w:tc>
      </w:tr>
      <w:tr w:rsidR="00DB5266" w:rsidRPr="00DB5266" w14:paraId="066402B5" w14:textId="77777777" w:rsidTr="00DD03BF">
        <w:tc>
          <w:tcPr>
            <w:tcW w:w="4999" w:type="dxa"/>
            <w:tcBorders>
              <w:bottom w:val="single" w:sz="4" w:space="0" w:color="auto"/>
            </w:tcBorders>
          </w:tcPr>
          <w:p w14:paraId="746C1EDC" w14:textId="77777777" w:rsidR="0071076B" w:rsidRPr="00DB5266" w:rsidRDefault="0071076B" w:rsidP="0071076B">
            <w:pPr>
              <w:pStyle w:val="ListParagraph"/>
              <w:numPr>
                <w:ilvl w:val="0"/>
                <w:numId w:val="6"/>
              </w:numPr>
              <w:bidi w:val="0"/>
              <w:spacing w:after="0" w:line="240" w:lineRule="auto"/>
              <w:jc w:val="both"/>
              <w:rPr>
                <w:rFonts w:asciiTheme="majorHAnsi" w:hAnsiTheme="majorHAnsi" w:cs="Times New Roman"/>
                <w:sz w:val="24"/>
                <w:szCs w:val="24"/>
              </w:rPr>
            </w:pPr>
            <w:r w:rsidRPr="00DB5266">
              <w:rPr>
                <w:rFonts w:asciiTheme="majorHAnsi" w:hAnsiTheme="majorHAnsi" w:cs="Times New Roman"/>
                <w:sz w:val="24"/>
                <w:szCs w:val="24"/>
              </w:rPr>
              <w:t>Severe</w:t>
            </w:r>
          </w:p>
        </w:tc>
        <w:tc>
          <w:tcPr>
            <w:tcW w:w="1235" w:type="dxa"/>
            <w:tcBorders>
              <w:bottom w:val="single" w:sz="4" w:space="0" w:color="auto"/>
            </w:tcBorders>
          </w:tcPr>
          <w:p w14:paraId="72E8C505"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10</w:t>
            </w:r>
          </w:p>
        </w:tc>
        <w:tc>
          <w:tcPr>
            <w:tcW w:w="1524" w:type="dxa"/>
            <w:tcBorders>
              <w:bottom w:val="single" w:sz="4" w:space="0" w:color="auto"/>
            </w:tcBorders>
          </w:tcPr>
          <w:p w14:paraId="66DB4E9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31.3</w:t>
            </w:r>
          </w:p>
        </w:tc>
      </w:tr>
      <w:tr w:rsidR="00DB5266" w:rsidRPr="00DB5266" w14:paraId="76241CFE" w14:textId="77777777" w:rsidTr="00DD03BF">
        <w:tc>
          <w:tcPr>
            <w:tcW w:w="4999" w:type="dxa"/>
            <w:tcBorders>
              <w:top w:val="single" w:sz="4" w:space="0" w:color="auto"/>
              <w:bottom w:val="single" w:sz="4" w:space="0" w:color="auto"/>
            </w:tcBorders>
          </w:tcPr>
          <w:p w14:paraId="45C87E2B" w14:textId="77777777" w:rsidR="0071076B" w:rsidRPr="00DB5266" w:rsidRDefault="0071076B" w:rsidP="0049257E">
            <w:pPr>
              <w:jc w:val="center"/>
              <w:rPr>
                <w:rFonts w:asciiTheme="majorHAnsi" w:hAnsiTheme="majorHAnsi" w:cs="Times New Roman"/>
                <w:sz w:val="24"/>
                <w:szCs w:val="24"/>
              </w:rPr>
            </w:pPr>
            <w:r w:rsidRPr="00DB5266">
              <w:rPr>
                <w:rFonts w:asciiTheme="majorHAnsi" w:hAnsiTheme="majorHAnsi" w:cs="Times New Roman"/>
                <w:sz w:val="24"/>
                <w:szCs w:val="24"/>
              </w:rPr>
              <w:t>Histological subtype</w:t>
            </w:r>
          </w:p>
        </w:tc>
        <w:tc>
          <w:tcPr>
            <w:tcW w:w="1235" w:type="dxa"/>
            <w:tcBorders>
              <w:top w:val="single" w:sz="4" w:space="0" w:color="auto"/>
              <w:bottom w:val="single" w:sz="4" w:space="0" w:color="auto"/>
            </w:tcBorders>
          </w:tcPr>
          <w:p w14:paraId="379D1C1A" w14:textId="77777777" w:rsidR="0071076B" w:rsidRPr="00DB5266" w:rsidRDefault="0071076B" w:rsidP="00DD03BF">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214BDB2D" w14:textId="77777777" w:rsidR="0071076B" w:rsidRPr="00DB5266" w:rsidRDefault="0071076B" w:rsidP="00DD03BF">
            <w:pPr>
              <w:jc w:val="center"/>
              <w:rPr>
                <w:rFonts w:asciiTheme="majorHAnsi" w:hAnsiTheme="majorHAnsi" w:cs="Times New Roman"/>
                <w:sz w:val="24"/>
                <w:szCs w:val="24"/>
              </w:rPr>
            </w:pPr>
          </w:p>
        </w:tc>
      </w:tr>
      <w:tr w:rsidR="00DB5266" w:rsidRPr="00DB5266" w14:paraId="74B7067B" w14:textId="77777777" w:rsidTr="00DD03BF">
        <w:tc>
          <w:tcPr>
            <w:tcW w:w="4999" w:type="dxa"/>
            <w:tcBorders>
              <w:top w:val="single" w:sz="4" w:space="0" w:color="auto"/>
            </w:tcBorders>
            <w:vAlign w:val="center"/>
          </w:tcPr>
          <w:p w14:paraId="62793FB2"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Convensional urothelial carcinoma</w:t>
            </w:r>
          </w:p>
        </w:tc>
        <w:tc>
          <w:tcPr>
            <w:tcW w:w="1235" w:type="dxa"/>
            <w:tcBorders>
              <w:top w:val="single" w:sz="4" w:space="0" w:color="auto"/>
            </w:tcBorders>
          </w:tcPr>
          <w:p w14:paraId="608D8094"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Borders>
              <w:top w:val="single" w:sz="4" w:space="0" w:color="auto"/>
            </w:tcBorders>
          </w:tcPr>
          <w:p w14:paraId="2F8AA3B4"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3057556B" w14:textId="77777777" w:rsidTr="00DD03BF">
        <w:tc>
          <w:tcPr>
            <w:tcW w:w="4999" w:type="dxa"/>
            <w:vAlign w:val="center"/>
          </w:tcPr>
          <w:p w14:paraId="2C809193"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Urothelial carcinoma with squamous differentiation</w:t>
            </w:r>
          </w:p>
        </w:tc>
        <w:tc>
          <w:tcPr>
            <w:tcW w:w="1235" w:type="dxa"/>
          </w:tcPr>
          <w:p w14:paraId="5B5D75AA"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12</w:t>
            </w:r>
          </w:p>
        </w:tc>
        <w:tc>
          <w:tcPr>
            <w:tcW w:w="1524" w:type="dxa"/>
          </w:tcPr>
          <w:p w14:paraId="2B77DC9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37.6</w:t>
            </w:r>
          </w:p>
        </w:tc>
      </w:tr>
      <w:tr w:rsidR="00DB5266" w:rsidRPr="00DB5266" w14:paraId="372819A4" w14:textId="77777777" w:rsidTr="00DD03BF">
        <w:tc>
          <w:tcPr>
            <w:tcW w:w="4999" w:type="dxa"/>
            <w:vAlign w:val="center"/>
          </w:tcPr>
          <w:p w14:paraId="2174B04E"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Urothelial carcinoma with glandular differentiation</w:t>
            </w:r>
          </w:p>
        </w:tc>
        <w:tc>
          <w:tcPr>
            <w:tcW w:w="1235" w:type="dxa"/>
          </w:tcPr>
          <w:p w14:paraId="149C704A"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508C731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310D7241" w14:textId="77777777" w:rsidTr="00127B2E">
        <w:tc>
          <w:tcPr>
            <w:tcW w:w="4999" w:type="dxa"/>
            <w:tcBorders>
              <w:bottom w:val="single" w:sz="4" w:space="0" w:color="auto"/>
            </w:tcBorders>
            <w:vAlign w:val="center"/>
          </w:tcPr>
          <w:p w14:paraId="186C6BB7"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Urothelial carcinoma with trophoblastic differentiation</w:t>
            </w:r>
          </w:p>
        </w:tc>
        <w:tc>
          <w:tcPr>
            <w:tcW w:w="1235" w:type="dxa"/>
            <w:tcBorders>
              <w:bottom w:val="single" w:sz="4" w:space="0" w:color="auto"/>
            </w:tcBorders>
          </w:tcPr>
          <w:p w14:paraId="126D1BBB"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Borders>
              <w:bottom w:val="single" w:sz="4" w:space="0" w:color="auto"/>
            </w:tcBorders>
          </w:tcPr>
          <w:p w14:paraId="7ECD9D03"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5B5489AF" w14:textId="77777777" w:rsidTr="00127B2E">
        <w:tc>
          <w:tcPr>
            <w:tcW w:w="4999" w:type="dxa"/>
            <w:tcBorders>
              <w:top w:val="single" w:sz="4" w:space="0" w:color="auto"/>
            </w:tcBorders>
            <w:vAlign w:val="center"/>
          </w:tcPr>
          <w:p w14:paraId="6BE4EC52"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lastRenderedPageBreak/>
              <w:t>Nested urothelial carcinoma</w:t>
            </w:r>
          </w:p>
        </w:tc>
        <w:tc>
          <w:tcPr>
            <w:tcW w:w="1235" w:type="dxa"/>
            <w:tcBorders>
              <w:top w:val="single" w:sz="4" w:space="0" w:color="auto"/>
            </w:tcBorders>
          </w:tcPr>
          <w:p w14:paraId="484AF54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w:t>
            </w:r>
          </w:p>
        </w:tc>
        <w:tc>
          <w:tcPr>
            <w:tcW w:w="1524" w:type="dxa"/>
            <w:tcBorders>
              <w:top w:val="single" w:sz="4" w:space="0" w:color="auto"/>
            </w:tcBorders>
          </w:tcPr>
          <w:p w14:paraId="7EB0AFC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6.2</w:t>
            </w:r>
          </w:p>
        </w:tc>
      </w:tr>
      <w:tr w:rsidR="00DB5266" w:rsidRPr="00DB5266" w14:paraId="04803C04" w14:textId="77777777" w:rsidTr="00DD03BF">
        <w:tc>
          <w:tcPr>
            <w:tcW w:w="4999" w:type="dxa"/>
            <w:vAlign w:val="center"/>
          </w:tcPr>
          <w:p w14:paraId="5532EC7E"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Large nested urothelial carcinoma</w:t>
            </w:r>
          </w:p>
        </w:tc>
        <w:tc>
          <w:tcPr>
            <w:tcW w:w="1235" w:type="dxa"/>
          </w:tcPr>
          <w:p w14:paraId="1DA78986"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3F5394CC"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4B4DAB7E" w14:textId="77777777" w:rsidTr="00DD03BF">
        <w:tc>
          <w:tcPr>
            <w:tcW w:w="4999" w:type="dxa"/>
            <w:vAlign w:val="center"/>
          </w:tcPr>
          <w:p w14:paraId="468B1A21"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Tubular and microcystic urothelial carcinoma</w:t>
            </w:r>
          </w:p>
        </w:tc>
        <w:tc>
          <w:tcPr>
            <w:tcW w:w="1235" w:type="dxa"/>
          </w:tcPr>
          <w:p w14:paraId="61763210"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0E6B73FF"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560B3970" w14:textId="77777777" w:rsidTr="00DD03BF">
        <w:tc>
          <w:tcPr>
            <w:tcW w:w="4999" w:type="dxa"/>
            <w:vAlign w:val="center"/>
          </w:tcPr>
          <w:p w14:paraId="7DB8E0E7" w14:textId="77777777" w:rsidR="0071076B" w:rsidRPr="00DB5266" w:rsidRDefault="0071076B" w:rsidP="0071076B">
            <w:pPr>
              <w:pStyle w:val="ListParagraph"/>
              <w:numPr>
                <w:ilvl w:val="0"/>
                <w:numId w:val="8"/>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Micropapillary urothelial carcinoma</w:t>
            </w:r>
          </w:p>
        </w:tc>
        <w:tc>
          <w:tcPr>
            <w:tcW w:w="1235" w:type="dxa"/>
          </w:tcPr>
          <w:p w14:paraId="3898FFD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w:t>
            </w:r>
          </w:p>
        </w:tc>
        <w:tc>
          <w:tcPr>
            <w:tcW w:w="1524" w:type="dxa"/>
          </w:tcPr>
          <w:p w14:paraId="609BDA1B"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6.2</w:t>
            </w:r>
          </w:p>
        </w:tc>
      </w:tr>
      <w:tr w:rsidR="00DB5266" w:rsidRPr="00DB5266" w14:paraId="5B01D2A3" w14:textId="77777777" w:rsidTr="00DD03BF">
        <w:tc>
          <w:tcPr>
            <w:tcW w:w="4999" w:type="dxa"/>
            <w:vAlign w:val="center"/>
          </w:tcPr>
          <w:p w14:paraId="07A772A8"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 xml:space="preserve">Lymphoepithelioma-like urothelial carcinoma </w:t>
            </w:r>
          </w:p>
        </w:tc>
        <w:tc>
          <w:tcPr>
            <w:tcW w:w="1235" w:type="dxa"/>
          </w:tcPr>
          <w:p w14:paraId="3DE638E6"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4421AD4A"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25578AB8" w14:textId="77777777" w:rsidTr="00DD03BF">
        <w:tc>
          <w:tcPr>
            <w:tcW w:w="4999" w:type="dxa"/>
            <w:vAlign w:val="center"/>
          </w:tcPr>
          <w:p w14:paraId="6FFAA07D"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Plasmacytoid urothelial carcinoma</w:t>
            </w:r>
          </w:p>
        </w:tc>
        <w:tc>
          <w:tcPr>
            <w:tcW w:w="1235" w:type="dxa"/>
          </w:tcPr>
          <w:p w14:paraId="7CEBBD1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7AC2FC5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11CBB34A" w14:textId="77777777" w:rsidTr="00DD03BF">
        <w:tc>
          <w:tcPr>
            <w:tcW w:w="4999" w:type="dxa"/>
            <w:vAlign w:val="center"/>
          </w:tcPr>
          <w:p w14:paraId="2A718B16"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Giant cell urothelial carcinoma</w:t>
            </w:r>
          </w:p>
        </w:tc>
        <w:tc>
          <w:tcPr>
            <w:tcW w:w="1235" w:type="dxa"/>
          </w:tcPr>
          <w:p w14:paraId="60F1A774"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31B1EC8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2BD87674" w14:textId="77777777" w:rsidTr="00DD03BF">
        <w:tc>
          <w:tcPr>
            <w:tcW w:w="4999" w:type="dxa"/>
            <w:vAlign w:val="center"/>
          </w:tcPr>
          <w:p w14:paraId="4EA9D2DB"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Lipid-rich urothelial carcinoma</w:t>
            </w:r>
          </w:p>
        </w:tc>
        <w:tc>
          <w:tcPr>
            <w:tcW w:w="1235" w:type="dxa"/>
          </w:tcPr>
          <w:p w14:paraId="640B0581"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5</w:t>
            </w:r>
          </w:p>
        </w:tc>
        <w:tc>
          <w:tcPr>
            <w:tcW w:w="1524" w:type="dxa"/>
          </w:tcPr>
          <w:p w14:paraId="15DF1FE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15.7</w:t>
            </w:r>
          </w:p>
        </w:tc>
      </w:tr>
      <w:tr w:rsidR="00DB5266" w:rsidRPr="00DB5266" w14:paraId="7CB34069" w14:textId="77777777" w:rsidTr="00DD03BF">
        <w:tc>
          <w:tcPr>
            <w:tcW w:w="4999" w:type="dxa"/>
            <w:vAlign w:val="center"/>
          </w:tcPr>
          <w:p w14:paraId="2A451230"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Clear cell urothelial carcinoma</w:t>
            </w:r>
          </w:p>
        </w:tc>
        <w:tc>
          <w:tcPr>
            <w:tcW w:w="1235" w:type="dxa"/>
          </w:tcPr>
          <w:p w14:paraId="36D7914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11</w:t>
            </w:r>
          </w:p>
        </w:tc>
        <w:tc>
          <w:tcPr>
            <w:tcW w:w="1524" w:type="dxa"/>
          </w:tcPr>
          <w:p w14:paraId="06EE3D53"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34.3</w:t>
            </w:r>
          </w:p>
        </w:tc>
      </w:tr>
      <w:tr w:rsidR="00DB5266" w:rsidRPr="00DB5266" w14:paraId="4507EDE2" w14:textId="77777777" w:rsidTr="00DD03BF">
        <w:tc>
          <w:tcPr>
            <w:tcW w:w="4999" w:type="dxa"/>
            <w:vAlign w:val="center"/>
          </w:tcPr>
          <w:p w14:paraId="03BB033F"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Sarcomatoid urothelial carcinoma</w:t>
            </w:r>
          </w:p>
        </w:tc>
        <w:tc>
          <w:tcPr>
            <w:tcW w:w="1235" w:type="dxa"/>
          </w:tcPr>
          <w:p w14:paraId="3878282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Pr>
          <w:p w14:paraId="74AA5190"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41A98CFD" w14:textId="77777777" w:rsidTr="00DD03BF">
        <w:tc>
          <w:tcPr>
            <w:tcW w:w="4999" w:type="dxa"/>
            <w:tcBorders>
              <w:bottom w:val="single" w:sz="4" w:space="0" w:color="auto"/>
            </w:tcBorders>
            <w:vAlign w:val="center"/>
          </w:tcPr>
          <w:p w14:paraId="5C3DD895"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i/>
                <w:iCs/>
                <w:sz w:val="24"/>
                <w:szCs w:val="24"/>
              </w:rPr>
            </w:pPr>
            <w:r w:rsidRPr="00DB5266">
              <w:rPr>
                <w:rFonts w:asciiTheme="majorHAnsi" w:hAnsiTheme="majorHAnsi" w:cs="Times New Roman"/>
                <w:sz w:val="24"/>
                <w:szCs w:val="24"/>
              </w:rPr>
              <w:t>Poorly differentiated urothelial carcinoma</w:t>
            </w:r>
          </w:p>
        </w:tc>
        <w:tc>
          <w:tcPr>
            <w:tcW w:w="1235" w:type="dxa"/>
            <w:tcBorders>
              <w:bottom w:val="single" w:sz="4" w:space="0" w:color="auto"/>
            </w:tcBorders>
          </w:tcPr>
          <w:p w14:paraId="4BAAB20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1524" w:type="dxa"/>
            <w:tcBorders>
              <w:bottom w:val="single" w:sz="4" w:space="0" w:color="auto"/>
            </w:tcBorders>
          </w:tcPr>
          <w:p w14:paraId="6E7CB7F1"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r>
      <w:tr w:rsidR="00DB5266" w:rsidRPr="00DB5266" w14:paraId="7ED436BC" w14:textId="77777777" w:rsidTr="00DD03BF">
        <w:tc>
          <w:tcPr>
            <w:tcW w:w="4999" w:type="dxa"/>
            <w:tcBorders>
              <w:top w:val="single" w:sz="4" w:space="0" w:color="auto"/>
              <w:bottom w:val="single" w:sz="4" w:space="0" w:color="auto"/>
            </w:tcBorders>
            <w:vAlign w:val="center"/>
          </w:tcPr>
          <w:p w14:paraId="2092AA3E" w14:textId="77777777" w:rsidR="0071076B" w:rsidRPr="00DB5266" w:rsidRDefault="0071076B" w:rsidP="00DD03BF">
            <w:pPr>
              <w:rPr>
                <w:rFonts w:asciiTheme="majorHAnsi" w:hAnsiTheme="majorHAnsi" w:cs="Times New Roman"/>
                <w:sz w:val="24"/>
                <w:szCs w:val="24"/>
              </w:rPr>
            </w:pPr>
            <w:r w:rsidRPr="00DB5266">
              <w:rPr>
                <w:rFonts w:asciiTheme="majorHAnsi" w:hAnsiTheme="majorHAnsi" w:cs="Times New Roman"/>
                <w:sz w:val="24"/>
                <w:szCs w:val="24"/>
              </w:rPr>
              <w:t xml:space="preserve">PD-L1 </w:t>
            </w:r>
            <w:r w:rsidRPr="00DB5266">
              <w:rPr>
                <w:rStyle w:val="Strong"/>
                <w:rFonts w:asciiTheme="majorHAnsi" w:hAnsiTheme="majorHAnsi" w:cs="Times New Roman"/>
                <w:sz w:val="24"/>
                <w:szCs w:val="24"/>
              </w:rPr>
              <w:t>immunohistochemical</w:t>
            </w:r>
            <w:r w:rsidRPr="00DB5266">
              <w:rPr>
                <w:rFonts w:asciiTheme="majorHAnsi" w:hAnsiTheme="majorHAnsi" w:cs="Times New Roman"/>
                <w:b/>
                <w:bCs/>
                <w:sz w:val="24"/>
                <w:szCs w:val="24"/>
              </w:rPr>
              <w:t xml:space="preserve"> </w:t>
            </w:r>
            <w:r w:rsidRPr="00DB5266">
              <w:rPr>
                <w:rFonts w:asciiTheme="majorHAnsi" w:hAnsiTheme="majorHAnsi" w:cs="Times New Roman"/>
                <w:sz w:val="24"/>
                <w:szCs w:val="24"/>
              </w:rPr>
              <w:t>expression</w:t>
            </w:r>
          </w:p>
        </w:tc>
        <w:tc>
          <w:tcPr>
            <w:tcW w:w="1235" w:type="dxa"/>
            <w:tcBorders>
              <w:top w:val="single" w:sz="4" w:space="0" w:color="auto"/>
              <w:bottom w:val="single" w:sz="4" w:space="0" w:color="auto"/>
            </w:tcBorders>
          </w:tcPr>
          <w:p w14:paraId="3599C851" w14:textId="77777777" w:rsidR="0071076B" w:rsidRPr="00DB5266" w:rsidRDefault="0071076B" w:rsidP="00DD03BF">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67A6A351" w14:textId="77777777" w:rsidR="0071076B" w:rsidRPr="00DB5266" w:rsidRDefault="0071076B" w:rsidP="00DD03BF">
            <w:pPr>
              <w:jc w:val="center"/>
              <w:rPr>
                <w:rFonts w:asciiTheme="majorHAnsi" w:hAnsiTheme="majorHAnsi" w:cs="Times New Roman"/>
                <w:sz w:val="24"/>
                <w:szCs w:val="24"/>
              </w:rPr>
            </w:pPr>
          </w:p>
        </w:tc>
      </w:tr>
      <w:tr w:rsidR="00DB5266" w:rsidRPr="00DB5266" w14:paraId="601C8348" w14:textId="77777777" w:rsidTr="00DD03BF">
        <w:tc>
          <w:tcPr>
            <w:tcW w:w="4999" w:type="dxa"/>
            <w:tcBorders>
              <w:top w:val="single" w:sz="4" w:space="0" w:color="auto"/>
            </w:tcBorders>
          </w:tcPr>
          <w:p w14:paraId="2E44C21C"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Negative</w:t>
            </w:r>
          </w:p>
        </w:tc>
        <w:tc>
          <w:tcPr>
            <w:tcW w:w="1235" w:type="dxa"/>
            <w:tcBorders>
              <w:top w:val="single" w:sz="4" w:space="0" w:color="auto"/>
            </w:tcBorders>
          </w:tcPr>
          <w:p w14:paraId="1ED770BC"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29</w:t>
            </w:r>
          </w:p>
        </w:tc>
        <w:tc>
          <w:tcPr>
            <w:tcW w:w="1524" w:type="dxa"/>
            <w:tcBorders>
              <w:top w:val="single" w:sz="4" w:space="0" w:color="auto"/>
            </w:tcBorders>
          </w:tcPr>
          <w:p w14:paraId="4A0C977D"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90.6</w:t>
            </w:r>
          </w:p>
        </w:tc>
      </w:tr>
      <w:tr w:rsidR="00DB5266" w:rsidRPr="00DB5266" w14:paraId="444B62AC" w14:textId="77777777" w:rsidTr="00DD03BF">
        <w:tc>
          <w:tcPr>
            <w:tcW w:w="4999" w:type="dxa"/>
            <w:tcBorders>
              <w:bottom w:val="single" w:sz="4" w:space="0" w:color="auto"/>
            </w:tcBorders>
          </w:tcPr>
          <w:p w14:paraId="40E53813" w14:textId="77777777" w:rsidR="0071076B" w:rsidRPr="00DB5266" w:rsidRDefault="0071076B" w:rsidP="0071076B">
            <w:pPr>
              <w:pStyle w:val="ListParagraph"/>
              <w:numPr>
                <w:ilvl w:val="0"/>
                <w:numId w:val="7"/>
              </w:numPr>
              <w:bidi w:val="0"/>
              <w:spacing w:after="0" w:line="240" w:lineRule="auto"/>
              <w:rPr>
                <w:rFonts w:asciiTheme="majorHAnsi" w:hAnsiTheme="majorHAnsi" w:cs="Times New Roman"/>
                <w:sz w:val="24"/>
                <w:szCs w:val="24"/>
              </w:rPr>
            </w:pPr>
            <w:r w:rsidRPr="00DB5266">
              <w:rPr>
                <w:rFonts w:asciiTheme="majorHAnsi" w:hAnsiTheme="majorHAnsi" w:cs="Times New Roman"/>
                <w:sz w:val="24"/>
                <w:szCs w:val="24"/>
              </w:rPr>
              <w:t>Positive</w:t>
            </w:r>
          </w:p>
        </w:tc>
        <w:tc>
          <w:tcPr>
            <w:tcW w:w="1235" w:type="dxa"/>
            <w:tcBorders>
              <w:bottom w:val="single" w:sz="4" w:space="0" w:color="auto"/>
            </w:tcBorders>
          </w:tcPr>
          <w:p w14:paraId="34A4FF5A"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w:t>
            </w:r>
          </w:p>
        </w:tc>
        <w:tc>
          <w:tcPr>
            <w:tcW w:w="1524" w:type="dxa"/>
            <w:tcBorders>
              <w:bottom w:val="single" w:sz="4" w:space="0" w:color="auto"/>
            </w:tcBorders>
          </w:tcPr>
          <w:p w14:paraId="38E5005B"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9.4</w:t>
            </w:r>
          </w:p>
        </w:tc>
      </w:tr>
      <w:bookmarkEnd w:id="0"/>
    </w:tbl>
    <w:p w14:paraId="1B15427E" w14:textId="77777777" w:rsidR="0071076B" w:rsidRPr="00DB5266" w:rsidRDefault="0071076B" w:rsidP="0071076B">
      <w:pPr>
        <w:spacing w:before="100" w:beforeAutospacing="1" w:after="100" w:afterAutospacing="1" w:line="240" w:lineRule="auto"/>
        <w:jc w:val="right"/>
        <w:outlineLvl w:val="2"/>
        <w:rPr>
          <w:rFonts w:asciiTheme="majorHAnsi" w:hAnsiTheme="majorHAnsi" w:cs="Times New Roman"/>
          <w:sz w:val="24"/>
          <w:szCs w:val="24"/>
        </w:rPr>
      </w:pPr>
    </w:p>
    <w:p w14:paraId="19A4A5BB" w14:textId="77777777" w:rsidR="0071076B" w:rsidRPr="00DB5266" w:rsidRDefault="0071076B" w:rsidP="0071076B">
      <w:pPr>
        <w:spacing w:line="480" w:lineRule="auto"/>
        <w:jc w:val="center"/>
        <w:rPr>
          <w:rFonts w:asciiTheme="majorHAnsi" w:hAnsiTheme="majorHAnsi"/>
        </w:rPr>
      </w:pPr>
      <w:r w:rsidRPr="00DB5266">
        <w:rPr>
          <w:rFonts w:asciiTheme="majorHAnsi" w:hAnsiTheme="majorHAnsi" w:cs="Times New Roman"/>
        </w:rPr>
        <w:t xml:space="preserve"> </w:t>
      </w:r>
    </w:p>
    <w:p w14:paraId="5C76B51F"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510F5D52"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557C04AE"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11CC64A6"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693DFB2F"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3C19B36E" w14:textId="77777777" w:rsidR="00DB5266" w:rsidRPr="00DB5266" w:rsidRDefault="00DB5266" w:rsidP="0071076B">
      <w:pPr>
        <w:autoSpaceDE w:val="0"/>
        <w:autoSpaceDN w:val="0"/>
        <w:bidi w:val="0"/>
        <w:adjustRightInd w:val="0"/>
        <w:spacing w:after="0" w:line="240" w:lineRule="auto"/>
        <w:jc w:val="both"/>
        <w:rPr>
          <w:rFonts w:asciiTheme="majorHAnsi" w:hAnsiTheme="majorHAnsi" w:cs="Times New Roman"/>
          <w:iCs/>
          <w:sz w:val="20"/>
          <w:szCs w:val="20"/>
        </w:rPr>
      </w:pPr>
    </w:p>
    <w:p w14:paraId="071926E3"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69EC2B87"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7EF8017D"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325662A1"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5EC88C93"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14C2D0A3"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4A622E0D"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570D3D87"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014B3C45"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30B68B8B"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2BB7F4F9"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19D8B10C"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6D2627E0"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581770C2"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3B1399DB"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43451C8A"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286DCAC1"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2E78D2BF"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7C237AD9"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6856E7A4"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743F4BD1"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7FF8D84E"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774F6516"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7FA56AB3"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506625BA" w14:textId="77777777" w:rsidR="00DB5266" w:rsidRPr="00DB5266" w:rsidRDefault="00DB5266" w:rsidP="00DB5266">
      <w:pPr>
        <w:autoSpaceDE w:val="0"/>
        <w:autoSpaceDN w:val="0"/>
        <w:bidi w:val="0"/>
        <w:adjustRightInd w:val="0"/>
        <w:spacing w:after="0" w:line="240" w:lineRule="auto"/>
        <w:jc w:val="both"/>
        <w:rPr>
          <w:rFonts w:asciiTheme="majorHAnsi" w:hAnsiTheme="majorHAnsi" w:cs="Times New Roman"/>
          <w:iCs/>
          <w:sz w:val="20"/>
          <w:szCs w:val="20"/>
        </w:rPr>
      </w:pPr>
    </w:p>
    <w:p w14:paraId="09DA33D6" w14:textId="79C2411C" w:rsidR="0071076B" w:rsidRPr="00DB5266" w:rsidRDefault="0071076B" w:rsidP="00DB5266">
      <w:pPr>
        <w:autoSpaceDE w:val="0"/>
        <w:autoSpaceDN w:val="0"/>
        <w:bidi w:val="0"/>
        <w:adjustRightInd w:val="0"/>
        <w:spacing w:after="0" w:line="240" w:lineRule="auto"/>
        <w:jc w:val="both"/>
        <w:rPr>
          <w:rFonts w:asciiTheme="majorHAnsi" w:hAnsiTheme="majorHAnsi" w:cs="Times New Roman"/>
          <w:b/>
          <w:bCs/>
          <w:iCs/>
          <w:sz w:val="20"/>
          <w:szCs w:val="20"/>
        </w:rPr>
      </w:pPr>
      <w:r w:rsidRPr="00DB5266">
        <w:rPr>
          <w:rFonts w:asciiTheme="majorHAnsi" w:hAnsiTheme="majorHAnsi" w:cs="Times New Roman"/>
          <w:iCs/>
          <w:sz w:val="20"/>
          <w:szCs w:val="20"/>
        </w:rPr>
        <w:t>Table 2.</w:t>
      </w:r>
      <w:r w:rsidRPr="00DB5266">
        <w:rPr>
          <w:rFonts w:asciiTheme="majorHAnsi" w:hAnsiTheme="majorHAnsi" w:cs="Times New Roman"/>
          <w:b/>
          <w:bCs/>
          <w:iCs/>
          <w:sz w:val="20"/>
          <w:szCs w:val="20"/>
        </w:rPr>
        <w:t xml:space="preserve">  </w:t>
      </w:r>
      <w:r w:rsidRPr="00DB5266">
        <w:rPr>
          <w:rFonts w:ascii="Times New Roman" w:hAnsi="Times New Roman" w:cs="Times New Roman"/>
        </w:rPr>
        <w:t>Correlation between lymphovascular invasion (LVI) and PD-L1 immunohistochemical expression</w:t>
      </w:r>
    </w:p>
    <w:p w14:paraId="13035297" w14:textId="77777777" w:rsidR="0071076B" w:rsidRPr="00DB5266" w:rsidRDefault="0071076B" w:rsidP="0071076B">
      <w:pPr>
        <w:autoSpaceDE w:val="0"/>
        <w:autoSpaceDN w:val="0"/>
        <w:bidi w:val="0"/>
        <w:adjustRightInd w:val="0"/>
        <w:spacing w:after="0" w:line="240" w:lineRule="auto"/>
        <w:jc w:val="both"/>
        <w:rPr>
          <w:rFonts w:asciiTheme="majorHAnsi" w:hAnsiTheme="majorHAnsi" w:cs="Times New Roman"/>
          <w:b/>
          <w:bCs/>
          <w:iCs/>
          <w:sz w:val="20"/>
          <w:szCs w:val="20"/>
        </w:rPr>
      </w:pPr>
    </w:p>
    <w:tbl>
      <w:tblPr>
        <w:tblStyle w:val="TableGrid"/>
        <w:tblW w:w="870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693"/>
        <w:gridCol w:w="700"/>
        <w:gridCol w:w="691"/>
        <w:gridCol w:w="899"/>
        <w:gridCol w:w="1758"/>
      </w:tblGrid>
      <w:tr w:rsidR="00DB5266" w:rsidRPr="00DB5266" w14:paraId="751EA81B" w14:textId="77777777" w:rsidTr="00DD03BF">
        <w:trPr>
          <w:trHeight w:val="276"/>
        </w:trPr>
        <w:tc>
          <w:tcPr>
            <w:tcW w:w="3963" w:type="dxa"/>
            <w:vMerge w:val="restart"/>
            <w:tcBorders>
              <w:top w:val="single" w:sz="4" w:space="0" w:color="auto"/>
              <w:bottom w:val="nil"/>
            </w:tcBorders>
          </w:tcPr>
          <w:p w14:paraId="01842707" w14:textId="77777777" w:rsidR="0071076B" w:rsidRPr="00DB5266" w:rsidRDefault="0071076B" w:rsidP="00DD03BF">
            <w:pPr>
              <w:jc w:val="center"/>
              <w:rPr>
                <w:rFonts w:asciiTheme="majorHAnsi" w:hAnsiTheme="majorHAnsi" w:cs="Times New Roman"/>
                <w:i/>
                <w:iCs/>
                <w:sz w:val="24"/>
                <w:szCs w:val="24"/>
                <w:lang w:val="sv-SE"/>
              </w:rPr>
            </w:pPr>
          </w:p>
          <w:p w14:paraId="45D9E58D"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LVI</w:t>
            </w:r>
          </w:p>
        </w:tc>
        <w:tc>
          <w:tcPr>
            <w:tcW w:w="2983" w:type="dxa"/>
            <w:gridSpan w:val="4"/>
            <w:tcBorders>
              <w:top w:val="single" w:sz="4" w:space="0" w:color="auto"/>
              <w:bottom w:val="single" w:sz="4" w:space="0" w:color="auto"/>
            </w:tcBorders>
          </w:tcPr>
          <w:p w14:paraId="534819EE"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PD-L1 immunohistochemistry expression</w:t>
            </w:r>
          </w:p>
        </w:tc>
        <w:tc>
          <w:tcPr>
            <w:tcW w:w="1758" w:type="dxa"/>
            <w:vMerge w:val="restart"/>
            <w:tcBorders>
              <w:top w:val="single" w:sz="4" w:space="0" w:color="auto"/>
            </w:tcBorders>
            <w:vAlign w:val="center"/>
          </w:tcPr>
          <w:p w14:paraId="10179E40" w14:textId="77777777" w:rsidR="0071076B" w:rsidRPr="00DB5266" w:rsidRDefault="0071076B" w:rsidP="00DD03BF">
            <w:pPr>
              <w:jc w:val="center"/>
              <w:rPr>
                <w:rFonts w:asciiTheme="majorHAnsi" w:hAnsiTheme="majorHAnsi" w:cs="Times New Roman"/>
                <w:b/>
                <w:bCs/>
                <w:i/>
                <w:sz w:val="24"/>
                <w:szCs w:val="24"/>
              </w:rPr>
            </w:pPr>
            <w:r w:rsidRPr="00DB5266">
              <w:rPr>
                <w:rFonts w:asciiTheme="majorHAnsi" w:hAnsiTheme="majorHAnsi" w:cs="Times New Roman"/>
                <w:b/>
                <w:bCs/>
                <w:iCs/>
                <w:sz w:val="24"/>
                <w:szCs w:val="24"/>
              </w:rPr>
              <w:t>p-value</w:t>
            </w:r>
            <w:r w:rsidRPr="00DB5266">
              <w:rPr>
                <w:rFonts w:asciiTheme="majorHAnsi" w:hAnsiTheme="majorHAnsi" w:cs="Times New Roman"/>
                <w:b/>
                <w:bCs/>
                <w:i/>
                <w:sz w:val="24"/>
                <w:szCs w:val="24"/>
              </w:rPr>
              <w:t>*</w:t>
            </w:r>
          </w:p>
        </w:tc>
      </w:tr>
      <w:tr w:rsidR="00DB5266" w:rsidRPr="00DB5266" w14:paraId="2A566B3D" w14:textId="77777777" w:rsidTr="00DD03BF">
        <w:trPr>
          <w:trHeight w:val="276"/>
        </w:trPr>
        <w:tc>
          <w:tcPr>
            <w:tcW w:w="3963" w:type="dxa"/>
            <w:vMerge/>
            <w:tcBorders>
              <w:top w:val="nil"/>
              <w:bottom w:val="nil"/>
            </w:tcBorders>
          </w:tcPr>
          <w:p w14:paraId="3424101E" w14:textId="77777777" w:rsidR="0071076B" w:rsidRPr="00DB5266" w:rsidRDefault="0071076B" w:rsidP="00DD03BF">
            <w:pPr>
              <w:jc w:val="both"/>
              <w:rPr>
                <w:rFonts w:asciiTheme="majorHAnsi" w:hAnsiTheme="majorHAnsi" w:cs="Times New Roman"/>
                <w:i/>
                <w:iCs/>
                <w:sz w:val="24"/>
                <w:szCs w:val="24"/>
              </w:rPr>
            </w:pPr>
          </w:p>
        </w:tc>
        <w:tc>
          <w:tcPr>
            <w:tcW w:w="1393" w:type="dxa"/>
            <w:gridSpan w:val="2"/>
            <w:tcBorders>
              <w:top w:val="single" w:sz="4" w:space="0" w:color="auto"/>
              <w:bottom w:val="single" w:sz="4" w:space="0" w:color="auto"/>
            </w:tcBorders>
          </w:tcPr>
          <w:p w14:paraId="668B0F8F"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Positive</w:t>
            </w:r>
          </w:p>
        </w:tc>
        <w:tc>
          <w:tcPr>
            <w:tcW w:w="1590" w:type="dxa"/>
            <w:gridSpan w:val="2"/>
            <w:tcBorders>
              <w:top w:val="single" w:sz="4" w:space="0" w:color="auto"/>
              <w:bottom w:val="single" w:sz="4" w:space="0" w:color="auto"/>
            </w:tcBorders>
          </w:tcPr>
          <w:p w14:paraId="7FE0D7C8"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Negative</w:t>
            </w:r>
          </w:p>
        </w:tc>
        <w:tc>
          <w:tcPr>
            <w:tcW w:w="1758" w:type="dxa"/>
            <w:vMerge/>
          </w:tcPr>
          <w:p w14:paraId="6FC31701" w14:textId="77777777" w:rsidR="0071076B" w:rsidRPr="00DB5266" w:rsidRDefault="0071076B" w:rsidP="00DD03BF">
            <w:pPr>
              <w:jc w:val="center"/>
              <w:rPr>
                <w:rFonts w:asciiTheme="majorHAnsi" w:hAnsiTheme="majorHAnsi" w:cs="Times New Roman"/>
                <w:b/>
                <w:bCs/>
                <w:sz w:val="24"/>
                <w:szCs w:val="24"/>
              </w:rPr>
            </w:pPr>
          </w:p>
        </w:tc>
      </w:tr>
      <w:tr w:rsidR="00DB5266" w:rsidRPr="00DB5266" w14:paraId="7DE6D626" w14:textId="77777777" w:rsidTr="00DD03BF">
        <w:trPr>
          <w:trHeight w:val="276"/>
        </w:trPr>
        <w:tc>
          <w:tcPr>
            <w:tcW w:w="3963" w:type="dxa"/>
            <w:vMerge/>
            <w:tcBorders>
              <w:top w:val="nil"/>
              <w:bottom w:val="single" w:sz="4" w:space="0" w:color="auto"/>
            </w:tcBorders>
          </w:tcPr>
          <w:p w14:paraId="505CCFF6" w14:textId="77777777" w:rsidR="0071076B" w:rsidRPr="00DB5266" w:rsidRDefault="0071076B" w:rsidP="00DD03BF">
            <w:pPr>
              <w:jc w:val="both"/>
              <w:rPr>
                <w:rFonts w:asciiTheme="majorHAnsi" w:hAnsiTheme="majorHAnsi" w:cs="Times New Roman"/>
                <w:sz w:val="24"/>
                <w:szCs w:val="24"/>
              </w:rPr>
            </w:pPr>
          </w:p>
        </w:tc>
        <w:tc>
          <w:tcPr>
            <w:tcW w:w="693" w:type="dxa"/>
            <w:tcBorders>
              <w:top w:val="single" w:sz="4" w:space="0" w:color="auto"/>
              <w:bottom w:val="single" w:sz="4" w:space="0" w:color="auto"/>
            </w:tcBorders>
          </w:tcPr>
          <w:p w14:paraId="13A2F12D"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n</w:t>
            </w:r>
          </w:p>
        </w:tc>
        <w:tc>
          <w:tcPr>
            <w:tcW w:w="700" w:type="dxa"/>
            <w:tcBorders>
              <w:top w:val="single" w:sz="4" w:space="0" w:color="auto"/>
              <w:bottom w:val="single" w:sz="4" w:space="0" w:color="auto"/>
            </w:tcBorders>
          </w:tcPr>
          <w:p w14:paraId="6D0B18E5"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w:t>
            </w:r>
          </w:p>
        </w:tc>
        <w:tc>
          <w:tcPr>
            <w:tcW w:w="691" w:type="dxa"/>
            <w:tcBorders>
              <w:top w:val="single" w:sz="4" w:space="0" w:color="auto"/>
              <w:bottom w:val="single" w:sz="4" w:space="0" w:color="auto"/>
            </w:tcBorders>
          </w:tcPr>
          <w:p w14:paraId="5DC70951"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n</w:t>
            </w:r>
          </w:p>
        </w:tc>
        <w:tc>
          <w:tcPr>
            <w:tcW w:w="899" w:type="dxa"/>
            <w:tcBorders>
              <w:top w:val="single" w:sz="4" w:space="0" w:color="auto"/>
              <w:bottom w:val="single" w:sz="4" w:space="0" w:color="auto"/>
            </w:tcBorders>
          </w:tcPr>
          <w:p w14:paraId="37BD59A5" w14:textId="77777777" w:rsidR="0071076B" w:rsidRPr="00DB5266" w:rsidRDefault="0071076B" w:rsidP="00DD03BF">
            <w:pPr>
              <w:jc w:val="center"/>
              <w:rPr>
                <w:rFonts w:asciiTheme="majorHAnsi" w:hAnsiTheme="majorHAnsi" w:cs="Times New Roman"/>
                <w:b/>
                <w:bCs/>
                <w:sz w:val="24"/>
                <w:szCs w:val="24"/>
              </w:rPr>
            </w:pPr>
            <w:r w:rsidRPr="00DB5266">
              <w:rPr>
                <w:rFonts w:asciiTheme="majorHAnsi" w:hAnsiTheme="majorHAnsi" w:cs="Times New Roman"/>
                <w:b/>
                <w:bCs/>
                <w:sz w:val="24"/>
                <w:szCs w:val="24"/>
              </w:rPr>
              <w:t>%</w:t>
            </w:r>
          </w:p>
        </w:tc>
        <w:tc>
          <w:tcPr>
            <w:tcW w:w="1758" w:type="dxa"/>
            <w:vMerge/>
            <w:tcBorders>
              <w:bottom w:val="single" w:sz="4" w:space="0" w:color="auto"/>
            </w:tcBorders>
          </w:tcPr>
          <w:p w14:paraId="7624D406" w14:textId="77777777" w:rsidR="0071076B" w:rsidRPr="00DB5266" w:rsidRDefault="0071076B" w:rsidP="00DD03BF">
            <w:pPr>
              <w:jc w:val="center"/>
              <w:rPr>
                <w:rFonts w:asciiTheme="majorHAnsi" w:hAnsiTheme="majorHAnsi" w:cs="Times New Roman"/>
                <w:b/>
                <w:bCs/>
                <w:sz w:val="24"/>
                <w:szCs w:val="24"/>
              </w:rPr>
            </w:pPr>
          </w:p>
        </w:tc>
      </w:tr>
      <w:tr w:rsidR="00DB5266" w:rsidRPr="00DB5266" w14:paraId="5A719107" w14:textId="77777777" w:rsidTr="00DD03BF">
        <w:trPr>
          <w:trHeight w:val="276"/>
        </w:trPr>
        <w:tc>
          <w:tcPr>
            <w:tcW w:w="3963" w:type="dxa"/>
            <w:tcBorders>
              <w:top w:val="single" w:sz="4" w:space="0" w:color="auto"/>
              <w:bottom w:val="nil"/>
            </w:tcBorders>
          </w:tcPr>
          <w:p w14:paraId="1BB26645" w14:textId="77777777" w:rsidR="0071076B" w:rsidRPr="00DB5266" w:rsidRDefault="0071076B" w:rsidP="00DB5266">
            <w:pPr>
              <w:ind w:left="-113" w:right="-108"/>
              <w:jc w:val="center"/>
              <w:rPr>
                <w:rFonts w:asciiTheme="majorHAnsi" w:hAnsiTheme="majorHAnsi" w:cs="Times New Roman"/>
                <w:sz w:val="24"/>
                <w:szCs w:val="24"/>
              </w:rPr>
            </w:pPr>
            <w:r w:rsidRPr="00DB5266">
              <w:rPr>
                <w:rFonts w:asciiTheme="majorHAnsi" w:hAnsiTheme="majorHAnsi" w:cs="Times New Roman"/>
                <w:sz w:val="24"/>
                <w:szCs w:val="24"/>
              </w:rPr>
              <w:t>Absent</w:t>
            </w:r>
          </w:p>
        </w:tc>
        <w:tc>
          <w:tcPr>
            <w:tcW w:w="693" w:type="dxa"/>
            <w:tcBorders>
              <w:top w:val="single" w:sz="4" w:space="0" w:color="auto"/>
              <w:bottom w:val="nil"/>
            </w:tcBorders>
          </w:tcPr>
          <w:p w14:paraId="260A1F4A"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700" w:type="dxa"/>
            <w:tcBorders>
              <w:top w:val="single" w:sz="4" w:space="0" w:color="auto"/>
              <w:bottom w:val="nil"/>
            </w:tcBorders>
          </w:tcPr>
          <w:p w14:paraId="6D5F1287"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w:t>
            </w:r>
          </w:p>
        </w:tc>
        <w:tc>
          <w:tcPr>
            <w:tcW w:w="691" w:type="dxa"/>
            <w:tcBorders>
              <w:top w:val="single" w:sz="4" w:space="0" w:color="auto"/>
              <w:bottom w:val="nil"/>
            </w:tcBorders>
          </w:tcPr>
          <w:p w14:paraId="7356AB2B"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21</w:t>
            </w:r>
          </w:p>
        </w:tc>
        <w:tc>
          <w:tcPr>
            <w:tcW w:w="899" w:type="dxa"/>
            <w:tcBorders>
              <w:top w:val="single" w:sz="4" w:space="0" w:color="auto"/>
              <w:bottom w:val="nil"/>
            </w:tcBorders>
          </w:tcPr>
          <w:p w14:paraId="5EF180A3"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100</w:t>
            </w:r>
          </w:p>
        </w:tc>
        <w:tc>
          <w:tcPr>
            <w:tcW w:w="1758" w:type="dxa"/>
            <w:vMerge w:val="restart"/>
            <w:tcBorders>
              <w:top w:val="single" w:sz="4" w:space="0" w:color="auto"/>
            </w:tcBorders>
            <w:vAlign w:val="center"/>
          </w:tcPr>
          <w:p w14:paraId="71E0DC55"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0.033</w:t>
            </w:r>
          </w:p>
        </w:tc>
      </w:tr>
      <w:tr w:rsidR="00DB5266" w:rsidRPr="00DB5266" w14:paraId="17723320" w14:textId="77777777" w:rsidTr="00DD03BF">
        <w:trPr>
          <w:trHeight w:val="276"/>
        </w:trPr>
        <w:tc>
          <w:tcPr>
            <w:tcW w:w="3963" w:type="dxa"/>
            <w:tcBorders>
              <w:top w:val="nil"/>
              <w:bottom w:val="single" w:sz="4" w:space="0" w:color="auto"/>
            </w:tcBorders>
          </w:tcPr>
          <w:p w14:paraId="51D5A5F7" w14:textId="77777777" w:rsidR="0071076B" w:rsidRPr="00DB5266" w:rsidRDefault="0071076B" w:rsidP="00DB5266">
            <w:pPr>
              <w:ind w:left="-113" w:right="-108"/>
              <w:jc w:val="center"/>
              <w:rPr>
                <w:rFonts w:asciiTheme="majorHAnsi" w:hAnsiTheme="majorHAnsi" w:cs="Times New Roman"/>
                <w:sz w:val="24"/>
                <w:szCs w:val="24"/>
              </w:rPr>
            </w:pPr>
            <w:r w:rsidRPr="00DB5266">
              <w:rPr>
                <w:rFonts w:asciiTheme="majorHAnsi" w:hAnsiTheme="majorHAnsi" w:cs="Times New Roman"/>
                <w:sz w:val="24"/>
                <w:szCs w:val="24"/>
              </w:rPr>
              <w:t>Present</w:t>
            </w:r>
          </w:p>
        </w:tc>
        <w:tc>
          <w:tcPr>
            <w:tcW w:w="693" w:type="dxa"/>
            <w:tcBorders>
              <w:top w:val="nil"/>
              <w:bottom w:val="single" w:sz="4" w:space="0" w:color="auto"/>
            </w:tcBorders>
          </w:tcPr>
          <w:p w14:paraId="0C4CC834"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w:t>
            </w:r>
          </w:p>
        </w:tc>
        <w:tc>
          <w:tcPr>
            <w:tcW w:w="700" w:type="dxa"/>
            <w:tcBorders>
              <w:top w:val="nil"/>
              <w:bottom w:val="single" w:sz="4" w:space="0" w:color="auto"/>
            </w:tcBorders>
          </w:tcPr>
          <w:p w14:paraId="78A933B3"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27.3</w:t>
            </w:r>
          </w:p>
        </w:tc>
        <w:tc>
          <w:tcPr>
            <w:tcW w:w="691" w:type="dxa"/>
            <w:tcBorders>
              <w:top w:val="nil"/>
              <w:bottom w:val="single" w:sz="4" w:space="0" w:color="auto"/>
            </w:tcBorders>
          </w:tcPr>
          <w:p w14:paraId="0E315EC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8</w:t>
            </w:r>
          </w:p>
        </w:tc>
        <w:tc>
          <w:tcPr>
            <w:tcW w:w="899" w:type="dxa"/>
            <w:tcBorders>
              <w:top w:val="nil"/>
              <w:bottom w:val="single" w:sz="4" w:space="0" w:color="auto"/>
            </w:tcBorders>
          </w:tcPr>
          <w:p w14:paraId="170EB338"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72.7</w:t>
            </w:r>
          </w:p>
        </w:tc>
        <w:tc>
          <w:tcPr>
            <w:tcW w:w="1758" w:type="dxa"/>
            <w:vMerge/>
            <w:tcBorders>
              <w:bottom w:val="single" w:sz="4" w:space="0" w:color="auto"/>
            </w:tcBorders>
          </w:tcPr>
          <w:p w14:paraId="29FE2F88" w14:textId="77777777" w:rsidR="0071076B" w:rsidRPr="00DB5266" w:rsidRDefault="0071076B" w:rsidP="00DD03BF">
            <w:pPr>
              <w:jc w:val="center"/>
              <w:rPr>
                <w:rFonts w:asciiTheme="majorHAnsi" w:hAnsiTheme="majorHAnsi" w:cs="Times New Roman"/>
                <w:sz w:val="24"/>
                <w:szCs w:val="24"/>
              </w:rPr>
            </w:pPr>
          </w:p>
        </w:tc>
      </w:tr>
      <w:tr w:rsidR="00DB5266" w:rsidRPr="00DB5266" w14:paraId="1ECB836A" w14:textId="77777777" w:rsidTr="00DD03BF">
        <w:trPr>
          <w:trHeight w:val="276"/>
        </w:trPr>
        <w:tc>
          <w:tcPr>
            <w:tcW w:w="3963" w:type="dxa"/>
            <w:tcBorders>
              <w:top w:val="single" w:sz="4" w:space="0" w:color="auto"/>
              <w:bottom w:val="single" w:sz="4" w:space="0" w:color="auto"/>
            </w:tcBorders>
          </w:tcPr>
          <w:p w14:paraId="13200761" w14:textId="77777777" w:rsidR="0071076B" w:rsidRPr="00DB5266" w:rsidRDefault="0071076B" w:rsidP="00DD03BF">
            <w:pPr>
              <w:ind w:left="-119"/>
              <w:jc w:val="center"/>
              <w:rPr>
                <w:rFonts w:asciiTheme="majorHAnsi" w:hAnsiTheme="majorHAnsi" w:cs="Times New Roman"/>
                <w:b/>
                <w:bCs/>
                <w:sz w:val="24"/>
                <w:szCs w:val="24"/>
              </w:rPr>
            </w:pPr>
            <w:r w:rsidRPr="00DB5266">
              <w:rPr>
                <w:rFonts w:asciiTheme="majorHAnsi" w:hAnsiTheme="majorHAnsi" w:cs="Times New Roman"/>
                <w:b/>
                <w:bCs/>
                <w:sz w:val="24"/>
                <w:szCs w:val="24"/>
              </w:rPr>
              <w:t>Total</w:t>
            </w:r>
          </w:p>
        </w:tc>
        <w:tc>
          <w:tcPr>
            <w:tcW w:w="693" w:type="dxa"/>
            <w:tcBorders>
              <w:top w:val="single" w:sz="4" w:space="0" w:color="auto"/>
              <w:bottom w:val="single" w:sz="4" w:space="0" w:color="auto"/>
            </w:tcBorders>
          </w:tcPr>
          <w:p w14:paraId="4EC7C2EB"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3</w:t>
            </w:r>
          </w:p>
        </w:tc>
        <w:tc>
          <w:tcPr>
            <w:tcW w:w="700" w:type="dxa"/>
            <w:tcBorders>
              <w:top w:val="single" w:sz="4" w:space="0" w:color="auto"/>
              <w:bottom w:val="single" w:sz="4" w:space="0" w:color="auto"/>
            </w:tcBorders>
          </w:tcPr>
          <w:p w14:paraId="608D916D" w14:textId="77777777" w:rsidR="0071076B" w:rsidRPr="00DB5266" w:rsidRDefault="0071076B" w:rsidP="00DD03BF">
            <w:pPr>
              <w:jc w:val="center"/>
              <w:rPr>
                <w:rFonts w:asciiTheme="majorHAnsi" w:hAnsiTheme="majorHAnsi" w:cs="Times New Roman"/>
                <w:sz w:val="24"/>
                <w:szCs w:val="24"/>
              </w:rPr>
            </w:pPr>
          </w:p>
        </w:tc>
        <w:tc>
          <w:tcPr>
            <w:tcW w:w="691" w:type="dxa"/>
            <w:tcBorders>
              <w:top w:val="single" w:sz="4" w:space="0" w:color="auto"/>
              <w:bottom w:val="single" w:sz="4" w:space="0" w:color="auto"/>
            </w:tcBorders>
          </w:tcPr>
          <w:p w14:paraId="3210FD8E" w14:textId="77777777" w:rsidR="0071076B" w:rsidRPr="00DB5266" w:rsidRDefault="0071076B" w:rsidP="00DD03BF">
            <w:pPr>
              <w:jc w:val="center"/>
              <w:rPr>
                <w:rFonts w:asciiTheme="majorHAnsi" w:hAnsiTheme="majorHAnsi" w:cs="Times New Roman"/>
                <w:sz w:val="24"/>
                <w:szCs w:val="24"/>
              </w:rPr>
            </w:pPr>
            <w:r w:rsidRPr="00DB5266">
              <w:rPr>
                <w:rFonts w:asciiTheme="majorHAnsi" w:hAnsiTheme="majorHAnsi" w:cs="Times New Roman"/>
                <w:sz w:val="24"/>
                <w:szCs w:val="24"/>
              </w:rPr>
              <w:t>29</w:t>
            </w:r>
          </w:p>
        </w:tc>
        <w:tc>
          <w:tcPr>
            <w:tcW w:w="899" w:type="dxa"/>
            <w:tcBorders>
              <w:top w:val="single" w:sz="4" w:space="0" w:color="auto"/>
              <w:bottom w:val="single" w:sz="4" w:space="0" w:color="auto"/>
            </w:tcBorders>
          </w:tcPr>
          <w:p w14:paraId="50DC0D32" w14:textId="77777777" w:rsidR="0071076B" w:rsidRPr="00DB5266" w:rsidRDefault="0071076B" w:rsidP="00DD03BF">
            <w:pPr>
              <w:jc w:val="center"/>
              <w:rPr>
                <w:rFonts w:asciiTheme="majorHAnsi" w:hAnsiTheme="majorHAnsi" w:cs="Times New Roman"/>
                <w:sz w:val="24"/>
                <w:szCs w:val="24"/>
              </w:rPr>
            </w:pPr>
          </w:p>
        </w:tc>
        <w:tc>
          <w:tcPr>
            <w:tcW w:w="1758" w:type="dxa"/>
            <w:tcBorders>
              <w:top w:val="single" w:sz="4" w:space="0" w:color="auto"/>
              <w:bottom w:val="single" w:sz="4" w:space="0" w:color="auto"/>
            </w:tcBorders>
          </w:tcPr>
          <w:p w14:paraId="24F3247D" w14:textId="77777777" w:rsidR="0071076B" w:rsidRPr="00DB5266" w:rsidRDefault="0071076B" w:rsidP="00DD03BF">
            <w:pPr>
              <w:jc w:val="center"/>
              <w:rPr>
                <w:rFonts w:asciiTheme="majorHAnsi" w:hAnsiTheme="majorHAnsi" w:cs="Times New Roman"/>
                <w:sz w:val="24"/>
                <w:szCs w:val="24"/>
              </w:rPr>
            </w:pPr>
          </w:p>
        </w:tc>
      </w:tr>
    </w:tbl>
    <w:p w14:paraId="6A696E11" w14:textId="4C23B77D" w:rsidR="0071076B" w:rsidRPr="00DB5266" w:rsidRDefault="0071076B" w:rsidP="0071076B">
      <w:pPr>
        <w:autoSpaceDE w:val="0"/>
        <w:autoSpaceDN w:val="0"/>
        <w:bidi w:val="0"/>
        <w:adjustRightInd w:val="0"/>
        <w:spacing w:after="0" w:line="240" w:lineRule="auto"/>
        <w:jc w:val="both"/>
        <w:rPr>
          <w:rFonts w:asciiTheme="majorHAnsi" w:hAnsiTheme="majorHAnsi" w:cs="Times New Roman"/>
          <w:b/>
          <w:bCs/>
          <w:iCs/>
          <w:sz w:val="20"/>
          <w:szCs w:val="20"/>
        </w:rPr>
      </w:pPr>
      <w:r w:rsidRPr="00DB5266">
        <w:rPr>
          <w:rFonts w:asciiTheme="majorHAnsi" w:hAnsiTheme="majorHAnsi" w:cs="Times New Roman"/>
          <w:b/>
          <w:bCs/>
          <w:sz w:val="20"/>
          <w:szCs w:val="20"/>
        </w:rPr>
        <w:t>*</w:t>
      </w:r>
      <w:r w:rsidRPr="00DB5266">
        <w:rPr>
          <w:rFonts w:asciiTheme="majorHAnsi" w:hAnsiTheme="majorHAnsi" w:cs="Times New Roman"/>
          <w:b/>
          <w:bCs/>
          <w:iCs/>
          <w:sz w:val="20"/>
          <w:szCs w:val="20"/>
        </w:rPr>
        <w:t>Fisher’s Exact test</w:t>
      </w:r>
    </w:p>
    <w:p w14:paraId="69B075B7" w14:textId="77777777" w:rsidR="0071076B" w:rsidRPr="00DB5266" w:rsidRDefault="0071076B" w:rsidP="0071076B">
      <w:pPr>
        <w:autoSpaceDE w:val="0"/>
        <w:autoSpaceDN w:val="0"/>
        <w:bidi w:val="0"/>
        <w:adjustRightInd w:val="0"/>
        <w:spacing w:after="0" w:line="240" w:lineRule="auto"/>
        <w:jc w:val="both"/>
        <w:rPr>
          <w:rFonts w:asciiTheme="majorHAnsi" w:hAnsiTheme="majorHAnsi" w:cs="Times New Roman"/>
          <w:iCs/>
          <w:sz w:val="20"/>
          <w:szCs w:val="20"/>
        </w:rPr>
      </w:pPr>
      <w:r w:rsidRPr="00DB5266">
        <w:rPr>
          <w:rFonts w:asciiTheme="majorHAnsi" w:hAnsiTheme="majorHAnsi" w:cs="Times New Roman"/>
          <w:iCs/>
          <w:sz w:val="20"/>
          <w:szCs w:val="20"/>
        </w:rPr>
        <w:lastRenderedPageBreak/>
        <w:t>Table 3. Correlation between tumor-infiltrating lymphocytes (TILs) and PD-L1 immunohistochemical expression</w:t>
      </w:r>
    </w:p>
    <w:p w14:paraId="31A0CAC4" w14:textId="77777777" w:rsidR="0071076B" w:rsidRPr="00DB5266" w:rsidRDefault="0071076B" w:rsidP="0071076B">
      <w:pPr>
        <w:autoSpaceDE w:val="0"/>
        <w:autoSpaceDN w:val="0"/>
        <w:bidi w:val="0"/>
        <w:adjustRightInd w:val="0"/>
        <w:spacing w:after="0" w:line="240" w:lineRule="auto"/>
        <w:jc w:val="both"/>
        <w:rPr>
          <w:rFonts w:asciiTheme="majorHAnsi" w:hAnsiTheme="majorHAnsi" w:cs="Times New Roman"/>
          <w:iCs/>
          <w:sz w:val="20"/>
          <w:szCs w:val="20"/>
        </w:rPr>
      </w:pPr>
    </w:p>
    <w:tbl>
      <w:tblPr>
        <w:tblStyle w:val="TableGrid"/>
        <w:tblW w:w="841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93"/>
        <w:gridCol w:w="700"/>
        <w:gridCol w:w="691"/>
        <w:gridCol w:w="1034"/>
        <w:gridCol w:w="1610"/>
      </w:tblGrid>
      <w:tr w:rsidR="00DB5266" w:rsidRPr="00DB5266" w14:paraId="3169F5C4" w14:textId="77777777" w:rsidTr="00DD03BF">
        <w:trPr>
          <w:trHeight w:val="276"/>
        </w:trPr>
        <w:tc>
          <w:tcPr>
            <w:tcW w:w="3686" w:type="dxa"/>
            <w:vMerge w:val="restart"/>
            <w:tcBorders>
              <w:top w:val="single" w:sz="4" w:space="0" w:color="auto"/>
              <w:bottom w:val="nil"/>
            </w:tcBorders>
          </w:tcPr>
          <w:p w14:paraId="008FA084" w14:textId="77777777" w:rsidR="0071076B" w:rsidRPr="00DB5266" w:rsidRDefault="0071076B" w:rsidP="00DD03BF">
            <w:pPr>
              <w:jc w:val="center"/>
              <w:rPr>
                <w:rFonts w:ascii="Times New Roman" w:hAnsi="Times New Roman" w:cs="Times New Roman"/>
                <w:sz w:val="24"/>
                <w:szCs w:val="24"/>
                <w:lang w:val="sv-SE"/>
              </w:rPr>
            </w:pPr>
          </w:p>
          <w:p w14:paraId="210D9D3B"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TILs</w:t>
            </w:r>
          </w:p>
        </w:tc>
        <w:tc>
          <w:tcPr>
            <w:tcW w:w="3118" w:type="dxa"/>
            <w:gridSpan w:val="4"/>
            <w:tcBorders>
              <w:top w:val="single" w:sz="4" w:space="0" w:color="auto"/>
              <w:bottom w:val="single" w:sz="4" w:space="0" w:color="auto"/>
            </w:tcBorders>
          </w:tcPr>
          <w:p w14:paraId="22559988"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PD-L1 immunohistochemistry expression</w:t>
            </w:r>
          </w:p>
        </w:tc>
        <w:tc>
          <w:tcPr>
            <w:tcW w:w="1610" w:type="dxa"/>
            <w:vMerge w:val="restart"/>
            <w:tcBorders>
              <w:top w:val="single" w:sz="4" w:space="0" w:color="auto"/>
            </w:tcBorders>
            <w:vAlign w:val="center"/>
          </w:tcPr>
          <w:p w14:paraId="48EFC51E"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p-value*</w:t>
            </w:r>
          </w:p>
        </w:tc>
      </w:tr>
      <w:tr w:rsidR="00DB5266" w:rsidRPr="00DB5266" w14:paraId="2052ABC7" w14:textId="77777777" w:rsidTr="00DD03BF">
        <w:trPr>
          <w:trHeight w:val="276"/>
        </w:trPr>
        <w:tc>
          <w:tcPr>
            <w:tcW w:w="3686" w:type="dxa"/>
            <w:vMerge/>
            <w:tcBorders>
              <w:top w:val="nil"/>
              <w:bottom w:val="nil"/>
            </w:tcBorders>
          </w:tcPr>
          <w:p w14:paraId="4906248A" w14:textId="77777777" w:rsidR="0071076B" w:rsidRPr="00DB5266" w:rsidRDefault="0071076B" w:rsidP="00DD03BF">
            <w:pPr>
              <w:jc w:val="both"/>
              <w:rPr>
                <w:rFonts w:ascii="Times New Roman" w:hAnsi="Times New Roman" w:cs="Times New Roman"/>
                <w:sz w:val="24"/>
                <w:szCs w:val="24"/>
              </w:rPr>
            </w:pPr>
          </w:p>
        </w:tc>
        <w:tc>
          <w:tcPr>
            <w:tcW w:w="1393" w:type="dxa"/>
            <w:gridSpan w:val="2"/>
            <w:tcBorders>
              <w:top w:val="single" w:sz="4" w:space="0" w:color="auto"/>
              <w:bottom w:val="single" w:sz="4" w:space="0" w:color="auto"/>
            </w:tcBorders>
          </w:tcPr>
          <w:p w14:paraId="0BB48ECA"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Positive</w:t>
            </w:r>
          </w:p>
        </w:tc>
        <w:tc>
          <w:tcPr>
            <w:tcW w:w="1725" w:type="dxa"/>
            <w:gridSpan w:val="2"/>
            <w:tcBorders>
              <w:top w:val="single" w:sz="4" w:space="0" w:color="auto"/>
              <w:bottom w:val="single" w:sz="4" w:space="0" w:color="auto"/>
            </w:tcBorders>
          </w:tcPr>
          <w:p w14:paraId="28D687E4"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Negative</w:t>
            </w:r>
          </w:p>
        </w:tc>
        <w:tc>
          <w:tcPr>
            <w:tcW w:w="1610" w:type="dxa"/>
            <w:vMerge/>
          </w:tcPr>
          <w:p w14:paraId="49280B9F" w14:textId="77777777" w:rsidR="0071076B" w:rsidRPr="00DB5266" w:rsidRDefault="0071076B" w:rsidP="00DD03BF">
            <w:pPr>
              <w:jc w:val="center"/>
              <w:rPr>
                <w:rFonts w:ascii="Times New Roman" w:hAnsi="Times New Roman" w:cs="Times New Roman"/>
                <w:b/>
                <w:bCs/>
                <w:sz w:val="24"/>
                <w:szCs w:val="24"/>
              </w:rPr>
            </w:pPr>
          </w:p>
        </w:tc>
      </w:tr>
      <w:tr w:rsidR="00DB5266" w:rsidRPr="00DB5266" w14:paraId="414F6DE2" w14:textId="77777777" w:rsidTr="00DD03BF">
        <w:trPr>
          <w:trHeight w:val="276"/>
        </w:trPr>
        <w:tc>
          <w:tcPr>
            <w:tcW w:w="3686" w:type="dxa"/>
            <w:vMerge/>
            <w:tcBorders>
              <w:top w:val="nil"/>
              <w:bottom w:val="single" w:sz="4" w:space="0" w:color="auto"/>
            </w:tcBorders>
          </w:tcPr>
          <w:p w14:paraId="1E94C30B" w14:textId="77777777" w:rsidR="0071076B" w:rsidRPr="00DB5266" w:rsidRDefault="0071076B" w:rsidP="00DD03BF">
            <w:pPr>
              <w:jc w:val="both"/>
              <w:rPr>
                <w:rFonts w:ascii="Times New Roman" w:hAnsi="Times New Roman" w:cs="Times New Roman"/>
                <w:sz w:val="24"/>
                <w:szCs w:val="24"/>
              </w:rPr>
            </w:pPr>
          </w:p>
        </w:tc>
        <w:tc>
          <w:tcPr>
            <w:tcW w:w="693" w:type="dxa"/>
            <w:tcBorders>
              <w:top w:val="single" w:sz="4" w:space="0" w:color="auto"/>
              <w:bottom w:val="single" w:sz="4" w:space="0" w:color="auto"/>
            </w:tcBorders>
          </w:tcPr>
          <w:p w14:paraId="4C0B36FD"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n</w:t>
            </w:r>
          </w:p>
        </w:tc>
        <w:tc>
          <w:tcPr>
            <w:tcW w:w="700" w:type="dxa"/>
            <w:tcBorders>
              <w:top w:val="single" w:sz="4" w:space="0" w:color="auto"/>
              <w:bottom w:val="single" w:sz="4" w:space="0" w:color="auto"/>
            </w:tcBorders>
          </w:tcPr>
          <w:p w14:paraId="65497860"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w:t>
            </w:r>
          </w:p>
        </w:tc>
        <w:tc>
          <w:tcPr>
            <w:tcW w:w="691" w:type="dxa"/>
            <w:tcBorders>
              <w:top w:val="single" w:sz="4" w:space="0" w:color="auto"/>
              <w:bottom w:val="single" w:sz="4" w:space="0" w:color="auto"/>
            </w:tcBorders>
          </w:tcPr>
          <w:p w14:paraId="4E9BED5D"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n</w:t>
            </w:r>
          </w:p>
        </w:tc>
        <w:tc>
          <w:tcPr>
            <w:tcW w:w="1034" w:type="dxa"/>
            <w:tcBorders>
              <w:top w:val="single" w:sz="4" w:space="0" w:color="auto"/>
              <w:bottom w:val="single" w:sz="4" w:space="0" w:color="auto"/>
            </w:tcBorders>
          </w:tcPr>
          <w:p w14:paraId="4EEDF79A" w14:textId="77777777" w:rsidR="0071076B" w:rsidRPr="00DB5266" w:rsidRDefault="0071076B" w:rsidP="00DD03BF">
            <w:pPr>
              <w:jc w:val="center"/>
              <w:rPr>
                <w:rFonts w:ascii="Times New Roman" w:hAnsi="Times New Roman" w:cs="Times New Roman"/>
                <w:b/>
                <w:bCs/>
                <w:sz w:val="24"/>
                <w:szCs w:val="24"/>
              </w:rPr>
            </w:pPr>
            <w:r w:rsidRPr="00DB5266">
              <w:rPr>
                <w:rFonts w:ascii="Times New Roman" w:hAnsi="Times New Roman" w:cs="Times New Roman"/>
                <w:b/>
                <w:bCs/>
                <w:sz w:val="24"/>
                <w:szCs w:val="24"/>
              </w:rPr>
              <w:t>%</w:t>
            </w:r>
          </w:p>
        </w:tc>
        <w:tc>
          <w:tcPr>
            <w:tcW w:w="1610" w:type="dxa"/>
            <w:vMerge/>
            <w:tcBorders>
              <w:bottom w:val="single" w:sz="4" w:space="0" w:color="auto"/>
            </w:tcBorders>
          </w:tcPr>
          <w:p w14:paraId="1A40C197" w14:textId="77777777" w:rsidR="0071076B" w:rsidRPr="00DB5266" w:rsidRDefault="0071076B" w:rsidP="00DD03BF">
            <w:pPr>
              <w:jc w:val="center"/>
              <w:rPr>
                <w:rFonts w:ascii="Times New Roman" w:hAnsi="Times New Roman" w:cs="Times New Roman"/>
                <w:b/>
                <w:bCs/>
                <w:sz w:val="24"/>
                <w:szCs w:val="24"/>
              </w:rPr>
            </w:pPr>
          </w:p>
        </w:tc>
      </w:tr>
      <w:tr w:rsidR="00DB5266" w:rsidRPr="00DB5266" w14:paraId="72630BCE" w14:textId="77777777" w:rsidTr="00DD03BF">
        <w:trPr>
          <w:trHeight w:val="276"/>
        </w:trPr>
        <w:tc>
          <w:tcPr>
            <w:tcW w:w="3686" w:type="dxa"/>
            <w:tcBorders>
              <w:top w:val="single" w:sz="4" w:space="0" w:color="auto"/>
              <w:bottom w:val="nil"/>
            </w:tcBorders>
          </w:tcPr>
          <w:p w14:paraId="1F376181" w14:textId="4C6C6EBE" w:rsidR="0071076B" w:rsidRPr="00DB5266" w:rsidRDefault="0071076B" w:rsidP="00DB5266">
            <w:pPr>
              <w:ind w:left="-113" w:right="-108"/>
              <w:jc w:val="center"/>
              <w:rPr>
                <w:rFonts w:ascii="Times New Roman" w:hAnsi="Times New Roman" w:cs="Times New Roman"/>
                <w:sz w:val="24"/>
                <w:szCs w:val="24"/>
              </w:rPr>
            </w:pPr>
            <w:r w:rsidRPr="00DB5266">
              <w:rPr>
                <w:rFonts w:ascii="Times New Roman" w:hAnsi="Times New Roman" w:cs="Times New Roman"/>
                <w:sz w:val="24"/>
                <w:szCs w:val="24"/>
              </w:rPr>
              <w:t>Mild</w:t>
            </w:r>
          </w:p>
        </w:tc>
        <w:tc>
          <w:tcPr>
            <w:tcW w:w="693" w:type="dxa"/>
            <w:tcBorders>
              <w:top w:val="single" w:sz="4" w:space="0" w:color="auto"/>
              <w:bottom w:val="nil"/>
            </w:tcBorders>
          </w:tcPr>
          <w:p w14:paraId="2AA442A5"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2</w:t>
            </w:r>
          </w:p>
        </w:tc>
        <w:tc>
          <w:tcPr>
            <w:tcW w:w="700" w:type="dxa"/>
            <w:tcBorders>
              <w:top w:val="single" w:sz="4" w:space="0" w:color="auto"/>
              <w:bottom w:val="nil"/>
            </w:tcBorders>
          </w:tcPr>
          <w:p w14:paraId="7A9D70EE"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12.5</w:t>
            </w:r>
          </w:p>
        </w:tc>
        <w:tc>
          <w:tcPr>
            <w:tcW w:w="691" w:type="dxa"/>
            <w:tcBorders>
              <w:top w:val="single" w:sz="4" w:space="0" w:color="auto"/>
              <w:bottom w:val="nil"/>
            </w:tcBorders>
          </w:tcPr>
          <w:p w14:paraId="0502551F"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14</w:t>
            </w:r>
          </w:p>
        </w:tc>
        <w:tc>
          <w:tcPr>
            <w:tcW w:w="1034" w:type="dxa"/>
            <w:tcBorders>
              <w:top w:val="single" w:sz="4" w:space="0" w:color="auto"/>
              <w:bottom w:val="nil"/>
            </w:tcBorders>
          </w:tcPr>
          <w:p w14:paraId="45884713"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87.5</w:t>
            </w:r>
          </w:p>
        </w:tc>
        <w:tc>
          <w:tcPr>
            <w:tcW w:w="1610" w:type="dxa"/>
            <w:vMerge w:val="restart"/>
            <w:tcBorders>
              <w:top w:val="single" w:sz="4" w:space="0" w:color="auto"/>
            </w:tcBorders>
            <w:vAlign w:val="center"/>
          </w:tcPr>
          <w:p w14:paraId="181B8251"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0.565</w:t>
            </w:r>
          </w:p>
        </w:tc>
      </w:tr>
      <w:tr w:rsidR="00DB5266" w:rsidRPr="00DB5266" w14:paraId="616A7078" w14:textId="77777777" w:rsidTr="00DD03BF">
        <w:trPr>
          <w:trHeight w:val="276"/>
        </w:trPr>
        <w:tc>
          <w:tcPr>
            <w:tcW w:w="3686" w:type="dxa"/>
            <w:tcBorders>
              <w:top w:val="nil"/>
              <w:bottom w:val="nil"/>
            </w:tcBorders>
          </w:tcPr>
          <w:p w14:paraId="5CC8C862" w14:textId="77777777" w:rsidR="0071076B" w:rsidRPr="00DB5266" w:rsidRDefault="0071076B" w:rsidP="00DB5266">
            <w:pPr>
              <w:ind w:left="-113" w:right="-108"/>
              <w:jc w:val="center"/>
              <w:rPr>
                <w:rFonts w:ascii="Times New Roman" w:hAnsi="Times New Roman" w:cs="Times New Roman"/>
                <w:sz w:val="24"/>
                <w:szCs w:val="24"/>
              </w:rPr>
            </w:pPr>
            <w:r w:rsidRPr="00DB5266">
              <w:rPr>
                <w:rFonts w:ascii="Times New Roman" w:hAnsi="Times New Roman" w:cs="Times New Roman"/>
                <w:sz w:val="24"/>
                <w:szCs w:val="24"/>
              </w:rPr>
              <w:t>Moderate</w:t>
            </w:r>
          </w:p>
        </w:tc>
        <w:tc>
          <w:tcPr>
            <w:tcW w:w="693" w:type="dxa"/>
            <w:tcBorders>
              <w:top w:val="nil"/>
              <w:bottom w:val="nil"/>
            </w:tcBorders>
          </w:tcPr>
          <w:p w14:paraId="1DBC3CD5"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1</w:t>
            </w:r>
          </w:p>
        </w:tc>
        <w:tc>
          <w:tcPr>
            <w:tcW w:w="700" w:type="dxa"/>
            <w:tcBorders>
              <w:top w:val="nil"/>
              <w:bottom w:val="nil"/>
            </w:tcBorders>
          </w:tcPr>
          <w:p w14:paraId="59767A10"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16.7</w:t>
            </w:r>
          </w:p>
        </w:tc>
        <w:tc>
          <w:tcPr>
            <w:tcW w:w="691" w:type="dxa"/>
            <w:tcBorders>
              <w:top w:val="nil"/>
              <w:bottom w:val="nil"/>
            </w:tcBorders>
          </w:tcPr>
          <w:p w14:paraId="3135AAFA"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5</w:t>
            </w:r>
          </w:p>
        </w:tc>
        <w:tc>
          <w:tcPr>
            <w:tcW w:w="1034" w:type="dxa"/>
            <w:tcBorders>
              <w:top w:val="nil"/>
              <w:bottom w:val="nil"/>
            </w:tcBorders>
          </w:tcPr>
          <w:p w14:paraId="72ED19A0"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83.3</w:t>
            </w:r>
          </w:p>
        </w:tc>
        <w:tc>
          <w:tcPr>
            <w:tcW w:w="1610" w:type="dxa"/>
            <w:vMerge/>
            <w:tcBorders>
              <w:top w:val="single" w:sz="4" w:space="0" w:color="auto"/>
            </w:tcBorders>
            <w:vAlign w:val="center"/>
          </w:tcPr>
          <w:p w14:paraId="0CFD030B" w14:textId="77777777" w:rsidR="0071076B" w:rsidRPr="00DB5266" w:rsidRDefault="0071076B" w:rsidP="00DD03BF">
            <w:pPr>
              <w:jc w:val="center"/>
              <w:rPr>
                <w:rFonts w:ascii="Times New Roman" w:hAnsi="Times New Roman" w:cs="Times New Roman"/>
                <w:sz w:val="24"/>
                <w:szCs w:val="24"/>
              </w:rPr>
            </w:pPr>
          </w:p>
        </w:tc>
      </w:tr>
      <w:tr w:rsidR="00DB5266" w:rsidRPr="00DB5266" w14:paraId="4DE0BE55" w14:textId="77777777" w:rsidTr="00DD03BF">
        <w:trPr>
          <w:trHeight w:val="276"/>
        </w:trPr>
        <w:tc>
          <w:tcPr>
            <w:tcW w:w="3686" w:type="dxa"/>
            <w:tcBorders>
              <w:top w:val="nil"/>
              <w:bottom w:val="single" w:sz="4" w:space="0" w:color="auto"/>
            </w:tcBorders>
          </w:tcPr>
          <w:p w14:paraId="4B69A3A1" w14:textId="77777777" w:rsidR="0071076B" w:rsidRPr="00DB5266" w:rsidRDefault="0071076B" w:rsidP="00DB5266">
            <w:pPr>
              <w:ind w:left="-113" w:right="-108"/>
              <w:jc w:val="center"/>
              <w:rPr>
                <w:rFonts w:ascii="Times New Roman" w:hAnsi="Times New Roman" w:cs="Times New Roman"/>
                <w:sz w:val="24"/>
                <w:szCs w:val="24"/>
              </w:rPr>
            </w:pPr>
            <w:r w:rsidRPr="00DB5266">
              <w:rPr>
                <w:rFonts w:ascii="Times New Roman" w:hAnsi="Times New Roman" w:cs="Times New Roman"/>
                <w:sz w:val="24"/>
                <w:szCs w:val="24"/>
              </w:rPr>
              <w:t>Severe</w:t>
            </w:r>
          </w:p>
        </w:tc>
        <w:tc>
          <w:tcPr>
            <w:tcW w:w="693" w:type="dxa"/>
            <w:tcBorders>
              <w:top w:val="nil"/>
              <w:bottom w:val="single" w:sz="4" w:space="0" w:color="auto"/>
            </w:tcBorders>
          </w:tcPr>
          <w:p w14:paraId="2EB730E1"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0</w:t>
            </w:r>
          </w:p>
        </w:tc>
        <w:tc>
          <w:tcPr>
            <w:tcW w:w="700" w:type="dxa"/>
            <w:tcBorders>
              <w:top w:val="nil"/>
              <w:bottom w:val="single" w:sz="4" w:space="0" w:color="auto"/>
            </w:tcBorders>
          </w:tcPr>
          <w:p w14:paraId="44DAF5F7"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0</w:t>
            </w:r>
          </w:p>
        </w:tc>
        <w:tc>
          <w:tcPr>
            <w:tcW w:w="691" w:type="dxa"/>
            <w:tcBorders>
              <w:top w:val="nil"/>
              <w:bottom w:val="single" w:sz="4" w:space="0" w:color="auto"/>
            </w:tcBorders>
          </w:tcPr>
          <w:p w14:paraId="1F1AD07C"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10</w:t>
            </w:r>
          </w:p>
        </w:tc>
        <w:tc>
          <w:tcPr>
            <w:tcW w:w="1034" w:type="dxa"/>
            <w:tcBorders>
              <w:top w:val="nil"/>
              <w:bottom w:val="single" w:sz="4" w:space="0" w:color="auto"/>
            </w:tcBorders>
          </w:tcPr>
          <w:p w14:paraId="62BCF106"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100</w:t>
            </w:r>
          </w:p>
        </w:tc>
        <w:tc>
          <w:tcPr>
            <w:tcW w:w="1610" w:type="dxa"/>
            <w:vMerge/>
            <w:tcBorders>
              <w:bottom w:val="single" w:sz="4" w:space="0" w:color="auto"/>
            </w:tcBorders>
          </w:tcPr>
          <w:p w14:paraId="05775411" w14:textId="77777777" w:rsidR="0071076B" w:rsidRPr="00DB5266" w:rsidRDefault="0071076B" w:rsidP="00DD03BF">
            <w:pPr>
              <w:jc w:val="center"/>
              <w:rPr>
                <w:rFonts w:ascii="Times New Roman" w:hAnsi="Times New Roman" w:cs="Times New Roman"/>
                <w:sz w:val="24"/>
                <w:szCs w:val="24"/>
              </w:rPr>
            </w:pPr>
          </w:p>
        </w:tc>
      </w:tr>
      <w:tr w:rsidR="00DB5266" w:rsidRPr="00DB5266" w14:paraId="5AE7CD90" w14:textId="77777777" w:rsidTr="00DD03BF">
        <w:trPr>
          <w:trHeight w:val="276"/>
        </w:trPr>
        <w:tc>
          <w:tcPr>
            <w:tcW w:w="3686" w:type="dxa"/>
            <w:tcBorders>
              <w:top w:val="single" w:sz="4" w:space="0" w:color="auto"/>
              <w:bottom w:val="single" w:sz="4" w:space="0" w:color="auto"/>
            </w:tcBorders>
          </w:tcPr>
          <w:p w14:paraId="41F29886" w14:textId="77777777" w:rsidR="0071076B" w:rsidRPr="00DB5266" w:rsidRDefault="0071076B" w:rsidP="00DD03BF">
            <w:pPr>
              <w:ind w:left="-119"/>
              <w:jc w:val="center"/>
              <w:rPr>
                <w:rFonts w:ascii="Times New Roman" w:hAnsi="Times New Roman" w:cs="Times New Roman"/>
                <w:b/>
                <w:bCs/>
                <w:sz w:val="24"/>
                <w:szCs w:val="24"/>
              </w:rPr>
            </w:pPr>
            <w:r w:rsidRPr="00DB5266">
              <w:rPr>
                <w:rFonts w:ascii="Times New Roman" w:hAnsi="Times New Roman" w:cs="Times New Roman"/>
                <w:b/>
                <w:bCs/>
                <w:sz w:val="24"/>
                <w:szCs w:val="24"/>
              </w:rPr>
              <w:t>Total</w:t>
            </w:r>
          </w:p>
        </w:tc>
        <w:tc>
          <w:tcPr>
            <w:tcW w:w="693" w:type="dxa"/>
            <w:tcBorders>
              <w:top w:val="single" w:sz="4" w:space="0" w:color="auto"/>
              <w:bottom w:val="single" w:sz="4" w:space="0" w:color="auto"/>
            </w:tcBorders>
          </w:tcPr>
          <w:p w14:paraId="12D217C3"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3</w:t>
            </w:r>
          </w:p>
        </w:tc>
        <w:tc>
          <w:tcPr>
            <w:tcW w:w="700" w:type="dxa"/>
            <w:tcBorders>
              <w:top w:val="single" w:sz="4" w:space="0" w:color="auto"/>
              <w:bottom w:val="single" w:sz="4" w:space="0" w:color="auto"/>
            </w:tcBorders>
          </w:tcPr>
          <w:p w14:paraId="20E64778" w14:textId="77777777" w:rsidR="0071076B" w:rsidRPr="00DB5266" w:rsidRDefault="0071076B" w:rsidP="00DD03BF">
            <w:pPr>
              <w:jc w:val="center"/>
              <w:rPr>
                <w:rFonts w:ascii="Times New Roman" w:hAnsi="Times New Roman" w:cs="Times New Roman"/>
                <w:sz w:val="24"/>
                <w:szCs w:val="24"/>
              </w:rPr>
            </w:pPr>
          </w:p>
        </w:tc>
        <w:tc>
          <w:tcPr>
            <w:tcW w:w="691" w:type="dxa"/>
            <w:tcBorders>
              <w:top w:val="single" w:sz="4" w:space="0" w:color="auto"/>
              <w:bottom w:val="single" w:sz="4" w:space="0" w:color="auto"/>
            </w:tcBorders>
          </w:tcPr>
          <w:p w14:paraId="3D507FD7" w14:textId="77777777" w:rsidR="0071076B" w:rsidRPr="00DB5266" w:rsidRDefault="0071076B" w:rsidP="00DD03BF">
            <w:pPr>
              <w:jc w:val="center"/>
              <w:rPr>
                <w:rFonts w:ascii="Times New Roman" w:hAnsi="Times New Roman" w:cs="Times New Roman"/>
                <w:sz w:val="24"/>
                <w:szCs w:val="24"/>
              </w:rPr>
            </w:pPr>
            <w:r w:rsidRPr="00DB5266">
              <w:rPr>
                <w:rFonts w:ascii="Times New Roman" w:hAnsi="Times New Roman" w:cs="Times New Roman"/>
                <w:sz w:val="24"/>
                <w:szCs w:val="24"/>
              </w:rPr>
              <w:t>29</w:t>
            </w:r>
          </w:p>
        </w:tc>
        <w:tc>
          <w:tcPr>
            <w:tcW w:w="1034" w:type="dxa"/>
            <w:tcBorders>
              <w:top w:val="single" w:sz="4" w:space="0" w:color="auto"/>
              <w:bottom w:val="single" w:sz="4" w:space="0" w:color="auto"/>
            </w:tcBorders>
          </w:tcPr>
          <w:p w14:paraId="54452C40" w14:textId="77777777" w:rsidR="0071076B" w:rsidRPr="00DB5266" w:rsidRDefault="0071076B" w:rsidP="00DD03BF">
            <w:pPr>
              <w:jc w:val="center"/>
              <w:rPr>
                <w:rFonts w:ascii="Times New Roman" w:hAnsi="Times New Roman" w:cs="Times New Roman"/>
                <w:sz w:val="24"/>
                <w:szCs w:val="24"/>
              </w:rPr>
            </w:pPr>
          </w:p>
        </w:tc>
        <w:tc>
          <w:tcPr>
            <w:tcW w:w="1610" w:type="dxa"/>
            <w:tcBorders>
              <w:top w:val="single" w:sz="4" w:space="0" w:color="auto"/>
              <w:bottom w:val="single" w:sz="4" w:space="0" w:color="auto"/>
            </w:tcBorders>
          </w:tcPr>
          <w:p w14:paraId="7CBF8896" w14:textId="77777777" w:rsidR="0071076B" w:rsidRPr="00DB5266" w:rsidRDefault="0071076B" w:rsidP="00DD03BF">
            <w:pPr>
              <w:jc w:val="center"/>
              <w:rPr>
                <w:rFonts w:ascii="Times New Roman" w:hAnsi="Times New Roman" w:cs="Times New Roman"/>
                <w:sz w:val="24"/>
                <w:szCs w:val="24"/>
              </w:rPr>
            </w:pPr>
          </w:p>
        </w:tc>
      </w:tr>
    </w:tbl>
    <w:p w14:paraId="09C5FCE2"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r w:rsidRPr="00DB5266">
        <w:rPr>
          <w:rFonts w:ascii="Times New Roman" w:hAnsi="Times New Roman" w:cs="Times New Roman"/>
          <w:b/>
          <w:bCs/>
        </w:rPr>
        <w:t>*Chi Square test</w:t>
      </w:r>
    </w:p>
    <w:p w14:paraId="42BBC9CA"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6042B342" w14:textId="77777777" w:rsidR="008713DE" w:rsidRDefault="008713DE" w:rsidP="0071076B">
      <w:pPr>
        <w:autoSpaceDE w:val="0"/>
        <w:autoSpaceDN w:val="0"/>
        <w:bidi w:val="0"/>
        <w:adjustRightInd w:val="0"/>
        <w:spacing w:after="0" w:line="240" w:lineRule="auto"/>
        <w:jc w:val="both"/>
        <w:rPr>
          <w:rFonts w:asciiTheme="majorHAnsi" w:hAnsiTheme="majorHAnsi" w:cs="Calibri"/>
          <w:b/>
          <w:bCs/>
          <w:sz w:val="32"/>
          <w:szCs w:val="32"/>
        </w:rPr>
      </w:pPr>
    </w:p>
    <w:p w14:paraId="27BC1D3C" w14:textId="5C91CBC2" w:rsidR="0071076B" w:rsidRPr="008713DE" w:rsidRDefault="0071076B" w:rsidP="008713DE">
      <w:pPr>
        <w:autoSpaceDE w:val="0"/>
        <w:autoSpaceDN w:val="0"/>
        <w:bidi w:val="0"/>
        <w:adjustRightInd w:val="0"/>
        <w:spacing w:after="0" w:line="240" w:lineRule="auto"/>
        <w:jc w:val="both"/>
        <w:rPr>
          <w:rFonts w:asciiTheme="majorHAnsi" w:hAnsiTheme="majorHAnsi" w:cs="Calibri"/>
          <w:b/>
          <w:bCs/>
          <w:sz w:val="32"/>
          <w:szCs w:val="32"/>
        </w:rPr>
      </w:pPr>
      <w:r w:rsidRPr="00DB5266">
        <w:rPr>
          <w:rFonts w:asciiTheme="majorHAnsi" w:hAnsiTheme="majorHAnsi" w:cs="Calibri"/>
          <w:b/>
          <w:bCs/>
          <w:sz w:val="32"/>
          <w:szCs w:val="32"/>
        </w:rPr>
        <w:t>Figure</w:t>
      </w:r>
    </w:p>
    <w:p w14:paraId="76BA5757"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65B5AEEC"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r w:rsidRPr="00DB5266">
        <w:rPr>
          <w:rFonts w:asciiTheme="majorHAnsi" w:hAnsiTheme="majorHAnsi"/>
          <w:noProof/>
        </w:rPr>
        <w:drawing>
          <wp:anchor distT="0" distB="0" distL="114300" distR="114300" simplePos="0" relativeHeight="251659264" behindDoc="0" locked="0" layoutInCell="1" allowOverlap="1" wp14:anchorId="6D980E20" wp14:editId="7D62C8CC">
            <wp:simplePos x="0" y="0"/>
            <wp:positionH relativeFrom="column">
              <wp:posOffset>-29210</wp:posOffset>
            </wp:positionH>
            <wp:positionV relativeFrom="paragraph">
              <wp:posOffset>-138430</wp:posOffset>
            </wp:positionV>
            <wp:extent cx="2745100" cy="1797050"/>
            <wp:effectExtent l="0" t="0" r="0" b="0"/>
            <wp:wrapNone/>
            <wp:docPr id="186572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510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266">
        <w:rPr>
          <w:rFonts w:asciiTheme="majorHAnsi" w:hAnsiTheme="majorHAnsi"/>
          <w:noProof/>
        </w:rPr>
        <w:drawing>
          <wp:anchor distT="0" distB="0" distL="114300" distR="114300" simplePos="0" relativeHeight="251660288" behindDoc="0" locked="0" layoutInCell="1" allowOverlap="1" wp14:anchorId="51BE3EF5" wp14:editId="0A8218CB">
            <wp:simplePos x="0" y="0"/>
            <wp:positionH relativeFrom="column">
              <wp:posOffset>2795877</wp:posOffset>
            </wp:positionH>
            <wp:positionV relativeFrom="paragraph">
              <wp:posOffset>-138430</wp:posOffset>
            </wp:positionV>
            <wp:extent cx="2738362" cy="1797050"/>
            <wp:effectExtent l="0" t="0" r="5080" b="0"/>
            <wp:wrapNone/>
            <wp:docPr id="94295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1656" cy="1805774"/>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266">
        <w:rPr>
          <w:rFonts w:asciiTheme="majorHAnsi" w:hAnsiTheme="majorHAnsi"/>
          <w:noProof/>
        </w:rPr>
        <w:drawing>
          <wp:anchor distT="0" distB="0" distL="114300" distR="114300" simplePos="0" relativeHeight="251661312" behindDoc="0" locked="0" layoutInCell="1" allowOverlap="1" wp14:anchorId="3BFDEAC7" wp14:editId="1724B5A1">
            <wp:simplePos x="0" y="0"/>
            <wp:positionH relativeFrom="column">
              <wp:posOffset>-29210</wp:posOffset>
            </wp:positionH>
            <wp:positionV relativeFrom="paragraph">
              <wp:posOffset>1792728</wp:posOffset>
            </wp:positionV>
            <wp:extent cx="2730950" cy="1797050"/>
            <wp:effectExtent l="0" t="0" r="0" b="0"/>
            <wp:wrapNone/>
            <wp:docPr id="760972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95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266">
        <w:rPr>
          <w:rFonts w:asciiTheme="majorHAnsi" w:hAnsiTheme="majorHAnsi"/>
          <w:noProof/>
        </w:rPr>
        <w:drawing>
          <wp:anchor distT="0" distB="0" distL="114300" distR="114300" simplePos="0" relativeHeight="251662336" behindDoc="0" locked="0" layoutInCell="1" allowOverlap="1" wp14:anchorId="76589316" wp14:editId="3F0FBCA3">
            <wp:simplePos x="0" y="0"/>
            <wp:positionH relativeFrom="column">
              <wp:posOffset>2795877</wp:posOffset>
            </wp:positionH>
            <wp:positionV relativeFrom="paragraph">
              <wp:posOffset>1792728</wp:posOffset>
            </wp:positionV>
            <wp:extent cx="2774950" cy="1816591"/>
            <wp:effectExtent l="0" t="0" r="6350" b="0"/>
            <wp:wrapNone/>
            <wp:docPr id="156316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5698" cy="18301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47991"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74B85D61"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5FE34ACC"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2DB957FD"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3A71639F"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p>
    <w:p w14:paraId="2B079504" w14:textId="77777777" w:rsidR="0071076B" w:rsidRPr="00DB5266" w:rsidRDefault="0071076B" w:rsidP="0071076B">
      <w:pPr>
        <w:pStyle w:val="NormalWeb"/>
        <w:spacing w:line="480" w:lineRule="auto"/>
        <w:jc w:val="both"/>
        <w:rPr>
          <w:rFonts w:asciiTheme="majorHAnsi" w:hAnsiTheme="majorHAnsi"/>
          <w:b/>
          <w:bCs/>
        </w:rPr>
      </w:pPr>
      <w:r w:rsidRPr="00DB5266">
        <w:rPr>
          <w:rFonts w:asciiTheme="majorHAnsi" w:hAnsiTheme="majorHAnsi"/>
          <w:noProof/>
        </w:rPr>
        <mc:AlternateContent>
          <mc:Choice Requires="wps">
            <w:drawing>
              <wp:anchor distT="45720" distB="45720" distL="114300" distR="114300" simplePos="0" relativeHeight="251664384" behindDoc="0" locked="0" layoutInCell="1" allowOverlap="1" wp14:anchorId="59C4869D" wp14:editId="636D2739">
                <wp:simplePos x="0" y="0"/>
                <wp:positionH relativeFrom="column">
                  <wp:posOffset>2794455</wp:posOffset>
                </wp:positionH>
                <wp:positionV relativeFrom="paragraph">
                  <wp:posOffset>289607</wp:posOffset>
                </wp:positionV>
                <wp:extent cx="336550" cy="387350"/>
                <wp:effectExtent l="0" t="0" r="0" b="0"/>
                <wp:wrapSquare wrapText="bothSides"/>
                <wp:docPr id="417351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387350"/>
                        </a:xfrm>
                        <a:prstGeom prst="rect">
                          <a:avLst/>
                        </a:prstGeom>
                        <a:noFill/>
                        <a:ln w="9525">
                          <a:noFill/>
                          <a:miter lim="800000"/>
                          <a:headEnd/>
                          <a:tailEnd/>
                        </a:ln>
                      </wps:spPr>
                      <wps:txbx>
                        <w:txbxContent>
                          <w:p w14:paraId="76C8DA76" w14:textId="77777777" w:rsidR="0071076B" w:rsidRPr="00B70F58" w:rsidRDefault="0071076B" w:rsidP="0071076B">
                            <w:pPr>
                              <w:jc w:val="center"/>
                              <w:rPr>
                                <w:rFonts w:ascii="Times New Roman" w:hAnsi="Times New Roman" w:cs="Times New Roman"/>
                                <w:b/>
                                <w:bCs/>
                              </w:rPr>
                            </w:pPr>
                            <w:r>
                              <w:rPr>
                                <w:rFonts w:ascii="Times New Roman" w:hAnsi="Times New Roman" w:cs="Times New Roman"/>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C4869D" id="_x0000_t202" coordsize="21600,21600" o:spt="202" path="m,l,21600r21600,l21600,xe">
                <v:stroke joinstyle="miter"/>
                <v:path gradientshapeok="t" o:connecttype="rect"/>
              </v:shapetype>
              <v:shape id="Text Box 2" o:spid="_x0000_s1026" type="#_x0000_t202" style="position:absolute;left:0;text-align:left;margin-left:220.05pt;margin-top:22.8pt;width:26.5pt;height:3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" filled="f" stroked="f">
                <v:textbox>
                  <w:txbxContent>
                    <w:p w14:paraId="76C8DA76" w14:textId="77777777" w:rsidR="0071076B" w:rsidRPr="00B70F58" w:rsidRDefault="0071076B" w:rsidP="0071076B">
                      <w:pPr>
                        <w:jc w:val="center"/>
                        <w:rPr>
                          <w:rFonts w:ascii="Times New Roman" w:hAnsi="Times New Roman" w:cs="Times New Roman"/>
                          <w:b/>
                          <w:bCs/>
                        </w:rPr>
                      </w:pPr>
                      <w:r>
                        <w:rPr>
                          <w:rFonts w:ascii="Times New Roman" w:hAnsi="Times New Roman" w:cs="Times New Roman"/>
                          <w:b/>
                          <w:bCs/>
                        </w:rPr>
                        <w:t>B</w:t>
                      </w:r>
                    </w:p>
                  </w:txbxContent>
                </v:textbox>
                <w10:wrap type="square"/>
              </v:shape>
            </w:pict>
          </mc:Fallback>
        </mc:AlternateContent>
      </w:r>
      <w:r w:rsidRPr="00DB5266">
        <w:rPr>
          <w:rFonts w:asciiTheme="majorHAnsi" w:hAnsiTheme="majorHAnsi"/>
          <w:noProof/>
        </w:rPr>
        <mc:AlternateContent>
          <mc:Choice Requires="wps">
            <w:drawing>
              <wp:anchor distT="45720" distB="45720" distL="114300" distR="114300" simplePos="0" relativeHeight="251663360" behindDoc="0" locked="0" layoutInCell="1" allowOverlap="1" wp14:anchorId="6D86AF03" wp14:editId="62F50936">
                <wp:simplePos x="0" y="0"/>
                <wp:positionH relativeFrom="column">
                  <wp:posOffset>21590</wp:posOffset>
                </wp:positionH>
                <wp:positionV relativeFrom="paragraph">
                  <wp:posOffset>395605</wp:posOffset>
                </wp:positionV>
                <wp:extent cx="304800" cy="349250"/>
                <wp:effectExtent l="0" t="0" r="0" b="0"/>
                <wp:wrapSquare wrapText="bothSides"/>
                <wp:docPr id="177120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1271C666" w14:textId="77777777" w:rsidR="0071076B" w:rsidRPr="00B70F58" w:rsidRDefault="0071076B" w:rsidP="0071076B">
                            <w:pPr>
                              <w:jc w:val="center"/>
                              <w:rPr>
                                <w:rFonts w:ascii="Times New Roman" w:hAnsi="Times New Roman" w:cs="Times New Roman"/>
                                <w:b/>
                                <w:bCs/>
                              </w:rPr>
                            </w:pPr>
                            <w:r w:rsidRPr="00B70F58">
                              <w:rPr>
                                <w:rFonts w:ascii="Times New Roman" w:hAnsi="Times New Roman" w:cs="Times New Roman"/>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6AF03" id="_x0000_s1027" type="#_x0000_t202" style="position:absolute;left:0;text-align:left;margin-left:1.7pt;margin-top:31.15pt;width:24pt;height: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" filled="f" stroked="f">
                <v:textbox>
                  <w:txbxContent>
                    <w:p w14:paraId="1271C666" w14:textId="77777777" w:rsidR="0071076B" w:rsidRPr="00B70F58" w:rsidRDefault="0071076B" w:rsidP="0071076B">
                      <w:pPr>
                        <w:jc w:val="center"/>
                        <w:rPr>
                          <w:rFonts w:ascii="Times New Roman" w:hAnsi="Times New Roman" w:cs="Times New Roman"/>
                          <w:b/>
                          <w:bCs/>
                        </w:rPr>
                      </w:pPr>
                      <w:r w:rsidRPr="00B70F58">
                        <w:rPr>
                          <w:rFonts w:ascii="Times New Roman" w:hAnsi="Times New Roman" w:cs="Times New Roman"/>
                          <w:b/>
                          <w:bCs/>
                        </w:rPr>
                        <w:t>A</w:t>
                      </w:r>
                    </w:p>
                  </w:txbxContent>
                </v:textbox>
                <w10:wrap type="square"/>
              </v:shape>
            </w:pict>
          </mc:Fallback>
        </mc:AlternateContent>
      </w:r>
      <w:r w:rsidRPr="00DB5266">
        <w:rPr>
          <w:rFonts w:asciiTheme="majorHAnsi" w:hAnsiTheme="majorHAnsi"/>
          <w:noProof/>
        </w:rPr>
        <mc:AlternateContent>
          <mc:Choice Requires="wps">
            <w:drawing>
              <wp:anchor distT="45720" distB="45720" distL="114300" distR="114300" simplePos="0" relativeHeight="251665408" behindDoc="0" locked="0" layoutInCell="1" allowOverlap="1" wp14:anchorId="6D6F5806" wp14:editId="6390BE3C">
                <wp:simplePos x="0" y="0"/>
                <wp:positionH relativeFrom="column">
                  <wp:posOffset>27940</wp:posOffset>
                </wp:positionH>
                <wp:positionV relativeFrom="paragraph">
                  <wp:posOffset>2268855</wp:posOffset>
                </wp:positionV>
                <wp:extent cx="304800" cy="349250"/>
                <wp:effectExtent l="0" t="0" r="0" b="0"/>
                <wp:wrapSquare wrapText="bothSides"/>
                <wp:docPr id="1201661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31D4EF54" w14:textId="77777777" w:rsidR="0071076B" w:rsidRPr="00B70F58" w:rsidRDefault="0071076B" w:rsidP="0071076B">
                            <w:pPr>
                              <w:jc w:val="center"/>
                              <w:rPr>
                                <w:rFonts w:ascii="Times New Roman" w:hAnsi="Times New Roman" w:cs="Times New Roman"/>
                                <w:b/>
                                <w:bCs/>
                              </w:rPr>
                            </w:pPr>
                            <w:r>
                              <w:rPr>
                                <w:rFonts w:ascii="Times New Roman" w:hAnsi="Times New Roman" w:cs="Times New Roman"/>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F5806" id="_x0000_s1028" type="#_x0000_t202" style="position:absolute;left:0;text-align:left;margin-left:2.2pt;margin-top:178.65pt;width:24pt;height:2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" filled="f" stroked="f">
                <v:textbox>
                  <w:txbxContent>
                    <w:p w14:paraId="31D4EF54" w14:textId="77777777" w:rsidR="0071076B" w:rsidRPr="00B70F58" w:rsidRDefault="0071076B" w:rsidP="0071076B">
                      <w:pPr>
                        <w:jc w:val="center"/>
                        <w:rPr>
                          <w:rFonts w:ascii="Times New Roman" w:hAnsi="Times New Roman" w:cs="Times New Roman"/>
                          <w:b/>
                          <w:bCs/>
                        </w:rPr>
                      </w:pPr>
                      <w:r>
                        <w:rPr>
                          <w:rFonts w:ascii="Times New Roman" w:hAnsi="Times New Roman" w:cs="Times New Roman"/>
                          <w:b/>
                          <w:bCs/>
                        </w:rPr>
                        <w:t>C</w:t>
                      </w:r>
                    </w:p>
                  </w:txbxContent>
                </v:textbox>
                <w10:wrap type="square"/>
              </v:shape>
            </w:pict>
          </mc:Fallback>
        </mc:AlternateContent>
      </w:r>
    </w:p>
    <w:p w14:paraId="5CEC9484" w14:textId="77777777" w:rsidR="0071076B" w:rsidRPr="00DB5266" w:rsidRDefault="0071076B" w:rsidP="0071076B">
      <w:pPr>
        <w:pStyle w:val="NormalWeb"/>
        <w:spacing w:line="480" w:lineRule="auto"/>
        <w:jc w:val="both"/>
        <w:rPr>
          <w:rFonts w:asciiTheme="majorHAnsi" w:hAnsiTheme="majorHAnsi"/>
          <w:b/>
          <w:bCs/>
        </w:rPr>
      </w:pPr>
    </w:p>
    <w:p w14:paraId="7B0A7287" w14:textId="77777777" w:rsidR="0071076B" w:rsidRPr="00DB5266" w:rsidRDefault="0071076B" w:rsidP="0071076B">
      <w:pPr>
        <w:spacing w:before="100" w:beforeAutospacing="1" w:after="100" w:afterAutospacing="1" w:line="480" w:lineRule="auto"/>
        <w:jc w:val="center"/>
        <w:outlineLvl w:val="2"/>
        <w:rPr>
          <w:rFonts w:asciiTheme="majorHAnsi" w:eastAsia="Times New Roman" w:hAnsiTheme="majorHAnsi" w:cs="Times New Roman"/>
          <w:b/>
          <w:bCs/>
        </w:rPr>
      </w:pPr>
    </w:p>
    <w:p w14:paraId="5AD8986E" w14:textId="77777777" w:rsidR="0071076B" w:rsidRPr="00DB5266" w:rsidRDefault="0071076B" w:rsidP="0071076B">
      <w:pPr>
        <w:spacing w:before="100" w:beforeAutospacing="1" w:after="100" w:afterAutospacing="1" w:line="480" w:lineRule="auto"/>
        <w:jc w:val="both"/>
        <w:outlineLvl w:val="2"/>
        <w:rPr>
          <w:rFonts w:asciiTheme="majorHAnsi" w:eastAsia="Times New Roman" w:hAnsiTheme="majorHAnsi" w:cs="Times New Roman"/>
          <w:b/>
          <w:bCs/>
        </w:rPr>
      </w:pPr>
    </w:p>
    <w:p w14:paraId="77E61308" w14:textId="7F33CA51" w:rsidR="0071076B" w:rsidRPr="00DB5266" w:rsidRDefault="0071076B" w:rsidP="007571CC">
      <w:pPr>
        <w:spacing w:before="100" w:beforeAutospacing="1" w:after="100" w:afterAutospacing="1" w:line="480" w:lineRule="auto"/>
        <w:jc w:val="both"/>
        <w:outlineLvl w:val="2"/>
        <w:rPr>
          <w:rFonts w:asciiTheme="majorHAnsi" w:eastAsia="Times New Roman" w:hAnsiTheme="majorHAnsi" w:cs="Times New Roman"/>
          <w:b/>
          <w:bCs/>
        </w:rPr>
      </w:pPr>
      <w:r w:rsidRPr="00DB5266">
        <w:rPr>
          <w:rFonts w:asciiTheme="majorHAnsi" w:hAnsiTheme="majorHAnsi"/>
          <w:noProof/>
        </w:rPr>
        <mc:AlternateContent>
          <mc:Choice Requires="wps">
            <w:drawing>
              <wp:anchor distT="45720" distB="45720" distL="114300" distR="114300" simplePos="0" relativeHeight="251666432" behindDoc="0" locked="0" layoutInCell="1" allowOverlap="1" wp14:anchorId="42DEFEE7" wp14:editId="7FE5CE76">
                <wp:simplePos x="0" y="0"/>
                <wp:positionH relativeFrom="column">
                  <wp:posOffset>2826205</wp:posOffset>
                </wp:positionH>
                <wp:positionV relativeFrom="paragraph">
                  <wp:posOffset>8302</wp:posOffset>
                </wp:positionV>
                <wp:extent cx="304800" cy="349250"/>
                <wp:effectExtent l="0" t="0" r="0" b="0"/>
                <wp:wrapSquare wrapText="bothSides"/>
                <wp:docPr id="901347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50EE2CCD" w14:textId="77777777" w:rsidR="0071076B" w:rsidRPr="00B70F58" w:rsidRDefault="0071076B" w:rsidP="0071076B">
                            <w:pPr>
                              <w:jc w:val="center"/>
                              <w:rPr>
                                <w:rFonts w:ascii="Times New Roman" w:hAnsi="Times New Roman" w:cs="Times New Roman"/>
                                <w:b/>
                                <w:bCs/>
                              </w:rPr>
                            </w:pPr>
                            <w:r>
                              <w:rPr>
                                <w:rFonts w:ascii="Times New Roman" w:hAnsi="Times New Roman" w:cs="Times New Roman"/>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EFEE7" id="_x0000_s1029" type="#_x0000_t202" style="position:absolute;left:0;text-align:left;margin-left:222.55pt;margin-top:.65pt;width:24pt;height:2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" filled="f" stroked="f">
                <v:textbox>
                  <w:txbxContent>
                    <w:p w14:paraId="50EE2CCD" w14:textId="77777777" w:rsidR="0071076B" w:rsidRPr="00B70F58" w:rsidRDefault="0071076B" w:rsidP="0071076B">
                      <w:pPr>
                        <w:jc w:val="center"/>
                        <w:rPr>
                          <w:rFonts w:ascii="Times New Roman" w:hAnsi="Times New Roman" w:cs="Times New Roman"/>
                          <w:b/>
                          <w:bCs/>
                        </w:rPr>
                      </w:pPr>
                      <w:r>
                        <w:rPr>
                          <w:rFonts w:ascii="Times New Roman" w:hAnsi="Times New Roman" w:cs="Times New Roman"/>
                          <w:b/>
                          <w:bCs/>
                        </w:rPr>
                        <w:t>D</w:t>
                      </w:r>
                    </w:p>
                  </w:txbxContent>
                </v:textbox>
                <w10:wrap type="square"/>
              </v:shape>
            </w:pict>
          </mc:Fallback>
        </mc:AlternateContent>
      </w:r>
    </w:p>
    <w:p w14:paraId="50751B28" w14:textId="77777777" w:rsidR="0071076B" w:rsidRPr="00DB5266" w:rsidRDefault="0071076B" w:rsidP="00DB5266">
      <w:pPr>
        <w:autoSpaceDE w:val="0"/>
        <w:autoSpaceDN w:val="0"/>
        <w:bidi w:val="0"/>
        <w:adjustRightInd w:val="0"/>
        <w:spacing w:after="0" w:line="240" w:lineRule="auto"/>
        <w:jc w:val="center"/>
        <w:rPr>
          <w:rFonts w:asciiTheme="majorHAnsi" w:hAnsiTheme="majorHAnsi" w:cs="Calibri"/>
        </w:rPr>
      </w:pPr>
      <w:r w:rsidRPr="00DB5266">
        <w:rPr>
          <w:rFonts w:asciiTheme="majorHAnsi" w:hAnsiTheme="majorHAnsi" w:cs="Calibri"/>
        </w:rPr>
        <w:t>Figure 1. PD-L1 immunohistochemical staining.</w:t>
      </w:r>
    </w:p>
    <w:p w14:paraId="379FB41C"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r w:rsidRPr="00DB5266">
        <w:rPr>
          <w:rFonts w:asciiTheme="majorHAnsi" w:hAnsiTheme="majorHAnsi" w:cs="Calibri"/>
        </w:rPr>
        <w:t>(A) Tonsil tissue as positive control.</w:t>
      </w:r>
    </w:p>
    <w:p w14:paraId="04CD6334"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r w:rsidRPr="00DB5266">
        <w:rPr>
          <w:rFonts w:asciiTheme="majorHAnsi" w:hAnsiTheme="majorHAnsi" w:cs="Calibri"/>
        </w:rPr>
        <w:t>(B) Negative PD-L1 immunohistochemical expression (×100).</w:t>
      </w:r>
    </w:p>
    <w:p w14:paraId="56636AE0" w14:textId="77777777" w:rsidR="0071076B" w:rsidRPr="00DB5266" w:rsidRDefault="0071076B" w:rsidP="0071076B">
      <w:pPr>
        <w:autoSpaceDE w:val="0"/>
        <w:autoSpaceDN w:val="0"/>
        <w:bidi w:val="0"/>
        <w:adjustRightInd w:val="0"/>
        <w:spacing w:after="0" w:line="240" w:lineRule="auto"/>
        <w:jc w:val="both"/>
        <w:rPr>
          <w:rFonts w:asciiTheme="majorHAnsi" w:hAnsiTheme="majorHAnsi" w:cs="Calibri"/>
        </w:rPr>
      </w:pPr>
      <w:r w:rsidRPr="00DB5266">
        <w:rPr>
          <w:rFonts w:asciiTheme="majorHAnsi" w:hAnsiTheme="majorHAnsi" w:cs="Calibri"/>
        </w:rPr>
        <w:t>(C) Positive PD-L1 immunohistochemical expression (×100).</w:t>
      </w:r>
    </w:p>
    <w:p w14:paraId="303230FD" w14:textId="79E3C663" w:rsidR="0071076B" w:rsidRPr="00DB5266" w:rsidRDefault="0071076B" w:rsidP="0071076B">
      <w:pPr>
        <w:autoSpaceDE w:val="0"/>
        <w:autoSpaceDN w:val="0"/>
        <w:bidi w:val="0"/>
        <w:adjustRightInd w:val="0"/>
        <w:spacing w:after="0" w:line="240" w:lineRule="auto"/>
        <w:jc w:val="both"/>
        <w:rPr>
          <w:rFonts w:asciiTheme="majorHAnsi" w:hAnsiTheme="majorHAnsi" w:cs="Calibri"/>
        </w:rPr>
      </w:pPr>
      <w:r w:rsidRPr="00DB5266">
        <w:rPr>
          <w:rFonts w:asciiTheme="majorHAnsi" w:hAnsiTheme="majorHAnsi" w:cs="Calibri"/>
        </w:rPr>
        <w:t>(D) Positive PD-L1 immunohistochemical expression showing membranous staining (×400).</w:t>
      </w:r>
    </w:p>
    <w:sectPr w:rsidR="0071076B" w:rsidRPr="00DB52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1C2"/>
    <w:multiLevelType w:val="hybridMultilevel"/>
    <w:tmpl w:val="0A06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C5C92"/>
    <w:multiLevelType w:val="hybridMultilevel"/>
    <w:tmpl w:val="3446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34B9F"/>
    <w:multiLevelType w:val="hybridMultilevel"/>
    <w:tmpl w:val="BC3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D02C9"/>
    <w:multiLevelType w:val="hybridMultilevel"/>
    <w:tmpl w:val="1F7C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A7FBF"/>
    <w:multiLevelType w:val="hybridMultilevel"/>
    <w:tmpl w:val="1DE05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001AE9"/>
    <w:multiLevelType w:val="hybridMultilevel"/>
    <w:tmpl w:val="AECC527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7B1E49"/>
    <w:multiLevelType w:val="hybridMultilevel"/>
    <w:tmpl w:val="10C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4464F8"/>
    <w:multiLevelType w:val="hybridMultilevel"/>
    <w:tmpl w:val="BB1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05884"/>
    <w:multiLevelType w:val="hybridMultilevel"/>
    <w:tmpl w:val="1322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173117">
    <w:abstractNumId w:val="5"/>
  </w:num>
  <w:num w:numId="2" w16cid:durableId="864489168">
    <w:abstractNumId w:val="7"/>
  </w:num>
  <w:num w:numId="3" w16cid:durableId="1252856729">
    <w:abstractNumId w:val="3"/>
  </w:num>
  <w:num w:numId="4" w16cid:durableId="1624120082">
    <w:abstractNumId w:val="0"/>
  </w:num>
  <w:num w:numId="5" w16cid:durableId="611864256">
    <w:abstractNumId w:val="8"/>
  </w:num>
  <w:num w:numId="6" w16cid:durableId="1983609335">
    <w:abstractNumId w:val="2"/>
  </w:num>
  <w:num w:numId="7" w16cid:durableId="170536465">
    <w:abstractNumId w:val="6"/>
  </w:num>
  <w:num w:numId="8" w16cid:durableId="512957706">
    <w:abstractNumId w:val="1"/>
  </w:num>
  <w:num w:numId="9" w16cid:durableId="1154447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708"/>
    <w:rsid w:val="00000F1E"/>
    <w:rsid w:val="00127B2E"/>
    <w:rsid w:val="001E3759"/>
    <w:rsid w:val="00265C32"/>
    <w:rsid w:val="00327708"/>
    <w:rsid w:val="00471F8C"/>
    <w:rsid w:val="0049257E"/>
    <w:rsid w:val="004C5FDF"/>
    <w:rsid w:val="004D7AFA"/>
    <w:rsid w:val="0050020F"/>
    <w:rsid w:val="005D3F1E"/>
    <w:rsid w:val="0071076B"/>
    <w:rsid w:val="007571CC"/>
    <w:rsid w:val="007C7290"/>
    <w:rsid w:val="008713DE"/>
    <w:rsid w:val="00921091"/>
    <w:rsid w:val="0093094C"/>
    <w:rsid w:val="00B515E0"/>
    <w:rsid w:val="00DB5266"/>
    <w:rsid w:val="00ED6440"/>
    <w:rsid w:val="00F150B2"/>
    <w:rsid w:val="00FB0F97"/>
    <w:rsid w:val="00FF4B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DAD3"/>
  <w15:chartTrackingRefBased/>
  <w15:docId w15:val="{6F561C31-8520-4639-AE70-915A4BFE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08"/>
    <w:pPr>
      <w:bidi/>
      <w:spacing w:after="200" w:line="276" w:lineRule="auto"/>
    </w:pPr>
    <w:rPr>
      <w:kern w:val="0"/>
      <w:sz w:val="22"/>
      <w:szCs w:val="22"/>
      <w:lang w:val="en-US" w:bidi="fa-IR"/>
      <w14:ligatures w14:val="none"/>
    </w:rPr>
  </w:style>
  <w:style w:type="paragraph" w:styleId="Heading1">
    <w:name w:val="heading 1"/>
    <w:basedOn w:val="Normal"/>
    <w:next w:val="Normal"/>
    <w:link w:val="Heading1Char"/>
    <w:uiPriority w:val="9"/>
    <w:qFormat/>
    <w:rsid w:val="00327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7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708"/>
    <w:rPr>
      <w:rFonts w:eastAsiaTheme="majorEastAsia" w:cstheme="majorBidi"/>
      <w:color w:val="272727" w:themeColor="text1" w:themeTint="D8"/>
    </w:rPr>
  </w:style>
  <w:style w:type="paragraph" w:styleId="Title">
    <w:name w:val="Title"/>
    <w:basedOn w:val="Normal"/>
    <w:next w:val="Normal"/>
    <w:link w:val="TitleChar"/>
    <w:uiPriority w:val="10"/>
    <w:qFormat/>
    <w:rsid w:val="00327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708"/>
    <w:pPr>
      <w:spacing w:before="160"/>
      <w:jc w:val="center"/>
    </w:pPr>
    <w:rPr>
      <w:i/>
      <w:iCs/>
      <w:color w:val="404040" w:themeColor="text1" w:themeTint="BF"/>
    </w:rPr>
  </w:style>
  <w:style w:type="character" w:customStyle="1" w:styleId="QuoteChar">
    <w:name w:val="Quote Char"/>
    <w:basedOn w:val="DefaultParagraphFont"/>
    <w:link w:val="Quote"/>
    <w:uiPriority w:val="29"/>
    <w:rsid w:val="00327708"/>
    <w:rPr>
      <w:i/>
      <w:iCs/>
      <w:color w:val="404040" w:themeColor="text1" w:themeTint="BF"/>
    </w:rPr>
  </w:style>
  <w:style w:type="paragraph" w:styleId="ListParagraph">
    <w:name w:val="List Paragraph"/>
    <w:basedOn w:val="Normal"/>
    <w:link w:val="ListParagraphChar"/>
    <w:uiPriority w:val="34"/>
    <w:qFormat/>
    <w:rsid w:val="00327708"/>
    <w:pPr>
      <w:ind w:left="720"/>
      <w:contextualSpacing/>
    </w:pPr>
  </w:style>
  <w:style w:type="character" w:styleId="IntenseEmphasis">
    <w:name w:val="Intense Emphasis"/>
    <w:basedOn w:val="DefaultParagraphFont"/>
    <w:uiPriority w:val="21"/>
    <w:qFormat/>
    <w:rsid w:val="00327708"/>
    <w:rPr>
      <w:i/>
      <w:iCs/>
      <w:color w:val="2F5496" w:themeColor="accent1" w:themeShade="BF"/>
    </w:rPr>
  </w:style>
  <w:style w:type="paragraph" w:styleId="IntenseQuote">
    <w:name w:val="Intense Quote"/>
    <w:basedOn w:val="Normal"/>
    <w:next w:val="Normal"/>
    <w:link w:val="IntenseQuoteChar"/>
    <w:uiPriority w:val="30"/>
    <w:qFormat/>
    <w:rsid w:val="00327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708"/>
    <w:rPr>
      <w:i/>
      <w:iCs/>
      <w:color w:val="2F5496" w:themeColor="accent1" w:themeShade="BF"/>
    </w:rPr>
  </w:style>
  <w:style w:type="character" w:styleId="IntenseReference">
    <w:name w:val="Intense Reference"/>
    <w:basedOn w:val="DefaultParagraphFont"/>
    <w:uiPriority w:val="32"/>
    <w:qFormat/>
    <w:rsid w:val="00327708"/>
    <w:rPr>
      <w:b/>
      <w:bCs/>
      <w:smallCaps/>
      <w:color w:val="2F5496" w:themeColor="accent1" w:themeShade="BF"/>
      <w:spacing w:val="5"/>
    </w:rPr>
  </w:style>
  <w:style w:type="paragraph" w:styleId="NormalWeb">
    <w:name w:val="Normal (Web)"/>
    <w:basedOn w:val="Normal"/>
    <w:uiPriority w:val="99"/>
    <w:unhideWhenUsed/>
    <w:rsid w:val="0071076B"/>
    <w:pPr>
      <w:bidi w:val="0"/>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table" w:styleId="TableGrid">
    <w:name w:val="Table Grid"/>
    <w:basedOn w:val="TableNormal"/>
    <w:uiPriority w:val="39"/>
    <w:qFormat/>
    <w:rsid w:val="0071076B"/>
    <w:pPr>
      <w:spacing w:after="0" w:line="240" w:lineRule="auto"/>
    </w:pPr>
    <w:rPr>
      <w:kern w:val="0"/>
      <w:sz w:val="22"/>
      <w:szCs w:val="22"/>
      <w:lang w:val="en-US" w:bidi="fa-IR"/>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qFormat/>
    <w:rsid w:val="0071076B"/>
    <w:rPr>
      <w:kern w:val="0"/>
      <w:sz w:val="22"/>
      <w:szCs w:val="22"/>
      <w:lang w:val="en-US" w:bidi="fa-IR"/>
      <w14:ligatures w14:val="none"/>
    </w:rPr>
  </w:style>
  <w:style w:type="character" w:styleId="Strong">
    <w:name w:val="Strong"/>
    <w:basedOn w:val="DefaultParagraphFont"/>
    <w:uiPriority w:val="22"/>
    <w:qFormat/>
    <w:rsid w:val="00710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3583</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16</cp:revision>
  <dcterms:created xsi:type="dcterms:W3CDTF">2026-04-09T01:25:00Z</dcterms:created>
  <dcterms:modified xsi:type="dcterms:W3CDTF">2026-04-09T02:18:00Z</dcterms:modified>
</cp:coreProperties>
</file>