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C9CF7" w14:textId="2001181D" w:rsidR="00905551" w:rsidRDefault="002E011B" w:rsidP="002E011B">
      <w:pPr>
        <w:keepNext/>
        <w:spacing w:after="0" w:line="360" w:lineRule="auto"/>
        <w:jc w:val="center"/>
        <w:rPr>
          <w:rFonts w:cs="Times New Roman"/>
          <w:b/>
          <w:bCs/>
          <w:color w:val="000000"/>
          <w:sz w:val="24"/>
          <w:szCs w:val="24"/>
        </w:rPr>
      </w:pPr>
      <w:r w:rsidRPr="002E011B">
        <w:rPr>
          <w:rFonts w:cs="Times New Roman"/>
          <w:b/>
          <w:bCs/>
          <w:color w:val="000000"/>
          <w:sz w:val="24"/>
          <w:szCs w:val="24"/>
        </w:rPr>
        <w:t xml:space="preserve">Selective Association of Serum Substance P with Nodal Dissemination and HER2 Positivity in Luminal Breast </w:t>
      </w:r>
      <w:r w:rsidR="004E4C67" w:rsidRPr="002E011B">
        <w:rPr>
          <w:rFonts w:cs="Times New Roman"/>
          <w:b/>
          <w:bCs/>
          <w:color w:val="000000"/>
          <w:sz w:val="24"/>
          <w:szCs w:val="24"/>
        </w:rPr>
        <w:t>Cancer</w:t>
      </w:r>
      <w:r w:rsidR="004E4C67">
        <w:rPr>
          <w:rFonts w:cs="Times New Roman"/>
          <w:b/>
          <w:bCs/>
          <w:color w:val="000000"/>
        </w:rPr>
        <w:t>: A Cohort Study</w:t>
      </w:r>
    </w:p>
    <w:p w14:paraId="315AA771" w14:textId="77777777" w:rsidR="002E011B" w:rsidRPr="002E011B" w:rsidRDefault="002E011B" w:rsidP="002E011B">
      <w:pPr>
        <w:keepNext/>
        <w:spacing w:after="0" w:line="360" w:lineRule="auto"/>
        <w:rPr>
          <w:rFonts w:cs="Times New Roman"/>
          <w:color w:val="000000"/>
          <w:sz w:val="24"/>
          <w:szCs w:val="24"/>
        </w:rPr>
      </w:pPr>
    </w:p>
    <w:p w14:paraId="0DB308A7" w14:textId="2BB8FF9C" w:rsidR="00AB2309" w:rsidRPr="002679B7" w:rsidRDefault="00905551" w:rsidP="00747AF0">
      <w:pPr>
        <w:keepNext/>
        <w:spacing w:after="0" w:line="360" w:lineRule="auto"/>
        <w:jc w:val="center"/>
        <w:rPr>
          <w:rFonts w:cs="Times New Roman"/>
          <w:sz w:val="24"/>
          <w:szCs w:val="24"/>
        </w:rPr>
      </w:pPr>
      <w:r w:rsidRPr="002679B7">
        <w:rPr>
          <w:rFonts w:cs="Times New Roman"/>
          <w:b/>
          <w:sz w:val="24"/>
          <w:szCs w:val="24"/>
        </w:rPr>
        <w:t>ABSTRACT</w:t>
      </w:r>
    </w:p>
    <w:p w14:paraId="2DBBB669" w14:textId="39FC3E41" w:rsidR="002679B7" w:rsidRPr="002679B7" w:rsidRDefault="002679B7" w:rsidP="002679B7">
      <w:pPr>
        <w:spacing w:after="0" w:line="360" w:lineRule="auto"/>
        <w:jc w:val="both"/>
        <w:rPr>
          <w:rStyle w:val="apple-converted-space"/>
          <w:rFonts w:cs="Times New Roman"/>
          <w:sz w:val="24"/>
          <w:szCs w:val="24"/>
        </w:rPr>
      </w:pPr>
      <w:r w:rsidRPr="002679B7">
        <w:rPr>
          <w:rFonts w:cs="Times New Roman"/>
          <w:b/>
          <w:bCs/>
          <w:sz w:val="24"/>
          <w:szCs w:val="24"/>
        </w:rPr>
        <w:t>Introduction</w:t>
      </w:r>
      <w:r w:rsidRPr="002679B7">
        <w:rPr>
          <w:rFonts w:cs="Times New Roman"/>
          <w:sz w:val="24"/>
          <w:szCs w:val="24"/>
        </w:rPr>
        <w:t xml:space="preserve">: </w:t>
      </w:r>
      <w:r w:rsidRPr="002679B7">
        <w:rPr>
          <w:rFonts w:cs="Times New Roman"/>
          <w:color w:val="000000"/>
          <w:sz w:val="24"/>
          <w:szCs w:val="24"/>
        </w:rPr>
        <w:t>The Substance P (SP) and neurokinin-1 receptor axis promotes tumor progression, yet the prognostic utility of circulating SP remains unclear. This study evaluated the association between serum SP levels and clinicopathological prognostic parameters in luminal breast cancer.</w:t>
      </w:r>
      <w:r w:rsidRPr="002679B7">
        <w:rPr>
          <w:rStyle w:val="apple-converted-space"/>
          <w:rFonts w:cs="Times New Roman"/>
          <w:color w:val="000000"/>
          <w:sz w:val="24"/>
          <w:szCs w:val="24"/>
        </w:rPr>
        <w:t> </w:t>
      </w:r>
    </w:p>
    <w:p w14:paraId="7A899B2E" w14:textId="77777777" w:rsidR="002679B7" w:rsidRDefault="002679B7" w:rsidP="002679B7">
      <w:pPr>
        <w:spacing w:after="0" w:line="360" w:lineRule="auto"/>
        <w:jc w:val="both"/>
        <w:rPr>
          <w:rStyle w:val="apple-converted-space"/>
          <w:rFonts w:cs="Times New Roman"/>
          <w:color w:val="000000"/>
          <w:sz w:val="24"/>
          <w:szCs w:val="24"/>
        </w:rPr>
      </w:pPr>
      <w:r w:rsidRPr="002679B7">
        <w:rPr>
          <w:rFonts w:cs="Times New Roman"/>
          <w:b/>
          <w:bCs/>
          <w:color w:val="000000"/>
          <w:sz w:val="24"/>
          <w:szCs w:val="24"/>
        </w:rPr>
        <w:t>Methods:</w:t>
      </w:r>
      <w:r w:rsidRPr="002679B7">
        <w:rPr>
          <w:rStyle w:val="apple-converted-space"/>
          <w:rFonts w:cs="Times New Roman"/>
          <w:color w:val="000000"/>
          <w:sz w:val="24"/>
          <w:szCs w:val="24"/>
        </w:rPr>
        <w:t> </w:t>
      </w:r>
      <w:r w:rsidRPr="002679B7">
        <w:rPr>
          <w:rFonts w:cs="Times New Roman"/>
          <w:color w:val="000000"/>
          <w:sz w:val="24"/>
          <w:szCs w:val="24"/>
        </w:rPr>
        <w:t>This retrospective cohort study included 47 women with previously untreated luminal breast cancer at Dr. Wahidin Sudirohusodo Hospital, Indonesia. Serum SP levels were quantified using enzyme-linked immunosorbent assay (ELISA). Associations between SP levels and histopathological grade, tumor size, lymph node status, Ki-67, clinical stage, luminal subtype, and HER2 status were evaluated using bivariable analysis and multivariable logistic regression. Receiver operating characteristic (ROC) analysis established the optimal diagnostic cutoff.</w:t>
      </w:r>
      <w:r w:rsidRPr="002679B7">
        <w:rPr>
          <w:rStyle w:val="apple-converted-space"/>
          <w:rFonts w:cs="Times New Roman"/>
          <w:color w:val="000000"/>
          <w:sz w:val="24"/>
          <w:szCs w:val="24"/>
        </w:rPr>
        <w:t> </w:t>
      </w:r>
    </w:p>
    <w:p w14:paraId="58792138" w14:textId="77777777" w:rsidR="002679B7" w:rsidRDefault="002679B7" w:rsidP="002679B7">
      <w:pPr>
        <w:spacing w:after="0" w:line="360" w:lineRule="auto"/>
        <w:jc w:val="both"/>
        <w:rPr>
          <w:rStyle w:val="apple-converted-space"/>
          <w:rFonts w:cs="Times New Roman"/>
          <w:color w:val="000000"/>
          <w:sz w:val="24"/>
          <w:szCs w:val="24"/>
        </w:rPr>
      </w:pPr>
      <w:r w:rsidRPr="002679B7">
        <w:rPr>
          <w:rFonts w:cs="Times New Roman"/>
          <w:b/>
          <w:bCs/>
          <w:color w:val="000000"/>
          <w:sz w:val="24"/>
          <w:szCs w:val="24"/>
        </w:rPr>
        <w:t>Results:</w:t>
      </w:r>
      <w:r w:rsidRPr="002679B7">
        <w:rPr>
          <w:rStyle w:val="apple-converted-space"/>
          <w:rFonts w:cs="Times New Roman"/>
          <w:color w:val="000000"/>
          <w:sz w:val="24"/>
          <w:szCs w:val="24"/>
        </w:rPr>
        <w:t> </w:t>
      </w:r>
      <w:r w:rsidRPr="002679B7">
        <w:rPr>
          <w:rFonts w:cs="Times New Roman"/>
          <w:color w:val="000000"/>
          <w:sz w:val="24"/>
          <w:szCs w:val="24"/>
        </w:rPr>
        <w:t>The mean patient age was 51 ± 10 years, and the mean serum SP level was 1.32 ± 0.23 ng/mL. Continuous analysis revealed significantly elevated serum SP in patients with lymph node metastasis (1.35 ± 0.23 vs. 1.15 ± 0.10 ng/mL;</w:t>
      </w:r>
      <w:r w:rsidRPr="002679B7">
        <w:rPr>
          <w:rStyle w:val="apple-converted-space"/>
          <w:rFonts w:cs="Times New Roman"/>
          <w:color w:val="000000"/>
          <w:sz w:val="24"/>
          <w:szCs w:val="24"/>
        </w:rPr>
        <w:t> </w:t>
      </w:r>
      <w:r w:rsidRPr="002679B7">
        <w:rPr>
          <w:rFonts w:cs="Times New Roman"/>
          <w:i/>
          <w:iCs/>
          <w:color w:val="000000"/>
          <w:sz w:val="24"/>
          <w:szCs w:val="24"/>
        </w:rPr>
        <w:t>p</w:t>
      </w:r>
      <w:r w:rsidRPr="002679B7">
        <w:rPr>
          <w:rStyle w:val="apple-converted-space"/>
          <w:rFonts w:cs="Times New Roman"/>
          <w:color w:val="000000"/>
          <w:sz w:val="24"/>
          <w:szCs w:val="24"/>
        </w:rPr>
        <w:t> </w:t>
      </w:r>
      <w:r w:rsidRPr="002679B7">
        <w:rPr>
          <w:rFonts w:cs="Times New Roman"/>
          <w:color w:val="000000"/>
          <w:sz w:val="24"/>
          <w:szCs w:val="24"/>
        </w:rPr>
        <w:t>= 0.025) and HER2-positive tumors (1.47 ± 0.30 vs. 1.25 ± 0.15 ng/mL;</w:t>
      </w:r>
      <w:r w:rsidRPr="002679B7">
        <w:rPr>
          <w:rStyle w:val="apple-converted-space"/>
          <w:rFonts w:cs="Times New Roman"/>
          <w:color w:val="000000"/>
          <w:sz w:val="24"/>
          <w:szCs w:val="24"/>
        </w:rPr>
        <w:t> </w:t>
      </w:r>
      <w:r w:rsidRPr="002679B7">
        <w:rPr>
          <w:rFonts w:cs="Times New Roman"/>
          <w:i/>
          <w:iCs/>
          <w:color w:val="000000"/>
          <w:sz w:val="24"/>
          <w:szCs w:val="24"/>
        </w:rPr>
        <w:t>p</w:t>
      </w:r>
      <w:r w:rsidRPr="002679B7">
        <w:rPr>
          <w:rStyle w:val="apple-converted-space"/>
          <w:rFonts w:cs="Times New Roman"/>
          <w:color w:val="000000"/>
          <w:sz w:val="24"/>
          <w:szCs w:val="24"/>
        </w:rPr>
        <w:t> </w:t>
      </w:r>
      <w:r w:rsidRPr="002679B7">
        <w:rPr>
          <w:rFonts w:cs="Times New Roman"/>
          <w:color w:val="000000"/>
          <w:sz w:val="24"/>
          <w:szCs w:val="24"/>
        </w:rPr>
        <w:t>= 0.002). ROC analysis identified an optimal SP cutoff of 1.300 ng/mL. Categorical analysis confirmed significant associations between high serum SP (</w:t>
      </w:r>
      <w:r w:rsidRPr="002679B7">
        <w:rPr>
          <w:rStyle w:val="mrel"/>
          <w:rFonts w:eastAsiaTheme="majorEastAsia" w:cs="Times New Roman"/>
          <w:color w:val="000000"/>
          <w:sz w:val="24"/>
          <w:szCs w:val="24"/>
        </w:rPr>
        <w:t>≥</w:t>
      </w:r>
      <w:r w:rsidRPr="002679B7">
        <w:rPr>
          <w:rStyle w:val="apple-converted-space"/>
          <w:rFonts w:cs="Times New Roman"/>
          <w:color w:val="000000"/>
          <w:sz w:val="24"/>
          <w:szCs w:val="24"/>
        </w:rPr>
        <w:t> </w:t>
      </w:r>
      <w:r w:rsidRPr="002679B7">
        <w:rPr>
          <w:rFonts w:cs="Times New Roman"/>
          <w:color w:val="000000"/>
          <w:sz w:val="24"/>
          <w:szCs w:val="24"/>
        </w:rPr>
        <w:t>1.300 ng/mL) and both lymph node involvement (</w:t>
      </w:r>
      <w:r w:rsidRPr="002679B7">
        <w:rPr>
          <w:rFonts w:cs="Times New Roman"/>
          <w:i/>
          <w:iCs/>
          <w:color w:val="000000"/>
          <w:sz w:val="24"/>
          <w:szCs w:val="24"/>
        </w:rPr>
        <w:t>p</w:t>
      </w:r>
      <w:r w:rsidRPr="002679B7">
        <w:rPr>
          <w:rStyle w:val="apple-converted-space"/>
          <w:rFonts w:cs="Times New Roman"/>
          <w:color w:val="000000"/>
          <w:sz w:val="24"/>
          <w:szCs w:val="24"/>
        </w:rPr>
        <w:t> </w:t>
      </w:r>
      <w:r w:rsidRPr="002679B7">
        <w:rPr>
          <w:rFonts w:cs="Times New Roman"/>
          <w:color w:val="000000"/>
          <w:sz w:val="24"/>
          <w:szCs w:val="24"/>
        </w:rPr>
        <w:t>= 0.040) and HER2 positivity (</w:t>
      </w:r>
      <w:r w:rsidRPr="002679B7">
        <w:rPr>
          <w:rFonts w:cs="Times New Roman"/>
          <w:i/>
          <w:iCs/>
          <w:color w:val="000000"/>
          <w:sz w:val="24"/>
          <w:szCs w:val="24"/>
        </w:rPr>
        <w:t>p</w:t>
      </w:r>
      <w:r w:rsidRPr="002679B7">
        <w:rPr>
          <w:rStyle w:val="apple-converted-space"/>
          <w:rFonts w:cs="Times New Roman"/>
          <w:color w:val="000000"/>
          <w:sz w:val="24"/>
          <w:szCs w:val="24"/>
        </w:rPr>
        <w:t> </w:t>
      </w:r>
      <w:r w:rsidRPr="002679B7">
        <w:rPr>
          <w:rFonts w:cs="Times New Roman"/>
          <w:color w:val="000000"/>
          <w:sz w:val="24"/>
          <w:szCs w:val="24"/>
        </w:rPr>
        <w:t>= 0.009). Multivariable analysis established HER2-positive status as an independent predictor of elevated serum SP (Adjusted OR 7.3; 95% CI 1.76–30.50;</w:t>
      </w:r>
      <w:r w:rsidRPr="002679B7">
        <w:rPr>
          <w:rStyle w:val="apple-converted-space"/>
          <w:rFonts w:cs="Times New Roman"/>
          <w:color w:val="000000"/>
          <w:sz w:val="24"/>
          <w:szCs w:val="24"/>
        </w:rPr>
        <w:t> </w:t>
      </w:r>
      <w:r w:rsidRPr="002679B7">
        <w:rPr>
          <w:rFonts w:cs="Times New Roman"/>
          <w:i/>
          <w:iCs/>
          <w:color w:val="000000"/>
          <w:sz w:val="24"/>
          <w:szCs w:val="24"/>
        </w:rPr>
        <w:t>p</w:t>
      </w:r>
      <w:r w:rsidRPr="002679B7">
        <w:rPr>
          <w:rStyle w:val="apple-converted-space"/>
          <w:rFonts w:cs="Times New Roman"/>
          <w:color w:val="000000"/>
          <w:sz w:val="24"/>
          <w:szCs w:val="24"/>
        </w:rPr>
        <w:t> </w:t>
      </w:r>
      <w:r w:rsidRPr="002679B7">
        <w:rPr>
          <w:rFonts w:cs="Times New Roman"/>
          <w:color w:val="000000"/>
          <w:sz w:val="24"/>
          <w:szCs w:val="24"/>
        </w:rPr>
        <w:t>= 0.007).</w:t>
      </w:r>
      <w:r w:rsidRPr="002679B7">
        <w:rPr>
          <w:rStyle w:val="apple-converted-space"/>
          <w:rFonts w:cs="Times New Roman"/>
          <w:color w:val="000000"/>
          <w:sz w:val="24"/>
          <w:szCs w:val="24"/>
        </w:rPr>
        <w:t> </w:t>
      </w:r>
    </w:p>
    <w:p w14:paraId="4AB60B6F" w14:textId="0C1338DD" w:rsidR="002679B7" w:rsidRPr="002679B7" w:rsidRDefault="002679B7" w:rsidP="002679B7">
      <w:pPr>
        <w:spacing w:after="0" w:line="360" w:lineRule="auto"/>
        <w:jc w:val="both"/>
        <w:rPr>
          <w:rFonts w:cs="Times New Roman"/>
          <w:sz w:val="24"/>
          <w:szCs w:val="24"/>
        </w:rPr>
      </w:pPr>
      <w:r w:rsidRPr="002679B7">
        <w:rPr>
          <w:rFonts w:cs="Times New Roman"/>
          <w:b/>
          <w:bCs/>
          <w:color w:val="000000"/>
          <w:sz w:val="24"/>
          <w:szCs w:val="24"/>
        </w:rPr>
        <w:t>Conclusion:</w:t>
      </w:r>
      <w:r w:rsidRPr="002679B7">
        <w:rPr>
          <w:rStyle w:val="apple-converted-space"/>
          <w:rFonts w:cs="Times New Roman"/>
          <w:color w:val="000000"/>
          <w:sz w:val="24"/>
          <w:szCs w:val="24"/>
        </w:rPr>
        <w:t> </w:t>
      </w:r>
      <w:r w:rsidRPr="002679B7">
        <w:rPr>
          <w:rFonts w:cs="Times New Roman"/>
          <w:color w:val="000000"/>
          <w:sz w:val="24"/>
          <w:szCs w:val="24"/>
        </w:rPr>
        <w:t xml:space="preserve">Serum SP is selectively associated with nodal dissemination and HER2 positivity, </w:t>
      </w:r>
      <w:commentRangeStart w:id="0"/>
      <w:r w:rsidRPr="002679B7">
        <w:rPr>
          <w:rFonts w:cs="Times New Roman"/>
          <w:color w:val="000000"/>
          <w:sz w:val="24"/>
          <w:szCs w:val="24"/>
        </w:rPr>
        <w:t>highlighting its potential as an adjunct liquid biomarker</w:t>
      </w:r>
      <w:commentRangeEnd w:id="0"/>
      <w:r w:rsidR="00672338" w:rsidRPr="002679B7">
        <w:rPr>
          <w:rStyle w:val="CommentReference"/>
          <w:rFonts w:cs="Times New Roman"/>
          <w:color w:val="000000"/>
          <w:sz w:val="24"/>
          <w:szCs w:val="24"/>
        </w:rPr>
        <w:commentReference w:id="0"/>
      </w:r>
      <w:r w:rsidRPr="002679B7">
        <w:rPr>
          <w:rFonts w:cs="Times New Roman"/>
          <w:color w:val="000000"/>
          <w:sz w:val="24"/>
          <w:szCs w:val="24"/>
        </w:rPr>
        <w:t xml:space="preserve"> for identifying aggressive luminal breast cancer subsets.</w:t>
      </w:r>
    </w:p>
    <w:p w14:paraId="723C4472" w14:textId="5CE75EF4" w:rsidR="00AB2309" w:rsidRPr="002679B7" w:rsidRDefault="00000000" w:rsidP="00747AF0">
      <w:pPr>
        <w:spacing w:after="0" w:line="360" w:lineRule="auto"/>
        <w:jc w:val="both"/>
        <w:rPr>
          <w:rFonts w:cs="Times New Roman"/>
          <w:sz w:val="24"/>
          <w:szCs w:val="24"/>
        </w:rPr>
      </w:pPr>
      <w:r w:rsidRPr="002679B7">
        <w:rPr>
          <w:rFonts w:cs="Times New Roman"/>
          <w:b/>
          <w:sz w:val="24"/>
          <w:szCs w:val="24"/>
        </w:rPr>
        <w:t xml:space="preserve">Keywords: </w:t>
      </w:r>
      <w:r w:rsidR="002679B7" w:rsidRPr="002679B7">
        <w:rPr>
          <w:rFonts w:cs="Times New Roman"/>
          <w:color w:val="000000"/>
          <w:sz w:val="24"/>
          <w:szCs w:val="24"/>
        </w:rPr>
        <w:t>Breast Neoplasms; Substance P; erbB-2; Lymphatic Metastasis; Biomarkers</w:t>
      </w:r>
      <w:r w:rsidR="002E011B">
        <w:rPr>
          <w:rFonts w:cs="Times New Roman"/>
          <w:color w:val="000000"/>
          <w:sz w:val="24"/>
          <w:szCs w:val="24"/>
        </w:rPr>
        <w:t>.</w:t>
      </w:r>
    </w:p>
    <w:p w14:paraId="5C212E65" w14:textId="77777777" w:rsidR="005B6ECC" w:rsidRPr="002679B7" w:rsidRDefault="005B6ECC" w:rsidP="00747AF0">
      <w:pPr>
        <w:spacing w:after="0" w:line="360" w:lineRule="auto"/>
        <w:rPr>
          <w:rFonts w:cs="Times New Roman"/>
          <w:sz w:val="24"/>
          <w:szCs w:val="24"/>
        </w:rPr>
      </w:pPr>
    </w:p>
    <w:p w14:paraId="0D1AB204" w14:textId="77777777" w:rsidR="005B6ECC" w:rsidRPr="002679B7" w:rsidRDefault="005B6ECC" w:rsidP="00747AF0">
      <w:pPr>
        <w:spacing w:after="0" w:line="360" w:lineRule="auto"/>
        <w:rPr>
          <w:rFonts w:cs="Times New Roman"/>
          <w:sz w:val="24"/>
          <w:szCs w:val="24"/>
        </w:rPr>
        <w:sectPr w:rsidR="005B6ECC" w:rsidRPr="002679B7" w:rsidSect="005A0DF6">
          <w:pgSz w:w="11906" w:h="16838"/>
          <w:pgMar w:top="1440" w:right="1440" w:bottom="1440" w:left="1440" w:header="720" w:footer="720" w:gutter="0"/>
          <w:cols w:space="360"/>
          <w:docGrid w:linePitch="360"/>
        </w:sectPr>
      </w:pPr>
    </w:p>
    <w:p w14:paraId="705FE0D2" w14:textId="77777777" w:rsidR="00F528B5" w:rsidRPr="002679B7" w:rsidRDefault="00F528B5" w:rsidP="00747AF0">
      <w:pPr>
        <w:keepNext/>
        <w:spacing w:after="0" w:line="360" w:lineRule="auto"/>
        <w:rPr>
          <w:rFonts w:cs="Times New Roman"/>
          <w:b/>
          <w:sz w:val="24"/>
          <w:szCs w:val="24"/>
        </w:rPr>
        <w:sectPr w:rsidR="00F528B5" w:rsidRPr="002679B7" w:rsidSect="005A0DF6">
          <w:type w:val="continuous"/>
          <w:pgSz w:w="11906" w:h="16838"/>
          <w:pgMar w:top="1440" w:right="1440" w:bottom="1440" w:left="1440" w:header="720" w:footer="720" w:gutter="0"/>
          <w:cols w:space="500"/>
          <w:docGrid w:linePitch="360"/>
        </w:sectPr>
      </w:pPr>
    </w:p>
    <w:p w14:paraId="4806C8B2" w14:textId="77777777" w:rsidR="002679B7" w:rsidRPr="002679B7" w:rsidRDefault="002679B7" w:rsidP="00747AF0">
      <w:pPr>
        <w:keepNext/>
        <w:spacing w:after="0" w:line="360" w:lineRule="auto"/>
        <w:jc w:val="both"/>
        <w:rPr>
          <w:rFonts w:cs="Times New Roman"/>
          <w:b/>
          <w:sz w:val="24"/>
          <w:szCs w:val="24"/>
        </w:rPr>
        <w:sectPr w:rsidR="002679B7" w:rsidRPr="002679B7" w:rsidSect="005A0DF6">
          <w:type w:val="continuous"/>
          <w:pgSz w:w="11906" w:h="16838"/>
          <w:pgMar w:top="1440" w:right="1440" w:bottom="1440" w:left="1440" w:header="720" w:footer="720" w:gutter="0"/>
          <w:cols w:space="360"/>
          <w:docGrid w:linePitch="360"/>
        </w:sectPr>
      </w:pPr>
    </w:p>
    <w:p w14:paraId="38F4345F" w14:textId="11BD1235" w:rsidR="00AB2309" w:rsidRPr="002679B7" w:rsidRDefault="005B3169" w:rsidP="00747AF0">
      <w:pPr>
        <w:keepNext/>
        <w:spacing w:after="0" w:line="360" w:lineRule="auto"/>
        <w:jc w:val="both"/>
        <w:rPr>
          <w:rFonts w:cs="Times New Roman"/>
          <w:sz w:val="24"/>
          <w:szCs w:val="24"/>
        </w:rPr>
      </w:pPr>
      <w:r w:rsidRPr="002679B7">
        <w:rPr>
          <w:rFonts w:cs="Times New Roman"/>
          <w:b/>
          <w:sz w:val="24"/>
          <w:szCs w:val="24"/>
        </w:rPr>
        <w:lastRenderedPageBreak/>
        <w:t>INTRODUCTION</w:t>
      </w:r>
    </w:p>
    <w:p w14:paraId="30E32CCE" w14:textId="7680FAB4" w:rsidR="005B3169" w:rsidRPr="002679B7" w:rsidRDefault="005B3169" w:rsidP="00095E10">
      <w:pPr>
        <w:spacing w:after="0" w:line="360" w:lineRule="auto"/>
        <w:ind w:firstLine="720"/>
        <w:jc w:val="both"/>
        <w:rPr>
          <w:rFonts w:cs="Times New Roman"/>
          <w:color w:val="000000"/>
          <w:sz w:val="24"/>
          <w:szCs w:val="24"/>
        </w:rPr>
      </w:pPr>
      <w:r w:rsidRPr="002679B7">
        <w:rPr>
          <w:rFonts w:cs="Times New Roman"/>
          <w:color w:val="000000"/>
          <w:sz w:val="24"/>
          <w:szCs w:val="24"/>
        </w:rPr>
        <w:t>Breast cancer remains the most frequently diagnosed malignancy among women globally, with the luminal subtype accounting for the vast majority of incident cases. While luminal breast cancers generally exhibit a more favorable prognosis compared to other molecular subtypes, they encompass a highly heterogeneous group of tumors that range from relatively indolent to highly aggressive and proliferative variants</w:t>
      </w:r>
      <w:r w:rsidR="005A0DF6">
        <w:rPr>
          <w:rFonts w:cs="Times New Roman"/>
          <w:color w:val="000000"/>
          <w:sz w:val="24"/>
          <w:szCs w:val="24"/>
        </w:rPr>
        <w:t xml:space="preserve"> </w:t>
      </w:r>
      <w:r w:rsidR="005A0DF6">
        <w:rPr>
          <w:rFonts w:cs="Times New Roman"/>
          <w:color w:val="000000"/>
          <w:sz w:val="24"/>
          <w:szCs w:val="24"/>
        </w:rPr>
        <w:fldChar w:fldCharType="begin"/>
      </w:r>
      <w:r w:rsidR="005A0DF6">
        <w:rPr>
          <w:rFonts w:cs="Times New Roman"/>
          <w:color w:val="000000"/>
          <w:sz w:val="24"/>
          <w:szCs w:val="24"/>
        </w:rPr>
        <w:instrText xml:space="preserve"> ADDIN ZOTERO_ITEM CSL_CITATION {"citationID":"vRYx6Ybg","properties":{"formattedCitation":"(1,2)","plainCitation":"(1,2)","noteIndex":0},"citationItems":[{"id":2709,"uris":["http://zotero.org/users/local/wf13h2s2/items/MFKGJCNT"],"itemData":{"id":2709,"type":"article-journal","abstract":"Abstract\n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URL":"https://acsjournals.onlinelibrary.wiley.com/doi/10.3322/caac.21834","volume":"74","author":[{"family":"Bray","given":"Freddie"},{"family":"Laversanne","given":"Mathieu"},{"family":"Sung","given":"Hyuna"},{"family":"Ferlay","given":"Jacques"},{"family":"Siegel","given":"Rebecca L."},{"family":"Soerjomataram","given":"Isabelle"},{"family":"Jemal","given":"Ahmedin"}],"accessed":{"date-parts":[["2025",6,28]]},"issued":{"date-parts":[["2024",5]]}}},{"id":6367,"uris":["http://zotero.org/users/local/wf13h2s2/items/G32QGX2P"],"itemData":{"id":6367,"type":"article-journal","abstract":"Breast cancer is the quintessential example of how molecular characterization of tumor biology guides therapeutic decisions. From the discovery of the estrogen receptor to current clinical molecular profiles to evolving single-cell analytics, the characterization and compartmentalization of breast cancer into divergent subtypes is clear. However, competing with this divergent model of breast cancer is the recognition of intratumoral heterogeneity, which acknowledges the possibility that multiple different subtypes exist within a single tumor. Intratumoral heterogeneity is driven by both intrinsic effects of the tumor cells themselves as well as extrinsic effects from the surrounding microenvironment. There is emerging evidence that these intratumoral molecular subtypes are not static; rather, plasticity between divergent subtypes is possible. Interconversion between seemingly different subtypes within a tumor drives tumor progression, metastases, and treatment resistance. Therapeutic strategies must, therefore, contend with changing phenotypes in an individual patient's tumor. Identifying targetable drivers of molecular heterogeneity may improve treatment durability and disease progression.","container-title":"American Journal of Physiology. Cell Physiology","DOI":"10.1152/ajpcell.00109.2021","ISSN":"1522-1563","issue":"2","journalAbbreviation":"Am J Physiol Cell Physiol","language":"eng","page":"C343-C354","PMID":"34191627","PMCID":"PMC8424677","source":"PubMed","title":"Heterogeneity within molecular subtypes of breast cancer","volume":"321","author":[{"family":"Turner","given":"Kevin M."},{"family":"Yeo","given":"Syn Kok"},{"family":"Holm","given":"Tammy M."},{"family":"Shaughnessy","given":"Elizabeth"},{"family":"Guan","given":"Jun-Lin"}],"issued":{"date-parts":[["2021",8,1]]}}}],"schema":"https://github.com/citation-style-language/schema/raw/master/csl-citation.json"} </w:instrText>
      </w:r>
      <w:r w:rsidR="005A0DF6">
        <w:rPr>
          <w:rFonts w:cs="Times New Roman"/>
          <w:color w:val="000000"/>
          <w:sz w:val="24"/>
          <w:szCs w:val="24"/>
        </w:rPr>
        <w:fldChar w:fldCharType="separate"/>
      </w:r>
      <w:r w:rsidR="005A0DF6">
        <w:rPr>
          <w:rFonts w:cs="Times New Roman"/>
          <w:noProof/>
          <w:color w:val="000000"/>
          <w:sz w:val="24"/>
          <w:szCs w:val="24"/>
        </w:rPr>
        <w:t>(1,2)</w:t>
      </w:r>
      <w:r w:rsidR="005A0DF6">
        <w:rPr>
          <w:rFonts w:cs="Times New Roman"/>
          <w:color w:val="000000"/>
          <w:sz w:val="24"/>
          <w:szCs w:val="24"/>
        </w:rPr>
        <w:fldChar w:fldCharType="end"/>
      </w:r>
      <w:r w:rsidRPr="002679B7">
        <w:rPr>
          <w:rFonts w:cs="Times New Roman"/>
          <w:color w:val="000000"/>
          <w:sz w:val="24"/>
          <w:szCs w:val="24"/>
        </w:rPr>
        <w:t xml:space="preserve">. Currently, clinical decision-making, treatment stratification, and prognostication rely heavily on classical clinicopathological parameters, including tumor size, nodal involvement, and immunohistochemical markers such as estrogen receptor, progesterone receptor, human epidermal growth factor receptor 2 (HER2), and the Ki-67 index </w:t>
      </w:r>
      <w:r w:rsidR="005A0DF6">
        <w:rPr>
          <w:rFonts w:cs="Times New Roman"/>
          <w:color w:val="000000"/>
          <w:sz w:val="24"/>
          <w:szCs w:val="24"/>
        </w:rPr>
        <w:fldChar w:fldCharType="begin"/>
      </w:r>
      <w:r w:rsidR="005A0DF6">
        <w:rPr>
          <w:rFonts w:cs="Times New Roman"/>
          <w:color w:val="000000"/>
          <w:sz w:val="24"/>
          <w:szCs w:val="24"/>
        </w:rPr>
        <w:instrText xml:space="preserve"> ADDIN ZOTERO_ITEM CSL_CITATION {"citationID":"nqdY2MWS","properties":{"formattedCitation":"(3)","plainCitation":"(3)","noteIndex":0},"citationItems":[{"id":6369,"uris":["http://zotero.org/users/local/wf13h2s2/items/BBW3TK7P"],"itemData":{"id":6369,"type":"article-journal","abstract":"This revised consensus statement of the Spanish Society of Medical Oncology (SEOM) and the Spanish Society of Pathological Anatomy (SEAP) updates the recommendations for biomarkers use in the diagnosis and treatment of breast cancer that we first published in 2018. The expert group recommends determining in early breast cancer the estrogen receptor (ER), progesterone receptor (PR), Ki-67, and Human Epidermal growth factor Receptor 2 (HER2), as well as BReast CAncer (BRCA) genes in high-risk HER2-negative breast cancer, to assist prognosis and help in indicating the therapeutic options, including hormone therapy, chemotherapy, anti-HER2 therapy, and other targeted therapies. One of the four available genetic prognostic platforms (Oncotype DX®, MammaPrint®, Prosigna®, or EndoPredict®) may be used in ER-positive patients with early breast cancer to establish a prognostic category and help decide with the patient whether adjuvant treatment may be limited to hormonal therapy. In second-line advanced breast cancer, in addition, phosphatidylinositol-4,5-bisphosphate 3-kinase catalytic subunit alpha (PIK3CA) and estrogen receptor 1 (ESR1) should be tested in hormone-sensitive cases, BRCA gene mutations in HER2-negative cancers, and in triple-negative breast cancer (TNBC), programmed cell death-1 ligand (PD-L1). Newer biomarkers and technologies, including tumor-infiltrating lymphocytes (TILs), homologous recombination deficiency (HRD) testing, serine/threonine kinase (AKT) pathway activation, and next-generation sequencing (NGS), are at this point investigational.","container-title":"Clinical &amp; Translational Oncology: Official Publication of the Federation of Spanish Oncology Societies and of the National Cancer Institute of Mexico","DOI":"10.1007/s12094-024-03541-1","ISSN":"1699-3055","issue":"12","journalAbbreviation":"Clin Transl Oncol","language":"eng","page":"2935-2951","PMID":"38869741","PMCID":"PMC11564209","source":"PubMed","title":"Biomarkers in breast cancer 2024: an updated consensus statement by the Spanish Society of Medical Oncology and the Spanish Society of Pathology","title-short":"Biomarkers in breast cancer 2024","volume":"26","author":[{"family":"Colomer","given":"Ramon"},{"family":"González-Farré","given":"Blanca"},{"family":"Ballesteros","given":"Ana Isabel"},{"family":"Peg","given":"Vicente"},{"family":"Bermejo","given":"Begoña"},{"family":"Pérez-Mies","given":"Belén"},{"family":"Cruz","given":"Susana","non-dropping-particle":"de la"},{"family":"Rojo","given":"Federico"},{"family":"Pernas","given":"Sonia"},{"family":"Palacios","given":"José"}],"issued":{"date-parts":[["2024",12]]}}}],"schema":"https://github.com/citation-style-language/schema/raw/master/csl-citation.json"} </w:instrText>
      </w:r>
      <w:r w:rsidR="005A0DF6">
        <w:rPr>
          <w:rFonts w:cs="Times New Roman"/>
          <w:color w:val="000000"/>
          <w:sz w:val="24"/>
          <w:szCs w:val="24"/>
        </w:rPr>
        <w:fldChar w:fldCharType="separate"/>
      </w:r>
      <w:r w:rsidR="005A0DF6">
        <w:rPr>
          <w:rFonts w:cs="Times New Roman"/>
          <w:noProof/>
          <w:color w:val="000000"/>
          <w:sz w:val="24"/>
          <w:szCs w:val="24"/>
        </w:rPr>
        <w:t>(3)</w:t>
      </w:r>
      <w:r w:rsidR="005A0DF6">
        <w:rPr>
          <w:rFonts w:cs="Times New Roman"/>
          <w:color w:val="000000"/>
          <w:sz w:val="24"/>
          <w:szCs w:val="24"/>
        </w:rPr>
        <w:fldChar w:fldCharType="end"/>
      </w:r>
      <w:r w:rsidRPr="002679B7">
        <w:rPr>
          <w:rFonts w:cs="Times New Roman"/>
          <w:color w:val="000000"/>
          <w:sz w:val="24"/>
          <w:szCs w:val="24"/>
        </w:rPr>
        <w:t>.</w:t>
      </w:r>
    </w:p>
    <w:p w14:paraId="6A5BC7BF" w14:textId="1D439976" w:rsidR="005B3169" w:rsidRPr="002679B7" w:rsidRDefault="005B3169" w:rsidP="00095E10">
      <w:pPr>
        <w:spacing w:after="0" w:line="360" w:lineRule="auto"/>
        <w:ind w:firstLine="720"/>
        <w:jc w:val="both"/>
        <w:rPr>
          <w:rFonts w:cs="Times New Roman"/>
          <w:color w:val="000000"/>
          <w:sz w:val="24"/>
          <w:szCs w:val="24"/>
        </w:rPr>
      </w:pPr>
      <w:r w:rsidRPr="002679B7">
        <w:rPr>
          <w:rFonts w:cs="Times New Roman"/>
          <w:color w:val="000000"/>
          <w:sz w:val="24"/>
          <w:szCs w:val="24"/>
        </w:rPr>
        <w:t>Despite the widespread clinical utility of these conventional markers, they often fail to fully capture the biological complexity of luminal breast tumors, leading to unpredictable outcomes such as late recurrence, metastatic dissemination, and acquired endocrine resistance</w:t>
      </w:r>
      <w:r w:rsidR="005A0DF6">
        <w:rPr>
          <w:rFonts w:cs="Times New Roman"/>
          <w:color w:val="000000"/>
          <w:sz w:val="24"/>
          <w:szCs w:val="24"/>
        </w:rPr>
        <w:t xml:space="preserve"> </w:t>
      </w:r>
      <w:r w:rsidR="005A0DF6">
        <w:rPr>
          <w:rFonts w:cs="Times New Roman"/>
          <w:color w:val="000000"/>
          <w:sz w:val="24"/>
          <w:szCs w:val="24"/>
        </w:rPr>
        <w:fldChar w:fldCharType="begin"/>
      </w:r>
      <w:r w:rsidR="005A0DF6">
        <w:rPr>
          <w:rFonts w:cs="Times New Roman"/>
          <w:color w:val="000000"/>
          <w:sz w:val="24"/>
          <w:szCs w:val="24"/>
        </w:rPr>
        <w:instrText xml:space="preserve"> ADDIN ZOTERO_ITEM CSL_CITATION {"citationID":"d2phAZ3a","properties":{"formattedCitation":"(4)","plainCitation":"(4)","noteIndex":0},"citationItems":[{"id":6372,"uris":["http://zotero.org/users/local/wf13h2s2/items/3SKEKAY5"],"itemData":{"id":6372,"type":"article-journal","abstract":"Luminal breast cancers are hormone receptor (estrogen and/or progesterone) positive that are further divided into HER2-negative luminal A and HER2-positive luminal B subtypes. According to currently accepted convention, they represent the most common subtypes of breast cancer, accounting for approximately 70% of cases. Biomarkers play a critical role in the functional characterization, prognostication, and therapeutic prediction, rendering them indispensable for the clinical management of invasive breast cancer. Traditional biomarkers include clinicopathological parameters, which are increasingly extended by genetic and other molecular markers, enabling the comprehensive characterization of patients with luminal breast cancer. Liquid biopsies capturing and analyzing circulating tumor cells (CTCs) and circulating tumor DNA (ctDNA) are emerging technologies that envision personalized management through precision oncology. This article reviews key biomarkers in luminal breast cancer and ongoing developments.","container-title":"Breast Cancer","DOI":"10.2147/BCTT.S340741","ISSN":"1179-1314","journalAbbreviation":"Breast Cancer (Dove Med Press)","language":"eng","page":"525-540","PMID":"37533589","PMCID":"PMC10392911","publisher-place":"Dove Medical Press","source":"PubMed","title":"Diagnostic and Prognostic Biomarkers of Luminal Breast Cancer: Where are We Now?","title-short":"\"Diagnostic and Prognostic Biomarkers of Luminal Breast Cancer","volume":"15","author":[{"family":"Höller","given":"Anna"},{"family":"Nguyen-Sträuli","given":"Bich Doan"},{"family":"Frauchiger-Heuer","given":"Heike"},{"family":"Ring","given":"Alexander"}],"issued":{"date-parts":[["2023"]]}}}],"schema":"https://github.com/citation-style-language/schema/raw/master/csl-citation.json"} </w:instrText>
      </w:r>
      <w:r w:rsidR="005A0DF6">
        <w:rPr>
          <w:rFonts w:cs="Times New Roman"/>
          <w:color w:val="000000"/>
          <w:sz w:val="24"/>
          <w:szCs w:val="24"/>
        </w:rPr>
        <w:fldChar w:fldCharType="separate"/>
      </w:r>
      <w:r w:rsidR="005A0DF6">
        <w:rPr>
          <w:rFonts w:cs="Times New Roman"/>
          <w:noProof/>
          <w:color w:val="000000"/>
          <w:sz w:val="24"/>
          <w:szCs w:val="24"/>
        </w:rPr>
        <w:t>(4)</w:t>
      </w:r>
      <w:r w:rsidR="005A0DF6">
        <w:rPr>
          <w:rFonts w:cs="Times New Roman"/>
          <w:color w:val="000000"/>
          <w:sz w:val="24"/>
          <w:szCs w:val="24"/>
        </w:rPr>
        <w:fldChar w:fldCharType="end"/>
      </w:r>
      <w:r w:rsidRPr="002679B7">
        <w:rPr>
          <w:rFonts w:cs="Times New Roman"/>
          <w:color w:val="000000"/>
          <w:sz w:val="24"/>
          <w:szCs w:val="24"/>
        </w:rPr>
        <w:t xml:space="preserve">. This limitation underscores an urgent need to identify novel, minimally invasive biomarkers that can better delineate tumor aggressiveness. Recently, the neuroimmuno-oncology axis has gained significant attention, particularly Substance P (SP)—an undecapeptide neuropeptide—and its primary receptor, the neurokinin-1 receptor (NK-1R). Through this complex signaling pathway, SP is heavily implicated in driving critical oncogenic processes, including cellular proliferation, tumor angiogenesis, metastatic cascade initiation, and evasion of apoptosis </w:t>
      </w:r>
      <w:r w:rsidR="005A0DF6">
        <w:rPr>
          <w:rFonts w:cs="Times New Roman"/>
          <w:color w:val="000000"/>
          <w:sz w:val="24"/>
          <w:szCs w:val="24"/>
        </w:rPr>
        <w:fldChar w:fldCharType="begin"/>
      </w:r>
      <w:r w:rsidR="005A0DF6">
        <w:rPr>
          <w:rFonts w:cs="Times New Roman"/>
          <w:color w:val="000000"/>
          <w:sz w:val="24"/>
          <w:szCs w:val="24"/>
        </w:rPr>
        <w:instrText xml:space="preserve"> ADDIN ZOTERO_ITEM CSL_CITATION {"citationID":"JKkd0DRC","properties":{"formattedCitation":"(5,6)","plainCitation":"(5,6)","noteIndex":0},"citationItems":[{"id":6375,"uris":["http://zotero.org/users/local/wf13h2s2/items/75ZS4Z5Z"],"itemData":{"id":6375,"type":"article-journal","abstract":"New, promising molecular targets to block tumor development and new compounds capable of specifically destroying cancer cells must be urgently investigated [...].","container-title":"Cancers","DOI":"10.3390/cancers14143539","ISSN":"2072-6694","issue":"14","journalAbbreviation":"Cancers (Basel)","language":"eng","page":"3539","PMID":"35884599","PMCID":"PMC9317685","source":"PubMed","title":"Involvement of the Substance P/Neurokinin-1 Receptor System in Cancer","volume":"14","author":[{"family":"Coveñas","given":"Rafael"},{"family":"Muñoz","given":"Miguel"}],"issued":{"date-parts":[["2022",7,21]]}}},{"id":6378,"uris":["http://zotero.org/users/local/wf13h2s2/items/QSKEH9XE"],"itemData":{"id":6378,"type":"article-journal","abstract":"Expression and immunolocalization of Substance P (SP)/Neurokinin-1 Receptor (NK-1R) in breast carcinoma (BC) patients and its association with routine proliferative markers (ER, PR, HER2/neu, and Ki-67) were evaluated. A cross-sectional study was performed on 34 cases of BC. There were 23 cases of group A (grade III), 8 of group B (grade II), and only 3 cases of group C (grade I). All samples were then processed for SP and NK-1R immunohistochemistry for few cases. 14/23 cases (61%) of group A, 7/8 cases (88%) of group B, and 2/3 (67%) cases of group C were SP positive. Overall, strong staining (≥10% tumor cells), labeled as \"+3,\" was observed in 9/14 (64.2%) cases of group A and 1/8 (12.5%) cases of group B. Moderate staining labelled as \"+2\" (in ≥10% tumor cells) was observed in 3/14 (21.4%) cases of group A and 4/8 (50%) cases of group B. Weak positive staining \"+1\" was observed in only 2/14 (14.28%) cases of group A, 2/8 (25%) cases of group B, and all 2/2 (100%) cases of group C. SP and NK-1R are overexpressed in breast carcinomas, and there is significant association between the grade of tumor and their overexpression.","container-title":"BioMed Research International","DOI":"10.1155/2021/5577820","ISSN":"2314-6141","journalAbbreviation":"Biomed Res Int","language":"eng","page":"5577820","PMID":"34692834","PMCID":"PMC8528600","source":"PubMed","title":"Prognostic Significance of Substance P/Neurokinin 1 Receptor and Its Association with Hormonal Receptors in Breast Carcinoma","volume":"2021","author":[{"family":"Mehboob","given":"Riffat"},{"family":"Gilani","given":"Syed Amir"},{"family":"Hassan","given":"Amber"},{"family":"Sadaf","given":"null"},{"family":"Tanvir","given":"Imrana"},{"family":"Javaid","given":"Shaista"},{"family":"Khalid","given":"Sidra"},{"family":"Hasan","given":"Sana"},{"family":"Waseem","given":"Humaira"},{"family":"Alwazzan","given":"Ahmad"},{"family":"Munoz","given":"Miguel"}],"issued":{"date-parts":[["2021"]]}}}],"schema":"https://github.com/citation-style-language/schema/raw/master/csl-citation.json"} </w:instrText>
      </w:r>
      <w:r w:rsidR="005A0DF6">
        <w:rPr>
          <w:rFonts w:cs="Times New Roman"/>
          <w:color w:val="000000"/>
          <w:sz w:val="24"/>
          <w:szCs w:val="24"/>
        </w:rPr>
        <w:fldChar w:fldCharType="separate"/>
      </w:r>
      <w:r w:rsidR="005A0DF6">
        <w:rPr>
          <w:rFonts w:cs="Times New Roman"/>
          <w:noProof/>
          <w:color w:val="000000"/>
          <w:sz w:val="24"/>
          <w:szCs w:val="24"/>
        </w:rPr>
        <w:t>(5,6)</w:t>
      </w:r>
      <w:r w:rsidR="005A0DF6">
        <w:rPr>
          <w:rFonts w:cs="Times New Roman"/>
          <w:color w:val="000000"/>
          <w:sz w:val="24"/>
          <w:szCs w:val="24"/>
        </w:rPr>
        <w:fldChar w:fldCharType="end"/>
      </w:r>
      <w:r w:rsidRPr="002679B7">
        <w:rPr>
          <w:rFonts w:cs="Times New Roman"/>
          <w:color w:val="000000"/>
          <w:sz w:val="24"/>
          <w:szCs w:val="24"/>
        </w:rPr>
        <w:t>.</w:t>
      </w:r>
    </w:p>
    <w:p w14:paraId="6D63F4DC" w14:textId="23F12000" w:rsidR="005B3169" w:rsidRPr="002679B7" w:rsidRDefault="005B3169" w:rsidP="00095E10">
      <w:pPr>
        <w:spacing w:after="0" w:line="360" w:lineRule="auto"/>
        <w:ind w:firstLine="720"/>
        <w:jc w:val="both"/>
        <w:rPr>
          <w:rFonts w:cs="Times New Roman"/>
          <w:sz w:val="24"/>
          <w:szCs w:val="24"/>
        </w:rPr>
      </w:pPr>
      <w:r w:rsidRPr="002679B7">
        <w:rPr>
          <w:rFonts w:cs="Times New Roman"/>
          <w:color w:val="000000"/>
          <w:sz w:val="24"/>
          <w:szCs w:val="24"/>
        </w:rPr>
        <w:t xml:space="preserve">While previous immunohistochemical studies have established that tissue-level SP and NK-1R upregulation correlates with advanced clinical stage, high histopathological grade, and poor overall survival in breast cancer </w:t>
      </w:r>
      <w:r w:rsidR="005A0DF6">
        <w:rPr>
          <w:rFonts w:cs="Times New Roman"/>
          <w:color w:val="000000"/>
          <w:sz w:val="24"/>
          <w:szCs w:val="24"/>
        </w:rPr>
        <w:fldChar w:fldCharType="begin"/>
      </w:r>
      <w:r w:rsidR="005A0DF6">
        <w:rPr>
          <w:rFonts w:cs="Times New Roman"/>
          <w:color w:val="000000"/>
          <w:sz w:val="24"/>
          <w:szCs w:val="24"/>
        </w:rPr>
        <w:instrText xml:space="preserve"> ADDIN ZOTERO_ITEM CSL_CITATION {"citationID":"UXbYp9cD","properties":{"formattedCitation":"(7)","plainCitation":"(7)","noteIndex":0},"citationItems":[{"id":6381,"uris":["http://zotero.org/users/local/wf13h2s2/items/CUC36SU3"],"itemData":{"id":6381,"type":"article-journal","abstract":"Background\n              The neuropeptide substance P is a potential biomarker and therapeutic target in cancer. The main objectives of this study were to investigate the expression level of substance P in different breast cancer molecular subtypes and identify its association with clinicopathological parameters of patients and with Ki-67 index.\n            \n            \n              Methods\n              A retrospective analysis was performed for a total of 164 paraffin-embedded breast cancer tissue samples [42 Her2/neu-enriched, 40 luminal A, 42 luminal B (triple-positive) and 40 triple negative subtypes]. The tissue microarray slides containing specimens were used to determine the expression of substance p and Ki-67 by immunohistochemical staining.\n            \n            \n              Results\n              The mean age of the cohort was 51.35 years. Twenty two percent of cases had low substance P expression levels (TS ≤ 5), while 78% had high expression levels (TS &gt; 5). A significant association was found between SP expression level and breast cancer molecular subtype (p = 0.002), TNM stage (p = 0.034), pN stage (p = 0.013), axillary lymph node metastasis (p = 0.004), ER and PR statuses (p&lt;0.001) and history of DCIS (p = 0.009). The average percentage of Ki-67 expression was 27.05%. When analyzed as a continuous variable, significant differences were observed between the mean Ki-67 scores and molecular subtype (p = 0.001), grade (p = 0.003), pN stage (p = 0.007), axillary lymph node metastasis (p = 0.001), and ER and PR statuses (p &lt;0.001).\n            \n            \n              Conclusion\n              SP is overexpressed in most of the analyzed tissues and has a negative prognostic value in the breast cancer patients. Besides substance P is a potential therapeutic target in breast cancer.","container-title":"PLOS ONE","DOI":"10.1371/journal.pone.0252616","ISSN":"1932-6203","issue":"6","journalAbbreviation":"PLoS ONE","language":"en","page":"e0252616","source":"DOI.org (Crossref)","title":"Immunohistochemical expression of substance P in breast cancer and its association with prognostic parameters and Ki-67 index","URL":"https://dx.plos.org/10.1371/journal.pone.0252616","volume":"16","author":[{"family":"Al-Keilani","given":"Maha S."},{"family":"Elstaty","given":"Rana I."},{"family":"Alqudah","given":"Mohammad A."},{"family":"Alkhateeb","given":"Asem M."}],"editor":[{"family":"Özmen","given":"Vahit"}],"accessed":{"date-parts":[["2026",4,3]]},"issued":{"date-parts":[["2021",6,4]]}}}],"schema":"https://github.com/citation-style-language/schema/raw/master/csl-citation.json"} </w:instrText>
      </w:r>
      <w:r w:rsidR="005A0DF6">
        <w:rPr>
          <w:rFonts w:cs="Times New Roman"/>
          <w:color w:val="000000"/>
          <w:sz w:val="24"/>
          <w:szCs w:val="24"/>
        </w:rPr>
        <w:fldChar w:fldCharType="separate"/>
      </w:r>
      <w:r w:rsidR="005A0DF6">
        <w:rPr>
          <w:rFonts w:cs="Times New Roman"/>
          <w:noProof/>
          <w:color w:val="000000"/>
          <w:sz w:val="24"/>
          <w:szCs w:val="24"/>
        </w:rPr>
        <w:t>(7)</w:t>
      </w:r>
      <w:r w:rsidR="005A0DF6">
        <w:rPr>
          <w:rFonts w:cs="Times New Roman"/>
          <w:color w:val="000000"/>
          <w:sz w:val="24"/>
          <w:szCs w:val="24"/>
        </w:rPr>
        <w:fldChar w:fldCharType="end"/>
      </w:r>
      <w:r w:rsidRPr="002679B7">
        <w:rPr>
          <w:rFonts w:cs="Times New Roman"/>
          <w:color w:val="000000"/>
          <w:sz w:val="24"/>
          <w:szCs w:val="24"/>
        </w:rPr>
        <w:t xml:space="preserve">, the clinical utility of circulating serum SP remains poorly characterized. Specifically, evidence regarding serum SP levels and their association with established prognostic parameters within the distinct luminal subgroup is scarce and largely inconclusive </w:t>
      </w:r>
      <w:r w:rsidR="005A0DF6">
        <w:rPr>
          <w:rFonts w:cs="Times New Roman"/>
          <w:color w:val="000000"/>
          <w:sz w:val="24"/>
          <w:szCs w:val="24"/>
        </w:rPr>
        <w:fldChar w:fldCharType="begin"/>
      </w:r>
      <w:r w:rsidR="005A0DF6">
        <w:rPr>
          <w:rFonts w:cs="Times New Roman"/>
          <w:color w:val="000000"/>
          <w:sz w:val="24"/>
          <w:szCs w:val="24"/>
        </w:rPr>
        <w:instrText xml:space="preserve"> ADDIN ZOTERO_ITEM CSL_CITATION {"citationID":"gRUPAabd","properties":{"formattedCitation":"(8)","plainCitation":"(8)","noteIndex":0},"citationItems":[{"id":6383,"uris":["http://zotero.org/users/local/wf13h2s2/items/JLVNSSRC"],"itemData":{"id":6383,"type":"article-journal","abstract":"Breast cancer is the second leading cause of cancer death in women with increasing incidence. Hence, finding a diagnostic factor and/or potential drug target could lead to an earlier diagnosis or a more effective therapeutic protocol. It is shown that substance P (SP) through its receptor neurokinin-1 (NK1R) could initiate tumor cell proliferation, angiogenesis, and migration. This was a case-control study on 41 women with breast cancer and 34 healthy controls. Serum level of SP was measured using an ELISA method, and immunohistochemistry staining was performed to study NK1R expression in different cell compartments. Assessing serum SP values of patients showed significantly higher levels than those of healthy individuals. However, no significant correlation was found between SP levels and tumor criteria, but between SP and HER-2. Moreover, the percentage, intensity of staining as well as tissue distribution of NK1R were significantly higher in tumor tissues as compared with controls. Increased serum SP levels and NK1R tissue distribution were observed in patients with breast cancer as compared with their controls, highlighting the involvement of SP/NK1R complex in breast cancer incidence. NK1R profound expression in tumor cell cytoplasm and its significant correlation with the majority of cancer features can be of importance to be taken into consideration as a possible potential therapeutic target in future targeted therapeutic strategies. Furthermore, cytoplasmic expression of NK1R can be suggested as a potent prognostic factor as it has shown significant correlation with TNM and tumor grade.","container-title":"Molecular Biology Reports","DOI":"10.1007/s11033-019-04599-9","ISSN":"1573-4978","issue":"1","journalAbbreviation":"Mol Biol Rep","language":"eng","page":"1285-1293","PMID":"30684188","source":"PubMed","title":"Evaluation of serum level of substance P and tissue distribution of NK-1 receptor in breast cancer","volume":"46","author":[{"family":"Davoodian","given":"Monireh"},{"family":"Boroumand","given":"Nadia"},{"family":"Mehrabi Bahar","given":"Mostafa"},{"family":"Jafarian","given":"Amir Hosein"},{"family":"Asadi","given":"Mahdi"},{"family":"Hashemy","given":"Seyed Isaac"}],"issued":{"date-parts":[["2019",2]]}}}],"schema":"https://github.com/citation-style-language/schema/raw/master/csl-citation.json"} </w:instrText>
      </w:r>
      <w:r w:rsidR="005A0DF6">
        <w:rPr>
          <w:rFonts w:cs="Times New Roman"/>
          <w:color w:val="000000"/>
          <w:sz w:val="24"/>
          <w:szCs w:val="24"/>
        </w:rPr>
        <w:fldChar w:fldCharType="separate"/>
      </w:r>
      <w:r w:rsidR="005A0DF6">
        <w:rPr>
          <w:rFonts w:cs="Times New Roman"/>
          <w:noProof/>
          <w:color w:val="000000"/>
          <w:sz w:val="24"/>
          <w:szCs w:val="24"/>
        </w:rPr>
        <w:t>(8)</w:t>
      </w:r>
      <w:r w:rsidR="005A0DF6">
        <w:rPr>
          <w:rFonts w:cs="Times New Roman"/>
          <w:color w:val="000000"/>
          <w:sz w:val="24"/>
          <w:szCs w:val="24"/>
        </w:rPr>
        <w:fldChar w:fldCharType="end"/>
      </w:r>
      <w:r w:rsidRPr="002679B7">
        <w:rPr>
          <w:rFonts w:cs="Times New Roman"/>
          <w:color w:val="000000"/>
          <w:sz w:val="24"/>
          <w:szCs w:val="24"/>
        </w:rPr>
        <w:t xml:space="preserve">. Addressing this research gap is vital to determine whether systemic SP levels can serve as a viable "liquid biopsy" adjunct for risk stratification. Therefore, this study aimed to evaluate the association between serum </w:t>
      </w:r>
      <w:r w:rsidR="00891736">
        <w:rPr>
          <w:rFonts w:cs="Times New Roman"/>
          <w:color w:val="000000"/>
          <w:sz w:val="24"/>
          <w:szCs w:val="24"/>
        </w:rPr>
        <w:t>SP</w:t>
      </w:r>
      <w:r w:rsidRPr="002679B7">
        <w:rPr>
          <w:rFonts w:cs="Times New Roman"/>
          <w:color w:val="000000"/>
          <w:sz w:val="24"/>
          <w:szCs w:val="24"/>
        </w:rPr>
        <w:t xml:space="preserve"> levels and key prognostic parameters—specifically histopathological grade, tumor size, lymph node status, Ki-67 index, clinical stage, luminal subtype, and HER2 status—in patients with luminal breast cancer.</w:t>
      </w:r>
    </w:p>
    <w:p w14:paraId="602A7ED1" w14:textId="77777777" w:rsidR="005B3169" w:rsidRPr="002679B7" w:rsidRDefault="005B3169" w:rsidP="00747AF0">
      <w:pPr>
        <w:keepNext/>
        <w:spacing w:after="0" w:line="360" w:lineRule="auto"/>
        <w:jc w:val="both"/>
        <w:rPr>
          <w:rFonts w:cs="Times New Roman"/>
          <w:b/>
          <w:sz w:val="24"/>
          <w:szCs w:val="24"/>
        </w:rPr>
      </w:pPr>
    </w:p>
    <w:p w14:paraId="05A01E8E" w14:textId="6D1E6285" w:rsidR="00AB2309" w:rsidRPr="002679B7" w:rsidRDefault="005B3169" w:rsidP="00747AF0">
      <w:pPr>
        <w:keepNext/>
        <w:spacing w:after="0" w:line="360" w:lineRule="auto"/>
        <w:jc w:val="both"/>
        <w:rPr>
          <w:rFonts w:cs="Times New Roman"/>
          <w:sz w:val="24"/>
          <w:szCs w:val="24"/>
        </w:rPr>
      </w:pPr>
      <w:r w:rsidRPr="002679B7">
        <w:rPr>
          <w:rFonts w:cs="Times New Roman"/>
          <w:b/>
          <w:sz w:val="24"/>
          <w:szCs w:val="24"/>
        </w:rPr>
        <w:t>METHODS</w:t>
      </w:r>
    </w:p>
    <w:p w14:paraId="5FE80D7B" w14:textId="77777777" w:rsidR="005B3169" w:rsidRPr="002679B7" w:rsidRDefault="005B3169" w:rsidP="00747AF0">
      <w:pPr>
        <w:pStyle w:val="NormalWeb"/>
        <w:spacing w:before="0" w:beforeAutospacing="0" w:after="0" w:afterAutospacing="0" w:line="360" w:lineRule="auto"/>
        <w:jc w:val="both"/>
        <w:rPr>
          <w:rStyle w:val="apple-converted-space"/>
          <w:color w:val="000000"/>
        </w:rPr>
      </w:pPr>
      <w:r w:rsidRPr="002679B7">
        <w:rPr>
          <w:b/>
          <w:bCs/>
          <w:color w:val="000000"/>
        </w:rPr>
        <w:t>Study Design and Setting</w:t>
      </w:r>
    </w:p>
    <w:p w14:paraId="7A1D766D" w14:textId="6016DA11" w:rsidR="004E7EEF" w:rsidRDefault="005B3169" w:rsidP="00095E10">
      <w:pPr>
        <w:pStyle w:val="NormalWeb"/>
        <w:spacing w:before="0" w:beforeAutospacing="0" w:after="0" w:afterAutospacing="0" w:line="360" w:lineRule="auto"/>
        <w:ind w:firstLine="720"/>
        <w:jc w:val="both"/>
        <w:rPr>
          <w:color w:val="000000"/>
        </w:rPr>
      </w:pPr>
      <w:r w:rsidRPr="002679B7">
        <w:rPr>
          <w:color w:val="000000"/>
        </w:rPr>
        <w:lastRenderedPageBreak/>
        <w:t>This observational study utilized a retrospective cohort design. The research was conducted at the oncology service and the institutional research laboratory of Dr. Wahidin Sudirohusodo Hospital, Makassar, Indonesia, between April and December 2025. The study protocol was approved by the Health Research Ethics Committee of the Faculty of Medicine, Hasanuddin University, and all procedures were conducted in adherence to the ethical standards of the institutional research committee and the Declaration of Helsinki. Informed written consent was obtained from all individual participants included in the study.</w:t>
      </w:r>
    </w:p>
    <w:p w14:paraId="6BEF88F4" w14:textId="77777777" w:rsidR="004E7EEF" w:rsidRDefault="004E7EEF" w:rsidP="004E7EEF">
      <w:pPr>
        <w:pStyle w:val="NormalWeb"/>
        <w:spacing w:before="0" w:beforeAutospacing="0" w:after="0" w:afterAutospacing="0" w:line="360" w:lineRule="auto"/>
        <w:jc w:val="both"/>
        <w:rPr>
          <w:color w:val="000000"/>
        </w:rPr>
      </w:pPr>
      <w:r w:rsidRPr="004E7EEF">
        <w:rPr>
          <w:b/>
          <w:bCs/>
          <w:color w:val="000000"/>
        </w:rPr>
        <w:t>Study Population</w:t>
      </w:r>
    </w:p>
    <w:p w14:paraId="3C8208EA" w14:textId="2BDB7952" w:rsidR="004E7EEF" w:rsidRDefault="004E7EEF" w:rsidP="00095E10">
      <w:pPr>
        <w:pStyle w:val="NormalWeb"/>
        <w:spacing w:before="0" w:beforeAutospacing="0" w:after="0" w:afterAutospacing="0" w:line="360" w:lineRule="auto"/>
        <w:ind w:firstLine="720"/>
        <w:jc w:val="both"/>
        <w:rPr>
          <w:color w:val="000000"/>
        </w:rPr>
      </w:pPr>
      <w:r w:rsidRPr="004E7EEF">
        <w:rPr>
          <w:color w:val="000000"/>
        </w:rPr>
        <w:t>The study population comprised adult female patients (aged 18 years or older) with a histopathologically confirmed diagnosis of luminal breast cancer who had not previously received any systemic therapy (neoadjuvant chemotherapy, endocrine therapy, or targeted therapy). Luminal subtype classification was based on the standard immunohistochemical evaluation of estrogen receptor (ER), progesterone receptor (PR), HER2, and Ki-67 expression</w:t>
      </w:r>
      <w:r>
        <w:rPr>
          <w:color w:val="000000"/>
        </w:rPr>
        <w:t xml:space="preserve"> </w:t>
      </w:r>
      <w:r>
        <w:rPr>
          <w:color w:val="000000"/>
        </w:rPr>
        <w:fldChar w:fldCharType="begin"/>
      </w:r>
      <w:r>
        <w:rPr>
          <w:color w:val="000000"/>
        </w:rPr>
        <w:instrText xml:space="preserve"> ADDIN ZOTERO_ITEM CSL_CITATION {"citationID":"cAUJMol3","properties":{"formattedCitation":"(9)","plainCitation":"(9)","noteIndex":0},"citationItems":[{"id":6399,"uris":["http://zotero.org/users/local/wf13h2s2/items/82IY77YQ"],"itemData":{"id":6399,"type":"article-journal","abstract":"Breast cancer risk factors and clinical outcomes vary by tumour marker expression. However, individual studies often lack the power required to assess these relationships, and large-scale analyses are limited by the need for high throughput, standardized scoring methods. To address these limitations, we assessed whether automated image analysis of immunohistochemically stained tissue microarrays can permit rapid, standardized scoring of tumour markers from multiple studies. Tissue microarray sections prepared in nine studies containing 20 263 cores from 8267 breast cancers stained for two nuclear (oestrogen receptor, progesterone receptor), two membranous (human epidermal growth factor receptor 2 and epidermal growth factor receptor) and one cytoplasmic (cytokeratin 5/6) marker were scanned as digital images. Automated algorithms were used to score markers in tumour cells using the Ariol system. We compared automated scores against visual reads, and their associations with breast cancer survival. Approximately 65-70% of tissue microarray cores were satisfactory for scoring. Among satisfactory cores, agreement between dichotomous automated and visual scores was highest for oestrogen receptor (Kappa = 0.76), followed by human epidermal growth factor receptor 2 (Kappa = 0.69) and progesterone receptor (Kappa = 0.67). Automated quantitative scores for these markers were associated with hazard ratios for breast cancer mortality in a dose-response manner. Considering visual scores of epidermal growth factor receptor or cytokeratin 5/6 as the reference, automated scoring achieved excellent negative predictive value (96-98%), but yielded many false positives (positive predictive value = 30-32%). For all markers, we observed substantial heterogeneity in automated scoring performance across tissue microarrays. Automated analysis is a potentially useful tool for large-scale, quantitative scoring of immunohistochemically stained tissue microarrays available in consortia. However, continued optimization, rigorous marker-specific quality control measures and standardization of tissue microarray designs, staining and scoring protocols is needed to enhance results.","container-title":"The Journal of Pathology. Clinical Research","DOI":"10.1002/cjp2.3","ISSN":"2056-4538","issue":"1","journalAbbreviation":"J Pathol Clin Res","language":"eng","page":"18-32","PMID":"27499890","PMCID":"PMC4858117","source":"PubMed","title":"Performance of automated scoring of ER, PR, HER2, CK5/6 and EGFR in breast cancer tissue microarrays in the Breast Cancer Association Consortium","volume":"1","author":[{"family":"Howat","given":"William J."},{"family":"Blows","given":"Fiona M."},{"family":"Provenzano","given":"Elena"},{"family":"Brook","given":"Mark N."},{"family":"Morris","given":"Lorna"},{"family":"Gazinska","given":"Patrycja"},{"family":"Johnson","given":"Nicola"},{"family":"McDuffus","given":"Leigh-Anne"},{"family":"Miller","given":"Jodi"},{"family":"Sawyer","given":"Elinor J."},{"family":"Pinder","given":"Sarah"},{"family":"Deurzen","given":"Carolien H. M.","non-dropping-particle":"van"},{"family":"Jones","given":"Louise"},{"family":"Sironen","given":"Reijo"},{"family":"Visscher","given":"Daniel"},{"family":"Caldas","given":"Carlos"},{"family":"Daley","given":"Frances"},{"family":"Coulson","given":"Penny"},{"family":"Broeks","given":"Annegien"},{"family":"Sanders","given":"Joyce"},{"family":"Wesseling","given":"Jelle"},{"family":"Nevanlinna","given":"Heli"},{"family":"Fagerholm","given":"Rainer"},{"family":"Blomqvist","given":"Carl"},{"family":"Heikkilä","given":"Päivi"},{"family":"Ali","given":"H. Raza"},{"family":"Dawson","given":"Sarah-Jane"},{"family":"Figueroa","given":"Jonine"},{"family":"Lissowska","given":"Jolanta"},{"family":"Brinton","given":"Louise"},{"family":"Mannermaa","given":"Arto"},{"family":"Kataja","given":"Vesa"},{"family":"Kosma","given":"Veli-Matti"},{"family":"Cox","given":"Angela"},{"family":"Brock","given":"Ian W."},{"family":"Cross","given":"Simon S."},{"family":"Reed","given":"Malcolm W."},{"family":"Couch","given":"Fergus J."},{"family":"Olson","given":"Janet E."},{"family":"Devillee","given":"Peter"},{"family":"Mesker","given":"Wilma E."},{"family":"Seyaneve","given":"Caroline M."},{"family":"Hollestelle","given":"Antoinette"},{"family":"Benitez","given":"Javier"},{"family":"Perez","given":"Jose Ignacio Arias"},{"family":"Menéndez","given":"Primitiva"},{"family":"Bolla","given":"Manjeet K."},{"family":"Easton","given":"Douglas F."},{"family":"Schmidt","given":"Marjanka K."},{"family":"Pharoah","given":"Paul D."},{"family":"Sherman","given":"Mark E."},{"family":"García-Closas","given":"Montserrat"}],"issued":{"date-parts":[["2015",1]]}}}],"schema":"https://github.com/citation-style-language/schema/raw/master/csl-citation.json"} </w:instrText>
      </w:r>
      <w:r>
        <w:rPr>
          <w:color w:val="000000"/>
        </w:rPr>
        <w:fldChar w:fldCharType="separate"/>
      </w:r>
      <w:r>
        <w:rPr>
          <w:noProof/>
          <w:color w:val="000000"/>
        </w:rPr>
        <w:t>(9)</w:t>
      </w:r>
      <w:r>
        <w:rPr>
          <w:color w:val="000000"/>
        </w:rPr>
        <w:fldChar w:fldCharType="end"/>
      </w:r>
      <w:r w:rsidRPr="004E7EEF">
        <w:rPr>
          <w:color w:val="000000"/>
        </w:rPr>
        <w:t>. Patients were excluded if they presented with incomplete clinical or pathological data, evidence of concurrent secondary malignancies, or if their collected blood samples were severely hemolyzed or otherwise damaged during handling and processing.</w:t>
      </w:r>
    </w:p>
    <w:p w14:paraId="072C2F92" w14:textId="77777777" w:rsidR="00A25404" w:rsidRDefault="004E7EEF" w:rsidP="00A25404">
      <w:pPr>
        <w:pStyle w:val="NormalWeb"/>
        <w:spacing w:before="0" w:beforeAutospacing="0" w:after="0" w:afterAutospacing="0" w:line="360" w:lineRule="auto"/>
        <w:jc w:val="both"/>
        <w:rPr>
          <w:color w:val="000000"/>
        </w:rPr>
      </w:pPr>
      <w:r w:rsidRPr="004E7EEF">
        <w:rPr>
          <w:b/>
          <w:bCs/>
          <w:color w:val="000000"/>
        </w:rPr>
        <w:t>Data and Sample Collection</w:t>
      </w:r>
    </w:p>
    <w:p w14:paraId="7F52F1B0" w14:textId="116691FD" w:rsidR="007321BD" w:rsidRPr="007321BD" w:rsidRDefault="007321BD" w:rsidP="00095E10">
      <w:pPr>
        <w:pStyle w:val="NormalWeb"/>
        <w:spacing w:before="0" w:beforeAutospacing="0" w:after="0" w:afterAutospacing="0" w:line="360" w:lineRule="auto"/>
        <w:ind w:firstLine="720"/>
        <w:jc w:val="both"/>
        <w:rPr>
          <w:color w:val="000000"/>
        </w:rPr>
      </w:pPr>
      <w:r w:rsidRPr="007321BD">
        <w:rPr>
          <w:color w:val="000000"/>
        </w:rPr>
        <w:t>Clinicopathological parameters</w:t>
      </w:r>
      <w:r w:rsidR="00095E10">
        <w:rPr>
          <w:color w:val="000000"/>
        </w:rPr>
        <w:t xml:space="preserve"> </w:t>
      </w:r>
      <w:r w:rsidRPr="007321BD">
        <w:rPr>
          <w:color w:val="000000"/>
        </w:rPr>
        <w:t>including patient age, histopathological grade (categorized as Grade 2 or 3) (10), clinical tumor size (T stage)</w:t>
      </w:r>
      <w:r>
        <w:rPr>
          <w:color w:val="000000"/>
        </w:rPr>
        <w:t xml:space="preserve"> </w:t>
      </w:r>
      <w:r>
        <w:rPr>
          <w:color w:val="000000"/>
        </w:rPr>
        <w:fldChar w:fldCharType="begin"/>
      </w:r>
      <w:r w:rsidR="00C06DDE">
        <w:rPr>
          <w:color w:val="000000"/>
        </w:rPr>
        <w:instrText xml:space="preserve"> ADDIN ZOTERO_ITEM CSL_CITATION {"citationID":"3viGN0sK","properties":{"formattedCitation":"(10\\uc0\\u8211{}12)","plainCitation":"(10–12)","noteIndex":0},"citationItems":[{"id":1753,"uris":["http://zotero.org/users/local/wf13h2s2/items/2FYJTZEU"],"itemData":{"id":1753,"type":"article-journal","abstract":"Introduction:  Breast cancer treatment is carried out at the early stage of the disease, and a comprehensive assessment of the subtype, stage, and incidence of metastases is required. This study aims to determine breast cancer patients' overall survival (OS) and disease-free survival (DFS) based on subtype, stage, and incidence of metastases. Methods:  An observational analytic study with a retrospective cohort design was performed on eligible breast cancer patients at Wahidin Sudirohusodo Hospital from 2016 to 2019. Univariate analysis, and the Kaplan-Meier survival log-rank method (Mantel-Cox), were used to determine differences in survivability rates (OS and DFS) based on subtype, stage, and incidence of metastases. Results:   A total of 172 breast cancer patients from 32 years to 84 years with a mean age of 53.5 years. The most subtypes were Luminal A (34.9%) patients, and the least was Luminal B (15.7%) patients. A total of 85 (49.4%) patients survived during these three years, while 87 (50.6%) died. Based on the results of statistical tests in this study, there were no significant differences between the subtypes with DFS and OS, but on the contrary, there was a significant difference between the stage and incidence of metastases with OS and DFS (p&lt;0.05). Conclusions:  There were no statistically significant differences between the subtypes with OS and DFS. This study showed a significant difference between the stage and incidence of metastases with OS and DFS","container-title":"Nusantara Medical Science Journal","DOI":"10.20956/nmsj.v7i1.20092","ISSN":"2597-7288, 2460-9757","journalAbbreviation":"Nusantara Med Sci J","license":"https://creativecommons.org/licenses/by/4.0","page":"29-38","source":"DOI.org (Crossref)","title":"Survivability Rates Based on Molecular Subtype, Stage and Metastasis of 36 months cohort in Breast Cancer Patients","URL":"https://journal.unhas.ac.id/index.php/jmednus/article/view/20092","author":[{"family":"Wijayanto","given":"Adi"},{"family":"Pieter","given":"John S. L. A."},{"family":"Prihantono","given":"P."},{"family":"Syamsu","given":"Salman Ardy"},{"family":"Smaradhania","given":"Nilam"},{"family":"Abdi","given":"Amirullah"}],"accessed":{"date-parts":[["2025",2,23]]},"issued":{"date-parts":[["2022",4,16]]}}},{"id":3311,"uris":["http://zotero.org/users/local/wf13h2s2/items/IQ8RVAGA"],"itemData":{"id":3311,"type":"article-journal","abstract":"Abstract\n            \n              The American Joint Committee on Cancer (AJCC) staging manual has become the benchmark for classifying patients with cancer, defining prognosis, and determining the best treatment approaches. Many view the primary role of the tumor, lymph node, metastasis (TNM) system as that of a standardized classification system for evaluating cancer at a population level in terms of the extent of disease, both at initial presentation and after surgical treatment, and the overall impact of improvements in cancer treatment. The rapid evolution of knowledge in cancer biology and the discovery and validation of biologic factors that predict cancer outcome and response to treatment with better accuracy have led some cancer experts to question the utility of a TNM‐based approach in clinical care at an individualized patient level. In the Eighth Edition of the\n              AJCC Cancer Staging Manual\n              , the goal of including relevant, nonanatomic (including molecular) factors has been foremost, although changes are made only when there is strong evidence for inclusion. The editorial board viewed this iteration as a proactive effort to continue to build the important bridge from a “population‐based” to a more “personalized” approach to patient classification, one that forms the conceptual framework and foundation of cancer staging in the era of precision molecular oncology. The AJCC promulgates best staging practices through each new edition in an effort to provide cancer care providers with a powerful, knowledge‐based resource for the battle against cancer. In this commentary, the authors highlight the overall organizational and structural changes as well as “what's new” in the Eighth Edition. It is hoped that this information will provide the reader with a better understanding of the rationale behind the aggregate proposed changes and the exciting developments in the upcoming edition.\n              CA Cancer J Clin 2017;67:93–99. © 2017 American Cancer Society.","container-title":"CA: A Cancer Journal for Clinicians","DOI":"10.3322/caac.21388","ISSN":"0007-9235, 1542-4863","issue":"2","journalAbbreviation":"CA A Cancer J Clinicians","language":"en","license":"http://onlinelibrary.wiley.com/termsAndConditions#vor","page":"93-99","source":"DOI.org (Crossref)","title":"The Eighth Edition &lt;span style=\"font-variant:small-caps;\"&gt;AJCC&lt;/span&gt; Cancer Staging Manual: Continuing to build a bridge from a population‐based to a more “personalized” approach to cancer staging","title-short":"The Eighth Edition &lt;span style=\"font-variant","URL":"https://acsjournals.onlinelibrary.wiley.com/doi/10.3322/caac.21388","volume":"67","author":[{"family":"Amin","given":"Mahul B."},{"family":"Greene","given":"Frederick L."},{"family":"Edge","given":"Stephen B."},{"family":"Compton","given":"Carolyn C."},{"family":"Gershenwald","given":"Jeffrey E."},{"family":"Brookland","given":"Robert K."},{"family":"Meyer","given":"Laura"},{"family":"Gress","given":"Donna M."},{"family":"Byrd","given":"David R."},{"family":"Winchester","given":"David P."}],"accessed":{"date-parts":[["2025",8,1]]},"issued":{"date-parts":[["2017",3]]}}},{"id":6415,"uris":["http://zotero.org/users/local/wf13h2s2/items/5L6QU2VD"],"itemData":{"id":6415,"type":"chapter","abstract":"The TNM Classification is a system for classifying a malignancy. It is primarily used in solid tumors and can assist in prognostic cancer staging. A standard classification system improves provider communication and facilitates information sharing and research across populations. The system is based on assessing the tumor, regional lymph nodes, and distant metastasis, as detailed below.","call-number":"NBK553187","container-title":"StatPearls","language":"eng","license":"Copyright © 2026, StatPearls Publishing LLC.","note":"PMID: 31985980","publisher":"StatPearls Publishing","publisher-place":"Treasure Island (FL)","source":"PubMed","title":"TNM Classification","URL":"http://www.ncbi.nlm.nih.gov/books/NBK553187/","author":[{"family":"Rosen","given":"Ryan D."},{"family":"Sapra","given":"Amit"}],"issued":{"date-parts":[["2026"]]}}}],"schema":"https://github.com/citation-style-language/schema/raw/master/csl-citation.json"} </w:instrText>
      </w:r>
      <w:r>
        <w:rPr>
          <w:color w:val="000000"/>
        </w:rPr>
        <w:fldChar w:fldCharType="separate"/>
      </w:r>
      <w:r w:rsidRPr="007321BD">
        <w:rPr>
          <w:rFonts w:eastAsiaTheme="minorEastAsia"/>
          <w:color w:val="000000"/>
        </w:rPr>
        <w:t>(10–12)</w:t>
      </w:r>
      <w:r>
        <w:rPr>
          <w:color w:val="000000"/>
        </w:rPr>
        <w:fldChar w:fldCharType="end"/>
      </w:r>
      <w:r w:rsidRPr="007321BD">
        <w:rPr>
          <w:color w:val="000000"/>
        </w:rPr>
        <w:t xml:space="preserve">, lymph node status (positive or negative), clinical stage (IIIA or IIIB), Ki-67 index (categorized as low [encompassing both &lt;15% and 16–30% immunostaining] or high [≥30%] based on the St. Gallen International Expert Consensus) </w:t>
      </w:r>
      <w:r>
        <w:rPr>
          <w:color w:val="000000"/>
        </w:rPr>
        <w:fldChar w:fldCharType="begin"/>
      </w:r>
      <w:r w:rsidR="00C06DDE">
        <w:rPr>
          <w:color w:val="000000"/>
        </w:rPr>
        <w:instrText xml:space="preserve"> ADDIN ZOTERO_ITEM CSL_CITATION {"citationID":"AAisOVC0","properties":{"formattedCitation":"(13)","plainCitation":"(13)","noteIndex":0},"citationItems":[{"id":6413,"uris":["http://zotero.org/users/local/wf13h2s2/items/ZHH285YZ"],"itemData":{"id":6413,"type":"article-journal","container-title":"Asian Pacific Journal of Cancer Prevention","DOI":"10.7314/APJCP.2013.14.7.4353","ISSN":"1513-7368","issue":"7","journalAbbreviation":"Asian Pac J Cancer Prev","language":"en","page":"4353-4358","source":"DOI.org (Crossref)","title":"Ki67 Index in Breast Cancer: Correlation with Other Prognostic Markers and Potential in Pakistani Patients","title-short":"Ki67 Index in Breast Cancer","URL":"http://koreascience.or.kr/journal/view.jsp?kj=POCPA9&amp;py=2013&amp;vnc=v14n7&amp;sp=4353","volume":"14","author":[{"family":"Haroon","given":"Saroona"},{"family":"Hashmi","given":"Atif Ali"},{"family":"Khurshid","given":"Amna"},{"family":"Kanpurwala","given":"Muhammad Adnan"},{"family":"Mujtuba","given":"Shafaq"},{"family":"Malik","given":"Babar"},{"family":"Faridi","given":"Naveen"}],"accessed":{"date-parts":[["2026",4,3]]},"issued":{"date-parts":[["2013",7,30]]}}}],"schema":"https://github.com/citation-style-language/schema/raw/master/csl-citation.json"} </w:instrText>
      </w:r>
      <w:r>
        <w:rPr>
          <w:color w:val="000000"/>
        </w:rPr>
        <w:fldChar w:fldCharType="separate"/>
      </w:r>
      <w:r>
        <w:rPr>
          <w:color w:val="000000"/>
        </w:rPr>
        <w:t>(13)</w:t>
      </w:r>
      <w:r>
        <w:rPr>
          <w:color w:val="000000"/>
        </w:rPr>
        <w:fldChar w:fldCharType="end"/>
      </w:r>
      <w:r w:rsidRPr="007321BD">
        <w:rPr>
          <w:color w:val="000000"/>
        </w:rPr>
        <w:t>, luminal subtype (A or B), and HER2 status—were extracted from the patients' medical records and standardized pathological reports.</w:t>
      </w:r>
    </w:p>
    <w:p w14:paraId="7D6E7452" w14:textId="47F6831B" w:rsidR="004E7EEF" w:rsidRDefault="004E7EEF" w:rsidP="00095E10">
      <w:pPr>
        <w:pStyle w:val="NormalWeb"/>
        <w:spacing w:before="0" w:beforeAutospacing="0" w:after="0" w:afterAutospacing="0" w:line="360" w:lineRule="auto"/>
        <w:ind w:firstLine="720"/>
        <w:jc w:val="both"/>
        <w:rPr>
          <w:color w:val="000000"/>
        </w:rPr>
      </w:pPr>
      <w:r w:rsidRPr="007321BD">
        <w:rPr>
          <w:color w:val="000000"/>
        </w:rPr>
        <w:t>To establish these biomarker profiles, tissue microarrays were stained for ER and PR using clones 6F11/2 (Novocastra) and PR636 (Dako), and for HER2 and Ki-67 using the Herceptest kit K5207 and MIB-1 (Dako), respectively. Clinical records provided the dichotomous status for ER, PR, and HER2. ER and PR were considered positive if the Allred score exceeded 2 (&gt;10% reactive cells)</w:t>
      </w:r>
      <w:r w:rsidR="00A25404" w:rsidRPr="007321BD">
        <w:rPr>
          <w:color w:val="000000"/>
        </w:rPr>
        <w:t xml:space="preserve"> </w:t>
      </w:r>
      <w:r w:rsidR="00A25404" w:rsidRPr="007321BD">
        <w:rPr>
          <w:color w:val="000000"/>
        </w:rPr>
        <w:fldChar w:fldCharType="begin"/>
      </w:r>
      <w:r w:rsidR="007321BD">
        <w:rPr>
          <w:color w:val="000000"/>
        </w:rPr>
        <w:instrText xml:space="preserve"> ADDIN ZOTERO_ITEM CSL_CITATION {"citationID":"1eijJ1u4","properties":{"formattedCitation":"(14)","plainCitation":"(14)","noteIndex":0},"citationItems":[{"id":6404,"uris":["http://zotero.org/users/local/wf13h2s2/items/UNYMAE83"],"itemData":{"id":6404,"type":"article-journal","abstract":"PURPOSE: To update key recommendations of the American Society of Clinical Oncology/College of American Pathologists estrogen (ER) and progesterone receptor (PgR) testing in breast cancer guideline.\nMETHODS: A multidisciplinary international Expert Panel was convened to update the clinical practice guideline recommendations informed by a systematic review of the medical literature.\nRECOMMENDATIONS: The Expert Panel continues to recommend ER testing of invasive breast cancers by validated immunohistochemistry as the standard for predicting which patients may benefit from endocrine therapy, and no other assays are recommended for this purpose. Breast cancer samples with 1% to 100% of tumor nuclei positive should be interpreted as ER positive. However, the Expert Panel acknowledges that there are limited data on endocrine therapy benefit for cancers with 1% to 10% of cells staining ER positive. Samples with these results should be reported using a new reporting category, ER Low Positive, with a recommended comment. A sample is considered ER negative if &lt; 1% or 0% of tumor cell nuclei are immunoreactive. Additional strategies recommended to promote optimal performance, interpretation, and reporting of cases with an initial low to no ER staining result include establishing a laboratory-specific standard operating procedure describing additional steps used by the laboratory to confirm/adjudicate results. The status of controls should be reported for cases with 0% to 10% staining. Similar principles apply to PgR testing, which is used primarily for prognostic purposes in the setting of an ER-positive cancer. Testing of ductal carcinoma in situ (DCIS) for ER is recommended to determine potential benefit of endocrine therapies to reduce risk of future breast cancer, while testing DCIS for PgR is considered optional. Additional information can be found at www.asco.org/breast-cancer-guidelines.","container-title":"Journal of Clinical Oncology: Official Journal of the American Society of Clinical Oncology","DOI":"10.1200/JCO.19.02309","ISSN":"1527-7755","issue":"12","journalAbbreviation":"J Clin Oncol","language":"eng","page":"1346-1366","PMID":"31928404","source":"PubMed","title":"Estrogen and Progesterone Receptor Testing in Breast Cancer: ASCO/CAP Guideline Update","title-short":"Estrogen and Progesterone Receptor Testing in Breast Cancer","volume":"38","author":[{"family":"Allison","given":"Kimberly H."},{"family":"Hammond","given":"M. Elizabeth H."},{"family":"Dowsett","given":"Mitchell"},{"family":"McKernin","given":"Shannon E."},{"family":"Carey","given":"Lisa A."},{"family":"Fitzgibbons","given":"Patrick L."},{"family":"Hayes","given":"Daniel F."},{"family":"Lakhani","given":"Sunil R."},{"family":"Chavez-MacGregor","given":"Mariana"},{"family":"Perlmutter","given":"Jane"},{"family":"Perou","given":"Charles M."},{"family":"Regan","given":"Meredith M."},{"family":"Rimm","given":"David L."},{"family":"Symmans","given":"W. Fraser"},{"family":"Torlakovic","given":"Emina E."},{"family":"Varella","given":"Leticia"},{"family":"Viale","given":"Giuseppe"},{"family":"Weisberg","given":"Tracey F."},{"family":"McShane","given":"Lisa M."},{"family":"Wolff","given":"Antonio C."}],"issued":{"date-parts":[["2020",4,20]]}}}],"schema":"https://github.com/citation-style-language/schema/raw/master/csl-citation.json"} </w:instrText>
      </w:r>
      <w:r w:rsidR="00A25404" w:rsidRPr="007321BD">
        <w:rPr>
          <w:color w:val="000000"/>
        </w:rPr>
        <w:fldChar w:fldCharType="separate"/>
      </w:r>
      <w:r w:rsidR="007321BD">
        <w:rPr>
          <w:noProof/>
          <w:color w:val="000000"/>
        </w:rPr>
        <w:t>(14)</w:t>
      </w:r>
      <w:r w:rsidR="00A25404" w:rsidRPr="007321BD">
        <w:rPr>
          <w:color w:val="000000"/>
        </w:rPr>
        <w:fldChar w:fldCharType="end"/>
      </w:r>
      <w:r w:rsidRPr="007321BD">
        <w:rPr>
          <w:color w:val="000000"/>
        </w:rPr>
        <w:t>. HER2 positivity was defined as an immunohistochemical score of 3+ or confirmed amplification via fluorescent in situ hybridization (FISH). The system generated HER2 scores (0 to 3+) following American Society of Clinical Oncology/College of American Pathologists (ASCO/CAP) guidelines</w:t>
      </w:r>
      <w:r w:rsidR="00A25404" w:rsidRPr="007321BD">
        <w:rPr>
          <w:color w:val="000000"/>
        </w:rPr>
        <w:t xml:space="preserve"> </w:t>
      </w:r>
      <w:r w:rsidR="00A25404" w:rsidRPr="007321BD">
        <w:rPr>
          <w:color w:val="000000"/>
        </w:rPr>
        <w:fldChar w:fldCharType="begin"/>
      </w:r>
      <w:r w:rsidR="007321BD">
        <w:rPr>
          <w:color w:val="000000"/>
        </w:rPr>
        <w:instrText xml:space="preserve"> ADDIN ZOTERO_ITEM CSL_CITATION {"citationID":"ylA27zXb","properties":{"formattedCitation":"(15)","plainCitation":"(15)","noteIndex":0},"citationItems":[{"id":6407,"uris":["http://zotero.org/users/local/wf13h2s2/items/WCU2Y7EL"],"itemData":{"id":6407,"type":"article-journal","abstract":"Since the release of the DESTINY-Breast04 (DB-04) trial findings in June 2022, the field of pathology has seen a renaissance of HER2 as a predictive biomarker in breast cancer. The trial focused on patients with metastatic breast cancer who were classified as \"HER2-low,\" i.e., those with immunohistochemistry (IHC) HER2 1 + or 2 + and negative in situ hybridization (ISH) results. The study revealed that treating these patients with trastuzumab deruxtecan (T-DXd) instead of the oncologist's chosen chemotherapy led to outstanding improvements in survival. This has challenged the existing binary HER2 pathological classification system, which categorized tumors as either positive (overexpression/amplification) or negative, as per the ASCO/CAP 2018 guideline reaffirmed by ASCO/CAP 2023 guideline update. Given that DB-04 excluded patients with HER2 IHC score 0 status, the results of the ongoing DB-06 trial may shed further light on the potential benefits of T-DXd therapy for these patients. Roughly half of all breast cancers are estimated to belong to the HER2-low category, which does not represent a distinct or specific subtype of cancer. Instead, it encompasses a diverse group of tumors that exhibit clinical, morphological, immunohistochemical, and molecular variations. However, HER2-low offers a distinctive biomarker status that identifies a specific therapeutic regimen (i.e., T-DXd) linked to a favorable prognosis in breast cancer. This unique association emphasizes the importance of accurately identifying these tumors. Differentiating between a HER2 IHC score 0 and score 1 + has not been clinically significant until now. To ensure accurate classification and avoid misdiagnosis, it is necessary to adopt standardized procedures, guidelines, and specialized training for pathologists in interpreting HER2 expression in the lower spectrum. Additionally, the utilization of artificial intelligence holds promise in supporting this endeavor. Here, we address the current state of the art and unresolved issues in assessing HER2-low status, with a particular emphasis on the score 0. We explore the dilemma surrounding the exclusion of HER2-zero patients from potentially beneficial therapy based on traditional HER2 testing. Additionally, we examine the clinical context, considering that DB-04 primarily involved heavily pretreated late-stage metastatic breast cancers. We also delve into emerging evidence suggesting that extrapolating HER2-low status from the original diagnosis may lead to misleading results. Finally, we provide recommendations for conducting high-quality testing and propose a standardized pathology report in compliance with 2023 ASCO/CAP updates and 2023 ESMO consensus statements on HER2-low breast cancer.","container-title":"Virchows Archiv: An International Journal of Pathology","DOI":"10.1007/s00428-023-03656-w","ISSN":"1432-2307","issue":"1","journalAbbreviation":"Virchows Arch","language":"eng","page":"3-14","PMID":"37770765","PMCID":"PMC10791807","source":"PubMed","title":"Standardized pathology report for HER2 testing in compliance with 2023 ASCO/CAP updates and 2023 ESMO consensus statements on HER2-low breast cancer","volume":"484","author":[{"family":"Ivanova","given":"Mariia"},{"family":"Porta","given":"Francesca Maria"},{"family":"D'Ercole","given":"Marianna"},{"family":"Pescia","given":"Carlo"},{"family":"Sajjadi","given":"Elham"},{"family":"Cursano","given":"Giulia"},{"family":"De Camilli","given":"Elisa"},{"family":"Pala","given":"Oriana"},{"family":"Mazzarol","given":"Giovanni"},{"family":"Venetis","given":"Konstantinos"},{"family":"Guerini-Rocco","given":"Elena"},{"family":"Curigliano","given":"Giuseppe"},{"family":"Viale","given":"Giuseppe"},{"family":"Fusco","given":"Nicola"}],"issued":{"date-parts":[["2024",1]]}}}],"schema":"https://github.com/citation-style-language/schema/raw/master/csl-citation.json"} </w:instrText>
      </w:r>
      <w:r w:rsidR="00A25404" w:rsidRPr="007321BD">
        <w:rPr>
          <w:color w:val="000000"/>
        </w:rPr>
        <w:fldChar w:fldCharType="separate"/>
      </w:r>
      <w:r w:rsidR="007321BD">
        <w:rPr>
          <w:noProof/>
          <w:color w:val="000000"/>
        </w:rPr>
        <w:t>(15)</w:t>
      </w:r>
      <w:r w:rsidR="00A25404" w:rsidRPr="007321BD">
        <w:rPr>
          <w:color w:val="000000"/>
        </w:rPr>
        <w:fldChar w:fldCharType="end"/>
      </w:r>
      <w:r w:rsidRPr="007321BD">
        <w:rPr>
          <w:color w:val="000000"/>
        </w:rPr>
        <w:t xml:space="preserve">. The automated scoring showed high concordance with manual pathologist evaluations across all markers: ER (90% agreement, kappa = 0.76), PR (84%, kappa = 0.66), HER2 (90%, kappa = 0.69), and Ki-67 (87%, kappa = 0.64) </w:t>
      </w:r>
      <w:r w:rsidRPr="007321BD">
        <w:rPr>
          <w:color w:val="000000"/>
        </w:rPr>
        <w:fldChar w:fldCharType="begin"/>
      </w:r>
      <w:r w:rsidRPr="007321BD">
        <w:rPr>
          <w:color w:val="000000"/>
        </w:rPr>
        <w:instrText xml:space="preserve"> ADDIN ZOTERO_ITEM CSL_CITATION {"citationID":"n3NnRhdY","properties":{"formattedCitation":"(9)","plainCitation":"(9)","noteIndex":0},"citationItems":[{"id":6399,"uris":["http://zotero.org/users/local/wf13h2s2/items/82IY77YQ"],"itemData":{"id":6399,"type":"article-journal","abstract":"Breast cancer risk factors and clinical outcomes vary by tumour marker expression. However, individual studies often lack the power required to assess these relationships, and large-scale analyses are limited by the need for high throughput, standardized scoring methods. To address these limitations, we assessed whether automated image analysis of immunohistochemically stained tissue microarrays can permit rapid, standardized scoring of tumour markers from multiple studies. Tissue microarray sections prepared in nine studies containing 20 263 cores from 8267 breast cancers stained for two nuclear (oestrogen receptor, progesterone receptor), two membranous (human epidermal growth factor receptor 2 and epidermal growth factor receptor) and one cytoplasmic (cytokeratin 5/6) marker were scanned as digital images. Automated algorithms were used to score markers in tumour cells using the Ariol system. We compared automated scores against visual reads, and their associations with breast cancer survival. Approximately 65-70% of tissue microarray cores were satisfactory for scoring. Among satisfactory cores, agreement between dichotomous automated and visual scores was highest for oestrogen receptor (Kappa = 0.76), followed by human epidermal growth factor receptor 2 (Kappa = 0.69) and progesterone receptor (Kappa = 0.67). Automated quantitative scores for these markers were associated with hazard ratios for breast cancer mortality in a dose-response manner. Considering visual scores of epidermal growth factor receptor or cytokeratin 5/6 as the reference, automated scoring achieved excellent negative predictive value (96-98%), but yielded many false positives (positive predictive value = 30-32%). For all markers, we observed substantial heterogeneity in automated scoring performance across tissue microarrays. Automated analysis is a potentially useful tool for large-scale, quantitative scoring of immunohistochemically stained tissue microarrays available in consortia. However, continued optimization, rigorous marker-specific quality control measures and standardization of tissue microarray designs, staining and scoring protocols is needed to enhance results.","container-title":"The Journal of Pathology. Clinical Research","DOI":"10.1002/cjp2.3","ISSN":"2056-4538","issue":"1","journalAbbreviation":"J Pathol Clin Res","language":"eng","page":"18-32","PMID":"27499890","PMCID":"PMC4858117","source":"PubMed","title":"Performance of automated scoring of ER, PR, HER2, CK5/6 and EGFR in breast cancer tissue microarrays in the Breast Cancer Association Consortium","volume":"1","author":[{"family":"Howat","given":"William J."},{"family":"Blows","given":"Fiona M."},{"family":"Provenzano","given":"Elena"},{"family":"Brook","given":"Mark N."},{"family":"Morris","given":"Lorna"},{"family":"Gazinska","given":"Patrycja"},{"family":"Johnson","given":"Nicola"},{"family":"McDuffus","given":"Leigh-Anne"},{"family":"Miller","given":"Jodi"},{"family":"Sawyer","given":"Elinor J."},{"family":"Pinder","given":"Sarah"},{"family":"Deurzen","given":"Carolien H. M.","non-dropping-particle":"van"},{"family":"Jones","given":"Louise"},{"family":"Sironen","given":"Reijo"},{"family":"Visscher","given":"Daniel"},{"family":"Caldas","given":"Carlos"},{"family":"Daley","given":"Frances"},{"family":"Coulson","given":"Penny"},{"family":"Broeks","given":"Annegien"},{"family":"Sanders","given":"Joyce"},{"family":"Wesseling","given":"Jelle"},{"family":"Nevanlinna","given":"Heli"},{"family":"Fagerholm","given":"Rainer"},{"family":"Blomqvist","given":"Carl"},{"family":"Heikkilä","given":"Päivi"},{"family":"Ali","given":"H. Raza"},{"family":"Dawson","given":"Sarah-Jane"},{"family":"Figueroa","given":"Jonine"},{"family":"Lissowska","given":"Jolanta"},{"family":"Brinton","given":"Louise"},{"family":"Mannermaa","given":"Arto"},{"family":"Kataja","given":"Vesa"},{"family":"Kosma","given":"Veli-Matti"},{"family":"Cox","given":"Angela"},{"family":"Brock","given":"Ian W."},{"family":"Cross","given":"Simon S."},{"family":"Reed","given":"Malcolm W."},{"family":"Couch","given":"Fergus J."},{"family":"Olson","given":"Janet E."},{"family":"Devillee","given":"Peter"},{"family":"Mesker","given":"Wilma E."},{"family":"Seyaneve","given":"Caroline M."},{"family":"Hollestelle","given":"Antoinette"},{"family":"Benitez","given":"Javier"},{"family":"Perez","given":"Jose Ignacio Arias"},{"family":"Menéndez","given":"Primitiva"},{"family":"Bolla","given":"Manjeet K."},{"family":"Easton","given":"Douglas F."},{"family":"Schmidt","given":"Marjanka K."},{"family":"Pharoah","given":"Paul D."},{"family":"Sherman","given":"Mark E."},{"family":"García-Closas","given":"Montserrat"}],"issued":{"date-parts":[["2015",1]]}}}],"schema":"https://github.com/citation-style-language/schema/raw/master/csl-citation.json"} </w:instrText>
      </w:r>
      <w:r w:rsidRPr="007321BD">
        <w:rPr>
          <w:color w:val="000000"/>
        </w:rPr>
        <w:fldChar w:fldCharType="separate"/>
      </w:r>
      <w:r w:rsidRPr="007321BD">
        <w:rPr>
          <w:noProof/>
          <w:color w:val="000000"/>
        </w:rPr>
        <w:t>(9)</w:t>
      </w:r>
      <w:r w:rsidRPr="007321BD">
        <w:rPr>
          <w:color w:val="000000"/>
        </w:rPr>
        <w:fldChar w:fldCharType="end"/>
      </w:r>
      <w:r w:rsidRPr="007321BD">
        <w:rPr>
          <w:color w:val="000000"/>
        </w:rPr>
        <w:t>.</w:t>
      </w:r>
    </w:p>
    <w:p w14:paraId="1E172B73" w14:textId="7030064C" w:rsidR="004E7EEF" w:rsidRPr="004E7EEF" w:rsidRDefault="004E7EEF" w:rsidP="00095E10">
      <w:pPr>
        <w:pStyle w:val="NormalWeb"/>
        <w:spacing w:before="0" w:beforeAutospacing="0" w:after="0" w:afterAutospacing="0" w:line="360" w:lineRule="auto"/>
        <w:ind w:firstLine="720"/>
        <w:jc w:val="both"/>
        <w:rPr>
          <w:color w:val="000000"/>
        </w:rPr>
      </w:pPr>
      <w:r w:rsidRPr="004E7EEF">
        <w:rPr>
          <w:color w:val="000000"/>
        </w:rPr>
        <w:lastRenderedPageBreak/>
        <w:t>For the biochemical evaluation, 3 to 5 mL of peripheral venous blood was drawn from each participant using standard venipuncture techniques prior to the initiation of any oncological treatment. The blood samples were collected in standard serum separator tubes, allowed to clot at room temperature, and subsequently centrifuged to isolate the serum. The extracted serum was aliquoted and stored at -80°C until further analysis to prevent peptide degradation. Serum Substance P (SP) levels were quantitatively measured using a commercially available enzyme-linked immunosorbent assay (ELISA) kit (MyBioSource, Inc., San Diego, CA, USA; Cat. No. MBS2700099), strictly adhering to the manufacturer's provided protocol. All laboratory assays were performed by technicians blinded to the clinical data to minimize observational bias.</w:t>
      </w:r>
    </w:p>
    <w:p w14:paraId="4E920DCC" w14:textId="306E9A03" w:rsidR="005B3169" w:rsidRPr="002679B7" w:rsidRDefault="005B3169" w:rsidP="004E7EEF">
      <w:pPr>
        <w:pStyle w:val="NormalWeb"/>
        <w:spacing w:before="0" w:beforeAutospacing="0" w:after="0" w:afterAutospacing="0" w:line="360" w:lineRule="auto"/>
        <w:jc w:val="both"/>
        <w:rPr>
          <w:rStyle w:val="apple-converted-space"/>
          <w:color w:val="000000"/>
        </w:rPr>
      </w:pPr>
      <w:r w:rsidRPr="002679B7">
        <w:rPr>
          <w:b/>
          <w:bCs/>
          <w:color w:val="000000"/>
        </w:rPr>
        <w:t>Statistical Analysis</w:t>
      </w:r>
      <w:r w:rsidRPr="002679B7">
        <w:rPr>
          <w:rStyle w:val="apple-converted-space"/>
          <w:color w:val="000000"/>
        </w:rPr>
        <w:t> </w:t>
      </w:r>
    </w:p>
    <w:p w14:paraId="3542AE8F" w14:textId="65642952" w:rsidR="005B3169" w:rsidRPr="002679B7" w:rsidRDefault="005B3169" w:rsidP="00095E10">
      <w:pPr>
        <w:pStyle w:val="NormalWeb"/>
        <w:spacing w:before="0" w:beforeAutospacing="0" w:after="0" w:afterAutospacing="0" w:line="360" w:lineRule="auto"/>
        <w:ind w:firstLine="720"/>
        <w:jc w:val="both"/>
        <w:rPr>
          <w:color w:val="000000"/>
        </w:rPr>
      </w:pPr>
      <w:r w:rsidRPr="002679B7">
        <w:rPr>
          <w:color w:val="000000"/>
        </w:rPr>
        <w:t xml:space="preserve">Data were analyzed using IBM SPSS Statistics version 25.0 (IBM Corp., Armonk, NY). Baseline characteristics were summarized using means ± standard deviations (SD) for continuous variables, and frequencies with percentages for categorical data. Continuous bivariable comparisons evaluated mean serum SP levels across prognostic categories. Receiver operating characteristic (ROC) curve analysis established the optimal diagnostic cutoff for variables exhibiting the strongest exploratory associations. Following dichotomization of serum SP levels using this cutoff, categorical associations were assessed utilizing the Chi-square or Fisher’s exact test to calculate odds ratios (OR) and 95% confidence intervals (CI). Significant variables from the bivariable analysis were subsequently evaluated in a </w:t>
      </w:r>
      <w:commentRangeStart w:id="1"/>
      <w:r w:rsidRPr="002679B7">
        <w:rPr>
          <w:color w:val="000000"/>
        </w:rPr>
        <w:t>multivariable logistic regression model</w:t>
      </w:r>
      <w:commentRangeEnd w:id="1"/>
      <w:r w:rsidR="00672338" w:rsidRPr="002679B7">
        <w:rPr>
          <w:rStyle w:val="CommentReference"/>
          <w:color w:val="000000"/>
          <w:sz w:val="24"/>
          <w:szCs w:val="24"/>
        </w:rPr>
        <w:commentReference w:id="1"/>
      </w:r>
      <w:r w:rsidRPr="002679B7">
        <w:rPr>
          <w:color w:val="000000"/>
        </w:rPr>
        <w:t>. A two-tailed</w:t>
      </w:r>
      <w:r w:rsidRPr="002679B7">
        <w:rPr>
          <w:rStyle w:val="apple-converted-space"/>
          <w:color w:val="000000"/>
        </w:rPr>
        <w:t> </w:t>
      </w:r>
      <w:r w:rsidRPr="002679B7">
        <w:rPr>
          <w:i/>
          <w:iCs/>
          <w:color w:val="000000"/>
        </w:rPr>
        <w:t>p</w:t>
      </w:r>
      <w:r w:rsidRPr="002679B7">
        <w:rPr>
          <w:color w:val="000000"/>
        </w:rPr>
        <w:t>-value &lt; 0.05 was considered statistically significant.</w:t>
      </w:r>
    </w:p>
    <w:p w14:paraId="5B91ACF2" w14:textId="77777777" w:rsidR="005B3169" w:rsidRPr="002679B7" w:rsidRDefault="005B3169" w:rsidP="00747AF0">
      <w:pPr>
        <w:pStyle w:val="NormalWeb"/>
        <w:spacing w:before="0" w:beforeAutospacing="0" w:after="0" w:afterAutospacing="0" w:line="360" w:lineRule="auto"/>
        <w:jc w:val="both"/>
        <w:rPr>
          <w:color w:val="000000"/>
        </w:rPr>
      </w:pPr>
    </w:p>
    <w:p w14:paraId="0583BC58" w14:textId="0E37D56E" w:rsidR="00AB2309" w:rsidRPr="002679B7" w:rsidRDefault="005B3169" w:rsidP="00747AF0">
      <w:pPr>
        <w:keepNext/>
        <w:spacing w:after="0" w:line="360" w:lineRule="auto"/>
        <w:jc w:val="both"/>
        <w:rPr>
          <w:rFonts w:cs="Times New Roman"/>
          <w:sz w:val="24"/>
          <w:szCs w:val="24"/>
        </w:rPr>
      </w:pPr>
      <w:r w:rsidRPr="002679B7">
        <w:rPr>
          <w:rFonts w:cs="Times New Roman"/>
          <w:b/>
          <w:sz w:val="24"/>
          <w:szCs w:val="24"/>
        </w:rPr>
        <w:t>RESULTS</w:t>
      </w:r>
    </w:p>
    <w:p w14:paraId="266C0ED6" w14:textId="0065F41C" w:rsidR="00AB2309" w:rsidRPr="002679B7" w:rsidRDefault="005B3169" w:rsidP="00095E10">
      <w:pPr>
        <w:spacing w:after="0" w:line="360" w:lineRule="auto"/>
        <w:ind w:firstLine="720"/>
        <w:jc w:val="both"/>
        <w:rPr>
          <w:rFonts w:cs="Times New Roman"/>
          <w:color w:val="000000"/>
          <w:sz w:val="24"/>
          <w:szCs w:val="24"/>
        </w:rPr>
      </w:pPr>
      <w:r w:rsidRPr="002679B7">
        <w:rPr>
          <w:rFonts w:cs="Times New Roman"/>
          <w:color w:val="000000"/>
          <w:sz w:val="24"/>
          <w:szCs w:val="24"/>
        </w:rPr>
        <w:t xml:space="preserve">A total of 47 female patients with luminal breast cancer were included in the analysis. The participants' mean age was 51 ± 10 years, and overall SP levels ranged from 1.00 to 2.16 </w:t>
      </w:r>
      <w:r w:rsidR="0097236C" w:rsidRPr="002679B7">
        <w:rPr>
          <w:rFonts w:cs="Times New Roman"/>
          <w:color w:val="000000"/>
          <w:sz w:val="24"/>
          <w:szCs w:val="24"/>
        </w:rPr>
        <w:t xml:space="preserve">ng/mL </w:t>
      </w:r>
      <w:r w:rsidRPr="002679B7">
        <w:rPr>
          <w:rFonts w:cs="Times New Roman"/>
          <w:color w:val="000000"/>
          <w:sz w:val="24"/>
          <w:szCs w:val="24"/>
        </w:rPr>
        <w:t>(mean 1.32 ± 0.23</w:t>
      </w:r>
      <w:r w:rsidR="0097236C" w:rsidRPr="002679B7">
        <w:rPr>
          <w:rFonts w:cs="Times New Roman"/>
          <w:color w:val="000000"/>
          <w:sz w:val="24"/>
          <w:szCs w:val="24"/>
        </w:rPr>
        <w:t xml:space="preserve"> ng/mL</w:t>
      </w:r>
      <w:r w:rsidRPr="002679B7">
        <w:rPr>
          <w:rFonts w:cs="Times New Roman"/>
          <w:color w:val="000000"/>
          <w:sz w:val="24"/>
          <w:szCs w:val="24"/>
        </w:rPr>
        <w:t xml:space="preserve">). As detailed in </w:t>
      </w:r>
      <w:r w:rsidRPr="002679B7">
        <w:rPr>
          <w:rFonts w:cs="Times New Roman"/>
          <w:b/>
          <w:bCs/>
          <w:color w:val="000000"/>
          <w:sz w:val="24"/>
          <w:szCs w:val="24"/>
        </w:rPr>
        <w:t>Table 1</w:t>
      </w:r>
      <w:r w:rsidRPr="002679B7">
        <w:rPr>
          <w:rFonts w:cs="Times New Roman"/>
          <w:color w:val="000000"/>
          <w:sz w:val="24"/>
          <w:szCs w:val="24"/>
        </w:rPr>
        <w:t xml:space="preserve">, </w:t>
      </w:r>
      <w:commentRangeStart w:id="2"/>
      <w:r w:rsidRPr="002679B7">
        <w:rPr>
          <w:rFonts w:cs="Times New Roman"/>
          <w:color w:val="000000"/>
          <w:sz w:val="24"/>
          <w:szCs w:val="24"/>
        </w:rPr>
        <w:t>the cohort predominantly presented with locally advanced disease</w:t>
      </w:r>
      <w:commentRangeEnd w:id="2"/>
      <w:r w:rsidR="00672338" w:rsidRPr="002679B7">
        <w:rPr>
          <w:rStyle w:val="CommentReference"/>
          <w:rFonts w:cs="Times New Roman"/>
          <w:color w:val="000000"/>
          <w:sz w:val="24"/>
          <w:szCs w:val="24"/>
        </w:rPr>
        <w:commentReference w:id="2"/>
      </w:r>
      <w:r w:rsidRPr="002679B7">
        <w:rPr>
          <w:rFonts w:cs="Times New Roman"/>
          <w:color w:val="000000"/>
          <w:sz w:val="24"/>
          <w:szCs w:val="24"/>
        </w:rPr>
        <w:t>, primarily characterized by T4 tumors, positive lymph node involvement, clinical stage IIIB disease, and histopathological Grade 3 tumors. Regarding molecular profiling, the Luminal B subtype and HER2-negative status were the most frequently observed classifications.</w:t>
      </w:r>
    </w:p>
    <w:p w14:paraId="15E36C4A" w14:textId="77777777" w:rsidR="0097236C" w:rsidRPr="002679B7" w:rsidRDefault="0097236C" w:rsidP="00747AF0">
      <w:pPr>
        <w:spacing w:after="0" w:line="360" w:lineRule="auto"/>
        <w:jc w:val="both"/>
        <w:rPr>
          <w:rFonts w:cs="Times New Roman"/>
          <w:color w:val="000000"/>
          <w:sz w:val="24"/>
          <w:szCs w:val="24"/>
        </w:rPr>
      </w:pPr>
    </w:p>
    <w:p w14:paraId="30C061D1" w14:textId="12799DDF" w:rsidR="005B3169" w:rsidRPr="002679B7" w:rsidRDefault="005B3169" w:rsidP="00747AF0">
      <w:pPr>
        <w:spacing w:after="0" w:line="360" w:lineRule="auto"/>
        <w:jc w:val="center"/>
        <w:rPr>
          <w:rFonts w:cs="Times New Roman"/>
          <w:color w:val="000000"/>
          <w:sz w:val="24"/>
          <w:szCs w:val="24"/>
        </w:rPr>
      </w:pPr>
      <w:r w:rsidRPr="002679B7">
        <w:rPr>
          <w:rFonts w:cs="Times New Roman"/>
          <w:b/>
          <w:bCs/>
          <w:color w:val="000000"/>
          <w:sz w:val="24"/>
          <w:szCs w:val="24"/>
        </w:rPr>
        <w:t>Table 1.</w:t>
      </w:r>
      <w:r w:rsidRPr="002679B7">
        <w:rPr>
          <w:rFonts w:cs="Times New Roman"/>
          <w:sz w:val="24"/>
          <w:szCs w:val="24"/>
        </w:rPr>
        <w:t> </w:t>
      </w:r>
      <w:r w:rsidRPr="002679B7">
        <w:rPr>
          <w:rFonts w:cs="Times New Roman"/>
          <w:color w:val="000000"/>
          <w:sz w:val="24"/>
          <w:szCs w:val="24"/>
        </w:rPr>
        <w:t>Baseline demographic and clinicopathological characteristics of study</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24"/>
        <w:gridCol w:w="2551"/>
        <w:gridCol w:w="1276"/>
        <w:gridCol w:w="1276"/>
      </w:tblGrid>
      <w:tr w:rsidR="005B3169" w:rsidRPr="002679B7" w14:paraId="11594BB5" w14:textId="77777777" w:rsidTr="005B3169">
        <w:trPr>
          <w:tblHeader/>
          <w:tblCellSpacing w:w="15" w:type="dxa"/>
          <w:jc w:val="center"/>
        </w:trPr>
        <w:tc>
          <w:tcPr>
            <w:tcW w:w="3430" w:type="dxa"/>
            <w:gridSpan w:val="2"/>
            <w:vAlign w:val="center"/>
            <w:hideMark/>
          </w:tcPr>
          <w:p w14:paraId="51F240E8" w14:textId="629A03B6"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b/>
                <w:bCs/>
                <w:color w:val="000000"/>
                <w:sz w:val="24"/>
                <w:szCs w:val="24"/>
                <w:lang w:val="en-ID"/>
              </w:rPr>
              <w:lastRenderedPageBreak/>
              <w:t>Variable</w:t>
            </w:r>
          </w:p>
        </w:tc>
        <w:tc>
          <w:tcPr>
            <w:tcW w:w="1246" w:type="dxa"/>
            <w:vAlign w:val="center"/>
            <w:hideMark/>
          </w:tcPr>
          <w:p w14:paraId="55B0E96F"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b/>
                <w:bCs/>
                <w:color w:val="000000"/>
                <w:sz w:val="24"/>
                <w:szCs w:val="24"/>
                <w:lang w:val="en-ID"/>
              </w:rPr>
              <w:t>n</w:t>
            </w:r>
          </w:p>
        </w:tc>
        <w:tc>
          <w:tcPr>
            <w:tcW w:w="1231" w:type="dxa"/>
            <w:vAlign w:val="center"/>
            <w:hideMark/>
          </w:tcPr>
          <w:p w14:paraId="7EF82967"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b/>
                <w:bCs/>
                <w:color w:val="000000"/>
                <w:sz w:val="24"/>
                <w:szCs w:val="24"/>
                <w:lang w:val="en-ID"/>
              </w:rPr>
              <w:t>%</w:t>
            </w:r>
          </w:p>
        </w:tc>
      </w:tr>
      <w:tr w:rsidR="005B3169" w:rsidRPr="002679B7" w14:paraId="18013795" w14:textId="77777777" w:rsidTr="005B3169">
        <w:trPr>
          <w:tblCellSpacing w:w="15" w:type="dxa"/>
          <w:jc w:val="center"/>
        </w:trPr>
        <w:tc>
          <w:tcPr>
            <w:tcW w:w="3430" w:type="dxa"/>
            <w:gridSpan w:val="2"/>
            <w:tcBorders>
              <w:top w:val="single" w:sz="4" w:space="0" w:color="auto"/>
              <w:bottom w:val="nil"/>
            </w:tcBorders>
            <w:vAlign w:val="center"/>
          </w:tcPr>
          <w:p w14:paraId="3945A3AE" w14:textId="6BE36D6A" w:rsidR="005B3169" w:rsidRPr="002679B7" w:rsidRDefault="005B3169" w:rsidP="00747AF0">
            <w:pPr>
              <w:spacing w:after="0" w:line="360" w:lineRule="auto"/>
              <w:rPr>
                <w:rFonts w:cs="Times New Roman"/>
                <w:color w:val="000000"/>
                <w:sz w:val="24"/>
                <w:szCs w:val="24"/>
                <w:lang w:val="en-ID"/>
              </w:rPr>
            </w:pPr>
            <w:r w:rsidRPr="005B3169">
              <w:rPr>
                <w:rFonts w:cs="Times New Roman"/>
                <w:b/>
                <w:bCs/>
                <w:color w:val="000000"/>
                <w:sz w:val="24"/>
                <w:szCs w:val="24"/>
                <w:lang w:val="en-ID"/>
              </w:rPr>
              <w:t>Histopathological grade</w:t>
            </w:r>
          </w:p>
        </w:tc>
        <w:tc>
          <w:tcPr>
            <w:tcW w:w="1246" w:type="dxa"/>
            <w:tcBorders>
              <w:top w:val="single" w:sz="4" w:space="0" w:color="auto"/>
              <w:bottom w:val="nil"/>
            </w:tcBorders>
            <w:vAlign w:val="center"/>
          </w:tcPr>
          <w:p w14:paraId="3FA521A7" w14:textId="77777777" w:rsidR="005B3169" w:rsidRPr="002679B7" w:rsidRDefault="005B3169" w:rsidP="00747AF0">
            <w:pPr>
              <w:spacing w:after="0" w:line="360" w:lineRule="auto"/>
              <w:jc w:val="center"/>
              <w:rPr>
                <w:rFonts w:cs="Times New Roman"/>
                <w:color w:val="000000"/>
                <w:sz w:val="24"/>
                <w:szCs w:val="24"/>
                <w:lang w:val="en-ID"/>
              </w:rPr>
            </w:pPr>
          </w:p>
        </w:tc>
        <w:tc>
          <w:tcPr>
            <w:tcW w:w="1231" w:type="dxa"/>
            <w:tcBorders>
              <w:top w:val="single" w:sz="4" w:space="0" w:color="auto"/>
              <w:bottom w:val="nil"/>
            </w:tcBorders>
            <w:vAlign w:val="center"/>
          </w:tcPr>
          <w:p w14:paraId="3D08DC89" w14:textId="77777777" w:rsidR="005B3169" w:rsidRPr="002679B7" w:rsidRDefault="005B3169" w:rsidP="00747AF0">
            <w:pPr>
              <w:spacing w:after="0" w:line="360" w:lineRule="auto"/>
              <w:jc w:val="center"/>
              <w:rPr>
                <w:rFonts w:cs="Times New Roman"/>
                <w:color w:val="000000"/>
                <w:sz w:val="24"/>
                <w:szCs w:val="24"/>
                <w:lang w:val="en-ID"/>
              </w:rPr>
            </w:pPr>
          </w:p>
        </w:tc>
      </w:tr>
      <w:tr w:rsidR="005B3169" w:rsidRPr="002679B7" w14:paraId="42BCF656" w14:textId="77777777" w:rsidTr="005B3169">
        <w:trPr>
          <w:tblCellSpacing w:w="15" w:type="dxa"/>
          <w:jc w:val="center"/>
        </w:trPr>
        <w:tc>
          <w:tcPr>
            <w:tcW w:w="879" w:type="dxa"/>
            <w:vAlign w:val="center"/>
            <w:hideMark/>
          </w:tcPr>
          <w:p w14:paraId="29BA18D3" w14:textId="25E1ADEA" w:rsidR="005B3169" w:rsidRPr="005B3169" w:rsidRDefault="005B3169" w:rsidP="00747AF0">
            <w:pPr>
              <w:spacing w:after="0" w:line="360" w:lineRule="auto"/>
              <w:rPr>
                <w:rFonts w:cs="Times New Roman"/>
                <w:color w:val="000000"/>
                <w:sz w:val="24"/>
                <w:szCs w:val="24"/>
                <w:lang w:val="en-ID"/>
              </w:rPr>
            </w:pPr>
          </w:p>
        </w:tc>
        <w:tc>
          <w:tcPr>
            <w:tcW w:w="2521" w:type="dxa"/>
            <w:vAlign w:val="center"/>
            <w:hideMark/>
          </w:tcPr>
          <w:p w14:paraId="635727B9" w14:textId="77777777" w:rsidR="005B3169" w:rsidRPr="005B3169" w:rsidRDefault="005B3169" w:rsidP="00747AF0">
            <w:pPr>
              <w:spacing w:after="0" w:line="360" w:lineRule="auto"/>
              <w:rPr>
                <w:rFonts w:cs="Times New Roman"/>
                <w:color w:val="000000"/>
                <w:sz w:val="24"/>
                <w:szCs w:val="24"/>
                <w:lang w:val="en-ID"/>
              </w:rPr>
            </w:pPr>
            <w:r w:rsidRPr="005B3169">
              <w:rPr>
                <w:rFonts w:cs="Times New Roman"/>
                <w:color w:val="000000"/>
                <w:sz w:val="24"/>
                <w:szCs w:val="24"/>
                <w:lang w:val="en-ID"/>
              </w:rPr>
              <w:t>Grade 2</w:t>
            </w:r>
          </w:p>
        </w:tc>
        <w:tc>
          <w:tcPr>
            <w:tcW w:w="1246" w:type="dxa"/>
            <w:vAlign w:val="center"/>
            <w:hideMark/>
          </w:tcPr>
          <w:p w14:paraId="219BD294"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19</w:t>
            </w:r>
          </w:p>
        </w:tc>
        <w:tc>
          <w:tcPr>
            <w:tcW w:w="1231" w:type="dxa"/>
            <w:vAlign w:val="center"/>
            <w:hideMark/>
          </w:tcPr>
          <w:p w14:paraId="71EA4098"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40.4</w:t>
            </w:r>
          </w:p>
        </w:tc>
      </w:tr>
      <w:tr w:rsidR="005B3169" w:rsidRPr="002679B7" w14:paraId="7AC464B0" w14:textId="77777777" w:rsidTr="005B3169">
        <w:trPr>
          <w:tblCellSpacing w:w="15" w:type="dxa"/>
          <w:jc w:val="center"/>
        </w:trPr>
        <w:tc>
          <w:tcPr>
            <w:tcW w:w="879" w:type="dxa"/>
            <w:vAlign w:val="center"/>
            <w:hideMark/>
          </w:tcPr>
          <w:p w14:paraId="66432977" w14:textId="77777777" w:rsidR="005B3169" w:rsidRPr="005B3169" w:rsidRDefault="005B3169" w:rsidP="00747AF0">
            <w:pPr>
              <w:spacing w:after="0" w:line="360" w:lineRule="auto"/>
              <w:rPr>
                <w:rFonts w:cs="Times New Roman"/>
                <w:color w:val="000000"/>
                <w:sz w:val="24"/>
                <w:szCs w:val="24"/>
                <w:lang w:val="en-ID"/>
              </w:rPr>
            </w:pPr>
          </w:p>
        </w:tc>
        <w:tc>
          <w:tcPr>
            <w:tcW w:w="2521" w:type="dxa"/>
            <w:vAlign w:val="center"/>
            <w:hideMark/>
          </w:tcPr>
          <w:p w14:paraId="399AAD79" w14:textId="77777777" w:rsidR="005B3169" w:rsidRPr="005B3169" w:rsidRDefault="005B3169" w:rsidP="00747AF0">
            <w:pPr>
              <w:spacing w:after="0" w:line="360" w:lineRule="auto"/>
              <w:rPr>
                <w:rFonts w:cs="Times New Roman"/>
                <w:color w:val="000000"/>
                <w:sz w:val="24"/>
                <w:szCs w:val="24"/>
                <w:lang w:val="en-ID"/>
              </w:rPr>
            </w:pPr>
            <w:r w:rsidRPr="005B3169">
              <w:rPr>
                <w:rFonts w:cs="Times New Roman"/>
                <w:color w:val="000000"/>
                <w:sz w:val="24"/>
                <w:szCs w:val="24"/>
                <w:lang w:val="en-ID"/>
              </w:rPr>
              <w:t>Grade 3</w:t>
            </w:r>
          </w:p>
        </w:tc>
        <w:tc>
          <w:tcPr>
            <w:tcW w:w="1246" w:type="dxa"/>
            <w:vAlign w:val="center"/>
            <w:hideMark/>
          </w:tcPr>
          <w:p w14:paraId="7DFDBC5E"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28</w:t>
            </w:r>
          </w:p>
        </w:tc>
        <w:tc>
          <w:tcPr>
            <w:tcW w:w="1231" w:type="dxa"/>
            <w:vAlign w:val="center"/>
            <w:hideMark/>
          </w:tcPr>
          <w:p w14:paraId="0A3051F2"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59.6</w:t>
            </w:r>
          </w:p>
        </w:tc>
      </w:tr>
      <w:tr w:rsidR="005B3169" w:rsidRPr="002679B7" w14:paraId="39F57801" w14:textId="77777777" w:rsidTr="005B3169">
        <w:trPr>
          <w:tblCellSpacing w:w="15" w:type="dxa"/>
          <w:jc w:val="center"/>
        </w:trPr>
        <w:tc>
          <w:tcPr>
            <w:tcW w:w="3430" w:type="dxa"/>
            <w:gridSpan w:val="2"/>
            <w:vAlign w:val="center"/>
          </w:tcPr>
          <w:p w14:paraId="33961DC9" w14:textId="498DBFFF" w:rsidR="005B3169" w:rsidRPr="002679B7" w:rsidRDefault="005B3169" w:rsidP="00747AF0">
            <w:pPr>
              <w:spacing w:after="0" w:line="360" w:lineRule="auto"/>
              <w:rPr>
                <w:rFonts w:cs="Times New Roman"/>
                <w:color w:val="000000"/>
                <w:sz w:val="24"/>
                <w:szCs w:val="24"/>
                <w:lang w:val="en-ID"/>
              </w:rPr>
            </w:pPr>
            <w:r w:rsidRPr="005B3169">
              <w:rPr>
                <w:rFonts w:cs="Times New Roman"/>
                <w:b/>
                <w:bCs/>
                <w:color w:val="000000"/>
                <w:sz w:val="24"/>
                <w:szCs w:val="24"/>
                <w:lang w:val="en-ID"/>
              </w:rPr>
              <w:t>Tumor size</w:t>
            </w:r>
          </w:p>
        </w:tc>
        <w:tc>
          <w:tcPr>
            <w:tcW w:w="1246" w:type="dxa"/>
            <w:vAlign w:val="center"/>
          </w:tcPr>
          <w:p w14:paraId="2101683C" w14:textId="77777777" w:rsidR="005B3169" w:rsidRPr="002679B7" w:rsidRDefault="005B3169" w:rsidP="00747AF0">
            <w:pPr>
              <w:spacing w:after="0" w:line="360" w:lineRule="auto"/>
              <w:jc w:val="center"/>
              <w:rPr>
                <w:rFonts w:cs="Times New Roman"/>
                <w:color w:val="000000"/>
                <w:sz w:val="24"/>
                <w:szCs w:val="24"/>
                <w:lang w:val="en-ID"/>
              </w:rPr>
            </w:pPr>
          </w:p>
        </w:tc>
        <w:tc>
          <w:tcPr>
            <w:tcW w:w="1231" w:type="dxa"/>
            <w:vAlign w:val="center"/>
          </w:tcPr>
          <w:p w14:paraId="4E0892D3" w14:textId="77777777" w:rsidR="005B3169" w:rsidRPr="002679B7" w:rsidRDefault="005B3169" w:rsidP="00747AF0">
            <w:pPr>
              <w:spacing w:after="0" w:line="360" w:lineRule="auto"/>
              <w:jc w:val="center"/>
              <w:rPr>
                <w:rFonts w:cs="Times New Roman"/>
                <w:color w:val="000000"/>
                <w:sz w:val="24"/>
                <w:szCs w:val="24"/>
                <w:lang w:val="en-ID"/>
              </w:rPr>
            </w:pPr>
          </w:p>
        </w:tc>
      </w:tr>
      <w:tr w:rsidR="005B3169" w:rsidRPr="002679B7" w14:paraId="0710019E" w14:textId="77777777" w:rsidTr="005B3169">
        <w:trPr>
          <w:tblCellSpacing w:w="15" w:type="dxa"/>
          <w:jc w:val="center"/>
        </w:trPr>
        <w:tc>
          <w:tcPr>
            <w:tcW w:w="879" w:type="dxa"/>
            <w:vAlign w:val="center"/>
            <w:hideMark/>
          </w:tcPr>
          <w:p w14:paraId="5B57A17B" w14:textId="6CE9E62F" w:rsidR="005B3169" w:rsidRPr="005B3169" w:rsidRDefault="005B3169" w:rsidP="00747AF0">
            <w:pPr>
              <w:spacing w:after="0" w:line="360" w:lineRule="auto"/>
              <w:rPr>
                <w:rFonts w:cs="Times New Roman"/>
                <w:color w:val="000000"/>
                <w:sz w:val="24"/>
                <w:szCs w:val="24"/>
                <w:lang w:val="en-ID"/>
              </w:rPr>
            </w:pPr>
          </w:p>
        </w:tc>
        <w:tc>
          <w:tcPr>
            <w:tcW w:w="2521" w:type="dxa"/>
            <w:vAlign w:val="center"/>
            <w:hideMark/>
          </w:tcPr>
          <w:p w14:paraId="4BDADB1A" w14:textId="77777777" w:rsidR="005B3169" w:rsidRPr="005B3169" w:rsidRDefault="005B3169" w:rsidP="00747AF0">
            <w:pPr>
              <w:spacing w:after="0" w:line="360" w:lineRule="auto"/>
              <w:rPr>
                <w:rFonts w:cs="Times New Roman"/>
                <w:color w:val="000000"/>
                <w:sz w:val="24"/>
                <w:szCs w:val="24"/>
                <w:lang w:val="en-ID"/>
              </w:rPr>
            </w:pPr>
            <w:r w:rsidRPr="005B3169">
              <w:rPr>
                <w:rFonts w:cs="Times New Roman"/>
                <w:color w:val="000000"/>
                <w:sz w:val="24"/>
                <w:szCs w:val="24"/>
                <w:lang w:val="en-ID"/>
              </w:rPr>
              <w:t>T3</w:t>
            </w:r>
          </w:p>
        </w:tc>
        <w:tc>
          <w:tcPr>
            <w:tcW w:w="1246" w:type="dxa"/>
            <w:vAlign w:val="center"/>
            <w:hideMark/>
          </w:tcPr>
          <w:p w14:paraId="2614521C"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4</w:t>
            </w:r>
          </w:p>
        </w:tc>
        <w:tc>
          <w:tcPr>
            <w:tcW w:w="1231" w:type="dxa"/>
            <w:vAlign w:val="center"/>
            <w:hideMark/>
          </w:tcPr>
          <w:p w14:paraId="749EB198"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8.5</w:t>
            </w:r>
          </w:p>
        </w:tc>
      </w:tr>
      <w:tr w:rsidR="005B3169" w:rsidRPr="002679B7" w14:paraId="07657359" w14:textId="77777777" w:rsidTr="005B3169">
        <w:trPr>
          <w:tblCellSpacing w:w="15" w:type="dxa"/>
          <w:jc w:val="center"/>
        </w:trPr>
        <w:tc>
          <w:tcPr>
            <w:tcW w:w="879" w:type="dxa"/>
            <w:vAlign w:val="center"/>
            <w:hideMark/>
          </w:tcPr>
          <w:p w14:paraId="0C1AC55F" w14:textId="77777777" w:rsidR="005B3169" w:rsidRPr="005B3169" w:rsidRDefault="005B3169" w:rsidP="00747AF0">
            <w:pPr>
              <w:spacing w:after="0" w:line="360" w:lineRule="auto"/>
              <w:rPr>
                <w:rFonts w:cs="Times New Roman"/>
                <w:color w:val="000000"/>
                <w:sz w:val="24"/>
                <w:szCs w:val="24"/>
                <w:lang w:val="en-ID"/>
              </w:rPr>
            </w:pPr>
          </w:p>
        </w:tc>
        <w:tc>
          <w:tcPr>
            <w:tcW w:w="2521" w:type="dxa"/>
            <w:vAlign w:val="center"/>
            <w:hideMark/>
          </w:tcPr>
          <w:p w14:paraId="7A127F1C" w14:textId="77777777" w:rsidR="005B3169" w:rsidRPr="005B3169" w:rsidRDefault="005B3169" w:rsidP="00747AF0">
            <w:pPr>
              <w:spacing w:after="0" w:line="360" w:lineRule="auto"/>
              <w:rPr>
                <w:rFonts w:cs="Times New Roman"/>
                <w:color w:val="000000"/>
                <w:sz w:val="24"/>
                <w:szCs w:val="24"/>
                <w:lang w:val="en-ID"/>
              </w:rPr>
            </w:pPr>
            <w:r w:rsidRPr="005B3169">
              <w:rPr>
                <w:rFonts w:cs="Times New Roman"/>
                <w:color w:val="000000"/>
                <w:sz w:val="24"/>
                <w:szCs w:val="24"/>
                <w:lang w:val="en-ID"/>
              </w:rPr>
              <w:t>T4</w:t>
            </w:r>
          </w:p>
        </w:tc>
        <w:tc>
          <w:tcPr>
            <w:tcW w:w="1246" w:type="dxa"/>
            <w:vAlign w:val="center"/>
            <w:hideMark/>
          </w:tcPr>
          <w:p w14:paraId="32A35ED1"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43</w:t>
            </w:r>
          </w:p>
        </w:tc>
        <w:tc>
          <w:tcPr>
            <w:tcW w:w="1231" w:type="dxa"/>
            <w:vAlign w:val="center"/>
            <w:hideMark/>
          </w:tcPr>
          <w:p w14:paraId="40794554"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91.5</w:t>
            </w:r>
          </w:p>
        </w:tc>
      </w:tr>
      <w:tr w:rsidR="005B3169" w:rsidRPr="002679B7" w14:paraId="361D3137" w14:textId="77777777" w:rsidTr="005B3169">
        <w:trPr>
          <w:tblCellSpacing w:w="15" w:type="dxa"/>
          <w:jc w:val="center"/>
        </w:trPr>
        <w:tc>
          <w:tcPr>
            <w:tcW w:w="3430" w:type="dxa"/>
            <w:gridSpan w:val="2"/>
            <w:vAlign w:val="center"/>
          </w:tcPr>
          <w:p w14:paraId="32F2F0DF" w14:textId="0ECC28B4" w:rsidR="005B3169" w:rsidRPr="002679B7" w:rsidRDefault="005B3169" w:rsidP="00747AF0">
            <w:pPr>
              <w:spacing w:after="0" w:line="360" w:lineRule="auto"/>
              <w:rPr>
                <w:rFonts w:cs="Times New Roman"/>
                <w:color w:val="000000"/>
                <w:sz w:val="24"/>
                <w:szCs w:val="24"/>
                <w:lang w:val="en-ID"/>
              </w:rPr>
            </w:pPr>
            <w:r w:rsidRPr="005B3169">
              <w:rPr>
                <w:rFonts w:cs="Times New Roman"/>
                <w:b/>
                <w:bCs/>
                <w:color w:val="000000"/>
                <w:sz w:val="24"/>
                <w:szCs w:val="24"/>
                <w:lang w:val="en-ID"/>
              </w:rPr>
              <w:t>Lymph node status</w:t>
            </w:r>
          </w:p>
        </w:tc>
        <w:tc>
          <w:tcPr>
            <w:tcW w:w="1246" w:type="dxa"/>
            <w:vAlign w:val="center"/>
          </w:tcPr>
          <w:p w14:paraId="2D0F7C45" w14:textId="77777777" w:rsidR="005B3169" w:rsidRPr="002679B7" w:rsidRDefault="005B3169" w:rsidP="00747AF0">
            <w:pPr>
              <w:spacing w:after="0" w:line="360" w:lineRule="auto"/>
              <w:jc w:val="center"/>
              <w:rPr>
                <w:rFonts w:cs="Times New Roman"/>
                <w:color w:val="000000"/>
                <w:sz w:val="24"/>
                <w:szCs w:val="24"/>
                <w:lang w:val="en-ID"/>
              </w:rPr>
            </w:pPr>
          </w:p>
        </w:tc>
        <w:tc>
          <w:tcPr>
            <w:tcW w:w="1231" w:type="dxa"/>
            <w:vAlign w:val="center"/>
          </w:tcPr>
          <w:p w14:paraId="461F3410" w14:textId="77777777" w:rsidR="005B3169" w:rsidRPr="002679B7" w:rsidRDefault="005B3169" w:rsidP="00747AF0">
            <w:pPr>
              <w:spacing w:after="0" w:line="360" w:lineRule="auto"/>
              <w:jc w:val="center"/>
              <w:rPr>
                <w:rFonts w:cs="Times New Roman"/>
                <w:color w:val="000000"/>
                <w:sz w:val="24"/>
                <w:szCs w:val="24"/>
                <w:lang w:val="en-ID"/>
              </w:rPr>
            </w:pPr>
          </w:p>
        </w:tc>
      </w:tr>
      <w:tr w:rsidR="005B3169" w:rsidRPr="002679B7" w14:paraId="657AAABF" w14:textId="77777777" w:rsidTr="005B3169">
        <w:trPr>
          <w:tblCellSpacing w:w="15" w:type="dxa"/>
          <w:jc w:val="center"/>
        </w:trPr>
        <w:tc>
          <w:tcPr>
            <w:tcW w:w="879" w:type="dxa"/>
            <w:vAlign w:val="center"/>
            <w:hideMark/>
          </w:tcPr>
          <w:p w14:paraId="5A06C9EA" w14:textId="34331A90" w:rsidR="005B3169" w:rsidRPr="005B3169" w:rsidRDefault="005B3169" w:rsidP="00747AF0">
            <w:pPr>
              <w:spacing w:after="0" w:line="360" w:lineRule="auto"/>
              <w:rPr>
                <w:rFonts w:cs="Times New Roman"/>
                <w:color w:val="000000"/>
                <w:sz w:val="24"/>
                <w:szCs w:val="24"/>
                <w:lang w:val="en-ID"/>
              </w:rPr>
            </w:pPr>
          </w:p>
        </w:tc>
        <w:tc>
          <w:tcPr>
            <w:tcW w:w="2521" w:type="dxa"/>
            <w:vAlign w:val="center"/>
            <w:hideMark/>
          </w:tcPr>
          <w:p w14:paraId="517CF2C5" w14:textId="77777777" w:rsidR="005B3169" w:rsidRPr="005B3169" w:rsidRDefault="005B3169" w:rsidP="00747AF0">
            <w:pPr>
              <w:spacing w:after="0" w:line="360" w:lineRule="auto"/>
              <w:rPr>
                <w:rFonts w:cs="Times New Roman"/>
                <w:color w:val="000000"/>
                <w:sz w:val="24"/>
                <w:szCs w:val="24"/>
                <w:lang w:val="en-ID"/>
              </w:rPr>
            </w:pPr>
            <w:r w:rsidRPr="005B3169">
              <w:rPr>
                <w:rFonts w:cs="Times New Roman"/>
                <w:color w:val="000000"/>
                <w:sz w:val="24"/>
                <w:szCs w:val="24"/>
                <w:lang w:val="en-ID"/>
              </w:rPr>
              <w:t>Negative</w:t>
            </w:r>
          </w:p>
        </w:tc>
        <w:tc>
          <w:tcPr>
            <w:tcW w:w="1246" w:type="dxa"/>
            <w:vAlign w:val="center"/>
            <w:hideMark/>
          </w:tcPr>
          <w:p w14:paraId="417A4476"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5</w:t>
            </w:r>
          </w:p>
        </w:tc>
        <w:tc>
          <w:tcPr>
            <w:tcW w:w="1231" w:type="dxa"/>
            <w:vAlign w:val="center"/>
            <w:hideMark/>
          </w:tcPr>
          <w:p w14:paraId="0AA134FE"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10.6</w:t>
            </w:r>
          </w:p>
        </w:tc>
      </w:tr>
      <w:tr w:rsidR="005B3169" w:rsidRPr="002679B7" w14:paraId="7794B616" w14:textId="77777777" w:rsidTr="005B3169">
        <w:trPr>
          <w:tblCellSpacing w:w="15" w:type="dxa"/>
          <w:jc w:val="center"/>
        </w:trPr>
        <w:tc>
          <w:tcPr>
            <w:tcW w:w="879" w:type="dxa"/>
            <w:vAlign w:val="center"/>
            <w:hideMark/>
          </w:tcPr>
          <w:p w14:paraId="2DF53D40" w14:textId="77777777" w:rsidR="005B3169" w:rsidRPr="005B3169" w:rsidRDefault="005B3169" w:rsidP="00747AF0">
            <w:pPr>
              <w:spacing w:after="0" w:line="360" w:lineRule="auto"/>
              <w:rPr>
                <w:rFonts w:cs="Times New Roman"/>
                <w:color w:val="000000"/>
                <w:sz w:val="24"/>
                <w:szCs w:val="24"/>
                <w:lang w:val="en-ID"/>
              </w:rPr>
            </w:pPr>
          </w:p>
        </w:tc>
        <w:tc>
          <w:tcPr>
            <w:tcW w:w="2521" w:type="dxa"/>
            <w:vAlign w:val="center"/>
            <w:hideMark/>
          </w:tcPr>
          <w:p w14:paraId="343B8E40" w14:textId="77777777" w:rsidR="005B3169" w:rsidRPr="005B3169" w:rsidRDefault="005B3169" w:rsidP="00747AF0">
            <w:pPr>
              <w:spacing w:after="0" w:line="360" w:lineRule="auto"/>
              <w:rPr>
                <w:rFonts w:cs="Times New Roman"/>
                <w:color w:val="000000"/>
                <w:sz w:val="24"/>
                <w:szCs w:val="24"/>
                <w:lang w:val="en-ID"/>
              </w:rPr>
            </w:pPr>
            <w:r w:rsidRPr="005B3169">
              <w:rPr>
                <w:rFonts w:cs="Times New Roman"/>
                <w:color w:val="000000"/>
                <w:sz w:val="24"/>
                <w:szCs w:val="24"/>
                <w:lang w:val="en-ID"/>
              </w:rPr>
              <w:t>Positive</w:t>
            </w:r>
          </w:p>
        </w:tc>
        <w:tc>
          <w:tcPr>
            <w:tcW w:w="1246" w:type="dxa"/>
            <w:vAlign w:val="center"/>
            <w:hideMark/>
          </w:tcPr>
          <w:p w14:paraId="6BCD0A75"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42</w:t>
            </w:r>
          </w:p>
        </w:tc>
        <w:tc>
          <w:tcPr>
            <w:tcW w:w="1231" w:type="dxa"/>
            <w:vAlign w:val="center"/>
            <w:hideMark/>
          </w:tcPr>
          <w:p w14:paraId="34172935"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89.4</w:t>
            </w:r>
          </w:p>
        </w:tc>
      </w:tr>
      <w:tr w:rsidR="005B3169" w:rsidRPr="002679B7" w14:paraId="1F488858" w14:textId="77777777" w:rsidTr="005B3169">
        <w:trPr>
          <w:tblCellSpacing w:w="15" w:type="dxa"/>
          <w:jc w:val="center"/>
        </w:trPr>
        <w:tc>
          <w:tcPr>
            <w:tcW w:w="3430" w:type="dxa"/>
            <w:gridSpan w:val="2"/>
            <w:vAlign w:val="center"/>
          </w:tcPr>
          <w:p w14:paraId="07FEB670" w14:textId="4DC37FF7" w:rsidR="005B3169" w:rsidRPr="002679B7" w:rsidRDefault="005B3169" w:rsidP="00747AF0">
            <w:pPr>
              <w:spacing w:after="0" w:line="360" w:lineRule="auto"/>
              <w:rPr>
                <w:rFonts w:cs="Times New Roman"/>
                <w:color w:val="000000"/>
                <w:sz w:val="24"/>
                <w:szCs w:val="24"/>
                <w:lang w:val="en-ID"/>
              </w:rPr>
            </w:pPr>
            <w:r w:rsidRPr="005B3169">
              <w:rPr>
                <w:rFonts w:cs="Times New Roman"/>
                <w:b/>
                <w:bCs/>
                <w:color w:val="000000"/>
                <w:sz w:val="24"/>
                <w:szCs w:val="24"/>
                <w:lang w:val="en-ID"/>
              </w:rPr>
              <w:t>Ki-67 index</w:t>
            </w:r>
          </w:p>
        </w:tc>
        <w:tc>
          <w:tcPr>
            <w:tcW w:w="1246" w:type="dxa"/>
            <w:vAlign w:val="center"/>
          </w:tcPr>
          <w:p w14:paraId="51A9AA46" w14:textId="77777777" w:rsidR="005B3169" w:rsidRPr="002679B7" w:rsidRDefault="005B3169" w:rsidP="00747AF0">
            <w:pPr>
              <w:spacing w:after="0" w:line="360" w:lineRule="auto"/>
              <w:jc w:val="center"/>
              <w:rPr>
                <w:rFonts w:cs="Times New Roman"/>
                <w:color w:val="000000"/>
                <w:sz w:val="24"/>
                <w:szCs w:val="24"/>
                <w:lang w:val="en-ID"/>
              </w:rPr>
            </w:pPr>
          </w:p>
        </w:tc>
        <w:tc>
          <w:tcPr>
            <w:tcW w:w="1231" w:type="dxa"/>
            <w:vAlign w:val="center"/>
          </w:tcPr>
          <w:p w14:paraId="74F6131F" w14:textId="77777777" w:rsidR="005B3169" w:rsidRPr="002679B7" w:rsidRDefault="005B3169" w:rsidP="00747AF0">
            <w:pPr>
              <w:spacing w:after="0" w:line="360" w:lineRule="auto"/>
              <w:jc w:val="center"/>
              <w:rPr>
                <w:rFonts w:cs="Times New Roman"/>
                <w:color w:val="000000"/>
                <w:sz w:val="24"/>
                <w:szCs w:val="24"/>
                <w:lang w:val="en-ID"/>
              </w:rPr>
            </w:pPr>
          </w:p>
        </w:tc>
      </w:tr>
      <w:tr w:rsidR="005B3169" w:rsidRPr="002679B7" w14:paraId="32322425" w14:textId="77777777" w:rsidTr="005B3169">
        <w:trPr>
          <w:tblCellSpacing w:w="15" w:type="dxa"/>
          <w:jc w:val="center"/>
        </w:trPr>
        <w:tc>
          <w:tcPr>
            <w:tcW w:w="879" w:type="dxa"/>
            <w:vAlign w:val="center"/>
            <w:hideMark/>
          </w:tcPr>
          <w:p w14:paraId="1F1A500C" w14:textId="57ACCF4B" w:rsidR="005B3169" w:rsidRPr="005B3169" w:rsidRDefault="005B3169" w:rsidP="00747AF0">
            <w:pPr>
              <w:spacing w:after="0" w:line="360" w:lineRule="auto"/>
              <w:rPr>
                <w:rFonts w:cs="Times New Roman"/>
                <w:color w:val="000000"/>
                <w:sz w:val="24"/>
                <w:szCs w:val="24"/>
                <w:lang w:val="en-ID"/>
              </w:rPr>
            </w:pPr>
          </w:p>
        </w:tc>
        <w:tc>
          <w:tcPr>
            <w:tcW w:w="2521" w:type="dxa"/>
            <w:vAlign w:val="center"/>
            <w:hideMark/>
          </w:tcPr>
          <w:p w14:paraId="4F7D9F1F" w14:textId="77777777" w:rsidR="005B3169" w:rsidRPr="005B3169" w:rsidRDefault="005B3169" w:rsidP="00747AF0">
            <w:pPr>
              <w:spacing w:after="0" w:line="360" w:lineRule="auto"/>
              <w:rPr>
                <w:rFonts w:cs="Times New Roman"/>
                <w:color w:val="000000"/>
                <w:sz w:val="24"/>
                <w:szCs w:val="24"/>
                <w:lang w:val="en-ID"/>
              </w:rPr>
            </w:pPr>
            <w:r w:rsidRPr="005B3169">
              <w:rPr>
                <w:rFonts w:cs="Times New Roman"/>
                <w:color w:val="000000"/>
                <w:sz w:val="24"/>
                <w:szCs w:val="24"/>
                <w:lang w:val="en-ID"/>
              </w:rPr>
              <w:t>Low</w:t>
            </w:r>
          </w:p>
        </w:tc>
        <w:tc>
          <w:tcPr>
            <w:tcW w:w="1246" w:type="dxa"/>
            <w:vAlign w:val="center"/>
            <w:hideMark/>
          </w:tcPr>
          <w:p w14:paraId="214E3C09"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21</w:t>
            </w:r>
          </w:p>
        </w:tc>
        <w:tc>
          <w:tcPr>
            <w:tcW w:w="1231" w:type="dxa"/>
            <w:vAlign w:val="center"/>
            <w:hideMark/>
          </w:tcPr>
          <w:p w14:paraId="5161DB98"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44.7</w:t>
            </w:r>
          </w:p>
        </w:tc>
      </w:tr>
      <w:tr w:rsidR="005B3169" w:rsidRPr="002679B7" w14:paraId="32CEC8A4" w14:textId="77777777" w:rsidTr="005B3169">
        <w:trPr>
          <w:tblCellSpacing w:w="15" w:type="dxa"/>
          <w:jc w:val="center"/>
        </w:trPr>
        <w:tc>
          <w:tcPr>
            <w:tcW w:w="879" w:type="dxa"/>
            <w:vAlign w:val="center"/>
            <w:hideMark/>
          </w:tcPr>
          <w:p w14:paraId="48A175AF" w14:textId="77777777" w:rsidR="005B3169" w:rsidRPr="005B3169" w:rsidRDefault="005B3169" w:rsidP="00747AF0">
            <w:pPr>
              <w:spacing w:after="0" w:line="360" w:lineRule="auto"/>
              <w:rPr>
                <w:rFonts w:cs="Times New Roman"/>
                <w:color w:val="000000"/>
                <w:sz w:val="24"/>
                <w:szCs w:val="24"/>
                <w:lang w:val="en-ID"/>
              </w:rPr>
            </w:pPr>
          </w:p>
        </w:tc>
        <w:tc>
          <w:tcPr>
            <w:tcW w:w="2521" w:type="dxa"/>
            <w:vAlign w:val="center"/>
            <w:hideMark/>
          </w:tcPr>
          <w:p w14:paraId="752C9708" w14:textId="77777777" w:rsidR="005B3169" w:rsidRPr="005B3169" w:rsidRDefault="005B3169" w:rsidP="00747AF0">
            <w:pPr>
              <w:spacing w:after="0" w:line="360" w:lineRule="auto"/>
              <w:rPr>
                <w:rFonts w:cs="Times New Roman"/>
                <w:color w:val="000000"/>
                <w:sz w:val="24"/>
                <w:szCs w:val="24"/>
                <w:lang w:val="en-ID"/>
              </w:rPr>
            </w:pPr>
            <w:r w:rsidRPr="005B3169">
              <w:rPr>
                <w:rFonts w:cs="Times New Roman"/>
                <w:color w:val="000000"/>
                <w:sz w:val="24"/>
                <w:szCs w:val="24"/>
                <w:lang w:val="en-ID"/>
              </w:rPr>
              <w:t>High</w:t>
            </w:r>
          </w:p>
        </w:tc>
        <w:tc>
          <w:tcPr>
            <w:tcW w:w="1246" w:type="dxa"/>
            <w:vAlign w:val="center"/>
            <w:hideMark/>
          </w:tcPr>
          <w:p w14:paraId="4AAB13A7"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26</w:t>
            </w:r>
          </w:p>
        </w:tc>
        <w:tc>
          <w:tcPr>
            <w:tcW w:w="1231" w:type="dxa"/>
            <w:vAlign w:val="center"/>
            <w:hideMark/>
          </w:tcPr>
          <w:p w14:paraId="201DD05A"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55.3</w:t>
            </w:r>
          </w:p>
        </w:tc>
      </w:tr>
      <w:tr w:rsidR="005B3169" w:rsidRPr="002679B7" w14:paraId="3515A4A2" w14:textId="77777777" w:rsidTr="005B3169">
        <w:trPr>
          <w:tblCellSpacing w:w="15" w:type="dxa"/>
          <w:jc w:val="center"/>
        </w:trPr>
        <w:tc>
          <w:tcPr>
            <w:tcW w:w="3430" w:type="dxa"/>
            <w:gridSpan w:val="2"/>
            <w:vAlign w:val="center"/>
          </w:tcPr>
          <w:p w14:paraId="08672760" w14:textId="4038796A" w:rsidR="005B3169" w:rsidRPr="002679B7" w:rsidRDefault="005B3169" w:rsidP="00747AF0">
            <w:pPr>
              <w:spacing w:after="0" w:line="360" w:lineRule="auto"/>
              <w:rPr>
                <w:rFonts w:cs="Times New Roman"/>
                <w:color w:val="000000"/>
                <w:sz w:val="24"/>
                <w:szCs w:val="24"/>
                <w:lang w:val="en-ID"/>
              </w:rPr>
            </w:pPr>
            <w:r w:rsidRPr="005B3169">
              <w:rPr>
                <w:rFonts w:cs="Times New Roman"/>
                <w:b/>
                <w:bCs/>
                <w:color w:val="000000"/>
                <w:sz w:val="24"/>
                <w:szCs w:val="24"/>
                <w:lang w:val="en-ID"/>
              </w:rPr>
              <w:t>Clinical stage</w:t>
            </w:r>
          </w:p>
        </w:tc>
        <w:tc>
          <w:tcPr>
            <w:tcW w:w="1246" w:type="dxa"/>
            <w:vAlign w:val="center"/>
          </w:tcPr>
          <w:p w14:paraId="785E4565" w14:textId="77777777" w:rsidR="005B3169" w:rsidRPr="002679B7" w:rsidRDefault="005B3169" w:rsidP="00747AF0">
            <w:pPr>
              <w:spacing w:after="0" w:line="360" w:lineRule="auto"/>
              <w:jc w:val="center"/>
              <w:rPr>
                <w:rFonts w:cs="Times New Roman"/>
                <w:color w:val="000000"/>
                <w:sz w:val="24"/>
                <w:szCs w:val="24"/>
                <w:lang w:val="en-ID"/>
              </w:rPr>
            </w:pPr>
          </w:p>
        </w:tc>
        <w:tc>
          <w:tcPr>
            <w:tcW w:w="1231" w:type="dxa"/>
            <w:vAlign w:val="center"/>
          </w:tcPr>
          <w:p w14:paraId="53992462" w14:textId="77777777" w:rsidR="005B3169" w:rsidRPr="002679B7" w:rsidRDefault="005B3169" w:rsidP="00747AF0">
            <w:pPr>
              <w:spacing w:after="0" w:line="360" w:lineRule="auto"/>
              <w:jc w:val="center"/>
              <w:rPr>
                <w:rFonts w:cs="Times New Roman"/>
                <w:color w:val="000000"/>
                <w:sz w:val="24"/>
                <w:szCs w:val="24"/>
                <w:lang w:val="en-ID"/>
              </w:rPr>
            </w:pPr>
          </w:p>
        </w:tc>
      </w:tr>
      <w:tr w:rsidR="005B3169" w:rsidRPr="002679B7" w14:paraId="7AEFB62A" w14:textId="77777777" w:rsidTr="005B3169">
        <w:trPr>
          <w:tblCellSpacing w:w="15" w:type="dxa"/>
          <w:jc w:val="center"/>
        </w:trPr>
        <w:tc>
          <w:tcPr>
            <w:tcW w:w="879" w:type="dxa"/>
            <w:vAlign w:val="center"/>
            <w:hideMark/>
          </w:tcPr>
          <w:p w14:paraId="41F3FB0B" w14:textId="0F5AAA47" w:rsidR="005B3169" w:rsidRPr="005B3169" w:rsidRDefault="005B3169" w:rsidP="00747AF0">
            <w:pPr>
              <w:spacing w:after="0" w:line="360" w:lineRule="auto"/>
              <w:rPr>
                <w:rFonts w:cs="Times New Roman"/>
                <w:color w:val="000000"/>
                <w:sz w:val="24"/>
                <w:szCs w:val="24"/>
                <w:lang w:val="en-ID"/>
              </w:rPr>
            </w:pPr>
          </w:p>
        </w:tc>
        <w:tc>
          <w:tcPr>
            <w:tcW w:w="2521" w:type="dxa"/>
            <w:vAlign w:val="center"/>
            <w:hideMark/>
          </w:tcPr>
          <w:p w14:paraId="47F2A911" w14:textId="77777777" w:rsidR="005B3169" w:rsidRPr="005B3169" w:rsidRDefault="005B3169" w:rsidP="00747AF0">
            <w:pPr>
              <w:spacing w:after="0" w:line="360" w:lineRule="auto"/>
              <w:rPr>
                <w:rFonts w:cs="Times New Roman"/>
                <w:color w:val="000000"/>
                <w:sz w:val="24"/>
                <w:szCs w:val="24"/>
                <w:lang w:val="en-ID"/>
              </w:rPr>
            </w:pPr>
            <w:r w:rsidRPr="005B3169">
              <w:rPr>
                <w:rFonts w:cs="Times New Roman"/>
                <w:color w:val="000000"/>
                <w:sz w:val="24"/>
                <w:szCs w:val="24"/>
                <w:lang w:val="en-ID"/>
              </w:rPr>
              <w:t>IIIA</w:t>
            </w:r>
          </w:p>
        </w:tc>
        <w:tc>
          <w:tcPr>
            <w:tcW w:w="1246" w:type="dxa"/>
            <w:vAlign w:val="center"/>
            <w:hideMark/>
          </w:tcPr>
          <w:p w14:paraId="434CC35F"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4</w:t>
            </w:r>
          </w:p>
        </w:tc>
        <w:tc>
          <w:tcPr>
            <w:tcW w:w="1231" w:type="dxa"/>
            <w:vAlign w:val="center"/>
            <w:hideMark/>
          </w:tcPr>
          <w:p w14:paraId="72EFF750"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8.5</w:t>
            </w:r>
          </w:p>
        </w:tc>
      </w:tr>
      <w:tr w:rsidR="005B3169" w:rsidRPr="002679B7" w14:paraId="59915226" w14:textId="77777777" w:rsidTr="005B3169">
        <w:trPr>
          <w:tblCellSpacing w:w="15" w:type="dxa"/>
          <w:jc w:val="center"/>
        </w:trPr>
        <w:tc>
          <w:tcPr>
            <w:tcW w:w="879" w:type="dxa"/>
            <w:vAlign w:val="center"/>
            <w:hideMark/>
          </w:tcPr>
          <w:p w14:paraId="592C5E12" w14:textId="77777777" w:rsidR="005B3169" w:rsidRPr="005B3169" w:rsidRDefault="005B3169" w:rsidP="00747AF0">
            <w:pPr>
              <w:spacing w:after="0" w:line="360" w:lineRule="auto"/>
              <w:rPr>
                <w:rFonts w:cs="Times New Roman"/>
                <w:color w:val="000000"/>
                <w:sz w:val="24"/>
                <w:szCs w:val="24"/>
                <w:lang w:val="en-ID"/>
              </w:rPr>
            </w:pPr>
          </w:p>
        </w:tc>
        <w:tc>
          <w:tcPr>
            <w:tcW w:w="2521" w:type="dxa"/>
            <w:vAlign w:val="center"/>
            <w:hideMark/>
          </w:tcPr>
          <w:p w14:paraId="1621B946" w14:textId="77777777" w:rsidR="005B3169" w:rsidRPr="005B3169" w:rsidRDefault="005B3169" w:rsidP="00747AF0">
            <w:pPr>
              <w:spacing w:after="0" w:line="360" w:lineRule="auto"/>
              <w:rPr>
                <w:rFonts w:cs="Times New Roman"/>
                <w:color w:val="000000"/>
                <w:sz w:val="24"/>
                <w:szCs w:val="24"/>
                <w:lang w:val="en-ID"/>
              </w:rPr>
            </w:pPr>
            <w:r w:rsidRPr="005B3169">
              <w:rPr>
                <w:rFonts w:cs="Times New Roman"/>
                <w:color w:val="000000"/>
                <w:sz w:val="24"/>
                <w:szCs w:val="24"/>
                <w:lang w:val="en-ID"/>
              </w:rPr>
              <w:t>IIIB</w:t>
            </w:r>
          </w:p>
        </w:tc>
        <w:tc>
          <w:tcPr>
            <w:tcW w:w="1246" w:type="dxa"/>
            <w:vAlign w:val="center"/>
            <w:hideMark/>
          </w:tcPr>
          <w:p w14:paraId="26CD7904"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43</w:t>
            </w:r>
          </w:p>
        </w:tc>
        <w:tc>
          <w:tcPr>
            <w:tcW w:w="1231" w:type="dxa"/>
            <w:vAlign w:val="center"/>
            <w:hideMark/>
          </w:tcPr>
          <w:p w14:paraId="33A845FA"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91.5</w:t>
            </w:r>
          </w:p>
        </w:tc>
      </w:tr>
      <w:tr w:rsidR="005B3169" w:rsidRPr="002679B7" w14:paraId="40FF5822" w14:textId="77777777" w:rsidTr="005B3169">
        <w:trPr>
          <w:tblCellSpacing w:w="15" w:type="dxa"/>
          <w:jc w:val="center"/>
        </w:trPr>
        <w:tc>
          <w:tcPr>
            <w:tcW w:w="3430" w:type="dxa"/>
            <w:gridSpan w:val="2"/>
            <w:vAlign w:val="center"/>
          </w:tcPr>
          <w:p w14:paraId="6BBE846F" w14:textId="24B8E006" w:rsidR="005B3169" w:rsidRPr="002679B7" w:rsidRDefault="005B3169" w:rsidP="00747AF0">
            <w:pPr>
              <w:spacing w:after="0" w:line="360" w:lineRule="auto"/>
              <w:rPr>
                <w:rFonts w:cs="Times New Roman"/>
                <w:color w:val="000000"/>
                <w:sz w:val="24"/>
                <w:szCs w:val="24"/>
                <w:lang w:val="en-ID"/>
              </w:rPr>
            </w:pPr>
            <w:r w:rsidRPr="005B3169">
              <w:rPr>
                <w:rFonts w:cs="Times New Roman"/>
                <w:b/>
                <w:bCs/>
                <w:color w:val="000000"/>
                <w:sz w:val="24"/>
                <w:szCs w:val="24"/>
                <w:lang w:val="en-ID"/>
              </w:rPr>
              <w:t>Luminal subtype</w:t>
            </w:r>
          </w:p>
        </w:tc>
        <w:tc>
          <w:tcPr>
            <w:tcW w:w="1246" w:type="dxa"/>
            <w:vAlign w:val="center"/>
          </w:tcPr>
          <w:p w14:paraId="06EB781C" w14:textId="77777777" w:rsidR="005B3169" w:rsidRPr="002679B7" w:rsidRDefault="005B3169" w:rsidP="00747AF0">
            <w:pPr>
              <w:spacing w:after="0" w:line="360" w:lineRule="auto"/>
              <w:jc w:val="center"/>
              <w:rPr>
                <w:rFonts w:cs="Times New Roman"/>
                <w:color w:val="000000"/>
                <w:sz w:val="24"/>
                <w:szCs w:val="24"/>
                <w:lang w:val="en-ID"/>
              </w:rPr>
            </w:pPr>
          </w:p>
        </w:tc>
        <w:tc>
          <w:tcPr>
            <w:tcW w:w="1231" w:type="dxa"/>
            <w:vAlign w:val="center"/>
          </w:tcPr>
          <w:p w14:paraId="126B7F4D" w14:textId="77777777" w:rsidR="005B3169" w:rsidRPr="002679B7" w:rsidRDefault="005B3169" w:rsidP="00747AF0">
            <w:pPr>
              <w:spacing w:after="0" w:line="360" w:lineRule="auto"/>
              <w:jc w:val="center"/>
              <w:rPr>
                <w:rFonts w:cs="Times New Roman"/>
                <w:color w:val="000000"/>
                <w:sz w:val="24"/>
                <w:szCs w:val="24"/>
                <w:lang w:val="en-ID"/>
              </w:rPr>
            </w:pPr>
          </w:p>
        </w:tc>
      </w:tr>
      <w:tr w:rsidR="005B3169" w:rsidRPr="002679B7" w14:paraId="4BDC40B3" w14:textId="77777777" w:rsidTr="005B3169">
        <w:trPr>
          <w:tblCellSpacing w:w="15" w:type="dxa"/>
          <w:jc w:val="center"/>
        </w:trPr>
        <w:tc>
          <w:tcPr>
            <w:tcW w:w="879" w:type="dxa"/>
            <w:vAlign w:val="center"/>
            <w:hideMark/>
          </w:tcPr>
          <w:p w14:paraId="37095CD6" w14:textId="3E1B6624" w:rsidR="005B3169" w:rsidRPr="005B3169" w:rsidRDefault="005B3169" w:rsidP="00747AF0">
            <w:pPr>
              <w:spacing w:after="0" w:line="360" w:lineRule="auto"/>
              <w:rPr>
                <w:rFonts w:cs="Times New Roman"/>
                <w:color w:val="000000"/>
                <w:sz w:val="24"/>
                <w:szCs w:val="24"/>
                <w:lang w:val="en-ID"/>
              </w:rPr>
            </w:pPr>
          </w:p>
        </w:tc>
        <w:tc>
          <w:tcPr>
            <w:tcW w:w="2521" w:type="dxa"/>
            <w:vAlign w:val="center"/>
            <w:hideMark/>
          </w:tcPr>
          <w:p w14:paraId="7D3B6032" w14:textId="77777777" w:rsidR="005B3169" w:rsidRPr="005B3169" w:rsidRDefault="005B3169" w:rsidP="00747AF0">
            <w:pPr>
              <w:spacing w:after="0" w:line="360" w:lineRule="auto"/>
              <w:rPr>
                <w:rFonts w:cs="Times New Roman"/>
                <w:color w:val="000000"/>
                <w:sz w:val="24"/>
                <w:szCs w:val="24"/>
                <w:lang w:val="en-ID"/>
              </w:rPr>
            </w:pPr>
            <w:r w:rsidRPr="005B3169">
              <w:rPr>
                <w:rFonts w:cs="Times New Roman"/>
                <w:color w:val="000000"/>
                <w:sz w:val="24"/>
                <w:szCs w:val="24"/>
                <w:lang w:val="en-ID"/>
              </w:rPr>
              <w:t>Luminal A</w:t>
            </w:r>
          </w:p>
        </w:tc>
        <w:tc>
          <w:tcPr>
            <w:tcW w:w="1246" w:type="dxa"/>
            <w:vAlign w:val="center"/>
            <w:hideMark/>
          </w:tcPr>
          <w:p w14:paraId="69E651ED"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21</w:t>
            </w:r>
          </w:p>
        </w:tc>
        <w:tc>
          <w:tcPr>
            <w:tcW w:w="1231" w:type="dxa"/>
            <w:vAlign w:val="center"/>
            <w:hideMark/>
          </w:tcPr>
          <w:p w14:paraId="43E1E35D"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44.7</w:t>
            </w:r>
          </w:p>
        </w:tc>
      </w:tr>
      <w:tr w:rsidR="005B3169" w:rsidRPr="002679B7" w14:paraId="2CDF8C0A" w14:textId="77777777" w:rsidTr="005B3169">
        <w:trPr>
          <w:tblCellSpacing w:w="15" w:type="dxa"/>
          <w:jc w:val="center"/>
        </w:trPr>
        <w:tc>
          <w:tcPr>
            <w:tcW w:w="879" w:type="dxa"/>
            <w:vAlign w:val="center"/>
            <w:hideMark/>
          </w:tcPr>
          <w:p w14:paraId="5BAAEBAB" w14:textId="77777777" w:rsidR="005B3169" w:rsidRPr="005B3169" w:rsidRDefault="005B3169" w:rsidP="00747AF0">
            <w:pPr>
              <w:spacing w:after="0" w:line="360" w:lineRule="auto"/>
              <w:rPr>
                <w:rFonts w:cs="Times New Roman"/>
                <w:color w:val="000000"/>
                <w:sz w:val="24"/>
                <w:szCs w:val="24"/>
                <w:lang w:val="en-ID"/>
              </w:rPr>
            </w:pPr>
          </w:p>
        </w:tc>
        <w:tc>
          <w:tcPr>
            <w:tcW w:w="2521" w:type="dxa"/>
            <w:vAlign w:val="center"/>
            <w:hideMark/>
          </w:tcPr>
          <w:p w14:paraId="471FD464" w14:textId="77777777" w:rsidR="005B3169" w:rsidRPr="005B3169" w:rsidRDefault="005B3169" w:rsidP="00747AF0">
            <w:pPr>
              <w:spacing w:after="0" w:line="360" w:lineRule="auto"/>
              <w:rPr>
                <w:rFonts w:cs="Times New Roman"/>
                <w:color w:val="000000"/>
                <w:sz w:val="24"/>
                <w:szCs w:val="24"/>
                <w:lang w:val="en-ID"/>
              </w:rPr>
            </w:pPr>
            <w:r w:rsidRPr="005B3169">
              <w:rPr>
                <w:rFonts w:cs="Times New Roman"/>
                <w:color w:val="000000"/>
                <w:sz w:val="24"/>
                <w:szCs w:val="24"/>
                <w:lang w:val="en-ID"/>
              </w:rPr>
              <w:t>Luminal B</w:t>
            </w:r>
          </w:p>
        </w:tc>
        <w:tc>
          <w:tcPr>
            <w:tcW w:w="1246" w:type="dxa"/>
            <w:vAlign w:val="center"/>
            <w:hideMark/>
          </w:tcPr>
          <w:p w14:paraId="2B23CEEE"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26</w:t>
            </w:r>
          </w:p>
        </w:tc>
        <w:tc>
          <w:tcPr>
            <w:tcW w:w="1231" w:type="dxa"/>
            <w:vAlign w:val="center"/>
            <w:hideMark/>
          </w:tcPr>
          <w:p w14:paraId="17C648B2"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55.3</w:t>
            </w:r>
          </w:p>
        </w:tc>
      </w:tr>
      <w:tr w:rsidR="005B3169" w:rsidRPr="002679B7" w14:paraId="6E8C0BBA" w14:textId="77777777" w:rsidTr="005B3169">
        <w:trPr>
          <w:tblCellSpacing w:w="15" w:type="dxa"/>
          <w:jc w:val="center"/>
        </w:trPr>
        <w:tc>
          <w:tcPr>
            <w:tcW w:w="3430" w:type="dxa"/>
            <w:gridSpan w:val="2"/>
            <w:vAlign w:val="center"/>
          </w:tcPr>
          <w:p w14:paraId="165A9987" w14:textId="33FF8C88" w:rsidR="005B3169" w:rsidRPr="002679B7" w:rsidRDefault="005B3169" w:rsidP="00747AF0">
            <w:pPr>
              <w:spacing w:after="0" w:line="360" w:lineRule="auto"/>
              <w:rPr>
                <w:rFonts w:cs="Times New Roman"/>
                <w:color w:val="000000"/>
                <w:sz w:val="24"/>
                <w:szCs w:val="24"/>
                <w:lang w:val="en-ID"/>
              </w:rPr>
            </w:pPr>
            <w:r w:rsidRPr="005B3169">
              <w:rPr>
                <w:rFonts w:cs="Times New Roman"/>
                <w:b/>
                <w:bCs/>
                <w:color w:val="000000"/>
                <w:sz w:val="24"/>
                <w:szCs w:val="24"/>
                <w:lang w:val="en-ID"/>
              </w:rPr>
              <w:t>HER2 status</w:t>
            </w:r>
          </w:p>
        </w:tc>
        <w:tc>
          <w:tcPr>
            <w:tcW w:w="1246" w:type="dxa"/>
            <w:vAlign w:val="center"/>
          </w:tcPr>
          <w:p w14:paraId="2CC090EF" w14:textId="77777777" w:rsidR="005B3169" w:rsidRPr="002679B7" w:rsidRDefault="005B3169" w:rsidP="00747AF0">
            <w:pPr>
              <w:spacing w:after="0" w:line="360" w:lineRule="auto"/>
              <w:jc w:val="center"/>
              <w:rPr>
                <w:rFonts w:cs="Times New Roman"/>
                <w:color w:val="000000"/>
                <w:sz w:val="24"/>
                <w:szCs w:val="24"/>
                <w:lang w:val="en-ID"/>
              </w:rPr>
            </w:pPr>
          </w:p>
        </w:tc>
        <w:tc>
          <w:tcPr>
            <w:tcW w:w="1231" w:type="dxa"/>
            <w:vAlign w:val="center"/>
          </w:tcPr>
          <w:p w14:paraId="7284DFD6" w14:textId="77777777" w:rsidR="005B3169" w:rsidRPr="002679B7" w:rsidRDefault="005B3169" w:rsidP="00747AF0">
            <w:pPr>
              <w:spacing w:after="0" w:line="360" w:lineRule="auto"/>
              <w:jc w:val="center"/>
              <w:rPr>
                <w:rFonts w:cs="Times New Roman"/>
                <w:color w:val="000000"/>
                <w:sz w:val="24"/>
                <w:szCs w:val="24"/>
                <w:lang w:val="en-ID"/>
              </w:rPr>
            </w:pPr>
          </w:p>
        </w:tc>
      </w:tr>
      <w:tr w:rsidR="005B3169" w:rsidRPr="002679B7" w14:paraId="71850577" w14:textId="77777777" w:rsidTr="005B3169">
        <w:trPr>
          <w:tblCellSpacing w:w="15" w:type="dxa"/>
          <w:jc w:val="center"/>
        </w:trPr>
        <w:tc>
          <w:tcPr>
            <w:tcW w:w="879" w:type="dxa"/>
            <w:vAlign w:val="center"/>
            <w:hideMark/>
          </w:tcPr>
          <w:p w14:paraId="170C1807" w14:textId="75150B41" w:rsidR="005B3169" w:rsidRPr="005B3169" w:rsidRDefault="005B3169" w:rsidP="00747AF0">
            <w:pPr>
              <w:spacing w:after="0" w:line="360" w:lineRule="auto"/>
              <w:rPr>
                <w:rFonts w:cs="Times New Roman"/>
                <w:color w:val="000000"/>
                <w:sz w:val="24"/>
                <w:szCs w:val="24"/>
                <w:lang w:val="en-ID"/>
              </w:rPr>
            </w:pPr>
          </w:p>
        </w:tc>
        <w:tc>
          <w:tcPr>
            <w:tcW w:w="2521" w:type="dxa"/>
            <w:vAlign w:val="center"/>
            <w:hideMark/>
          </w:tcPr>
          <w:p w14:paraId="46028774" w14:textId="77777777" w:rsidR="005B3169" w:rsidRPr="005B3169" w:rsidRDefault="005B3169" w:rsidP="00747AF0">
            <w:pPr>
              <w:spacing w:after="0" w:line="360" w:lineRule="auto"/>
              <w:rPr>
                <w:rFonts w:cs="Times New Roman"/>
                <w:color w:val="000000"/>
                <w:sz w:val="24"/>
                <w:szCs w:val="24"/>
                <w:lang w:val="en-ID"/>
              </w:rPr>
            </w:pPr>
            <w:r w:rsidRPr="005B3169">
              <w:rPr>
                <w:rFonts w:cs="Times New Roman"/>
                <w:color w:val="000000"/>
                <w:sz w:val="24"/>
                <w:szCs w:val="24"/>
                <w:lang w:val="en-ID"/>
              </w:rPr>
              <w:t>Negative</w:t>
            </w:r>
          </w:p>
        </w:tc>
        <w:tc>
          <w:tcPr>
            <w:tcW w:w="1246" w:type="dxa"/>
            <w:vAlign w:val="center"/>
            <w:hideMark/>
          </w:tcPr>
          <w:p w14:paraId="6A134ED8"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31</w:t>
            </w:r>
          </w:p>
        </w:tc>
        <w:tc>
          <w:tcPr>
            <w:tcW w:w="1231" w:type="dxa"/>
            <w:vAlign w:val="center"/>
            <w:hideMark/>
          </w:tcPr>
          <w:p w14:paraId="01C4AF48"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66.0</w:t>
            </w:r>
          </w:p>
        </w:tc>
      </w:tr>
      <w:tr w:rsidR="005B3169" w:rsidRPr="002679B7" w14:paraId="6EDE902B" w14:textId="77777777" w:rsidTr="005B3169">
        <w:trPr>
          <w:tblCellSpacing w:w="15" w:type="dxa"/>
          <w:jc w:val="center"/>
        </w:trPr>
        <w:tc>
          <w:tcPr>
            <w:tcW w:w="879" w:type="dxa"/>
            <w:vAlign w:val="center"/>
            <w:hideMark/>
          </w:tcPr>
          <w:p w14:paraId="172F9BCC" w14:textId="77777777" w:rsidR="005B3169" w:rsidRPr="005B3169" w:rsidRDefault="005B3169" w:rsidP="00747AF0">
            <w:pPr>
              <w:spacing w:after="0" w:line="360" w:lineRule="auto"/>
              <w:rPr>
                <w:rFonts w:cs="Times New Roman"/>
                <w:color w:val="000000"/>
                <w:sz w:val="24"/>
                <w:szCs w:val="24"/>
                <w:lang w:val="en-ID"/>
              </w:rPr>
            </w:pPr>
          </w:p>
        </w:tc>
        <w:tc>
          <w:tcPr>
            <w:tcW w:w="2521" w:type="dxa"/>
            <w:vAlign w:val="center"/>
            <w:hideMark/>
          </w:tcPr>
          <w:p w14:paraId="1878AB5E" w14:textId="77777777" w:rsidR="005B3169" w:rsidRPr="005B3169" w:rsidRDefault="005B3169" w:rsidP="00747AF0">
            <w:pPr>
              <w:spacing w:after="0" w:line="360" w:lineRule="auto"/>
              <w:rPr>
                <w:rFonts w:cs="Times New Roman"/>
                <w:color w:val="000000"/>
                <w:sz w:val="24"/>
                <w:szCs w:val="24"/>
                <w:lang w:val="en-ID"/>
              </w:rPr>
            </w:pPr>
            <w:r w:rsidRPr="005B3169">
              <w:rPr>
                <w:rFonts w:cs="Times New Roman"/>
                <w:color w:val="000000"/>
                <w:sz w:val="24"/>
                <w:szCs w:val="24"/>
                <w:lang w:val="en-ID"/>
              </w:rPr>
              <w:t>Positive</w:t>
            </w:r>
          </w:p>
        </w:tc>
        <w:tc>
          <w:tcPr>
            <w:tcW w:w="1246" w:type="dxa"/>
            <w:vAlign w:val="center"/>
            <w:hideMark/>
          </w:tcPr>
          <w:p w14:paraId="6852E8D9"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16</w:t>
            </w:r>
          </w:p>
        </w:tc>
        <w:tc>
          <w:tcPr>
            <w:tcW w:w="1231" w:type="dxa"/>
            <w:vAlign w:val="center"/>
            <w:hideMark/>
          </w:tcPr>
          <w:p w14:paraId="4FBBB369" w14:textId="77777777" w:rsidR="005B3169" w:rsidRPr="005B3169" w:rsidRDefault="005B3169" w:rsidP="00747AF0">
            <w:pPr>
              <w:spacing w:after="0" w:line="360" w:lineRule="auto"/>
              <w:jc w:val="center"/>
              <w:rPr>
                <w:rFonts w:cs="Times New Roman"/>
                <w:color w:val="000000"/>
                <w:sz w:val="24"/>
                <w:szCs w:val="24"/>
                <w:lang w:val="en-ID"/>
              </w:rPr>
            </w:pPr>
            <w:r w:rsidRPr="005B3169">
              <w:rPr>
                <w:rFonts w:cs="Times New Roman"/>
                <w:color w:val="000000"/>
                <w:sz w:val="24"/>
                <w:szCs w:val="24"/>
                <w:lang w:val="en-ID"/>
              </w:rPr>
              <w:t>34.0</w:t>
            </w:r>
          </w:p>
        </w:tc>
      </w:tr>
    </w:tbl>
    <w:p w14:paraId="0380495B" w14:textId="77777777" w:rsidR="005B3169" w:rsidRPr="002679B7" w:rsidRDefault="005B3169" w:rsidP="00747AF0">
      <w:pPr>
        <w:spacing w:after="0" w:line="360" w:lineRule="auto"/>
        <w:jc w:val="both"/>
        <w:rPr>
          <w:rFonts w:cs="Times New Roman"/>
          <w:color w:val="000000"/>
          <w:sz w:val="24"/>
          <w:szCs w:val="24"/>
        </w:rPr>
      </w:pPr>
    </w:p>
    <w:p w14:paraId="79A0218F" w14:textId="549506C2" w:rsidR="005B3169" w:rsidRPr="002679B7" w:rsidRDefault="005B3169" w:rsidP="00095E10">
      <w:pPr>
        <w:spacing w:after="0" w:line="360" w:lineRule="auto"/>
        <w:ind w:firstLine="720"/>
        <w:jc w:val="both"/>
        <w:rPr>
          <w:rFonts w:cs="Times New Roman"/>
          <w:color w:val="000000"/>
          <w:sz w:val="24"/>
          <w:szCs w:val="24"/>
        </w:rPr>
      </w:pPr>
      <w:commentRangeStart w:id="3"/>
      <w:r w:rsidRPr="002679B7">
        <w:rPr>
          <w:rFonts w:cs="Times New Roman"/>
          <w:color w:val="000000"/>
          <w:sz w:val="24"/>
          <w:szCs w:val="24"/>
        </w:rPr>
        <w:t>Continuous bivariable analysis demonstrated significant disparities</w:t>
      </w:r>
      <w:commentRangeEnd w:id="3"/>
      <w:r w:rsidR="00672338" w:rsidRPr="002679B7">
        <w:rPr>
          <w:rStyle w:val="CommentReference"/>
          <w:rFonts w:cs="Times New Roman"/>
          <w:color w:val="000000"/>
          <w:sz w:val="24"/>
          <w:szCs w:val="24"/>
        </w:rPr>
        <w:commentReference w:id="3"/>
      </w:r>
      <w:r w:rsidRPr="002679B7">
        <w:rPr>
          <w:rFonts w:cs="Times New Roman"/>
          <w:color w:val="000000"/>
          <w:sz w:val="24"/>
          <w:szCs w:val="24"/>
        </w:rPr>
        <w:t xml:space="preserve"> in serum SP levels according to specific prognostic variables (</w:t>
      </w:r>
      <w:r w:rsidRPr="002679B7">
        <w:rPr>
          <w:rFonts w:cs="Times New Roman"/>
          <w:b/>
          <w:bCs/>
          <w:color w:val="000000"/>
          <w:sz w:val="24"/>
          <w:szCs w:val="24"/>
        </w:rPr>
        <w:t>Table 2</w:t>
      </w:r>
      <w:r w:rsidRPr="002679B7">
        <w:rPr>
          <w:rFonts w:cs="Times New Roman"/>
          <w:color w:val="000000"/>
          <w:sz w:val="24"/>
          <w:szCs w:val="24"/>
        </w:rPr>
        <w:t xml:space="preserve">). Patients with confirmed lymph node metastasis exhibited significantly elevated mean serum SP compared to node-negative patients. Furthermore, a significant association was observed regarding HER2 amplification, with HER2-positive tumors demonstrating markedly higher serum SP concentrations than HER2-negative tumors. Conversely, no statistically significant differences in continuous SP </w:t>
      </w:r>
      <w:r w:rsidRPr="002679B7">
        <w:rPr>
          <w:rFonts w:cs="Times New Roman"/>
          <w:color w:val="000000"/>
          <w:sz w:val="24"/>
          <w:szCs w:val="24"/>
        </w:rPr>
        <w:lastRenderedPageBreak/>
        <w:t>levels were detected across categories of histopathological grade, tumor size, Ki-67 index, clinical stage, or luminal subtype.</w:t>
      </w:r>
    </w:p>
    <w:p w14:paraId="3BEE186F" w14:textId="77777777" w:rsidR="00747AF0" w:rsidRPr="002679B7" w:rsidRDefault="00747AF0" w:rsidP="00747AF0">
      <w:pPr>
        <w:spacing w:after="0" w:line="360" w:lineRule="auto"/>
        <w:jc w:val="both"/>
        <w:rPr>
          <w:rFonts w:cs="Times New Roman"/>
          <w:color w:val="000000"/>
          <w:sz w:val="24"/>
          <w:szCs w:val="24"/>
        </w:rPr>
      </w:pPr>
    </w:p>
    <w:p w14:paraId="2554659B" w14:textId="0DDB853E" w:rsidR="0097236C" w:rsidRPr="002679B7" w:rsidRDefault="0097236C" w:rsidP="00747AF0">
      <w:pPr>
        <w:spacing w:after="0" w:line="360" w:lineRule="auto"/>
        <w:jc w:val="center"/>
        <w:rPr>
          <w:rFonts w:cs="Times New Roman"/>
          <w:color w:val="000000"/>
          <w:sz w:val="24"/>
          <w:szCs w:val="24"/>
        </w:rPr>
      </w:pPr>
      <w:r w:rsidRPr="002679B7">
        <w:rPr>
          <w:rFonts w:cs="Times New Roman"/>
          <w:b/>
          <w:bCs/>
          <w:color w:val="000000"/>
          <w:sz w:val="24"/>
          <w:szCs w:val="24"/>
        </w:rPr>
        <w:t>Table 2.</w:t>
      </w:r>
      <w:r w:rsidRPr="002679B7">
        <w:rPr>
          <w:rFonts w:cs="Times New Roman"/>
          <w:color w:val="000000"/>
          <w:sz w:val="24"/>
          <w:szCs w:val="24"/>
        </w:rPr>
        <w:t xml:space="preserve"> Continuous serum Substance P levels according to prognostic parameters.</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06"/>
        <w:gridCol w:w="2126"/>
        <w:gridCol w:w="851"/>
        <w:gridCol w:w="2268"/>
        <w:gridCol w:w="1417"/>
      </w:tblGrid>
      <w:tr w:rsidR="0097236C" w:rsidRPr="002679B7" w14:paraId="1DB1857D" w14:textId="77777777" w:rsidTr="0097236C">
        <w:trPr>
          <w:tblHeader/>
          <w:tblCellSpacing w:w="15" w:type="dxa"/>
          <w:jc w:val="center"/>
        </w:trPr>
        <w:tc>
          <w:tcPr>
            <w:tcW w:w="2987" w:type="dxa"/>
            <w:gridSpan w:val="2"/>
            <w:vAlign w:val="center"/>
            <w:hideMark/>
          </w:tcPr>
          <w:p w14:paraId="681C1D65" w14:textId="3D14D0C6" w:rsidR="0097236C" w:rsidRPr="0097236C" w:rsidRDefault="0097236C" w:rsidP="00747AF0">
            <w:pPr>
              <w:spacing w:after="0" w:line="360" w:lineRule="auto"/>
              <w:jc w:val="center"/>
              <w:rPr>
                <w:rFonts w:cs="Times New Roman"/>
                <w:color w:val="000000"/>
                <w:sz w:val="24"/>
                <w:szCs w:val="24"/>
                <w:lang w:val="en-ID"/>
              </w:rPr>
            </w:pPr>
            <w:r w:rsidRPr="002679B7">
              <w:rPr>
                <w:rFonts w:cs="Times New Roman"/>
                <w:b/>
                <w:bCs/>
                <w:color w:val="000000"/>
                <w:sz w:val="24"/>
                <w:szCs w:val="24"/>
                <w:lang w:val="en-ID"/>
              </w:rPr>
              <w:t>Variable</w:t>
            </w:r>
          </w:p>
        </w:tc>
        <w:tc>
          <w:tcPr>
            <w:tcW w:w="821" w:type="dxa"/>
            <w:vAlign w:val="center"/>
            <w:hideMark/>
          </w:tcPr>
          <w:p w14:paraId="19A0969E"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b/>
                <w:bCs/>
                <w:color w:val="000000"/>
                <w:sz w:val="24"/>
                <w:szCs w:val="24"/>
                <w:lang w:val="en-ID"/>
              </w:rPr>
              <w:t>n</w:t>
            </w:r>
          </w:p>
        </w:tc>
        <w:tc>
          <w:tcPr>
            <w:tcW w:w="2238" w:type="dxa"/>
            <w:vAlign w:val="center"/>
            <w:hideMark/>
          </w:tcPr>
          <w:p w14:paraId="40BEE698"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b/>
                <w:bCs/>
                <w:color w:val="000000"/>
                <w:sz w:val="24"/>
                <w:szCs w:val="24"/>
                <w:lang w:val="en-ID"/>
              </w:rPr>
              <w:t>Mean SP ± SD</w:t>
            </w:r>
          </w:p>
        </w:tc>
        <w:tc>
          <w:tcPr>
            <w:tcW w:w="1372" w:type="dxa"/>
            <w:vAlign w:val="center"/>
            <w:hideMark/>
          </w:tcPr>
          <w:p w14:paraId="76A11BB9"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b/>
                <w:bCs/>
                <w:color w:val="000000"/>
                <w:sz w:val="24"/>
                <w:szCs w:val="24"/>
                <w:lang w:val="en-ID"/>
              </w:rPr>
              <w:t>p-value</w:t>
            </w:r>
          </w:p>
        </w:tc>
      </w:tr>
      <w:tr w:rsidR="0097236C" w:rsidRPr="002679B7" w14:paraId="0251197A" w14:textId="77777777" w:rsidTr="0097236C">
        <w:trPr>
          <w:tblCellSpacing w:w="15" w:type="dxa"/>
          <w:jc w:val="center"/>
        </w:trPr>
        <w:tc>
          <w:tcPr>
            <w:tcW w:w="2987" w:type="dxa"/>
            <w:gridSpan w:val="2"/>
            <w:tcBorders>
              <w:top w:val="single" w:sz="4" w:space="0" w:color="auto"/>
              <w:bottom w:val="nil"/>
            </w:tcBorders>
            <w:vAlign w:val="center"/>
          </w:tcPr>
          <w:p w14:paraId="797C7EB0" w14:textId="083B397B" w:rsidR="0097236C" w:rsidRPr="002679B7" w:rsidRDefault="0097236C" w:rsidP="00747AF0">
            <w:pPr>
              <w:spacing w:after="0" w:line="360" w:lineRule="auto"/>
              <w:rPr>
                <w:rFonts w:cs="Times New Roman"/>
                <w:color w:val="000000"/>
                <w:sz w:val="24"/>
                <w:szCs w:val="24"/>
                <w:lang w:val="en-ID"/>
              </w:rPr>
            </w:pPr>
            <w:r w:rsidRPr="0097236C">
              <w:rPr>
                <w:rFonts w:cs="Times New Roman"/>
                <w:b/>
                <w:bCs/>
                <w:color w:val="000000"/>
                <w:sz w:val="24"/>
                <w:szCs w:val="24"/>
                <w:lang w:val="en-ID"/>
              </w:rPr>
              <w:t>Histopathological grade</w:t>
            </w:r>
          </w:p>
        </w:tc>
        <w:tc>
          <w:tcPr>
            <w:tcW w:w="821" w:type="dxa"/>
            <w:tcBorders>
              <w:top w:val="single" w:sz="4" w:space="0" w:color="auto"/>
              <w:bottom w:val="nil"/>
            </w:tcBorders>
            <w:vAlign w:val="center"/>
          </w:tcPr>
          <w:p w14:paraId="38151FEC" w14:textId="77777777" w:rsidR="0097236C" w:rsidRPr="002679B7" w:rsidRDefault="0097236C" w:rsidP="00747AF0">
            <w:pPr>
              <w:spacing w:after="0" w:line="360" w:lineRule="auto"/>
              <w:jc w:val="center"/>
              <w:rPr>
                <w:rFonts w:cs="Times New Roman"/>
                <w:color w:val="000000"/>
                <w:sz w:val="24"/>
                <w:szCs w:val="24"/>
                <w:lang w:val="en-ID"/>
              </w:rPr>
            </w:pPr>
          </w:p>
        </w:tc>
        <w:tc>
          <w:tcPr>
            <w:tcW w:w="2238" w:type="dxa"/>
            <w:tcBorders>
              <w:top w:val="single" w:sz="4" w:space="0" w:color="auto"/>
              <w:bottom w:val="nil"/>
            </w:tcBorders>
            <w:vAlign w:val="center"/>
          </w:tcPr>
          <w:p w14:paraId="1D766F7D" w14:textId="77777777" w:rsidR="0097236C" w:rsidRPr="002679B7" w:rsidRDefault="0097236C" w:rsidP="00747AF0">
            <w:pPr>
              <w:spacing w:after="0" w:line="360" w:lineRule="auto"/>
              <w:jc w:val="center"/>
              <w:rPr>
                <w:rFonts w:cs="Times New Roman"/>
                <w:color w:val="000000"/>
                <w:sz w:val="24"/>
                <w:szCs w:val="24"/>
                <w:lang w:val="en-ID"/>
              </w:rPr>
            </w:pPr>
          </w:p>
        </w:tc>
        <w:tc>
          <w:tcPr>
            <w:tcW w:w="1372" w:type="dxa"/>
            <w:tcBorders>
              <w:top w:val="single" w:sz="4" w:space="0" w:color="auto"/>
              <w:bottom w:val="nil"/>
            </w:tcBorders>
            <w:vAlign w:val="center"/>
          </w:tcPr>
          <w:p w14:paraId="639FBE36" w14:textId="77777777" w:rsidR="0097236C" w:rsidRPr="002679B7" w:rsidRDefault="0097236C" w:rsidP="00747AF0">
            <w:pPr>
              <w:spacing w:after="0" w:line="360" w:lineRule="auto"/>
              <w:jc w:val="center"/>
              <w:rPr>
                <w:rFonts w:cs="Times New Roman"/>
                <w:color w:val="000000"/>
                <w:sz w:val="24"/>
                <w:szCs w:val="24"/>
                <w:lang w:val="en-ID"/>
              </w:rPr>
            </w:pPr>
          </w:p>
        </w:tc>
      </w:tr>
      <w:tr w:rsidR="0097236C" w:rsidRPr="002679B7" w14:paraId="1B62647A" w14:textId="77777777" w:rsidTr="0097236C">
        <w:trPr>
          <w:tblCellSpacing w:w="15" w:type="dxa"/>
          <w:jc w:val="center"/>
        </w:trPr>
        <w:tc>
          <w:tcPr>
            <w:tcW w:w="861" w:type="dxa"/>
            <w:tcBorders>
              <w:top w:val="nil"/>
              <w:bottom w:val="nil"/>
            </w:tcBorders>
            <w:vAlign w:val="center"/>
            <w:hideMark/>
          </w:tcPr>
          <w:p w14:paraId="3E5ADADC" w14:textId="7D4DE105" w:rsidR="0097236C" w:rsidRPr="0097236C" w:rsidRDefault="0097236C" w:rsidP="00747AF0">
            <w:pPr>
              <w:spacing w:after="0" w:line="360" w:lineRule="auto"/>
              <w:rPr>
                <w:rFonts w:cs="Times New Roman"/>
                <w:color w:val="000000"/>
                <w:sz w:val="24"/>
                <w:szCs w:val="24"/>
                <w:lang w:val="en-ID"/>
              </w:rPr>
            </w:pPr>
          </w:p>
        </w:tc>
        <w:tc>
          <w:tcPr>
            <w:tcW w:w="2096" w:type="dxa"/>
            <w:tcBorders>
              <w:top w:val="nil"/>
              <w:bottom w:val="nil"/>
            </w:tcBorders>
            <w:vAlign w:val="center"/>
            <w:hideMark/>
          </w:tcPr>
          <w:p w14:paraId="3E8B0A94" w14:textId="77777777" w:rsidR="0097236C" w:rsidRPr="0097236C" w:rsidRDefault="0097236C" w:rsidP="00747AF0">
            <w:pPr>
              <w:spacing w:after="0" w:line="360" w:lineRule="auto"/>
              <w:rPr>
                <w:rFonts w:cs="Times New Roman"/>
                <w:color w:val="000000"/>
                <w:sz w:val="24"/>
                <w:szCs w:val="24"/>
                <w:lang w:val="en-ID"/>
              </w:rPr>
            </w:pPr>
            <w:r w:rsidRPr="0097236C">
              <w:rPr>
                <w:rFonts w:cs="Times New Roman"/>
                <w:color w:val="000000"/>
                <w:sz w:val="24"/>
                <w:szCs w:val="24"/>
                <w:lang w:val="en-ID"/>
              </w:rPr>
              <w:t>Grade 2</w:t>
            </w:r>
          </w:p>
        </w:tc>
        <w:tc>
          <w:tcPr>
            <w:tcW w:w="821" w:type="dxa"/>
            <w:tcBorders>
              <w:top w:val="nil"/>
              <w:bottom w:val="nil"/>
            </w:tcBorders>
            <w:vAlign w:val="center"/>
            <w:hideMark/>
          </w:tcPr>
          <w:p w14:paraId="7721B5BD"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19</w:t>
            </w:r>
          </w:p>
        </w:tc>
        <w:tc>
          <w:tcPr>
            <w:tcW w:w="2238" w:type="dxa"/>
            <w:tcBorders>
              <w:top w:val="nil"/>
              <w:bottom w:val="nil"/>
            </w:tcBorders>
            <w:vAlign w:val="center"/>
            <w:hideMark/>
          </w:tcPr>
          <w:p w14:paraId="63461C07" w14:textId="44C37711"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1.31 </w:t>
            </w:r>
            <w:r w:rsidRPr="002679B7">
              <w:rPr>
                <w:rFonts w:cs="Times New Roman"/>
                <w:color w:val="000000"/>
                <w:sz w:val="24"/>
                <w:szCs w:val="24"/>
                <w:lang w:val="en-ID"/>
              </w:rPr>
              <w:t>±</w:t>
            </w:r>
            <w:r w:rsidRPr="0097236C">
              <w:rPr>
                <w:rFonts w:cs="Times New Roman"/>
                <w:color w:val="000000"/>
                <w:sz w:val="24"/>
                <w:szCs w:val="24"/>
                <w:lang w:val="en-ID"/>
              </w:rPr>
              <w:t> 0.19</w:t>
            </w:r>
          </w:p>
        </w:tc>
        <w:tc>
          <w:tcPr>
            <w:tcW w:w="1372" w:type="dxa"/>
            <w:tcBorders>
              <w:top w:val="nil"/>
              <w:bottom w:val="nil"/>
            </w:tcBorders>
            <w:vAlign w:val="center"/>
            <w:hideMark/>
          </w:tcPr>
          <w:p w14:paraId="13AE28DD"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0.862</w:t>
            </w:r>
          </w:p>
        </w:tc>
      </w:tr>
      <w:tr w:rsidR="0097236C" w:rsidRPr="002679B7" w14:paraId="08429261" w14:textId="77777777" w:rsidTr="0097236C">
        <w:trPr>
          <w:tblCellSpacing w:w="15" w:type="dxa"/>
          <w:jc w:val="center"/>
        </w:trPr>
        <w:tc>
          <w:tcPr>
            <w:tcW w:w="861" w:type="dxa"/>
            <w:vAlign w:val="center"/>
            <w:hideMark/>
          </w:tcPr>
          <w:p w14:paraId="28B56D05" w14:textId="77777777" w:rsidR="0097236C" w:rsidRPr="0097236C" w:rsidRDefault="0097236C" w:rsidP="00747AF0">
            <w:pPr>
              <w:spacing w:after="0" w:line="360" w:lineRule="auto"/>
              <w:rPr>
                <w:rFonts w:cs="Times New Roman"/>
                <w:color w:val="000000"/>
                <w:sz w:val="24"/>
                <w:szCs w:val="24"/>
                <w:lang w:val="en-ID"/>
              </w:rPr>
            </w:pPr>
          </w:p>
        </w:tc>
        <w:tc>
          <w:tcPr>
            <w:tcW w:w="2096" w:type="dxa"/>
            <w:vAlign w:val="center"/>
            <w:hideMark/>
          </w:tcPr>
          <w:p w14:paraId="53242458" w14:textId="77777777" w:rsidR="0097236C" w:rsidRPr="0097236C" w:rsidRDefault="0097236C" w:rsidP="00747AF0">
            <w:pPr>
              <w:spacing w:after="0" w:line="360" w:lineRule="auto"/>
              <w:rPr>
                <w:rFonts w:cs="Times New Roman"/>
                <w:color w:val="000000"/>
                <w:sz w:val="24"/>
                <w:szCs w:val="24"/>
                <w:lang w:val="en-ID"/>
              </w:rPr>
            </w:pPr>
            <w:r w:rsidRPr="0097236C">
              <w:rPr>
                <w:rFonts w:cs="Times New Roman"/>
                <w:color w:val="000000"/>
                <w:sz w:val="24"/>
                <w:szCs w:val="24"/>
                <w:lang w:val="en-ID"/>
              </w:rPr>
              <w:t>Grade 3</w:t>
            </w:r>
          </w:p>
        </w:tc>
        <w:tc>
          <w:tcPr>
            <w:tcW w:w="821" w:type="dxa"/>
            <w:vAlign w:val="center"/>
            <w:hideMark/>
          </w:tcPr>
          <w:p w14:paraId="2C932168"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28</w:t>
            </w:r>
          </w:p>
        </w:tc>
        <w:tc>
          <w:tcPr>
            <w:tcW w:w="2238" w:type="dxa"/>
            <w:vAlign w:val="center"/>
            <w:hideMark/>
          </w:tcPr>
          <w:p w14:paraId="237559AA" w14:textId="4D0EB448"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1.34 </w:t>
            </w:r>
            <w:r w:rsidRPr="002679B7">
              <w:rPr>
                <w:rFonts w:cs="Times New Roman"/>
                <w:color w:val="000000"/>
                <w:sz w:val="24"/>
                <w:szCs w:val="24"/>
                <w:lang w:val="en-ID"/>
              </w:rPr>
              <w:t>±</w:t>
            </w:r>
            <w:r w:rsidRPr="0097236C">
              <w:rPr>
                <w:rFonts w:cs="Times New Roman"/>
                <w:color w:val="000000"/>
                <w:sz w:val="24"/>
                <w:szCs w:val="24"/>
                <w:lang w:val="en-ID"/>
              </w:rPr>
              <w:t> 0.26</w:t>
            </w:r>
          </w:p>
        </w:tc>
        <w:tc>
          <w:tcPr>
            <w:tcW w:w="1372" w:type="dxa"/>
            <w:vAlign w:val="center"/>
            <w:hideMark/>
          </w:tcPr>
          <w:p w14:paraId="67FDA227" w14:textId="77777777" w:rsidR="0097236C" w:rsidRPr="0097236C" w:rsidRDefault="0097236C" w:rsidP="00747AF0">
            <w:pPr>
              <w:spacing w:after="0" w:line="360" w:lineRule="auto"/>
              <w:jc w:val="center"/>
              <w:rPr>
                <w:rFonts w:cs="Times New Roman"/>
                <w:color w:val="000000"/>
                <w:sz w:val="24"/>
                <w:szCs w:val="24"/>
                <w:lang w:val="en-ID"/>
              </w:rPr>
            </w:pPr>
          </w:p>
        </w:tc>
      </w:tr>
      <w:tr w:rsidR="0097236C" w:rsidRPr="002679B7" w14:paraId="0C74903E" w14:textId="77777777" w:rsidTr="0097236C">
        <w:trPr>
          <w:tblCellSpacing w:w="15" w:type="dxa"/>
          <w:jc w:val="center"/>
        </w:trPr>
        <w:tc>
          <w:tcPr>
            <w:tcW w:w="2987" w:type="dxa"/>
            <w:gridSpan w:val="2"/>
            <w:vAlign w:val="center"/>
          </w:tcPr>
          <w:p w14:paraId="7EAA4094" w14:textId="344B84B1" w:rsidR="0097236C" w:rsidRPr="002679B7" w:rsidRDefault="0097236C" w:rsidP="00747AF0">
            <w:pPr>
              <w:spacing w:after="0" w:line="360" w:lineRule="auto"/>
              <w:rPr>
                <w:rFonts w:cs="Times New Roman"/>
                <w:color w:val="000000"/>
                <w:sz w:val="24"/>
                <w:szCs w:val="24"/>
                <w:lang w:val="en-ID"/>
              </w:rPr>
            </w:pPr>
            <w:r w:rsidRPr="0097236C">
              <w:rPr>
                <w:rFonts w:cs="Times New Roman"/>
                <w:b/>
                <w:bCs/>
                <w:color w:val="000000"/>
                <w:sz w:val="24"/>
                <w:szCs w:val="24"/>
                <w:lang w:val="en-ID"/>
              </w:rPr>
              <w:t>Tumor size</w:t>
            </w:r>
          </w:p>
        </w:tc>
        <w:tc>
          <w:tcPr>
            <w:tcW w:w="821" w:type="dxa"/>
            <w:vAlign w:val="center"/>
          </w:tcPr>
          <w:p w14:paraId="647C7B9A" w14:textId="77777777" w:rsidR="0097236C" w:rsidRPr="002679B7" w:rsidRDefault="0097236C" w:rsidP="00747AF0">
            <w:pPr>
              <w:spacing w:after="0" w:line="360" w:lineRule="auto"/>
              <w:jc w:val="center"/>
              <w:rPr>
                <w:rFonts w:cs="Times New Roman"/>
                <w:color w:val="000000"/>
                <w:sz w:val="24"/>
                <w:szCs w:val="24"/>
                <w:lang w:val="en-ID"/>
              </w:rPr>
            </w:pPr>
          </w:p>
        </w:tc>
        <w:tc>
          <w:tcPr>
            <w:tcW w:w="2238" w:type="dxa"/>
            <w:vAlign w:val="center"/>
          </w:tcPr>
          <w:p w14:paraId="169EBD4E" w14:textId="77777777" w:rsidR="0097236C" w:rsidRPr="002679B7" w:rsidRDefault="0097236C" w:rsidP="00747AF0">
            <w:pPr>
              <w:spacing w:after="0" w:line="360" w:lineRule="auto"/>
              <w:jc w:val="center"/>
              <w:rPr>
                <w:rFonts w:cs="Times New Roman"/>
                <w:color w:val="000000"/>
                <w:sz w:val="24"/>
                <w:szCs w:val="24"/>
                <w:lang w:val="en-ID"/>
              </w:rPr>
            </w:pPr>
          </w:p>
        </w:tc>
        <w:tc>
          <w:tcPr>
            <w:tcW w:w="1372" w:type="dxa"/>
            <w:vAlign w:val="center"/>
          </w:tcPr>
          <w:p w14:paraId="62D12490" w14:textId="77777777" w:rsidR="0097236C" w:rsidRPr="002679B7" w:rsidRDefault="0097236C" w:rsidP="00747AF0">
            <w:pPr>
              <w:spacing w:after="0" w:line="360" w:lineRule="auto"/>
              <w:jc w:val="center"/>
              <w:rPr>
                <w:rFonts w:cs="Times New Roman"/>
                <w:color w:val="000000"/>
                <w:sz w:val="24"/>
                <w:szCs w:val="24"/>
                <w:lang w:val="en-ID"/>
              </w:rPr>
            </w:pPr>
          </w:p>
        </w:tc>
      </w:tr>
      <w:tr w:rsidR="0097236C" w:rsidRPr="002679B7" w14:paraId="459AC1FA" w14:textId="77777777" w:rsidTr="0097236C">
        <w:trPr>
          <w:tblCellSpacing w:w="15" w:type="dxa"/>
          <w:jc w:val="center"/>
        </w:trPr>
        <w:tc>
          <w:tcPr>
            <w:tcW w:w="861" w:type="dxa"/>
            <w:vAlign w:val="center"/>
            <w:hideMark/>
          </w:tcPr>
          <w:p w14:paraId="7CF64F67" w14:textId="5A8F7D28" w:rsidR="0097236C" w:rsidRPr="0097236C" w:rsidRDefault="0097236C" w:rsidP="00747AF0">
            <w:pPr>
              <w:spacing w:after="0" w:line="360" w:lineRule="auto"/>
              <w:rPr>
                <w:rFonts w:cs="Times New Roman"/>
                <w:color w:val="000000"/>
                <w:sz w:val="24"/>
                <w:szCs w:val="24"/>
                <w:lang w:val="en-ID"/>
              </w:rPr>
            </w:pPr>
          </w:p>
        </w:tc>
        <w:tc>
          <w:tcPr>
            <w:tcW w:w="2096" w:type="dxa"/>
            <w:vAlign w:val="center"/>
            <w:hideMark/>
          </w:tcPr>
          <w:p w14:paraId="10511D27" w14:textId="77777777" w:rsidR="0097236C" w:rsidRPr="0097236C" w:rsidRDefault="0097236C" w:rsidP="00747AF0">
            <w:pPr>
              <w:spacing w:after="0" w:line="360" w:lineRule="auto"/>
              <w:rPr>
                <w:rFonts w:cs="Times New Roman"/>
                <w:color w:val="000000"/>
                <w:sz w:val="24"/>
                <w:szCs w:val="24"/>
                <w:lang w:val="en-ID"/>
              </w:rPr>
            </w:pPr>
            <w:r w:rsidRPr="0097236C">
              <w:rPr>
                <w:rFonts w:cs="Times New Roman"/>
                <w:color w:val="000000"/>
                <w:sz w:val="24"/>
                <w:szCs w:val="24"/>
                <w:lang w:val="en-ID"/>
              </w:rPr>
              <w:t>T3</w:t>
            </w:r>
          </w:p>
        </w:tc>
        <w:tc>
          <w:tcPr>
            <w:tcW w:w="821" w:type="dxa"/>
            <w:vAlign w:val="center"/>
            <w:hideMark/>
          </w:tcPr>
          <w:p w14:paraId="12D82907"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4</w:t>
            </w:r>
          </w:p>
        </w:tc>
        <w:tc>
          <w:tcPr>
            <w:tcW w:w="2238" w:type="dxa"/>
            <w:vAlign w:val="center"/>
            <w:hideMark/>
          </w:tcPr>
          <w:p w14:paraId="09AAAC71" w14:textId="1CE90D9F"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1.30 </w:t>
            </w:r>
            <w:r w:rsidRPr="002679B7">
              <w:rPr>
                <w:rFonts w:cs="Times New Roman"/>
                <w:color w:val="000000"/>
                <w:sz w:val="24"/>
                <w:szCs w:val="24"/>
                <w:lang w:val="en-ID"/>
              </w:rPr>
              <w:t>±</w:t>
            </w:r>
            <w:r w:rsidRPr="0097236C">
              <w:rPr>
                <w:rFonts w:cs="Times New Roman"/>
                <w:color w:val="000000"/>
                <w:sz w:val="24"/>
                <w:szCs w:val="24"/>
                <w:lang w:val="en-ID"/>
              </w:rPr>
              <w:t> 0.13</w:t>
            </w:r>
          </w:p>
        </w:tc>
        <w:tc>
          <w:tcPr>
            <w:tcW w:w="1372" w:type="dxa"/>
            <w:vAlign w:val="center"/>
            <w:hideMark/>
          </w:tcPr>
          <w:p w14:paraId="73A615AF"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0.879</w:t>
            </w:r>
          </w:p>
        </w:tc>
      </w:tr>
      <w:tr w:rsidR="0097236C" w:rsidRPr="002679B7" w14:paraId="6342A28D" w14:textId="77777777" w:rsidTr="0097236C">
        <w:trPr>
          <w:tblCellSpacing w:w="15" w:type="dxa"/>
          <w:jc w:val="center"/>
        </w:trPr>
        <w:tc>
          <w:tcPr>
            <w:tcW w:w="861" w:type="dxa"/>
            <w:vAlign w:val="center"/>
            <w:hideMark/>
          </w:tcPr>
          <w:p w14:paraId="5D1060C5" w14:textId="77777777" w:rsidR="0097236C" w:rsidRPr="0097236C" w:rsidRDefault="0097236C" w:rsidP="00747AF0">
            <w:pPr>
              <w:spacing w:after="0" w:line="360" w:lineRule="auto"/>
              <w:rPr>
                <w:rFonts w:cs="Times New Roman"/>
                <w:color w:val="000000"/>
                <w:sz w:val="24"/>
                <w:szCs w:val="24"/>
                <w:lang w:val="en-ID"/>
              </w:rPr>
            </w:pPr>
          </w:p>
        </w:tc>
        <w:tc>
          <w:tcPr>
            <w:tcW w:w="2096" w:type="dxa"/>
            <w:vAlign w:val="center"/>
            <w:hideMark/>
          </w:tcPr>
          <w:p w14:paraId="585D544F" w14:textId="77777777" w:rsidR="0097236C" w:rsidRPr="0097236C" w:rsidRDefault="0097236C" w:rsidP="00747AF0">
            <w:pPr>
              <w:spacing w:after="0" w:line="360" w:lineRule="auto"/>
              <w:rPr>
                <w:rFonts w:cs="Times New Roman"/>
                <w:color w:val="000000"/>
                <w:sz w:val="24"/>
                <w:szCs w:val="24"/>
                <w:lang w:val="en-ID"/>
              </w:rPr>
            </w:pPr>
            <w:r w:rsidRPr="0097236C">
              <w:rPr>
                <w:rFonts w:cs="Times New Roman"/>
                <w:color w:val="000000"/>
                <w:sz w:val="24"/>
                <w:szCs w:val="24"/>
                <w:lang w:val="en-ID"/>
              </w:rPr>
              <w:t>T4</w:t>
            </w:r>
          </w:p>
        </w:tc>
        <w:tc>
          <w:tcPr>
            <w:tcW w:w="821" w:type="dxa"/>
            <w:vAlign w:val="center"/>
            <w:hideMark/>
          </w:tcPr>
          <w:p w14:paraId="0F784660"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43</w:t>
            </w:r>
          </w:p>
        </w:tc>
        <w:tc>
          <w:tcPr>
            <w:tcW w:w="2238" w:type="dxa"/>
            <w:vAlign w:val="center"/>
            <w:hideMark/>
          </w:tcPr>
          <w:p w14:paraId="14308507" w14:textId="597A6480"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1.33 </w:t>
            </w:r>
            <w:r w:rsidRPr="002679B7">
              <w:rPr>
                <w:rFonts w:cs="Times New Roman"/>
                <w:color w:val="000000"/>
                <w:sz w:val="24"/>
                <w:szCs w:val="24"/>
                <w:lang w:val="en-ID"/>
              </w:rPr>
              <w:t>±</w:t>
            </w:r>
            <w:r w:rsidRPr="0097236C">
              <w:rPr>
                <w:rFonts w:cs="Times New Roman"/>
                <w:color w:val="000000"/>
                <w:sz w:val="24"/>
                <w:szCs w:val="24"/>
                <w:lang w:val="en-ID"/>
              </w:rPr>
              <w:t> 0.24</w:t>
            </w:r>
          </w:p>
        </w:tc>
        <w:tc>
          <w:tcPr>
            <w:tcW w:w="1372" w:type="dxa"/>
            <w:vAlign w:val="center"/>
            <w:hideMark/>
          </w:tcPr>
          <w:p w14:paraId="246C2135" w14:textId="77777777" w:rsidR="0097236C" w:rsidRPr="0097236C" w:rsidRDefault="0097236C" w:rsidP="00747AF0">
            <w:pPr>
              <w:spacing w:after="0" w:line="360" w:lineRule="auto"/>
              <w:jc w:val="center"/>
              <w:rPr>
                <w:rFonts w:cs="Times New Roman"/>
                <w:color w:val="000000"/>
                <w:sz w:val="24"/>
                <w:szCs w:val="24"/>
                <w:lang w:val="en-ID"/>
              </w:rPr>
            </w:pPr>
          </w:p>
        </w:tc>
      </w:tr>
      <w:tr w:rsidR="0097236C" w:rsidRPr="002679B7" w14:paraId="4FBA39B9" w14:textId="77777777" w:rsidTr="0097236C">
        <w:trPr>
          <w:tblCellSpacing w:w="15" w:type="dxa"/>
          <w:jc w:val="center"/>
        </w:trPr>
        <w:tc>
          <w:tcPr>
            <w:tcW w:w="2987" w:type="dxa"/>
            <w:gridSpan w:val="2"/>
            <w:vAlign w:val="center"/>
          </w:tcPr>
          <w:p w14:paraId="4F9908CB" w14:textId="17F11AFB" w:rsidR="0097236C" w:rsidRPr="002679B7" w:rsidRDefault="0097236C" w:rsidP="00747AF0">
            <w:pPr>
              <w:spacing w:after="0" w:line="360" w:lineRule="auto"/>
              <w:rPr>
                <w:rFonts w:cs="Times New Roman"/>
                <w:color w:val="000000"/>
                <w:sz w:val="24"/>
                <w:szCs w:val="24"/>
                <w:lang w:val="en-ID"/>
              </w:rPr>
            </w:pPr>
            <w:r w:rsidRPr="0097236C">
              <w:rPr>
                <w:rFonts w:cs="Times New Roman"/>
                <w:b/>
                <w:bCs/>
                <w:color w:val="000000"/>
                <w:sz w:val="24"/>
                <w:szCs w:val="24"/>
                <w:lang w:val="en-ID"/>
              </w:rPr>
              <w:t>Lymph node status</w:t>
            </w:r>
          </w:p>
        </w:tc>
        <w:tc>
          <w:tcPr>
            <w:tcW w:w="821" w:type="dxa"/>
            <w:vAlign w:val="center"/>
          </w:tcPr>
          <w:p w14:paraId="3CF34317" w14:textId="77777777" w:rsidR="0097236C" w:rsidRPr="002679B7" w:rsidRDefault="0097236C" w:rsidP="00747AF0">
            <w:pPr>
              <w:spacing w:after="0" w:line="360" w:lineRule="auto"/>
              <w:jc w:val="center"/>
              <w:rPr>
                <w:rFonts w:cs="Times New Roman"/>
                <w:color w:val="000000"/>
                <w:sz w:val="24"/>
                <w:szCs w:val="24"/>
                <w:lang w:val="en-ID"/>
              </w:rPr>
            </w:pPr>
          </w:p>
        </w:tc>
        <w:tc>
          <w:tcPr>
            <w:tcW w:w="2238" w:type="dxa"/>
            <w:vAlign w:val="center"/>
          </w:tcPr>
          <w:p w14:paraId="5B61A00C" w14:textId="77777777" w:rsidR="0097236C" w:rsidRPr="002679B7" w:rsidRDefault="0097236C" w:rsidP="00747AF0">
            <w:pPr>
              <w:spacing w:after="0" w:line="360" w:lineRule="auto"/>
              <w:jc w:val="center"/>
              <w:rPr>
                <w:rFonts w:cs="Times New Roman"/>
                <w:color w:val="000000"/>
                <w:sz w:val="24"/>
                <w:szCs w:val="24"/>
                <w:lang w:val="en-ID"/>
              </w:rPr>
            </w:pPr>
          </w:p>
        </w:tc>
        <w:tc>
          <w:tcPr>
            <w:tcW w:w="1372" w:type="dxa"/>
            <w:vAlign w:val="center"/>
          </w:tcPr>
          <w:p w14:paraId="4B45CC44" w14:textId="77777777" w:rsidR="0097236C" w:rsidRPr="002679B7" w:rsidRDefault="0097236C" w:rsidP="00747AF0">
            <w:pPr>
              <w:spacing w:after="0" w:line="360" w:lineRule="auto"/>
              <w:jc w:val="center"/>
              <w:rPr>
                <w:rFonts w:cs="Times New Roman"/>
                <w:color w:val="000000"/>
                <w:sz w:val="24"/>
                <w:szCs w:val="24"/>
                <w:lang w:val="en-ID"/>
              </w:rPr>
            </w:pPr>
          </w:p>
        </w:tc>
      </w:tr>
      <w:tr w:rsidR="0097236C" w:rsidRPr="002679B7" w14:paraId="54C80535" w14:textId="77777777" w:rsidTr="0097236C">
        <w:trPr>
          <w:tblCellSpacing w:w="15" w:type="dxa"/>
          <w:jc w:val="center"/>
        </w:trPr>
        <w:tc>
          <w:tcPr>
            <w:tcW w:w="861" w:type="dxa"/>
            <w:vAlign w:val="center"/>
            <w:hideMark/>
          </w:tcPr>
          <w:p w14:paraId="0E62F330" w14:textId="0CAD30C2" w:rsidR="0097236C" w:rsidRPr="0097236C" w:rsidRDefault="0097236C" w:rsidP="00747AF0">
            <w:pPr>
              <w:spacing w:after="0" w:line="360" w:lineRule="auto"/>
              <w:rPr>
                <w:rFonts w:cs="Times New Roman"/>
                <w:color w:val="000000"/>
                <w:sz w:val="24"/>
                <w:szCs w:val="24"/>
                <w:lang w:val="en-ID"/>
              </w:rPr>
            </w:pPr>
          </w:p>
        </w:tc>
        <w:tc>
          <w:tcPr>
            <w:tcW w:w="2096" w:type="dxa"/>
            <w:vAlign w:val="center"/>
            <w:hideMark/>
          </w:tcPr>
          <w:p w14:paraId="05182480" w14:textId="77777777" w:rsidR="0097236C" w:rsidRPr="0097236C" w:rsidRDefault="0097236C" w:rsidP="00747AF0">
            <w:pPr>
              <w:spacing w:after="0" w:line="360" w:lineRule="auto"/>
              <w:rPr>
                <w:rFonts w:cs="Times New Roman"/>
                <w:color w:val="000000"/>
                <w:sz w:val="24"/>
                <w:szCs w:val="24"/>
                <w:lang w:val="en-ID"/>
              </w:rPr>
            </w:pPr>
            <w:r w:rsidRPr="0097236C">
              <w:rPr>
                <w:rFonts w:cs="Times New Roman"/>
                <w:color w:val="000000"/>
                <w:sz w:val="24"/>
                <w:szCs w:val="24"/>
                <w:lang w:val="en-ID"/>
              </w:rPr>
              <w:t>Negative</w:t>
            </w:r>
          </w:p>
        </w:tc>
        <w:tc>
          <w:tcPr>
            <w:tcW w:w="821" w:type="dxa"/>
            <w:vAlign w:val="center"/>
            <w:hideMark/>
          </w:tcPr>
          <w:p w14:paraId="0A3CEE7D"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5</w:t>
            </w:r>
          </w:p>
        </w:tc>
        <w:tc>
          <w:tcPr>
            <w:tcW w:w="2238" w:type="dxa"/>
            <w:vAlign w:val="center"/>
            <w:hideMark/>
          </w:tcPr>
          <w:p w14:paraId="5E95D66C" w14:textId="73431FF6"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1.15 </w:t>
            </w:r>
            <w:r w:rsidRPr="002679B7">
              <w:rPr>
                <w:rFonts w:cs="Times New Roman"/>
                <w:color w:val="000000"/>
                <w:sz w:val="24"/>
                <w:szCs w:val="24"/>
                <w:lang w:val="en-ID"/>
              </w:rPr>
              <w:t>±</w:t>
            </w:r>
            <w:r w:rsidRPr="0097236C">
              <w:rPr>
                <w:rFonts w:cs="Times New Roman"/>
                <w:color w:val="000000"/>
                <w:sz w:val="24"/>
                <w:szCs w:val="24"/>
                <w:lang w:val="en-ID"/>
              </w:rPr>
              <w:t> 0.10</w:t>
            </w:r>
          </w:p>
        </w:tc>
        <w:tc>
          <w:tcPr>
            <w:tcW w:w="1372" w:type="dxa"/>
            <w:vAlign w:val="center"/>
            <w:hideMark/>
          </w:tcPr>
          <w:p w14:paraId="354FE319"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0.025</w:t>
            </w:r>
          </w:p>
        </w:tc>
      </w:tr>
      <w:tr w:rsidR="0097236C" w:rsidRPr="002679B7" w14:paraId="03976A1A" w14:textId="77777777" w:rsidTr="0097236C">
        <w:trPr>
          <w:tblCellSpacing w:w="15" w:type="dxa"/>
          <w:jc w:val="center"/>
        </w:trPr>
        <w:tc>
          <w:tcPr>
            <w:tcW w:w="861" w:type="dxa"/>
            <w:vAlign w:val="center"/>
            <w:hideMark/>
          </w:tcPr>
          <w:p w14:paraId="187C94E7" w14:textId="77777777" w:rsidR="0097236C" w:rsidRPr="0097236C" w:rsidRDefault="0097236C" w:rsidP="00747AF0">
            <w:pPr>
              <w:spacing w:after="0" w:line="360" w:lineRule="auto"/>
              <w:rPr>
                <w:rFonts w:cs="Times New Roman"/>
                <w:color w:val="000000"/>
                <w:sz w:val="24"/>
                <w:szCs w:val="24"/>
                <w:lang w:val="en-ID"/>
              </w:rPr>
            </w:pPr>
          </w:p>
        </w:tc>
        <w:tc>
          <w:tcPr>
            <w:tcW w:w="2096" w:type="dxa"/>
            <w:vAlign w:val="center"/>
            <w:hideMark/>
          </w:tcPr>
          <w:p w14:paraId="7E6922CD" w14:textId="77777777" w:rsidR="0097236C" w:rsidRPr="0097236C" w:rsidRDefault="0097236C" w:rsidP="00747AF0">
            <w:pPr>
              <w:spacing w:after="0" w:line="360" w:lineRule="auto"/>
              <w:rPr>
                <w:rFonts w:cs="Times New Roman"/>
                <w:color w:val="000000"/>
                <w:sz w:val="24"/>
                <w:szCs w:val="24"/>
                <w:lang w:val="en-ID"/>
              </w:rPr>
            </w:pPr>
            <w:r w:rsidRPr="0097236C">
              <w:rPr>
                <w:rFonts w:cs="Times New Roman"/>
                <w:color w:val="000000"/>
                <w:sz w:val="24"/>
                <w:szCs w:val="24"/>
                <w:lang w:val="en-ID"/>
              </w:rPr>
              <w:t>Positive</w:t>
            </w:r>
          </w:p>
        </w:tc>
        <w:tc>
          <w:tcPr>
            <w:tcW w:w="821" w:type="dxa"/>
            <w:vAlign w:val="center"/>
            <w:hideMark/>
          </w:tcPr>
          <w:p w14:paraId="22691E37"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42</w:t>
            </w:r>
          </w:p>
        </w:tc>
        <w:tc>
          <w:tcPr>
            <w:tcW w:w="2238" w:type="dxa"/>
            <w:vAlign w:val="center"/>
            <w:hideMark/>
          </w:tcPr>
          <w:p w14:paraId="35B8F4AE" w14:textId="0DCD3F05"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1.35 </w:t>
            </w:r>
            <w:r w:rsidRPr="002679B7">
              <w:rPr>
                <w:rFonts w:cs="Times New Roman"/>
                <w:color w:val="000000"/>
                <w:sz w:val="24"/>
                <w:szCs w:val="24"/>
                <w:lang w:val="en-ID"/>
              </w:rPr>
              <w:t>±</w:t>
            </w:r>
            <w:r w:rsidRPr="0097236C">
              <w:rPr>
                <w:rFonts w:cs="Times New Roman"/>
                <w:color w:val="000000"/>
                <w:sz w:val="24"/>
                <w:szCs w:val="24"/>
                <w:lang w:val="en-ID"/>
              </w:rPr>
              <w:t> 0.23</w:t>
            </w:r>
          </w:p>
        </w:tc>
        <w:tc>
          <w:tcPr>
            <w:tcW w:w="1372" w:type="dxa"/>
            <w:vAlign w:val="center"/>
            <w:hideMark/>
          </w:tcPr>
          <w:p w14:paraId="138F82BE" w14:textId="77777777" w:rsidR="0097236C" w:rsidRPr="0097236C" w:rsidRDefault="0097236C" w:rsidP="00747AF0">
            <w:pPr>
              <w:spacing w:after="0" w:line="360" w:lineRule="auto"/>
              <w:jc w:val="center"/>
              <w:rPr>
                <w:rFonts w:cs="Times New Roman"/>
                <w:color w:val="000000"/>
                <w:sz w:val="24"/>
                <w:szCs w:val="24"/>
                <w:lang w:val="en-ID"/>
              </w:rPr>
            </w:pPr>
          </w:p>
        </w:tc>
      </w:tr>
      <w:tr w:rsidR="0097236C" w:rsidRPr="002679B7" w14:paraId="2E53C18E" w14:textId="77777777" w:rsidTr="0097236C">
        <w:trPr>
          <w:tblCellSpacing w:w="15" w:type="dxa"/>
          <w:jc w:val="center"/>
        </w:trPr>
        <w:tc>
          <w:tcPr>
            <w:tcW w:w="2987" w:type="dxa"/>
            <w:gridSpan w:val="2"/>
            <w:vAlign w:val="center"/>
          </w:tcPr>
          <w:p w14:paraId="6E47281F" w14:textId="39837CBD" w:rsidR="0097236C" w:rsidRPr="002679B7" w:rsidRDefault="0097236C" w:rsidP="00747AF0">
            <w:pPr>
              <w:spacing w:after="0" w:line="360" w:lineRule="auto"/>
              <w:rPr>
                <w:rFonts w:cs="Times New Roman"/>
                <w:color w:val="000000"/>
                <w:sz w:val="24"/>
                <w:szCs w:val="24"/>
                <w:lang w:val="en-ID"/>
              </w:rPr>
            </w:pPr>
            <w:r w:rsidRPr="0097236C">
              <w:rPr>
                <w:rFonts w:cs="Times New Roman"/>
                <w:b/>
                <w:bCs/>
                <w:color w:val="000000"/>
                <w:sz w:val="24"/>
                <w:szCs w:val="24"/>
                <w:lang w:val="en-ID"/>
              </w:rPr>
              <w:t>Ki-67 index</w:t>
            </w:r>
          </w:p>
        </w:tc>
        <w:tc>
          <w:tcPr>
            <w:tcW w:w="821" w:type="dxa"/>
            <w:vAlign w:val="center"/>
          </w:tcPr>
          <w:p w14:paraId="3ADB1616" w14:textId="77777777" w:rsidR="0097236C" w:rsidRPr="002679B7" w:rsidRDefault="0097236C" w:rsidP="00747AF0">
            <w:pPr>
              <w:spacing w:after="0" w:line="360" w:lineRule="auto"/>
              <w:jc w:val="center"/>
              <w:rPr>
                <w:rFonts w:cs="Times New Roman"/>
                <w:color w:val="000000"/>
                <w:sz w:val="24"/>
                <w:szCs w:val="24"/>
                <w:lang w:val="en-ID"/>
              </w:rPr>
            </w:pPr>
          </w:p>
        </w:tc>
        <w:tc>
          <w:tcPr>
            <w:tcW w:w="2238" w:type="dxa"/>
            <w:vAlign w:val="center"/>
          </w:tcPr>
          <w:p w14:paraId="01EB2855" w14:textId="77777777" w:rsidR="0097236C" w:rsidRPr="002679B7" w:rsidRDefault="0097236C" w:rsidP="00747AF0">
            <w:pPr>
              <w:spacing w:after="0" w:line="360" w:lineRule="auto"/>
              <w:jc w:val="center"/>
              <w:rPr>
                <w:rFonts w:cs="Times New Roman"/>
                <w:color w:val="000000"/>
                <w:sz w:val="24"/>
                <w:szCs w:val="24"/>
                <w:lang w:val="en-ID"/>
              </w:rPr>
            </w:pPr>
          </w:p>
        </w:tc>
        <w:tc>
          <w:tcPr>
            <w:tcW w:w="1372" w:type="dxa"/>
            <w:vAlign w:val="center"/>
          </w:tcPr>
          <w:p w14:paraId="3576EC4B" w14:textId="77777777" w:rsidR="0097236C" w:rsidRPr="002679B7" w:rsidRDefault="0097236C" w:rsidP="00747AF0">
            <w:pPr>
              <w:spacing w:after="0" w:line="360" w:lineRule="auto"/>
              <w:jc w:val="center"/>
              <w:rPr>
                <w:rFonts w:cs="Times New Roman"/>
                <w:color w:val="000000"/>
                <w:sz w:val="24"/>
                <w:szCs w:val="24"/>
                <w:lang w:val="en-ID"/>
              </w:rPr>
            </w:pPr>
          </w:p>
        </w:tc>
      </w:tr>
      <w:tr w:rsidR="0097236C" w:rsidRPr="002679B7" w14:paraId="5D481228" w14:textId="77777777" w:rsidTr="0097236C">
        <w:trPr>
          <w:tblCellSpacing w:w="15" w:type="dxa"/>
          <w:jc w:val="center"/>
        </w:trPr>
        <w:tc>
          <w:tcPr>
            <w:tcW w:w="861" w:type="dxa"/>
            <w:vAlign w:val="center"/>
            <w:hideMark/>
          </w:tcPr>
          <w:p w14:paraId="62CE07F6" w14:textId="419D72F4" w:rsidR="0097236C" w:rsidRPr="0097236C" w:rsidRDefault="0097236C" w:rsidP="00747AF0">
            <w:pPr>
              <w:spacing w:after="0" w:line="360" w:lineRule="auto"/>
              <w:rPr>
                <w:rFonts w:cs="Times New Roman"/>
                <w:color w:val="000000"/>
                <w:sz w:val="24"/>
                <w:szCs w:val="24"/>
                <w:lang w:val="en-ID"/>
              </w:rPr>
            </w:pPr>
          </w:p>
        </w:tc>
        <w:tc>
          <w:tcPr>
            <w:tcW w:w="2096" w:type="dxa"/>
            <w:vAlign w:val="center"/>
            <w:hideMark/>
          </w:tcPr>
          <w:p w14:paraId="15146221" w14:textId="77777777" w:rsidR="0097236C" w:rsidRPr="0097236C" w:rsidRDefault="0097236C" w:rsidP="00747AF0">
            <w:pPr>
              <w:spacing w:after="0" w:line="360" w:lineRule="auto"/>
              <w:rPr>
                <w:rFonts w:cs="Times New Roman"/>
                <w:color w:val="000000"/>
                <w:sz w:val="24"/>
                <w:szCs w:val="24"/>
                <w:lang w:val="en-ID"/>
              </w:rPr>
            </w:pPr>
            <w:r w:rsidRPr="0097236C">
              <w:rPr>
                <w:rFonts w:cs="Times New Roman"/>
                <w:color w:val="000000"/>
                <w:sz w:val="24"/>
                <w:szCs w:val="24"/>
                <w:lang w:val="en-ID"/>
              </w:rPr>
              <w:t>Low</w:t>
            </w:r>
          </w:p>
        </w:tc>
        <w:tc>
          <w:tcPr>
            <w:tcW w:w="821" w:type="dxa"/>
            <w:vAlign w:val="center"/>
            <w:hideMark/>
          </w:tcPr>
          <w:p w14:paraId="4A0545D5"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21</w:t>
            </w:r>
          </w:p>
        </w:tc>
        <w:tc>
          <w:tcPr>
            <w:tcW w:w="2238" w:type="dxa"/>
            <w:vAlign w:val="center"/>
            <w:hideMark/>
          </w:tcPr>
          <w:p w14:paraId="4754DEE9" w14:textId="4C3212DE"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1.27 </w:t>
            </w:r>
            <w:r w:rsidRPr="002679B7">
              <w:rPr>
                <w:rFonts w:cs="Times New Roman"/>
                <w:color w:val="000000"/>
                <w:sz w:val="24"/>
                <w:szCs w:val="24"/>
                <w:lang w:val="en-ID"/>
              </w:rPr>
              <w:t>±</w:t>
            </w:r>
            <w:r w:rsidRPr="0097236C">
              <w:rPr>
                <w:rFonts w:cs="Times New Roman"/>
                <w:color w:val="000000"/>
                <w:sz w:val="24"/>
                <w:szCs w:val="24"/>
                <w:lang w:val="en-ID"/>
              </w:rPr>
              <w:t> 0.16</w:t>
            </w:r>
          </w:p>
        </w:tc>
        <w:tc>
          <w:tcPr>
            <w:tcW w:w="1372" w:type="dxa"/>
            <w:vAlign w:val="center"/>
            <w:hideMark/>
          </w:tcPr>
          <w:p w14:paraId="1DF86504"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0.185</w:t>
            </w:r>
          </w:p>
        </w:tc>
      </w:tr>
      <w:tr w:rsidR="0097236C" w:rsidRPr="002679B7" w14:paraId="2AB4DE31" w14:textId="77777777" w:rsidTr="0097236C">
        <w:trPr>
          <w:tblCellSpacing w:w="15" w:type="dxa"/>
          <w:jc w:val="center"/>
        </w:trPr>
        <w:tc>
          <w:tcPr>
            <w:tcW w:w="861" w:type="dxa"/>
            <w:vAlign w:val="center"/>
            <w:hideMark/>
          </w:tcPr>
          <w:p w14:paraId="30ED8237" w14:textId="77777777" w:rsidR="0097236C" w:rsidRPr="0097236C" w:rsidRDefault="0097236C" w:rsidP="00747AF0">
            <w:pPr>
              <w:spacing w:after="0" w:line="360" w:lineRule="auto"/>
              <w:rPr>
                <w:rFonts w:cs="Times New Roman"/>
                <w:color w:val="000000"/>
                <w:sz w:val="24"/>
                <w:szCs w:val="24"/>
                <w:lang w:val="en-ID"/>
              </w:rPr>
            </w:pPr>
          </w:p>
        </w:tc>
        <w:tc>
          <w:tcPr>
            <w:tcW w:w="2096" w:type="dxa"/>
            <w:vAlign w:val="center"/>
            <w:hideMark/>
          </w:tcPr>
          <w:p w14:paraId="22A95139" w14:textId="77777777" w:rsidR="0097236C" w:rsidRPr="0097236C" w:rsidRDefault="0097236C" w:rsidP="00747AF0">
            <w:pPr>
              <w:spacing w:after="0" w:line="360" w:lineRule="auto"/>
              <w:rPr>
                <w:rFonts w:cs="Times New Roman"/>
                <w:color w:val="000000"/>
                <w:sz w:val="24"/>
                <w:szCs w:val="24"/>
                <w:lang w:val="en-ID"/>
              </w:rPr>
            </w:pPr>
            <w:r w:rsidRPr="0097236C">
              <w:rPr>
                <w:rFonts w:cs="Times New Roman"/>
                <w:color w:val="000000"/>
                <w:sz w:val="24"/>
                <w:szCs w:val="24"/>
                <w:lang w:val="en-ID"/>
              </w:rPr>
              <w:t>High</w:t>
            </w:r>
          </w:p>
        </w:tc>
        <w:tc>
          <w:tcPr>
            <w:tcW w:w="821" w:type="dxa"/>
            <w:vAlign w:val="center"/>
            <w:hideMark/>
          </w:tcPr>
          <w:p w14:paraId="549DB7FF"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26</w:t>
            </w:r>
          </w:p>
        </w:tc>
        <w:tc>
          <w:tcPr>
            <w:tcW w:w="2238" w:type="dxa"/>
            <w:vAlign w:val="center"/>
            <w:hideMark/>
          </w:tcPr>
          <w:p w14:paraId="41A885A2" w14:textId="0B8719BE"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1.37 </w:t>
            </w:r>
            <w:r w:rsidRPr="002679B7">
              <w:rPr>
                <w:rFonts w:cs="Times New Roman"/>
                <w:color w:val="000000"/>
                <w:sz w:val="24"/>
                <w:szCs w:val="24"/>
                <w:lang w:val="en-ID"/>
              </w:rPr>
              <w:t>±</w:t>
            </w:r>
            <w:r w:rsidRPr="0097236C">
              <w:rPr>
                <w:rFonts w:cs="Times New Roman"/>
                <w:color w:val="000000"/>
                <w:sz w:val="24"/>
                <w:szCs w:val="24"/>
                <w:lang w:val="en-ID"/>
              </w:rPr>
              <w:t> 0.27</w:t>
            </w:r>
          </w:p>
        </w:tc>
        <w:tc>
          <w:tcPr>
            <w:tcW w:w="1372" w:type="dxa"/>
            <w:vAlign w:val="center"/>
            <w:hideMark/>
          </w:tcPr>
          <w:p w14:paraId="791B6314" w14:textId="77777777" w:rsidR="0097236C" w:rsidRPr="0097236C" w:rsidRDefault="0097236C" w:rsidP="00747AF0">
            <w:pPr>
              <w:spacing w:after="0" w:line="360" w:lineRule="auto"/>
              <w:jc w:val="center"/>
              <w:rPr>
                <w:rFonts w:cs="Times New Roman"/>
                <w:color w:val="000000"/>
                <w:sz w:val="24"/>
                <w:szCs w:val="24"/>
                <w:lang w:val="en-ID"/>
              </w:rPr>
            </w:pPr>
          </w:p>
        </w:tc>
      </w:tr>
      <w:tr w:rsidR="0097236C" w:rsidRPr="002679B7" w14:paraId="566A802D" w14:textId="77777777" w:rsidTr="0097236C">
        <w:trPr>
          <w:tblCellSpacing w:w="15" w:type="dxa"/>
          <w:jc w:val="center"/>
        </w:trPr>
        <w:tc>
          <w:tcPr>
            <w:tcW w:w="2987" w:type="dxa"/>
            <w:gridSpan w:val="2"/>
            <w:vAlign w:val="center"/>
          </w:tcPr>
          <w:p w14:paraId="1382A7A0" w14:textId="7B4D35D4" w:rsidR="0097236C" w:rsidRPr="002679B7" w:rsidRDefault="0097236C" w:rsidP="00747AF0">
            <w:pPr>
              <w:spacing w:after="0" w:line="360" w:lineRule="auto"/>
              <w:rPr>
                <w:rFonts w:cs="Times New Roman"/>
                <w:color w:val="000000"/>
                <w:sz w:val="24"/>
                <w:szCs w:val="24"/>
                <w:lang w:val="en-ID"/>
              </w:rPr>
            </w:pPr>
            <w:r w:rsidRPr="0097236C">
              <w:rPr>
                <w:rFonts w:cs="Times New Roman"/>
                <w:b/>
                <w:bCs/>
                <w:color w:val="000000"/>
                <w:sz w:val="24"/>
                <w:szCs w:val="24"/>
                <w:lang w:val="en-ID"/>
              </w:rPr>
              <w:t>Clinical stage</w:t>
            </w:r>
          </w:p>
        </w:tc>
        <w:tc>
          <w:tcPr>
            <w:tcW w:w="821" w:type="dxa"/>
            <w:vAlign w:val="center"/>
          </w:tcPr>
          <w:p w14:paraId="166567F7" w14:textId="77777777" w:rsidR="0097236C" w:rsidRPr="002679B7" w:rsidRDefault="0097236C" w:rsidP="00747AF0">
            <w:pPr>
              <w:spacing w:after="0" w:line="360" w:lineRule="auto"/>
              <w:jc w:val="center"/>
              <w:rPr>
                <w:rFonts w:cs="Times New Roman"/>
                <w:color w:val="000000"/>
                <w:sz w:val="24"/>
                <w:szCs w:val="24"/>
                <w:lang w:val="en-ID"/>
              </w:rPr>
            </w:pPr>
          </w:p>
        </w:tc>
        <w:tc>
          <w:tcPr>
            <w:tcW w:w="2238" w:type="dxa"/>
            <w:vAlign w:val="center"/>
          </w:tcPr>
          <w:p w14:paraId="4B52231B" w14:textId="77777777" w:rsidR="0097236C" w:rsidRPr="002679B7" w:rsidRDefault="0097236C" w:rsidP="00747AF0">
            <w:pPr>
              <w:spacing w:after="0" w:line="360" w:lineRule="auto"/>
              <w:jc w:val="center"/>
              <w:rPr>
                <w:rFonts w:cs="Times New Roman"/>
                <w:color w:val="000000"/>
                <w:sz w:val="24"/>
                <w:szCs w:val="24"/>
                <w:lang w:val="en-ID"/>
              </w:rPr>
            </w:pPr>
          </w:p>
        </w:tc>
        <w:tc>
          <w:tcPr>
            <w:tcW w:w="1372" w:type="dxa"/>
            <w:vAlign w:val="center"/>
          </w:tcPr>
          <w:p w14:paraId="29199B60" w14:textId="77777777" w:rsidR="0097236C" w:rsidRPr="002679B7" w:rsidRDefault="0097236C" w:rsidP="00747AF0">
            <w:pPr>
              <w:spacing w:after="0" w:line="360" w:lineRule="auto"/>
              <w:jc w:val="center"/>
              <w:rPr>
                <w:rFonts w:cs="Times New Roman"/>
                <w:color w:val="000000"/>
                <w:sz w:val="24"/>
                <w:szCs w:val="24"/>
                <w:lang w:val="en-ID"/>
              </w:rPr>
            </w:pPr>
          </w:p>
        </w:tc>
      </w:tr>
      <w:tr w:rsidR="0097236C" w:rsidRPr="002679B7" w14:paraId="14D44B3C" w14:textId="77777777" w:rsidTr="0097236C">
        <w:trPr>
          <w:tblCellSpacing w:w="15" w:type="dxa"/>
          <w:jc w:val="center"/>
        </w:trPr>
        <w:tc>
          <w:tcPr>
            <w:tcW w:w="861" w:type="dxa"/>
            <w:vAlign w:val="center"/>
            <w:hideMark/>
          </w:tcPr>
          <w:p w14:paraId="77BCD53D" w14:textId="3BB14686" w:rsidR="0097236C" w:rsidRPr="0097236C" w:rsidRDefault="0097236C" w:rsidP="00747AF0">
            <w:pPr>
              <w:spacing w:after="0" w:line="360" w:lineRule="auto"/>
              <w:rPr>
                <w:rFonts w:cs="Times New Roman"/>
                <w:color w:val="000000"/>
                <w:sz w:val="24"/>
                <w:szCs w:val="24"/>
                <w:lang w:val="en-ID"/>
              </w:rPr>
            </w:pPr>
          </w:p>
        </w:tc>
        <w:tc>
          <w:tcPr>
            <w:tcW w:w="2096" w:type="dxa"/>
            <w:vAlign w:val="center"/>
            <w:hideMark/>
          </w:tcPr>
          <w:p w14:paraId="224D8464" w14:textId="77777777" w:rsidR="0097236C" w:rsidRPr="0097236C" w:rsidRDefault="0097236C" w:rsidP="00747AF0">
            <w:pPr>
              <w:spacing w:after="0" w:line="360" w:lineRule="auto"/>
              <w:rPr>
                <w:rFonts w:cs="Times New Roman"/>
                <w:color w:val="000000"/>
                <w:sz w:val="24"/>
                <w:szCs w:val="24"/>
                <w:lang w:val="en-ID"/>
              </w:rPr>
            </w:pPr>
            <w:r w:rsidRPr="0097236C">
              <w:rPr>
                <w:rFonts w:cs="Times New Roman"/>
                <w:color w:val="000000"/>
                <w:sz w:val="24"/>
                <w:szCs w:val="24"/>
                <w:lang w:val="en-ID"/>
              </w:rPr>
              <w:t>IIIA</w:t>
            </w:r>
          </w:p>
        </w:tc>
        <w:tc>
          <w:tcPr>
            <w:tcW w:w="821" w:type="dxa"/>
            <w:vAlign w:val="center"/>
            <w:hideMark/>
          </w:tcPr>
          <w:p w14:paraId="12DCB44B"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4</w:t>
            </w:r>
          </w:p>
        </w:tc>
        <w:tc>
          <w:tcPr>
            <w:tcW w:w="2238" w:type="dxa"/>
            <w:vAlign w:val="center"/>
            <w:hideMark/>
          </w:tcPr>
          <w:p w14:paraId="37FD4B0F" w14:textId="064FE6BF"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1.30 </w:t>
            </w:r>
            <w:r w:rsidRPr="002679B7">
              <w:rPr>
                <w:rFonts w:cs="Times New Roman"/>
                <w:color w:val="000000"/>
                <w:sz w:val="24"/>
                <w:szCs w:val="24"/>
                <w:lang w:val="en-ID"/>
              </w:rPr>
              <w:t>±</w:t>
            </w:r>
            <w:r w:rsidRPr="0097236C">
              <w:rPr>
                <w:rFonts w:cs="Times New Roman"/>
                <w:color w:val="000000"/>
                <w:sz w:val="24"/>
                <w:szCs w:val="24"/>
                <w:lang w:val="en-ID"/>
              </w:rPr>
              <w:t> 0.13</w:t>
            </w:r>
          </w:p>
        </w:tc>
        <w:tc>
          <w:tcPr>
            <w:tcW w:w="1372" w:type="dxa"/>
            <w:vAlign w:val="center"/>
            <w:hideMark/>
          </w:tcPr>
          <w:p w14:paraId="0B353F91"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0.879</w:t>
            </w:r>
          </w:p>
        </w:tc>
      </w:tr>
      <w:tr w:rsidR="0097236C" w:rsidRPr="002679B7" w14:paraId="785A58D9" w14:textId="77777777" w:rsidTr="0097236C">
        <w:trPr>
          <w:tblCellSpacing w:w="15" w:type="dxa"/>
          <w:jc w:val="center"/>
        </w:trPr>
        <w:tc>
          <w:tcPr>
            <w:tcW w:w="861" w:type="dxa"/>
            <w:vAlign w:val="center"/>
            <w:hideMark/>
          </w:tcPr>
          <w:p w14:paraId="2F57010F" w14:textId="77777777" w:rsidR="0097236C" w:rsidRPr="0097236C" w:rsidRDefault="0097236C" w:rsidP="00747AF0">
            <w:pPr>
              <w:spacing w:after="0" w:line="360" w:lineRule="auto"/>
              <w:rPr>
                <w:rFonts w:cs="Times New Roman"/>
                <w:color w:val="000000"/>
                <w:sz w:val="24"/>
                <w:szCs w:val="24"/>
                <w:lang w:val="en-ID"/>
              </w:rPr>
            </w:pPr>
          </w:p>
        </w:tc>
        <w:tc>
          <w:tcPr>
            <w:tcW w:w="2096" w:type="dxa"/>
            <w:vAlign w:val="center"/>
            <w:hideMark/>
          </w:tcPr>
          <w:p w14:paraId="37D06222" w14:textId="77777777" w:rsidR="0097236C" w:rsidRPr="0097236C" w:rsidRDefault="0097236C" w:rsidP="00747AF0">
            <w:pPr>
              <w:spacing w:after="0" w:line="360" w:lineRule="auto"/>
              <w:rPr>
                <w:rFonts w:cs="Times New Roman"/>
                <w:color w:val="000000"/>
                <w:sz w:val="24"/>
                <w:szCs w:val="24"/>
                <w:lang w:val="en-ID"/>
              </w:rPr>
            </w:pPr>
            <w:r w:rsidRPr="0097236C">
              <w:rPr>
                <w:rFonts w:cs="Times New Roman"/>
                <w:color w:val="000000"/>
                <w:sz w:val="24"/>
                <w:szCs w:val="24"/>
                <w:lang w:val="en-ID"/>
              </w:rPr>
              <w:t>IIIB</w:t>
            </w:r>
          </w:p>
        </w:tc>
        <w:tc>
          <w:tcPr>
            <w:tcW w:w="821" w:type="dxa"/>
            <w:vAlign w:val="center"/>
            <w:hideMark/>
          </w:tcPr>
          <w:p w14:paraId="50518958"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43</w:t>
            </w:r>
          </w:p>
        </w:tc>
        <w:tc>
          <w:tcPr>
            <w:tcW w:w="2238" w:type="dxa"/>
            <w:vAlign w:val="center"/>
            <w:hideMark/>
          </w:tcPr>
          <w:p w14:paraId="630ECA63" w14:textId="268A5419"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1.33 </w:t>
            </w:r>
            <w:r w:rsidRPr="002679B7">
              <w:rPr>
                <w:rFonts w:cs="Times New Roman"/>
                <w:color w:val="000000"/>
                <w:sz w:val="24"/>
                <w:szCs w:val="24"/>
                <w:lang w:val="en-ID"/>
              </w:rPr>
              <w:t>±</w:t>
            </w:r>
            <w:r w:rsidRPr="0097236C">
              <w:rPr>
                <w:rFonts w:cs="Times New Roman"/>
                <w:color w:val="000000"/>
                <w:sz w:val="24"/>
                <w:szCs w:val="24"/>
                <w:lang w:val="en-ID"/>
              </w:rPr>
              <w:t> 0.24</w:t>
            </w:r>
          </w:p>
        </w:tc>
        <w:tc>
          <w:tcPr>
            <w:tcW w:w="1372" w:type="dxa"/>
            <w:vAlign w:val="center"/>
            <w:hideMark/>
          </w:tcPr>
          <w:p w14:paraId="49771480" w14:textId="77777777" w:rsidR="0097236C" w:rsidRPr="0097236C" w:rsidRDefault="0097236C" w:rsidP="00747AF0">
            <w:pPr>
              <w:spacing w:after="0" w:line="360" w:lineRule="auto"/>
              <w:jc w:val="center"/>
              <w:rPr>
                <w:rFonts w:cs="Times New Roman"/>
                <w:color w:val="000000"/>
                <w:sz w:val="24"/>
                <w:szCs w:val="24"/>
                <w:lang w:val="en-ID"/>
              </w:rPr>
            </w:pPr>
          </w:p>
        </w:tc>
      </w:tr>
      <w:tr w:rsidR="0097236C" w:rsidRPr="002679B7" w14:paraId="7519964F" w14:textId="77777777" w:rsidTr="0097236C">
        <w:trPr>
          <w:tblCellSpacing w:w="15" w:type="dxa"/>
          <w:jc w:val="center"/>
        </w:trPr>
        <w:tc>
          <w:tcPr>
            <w:tcW w:w="2987" w:type="dxa"/>
            <w:gridSpan w:val="2"/>
            <w:vAlign w:val="center"/>
          </w:tcPr>
          <w:p w14:paraId="54DD1655" w14:textId="01DCEC59" w:rsidR="0097236C" w:rsidRPr="002679B7" w:rsidRDefault="0097236C" w:rsidP="00747AF0">
            <w:pPr>
              <w:spacing w:after="0" w:line="360" w:lineRule="auto"/>
              <w:rPr>
                <w:rFonts w:cs="Times New Roman"/>
                <w:color w:val="000000"/>
                <w:sz w:val="24"/>
                <w:szCs w:val="24"/>
                <w:lang w:val="en-ID"/>
              </w:rPr>
            </w:pPr>
            <w:r w:rsidRPr="0097236C">
              <w:rPr>
                <w:rFonts w:cs="Times New Roman"/>
                <w:b/>
                <w:bCs/>
                <w:color w:val="000000"/>
                <w:sz w:val="24"/>
                <w:szCs w:val="24"/>
                <w:lang w:val="en-ID"/>
              </w:rPr>
              <w:t>Luminal subtype</w:t>
            </w:r>
          </w:p>
        </w:tc>
        <w:tc>
          <w:tcPr>
            <w:tcW w:w="821" w:type="dxa"/>
            <w:vAlign w:val="center"/>
          </w:tcPr>
          <w:p w14:paraId="40AEAD85" w14:textId="77777777" w:rsidR="0097236C" w:rsidRPr="002679B7" w:rsidRDefault="0097236C" w:rsidP="00747AF0">
            <w:pPr>
              <w:spacing w:after="0" w:line="360" w:lineRule="auto"/>
              <w:jc w:val="center"/>
              <w:rPr>
                <w:rFonts w:cs="Times New Roman"/>
                <w:color w:val="000000"/>
                <w:sz w:val="24"/>
                <w:szCs w:val="24"/>
                <w:lang w:val="en-ID"/>
              </w:rPr>
            </w:pPr>
          </w:p>
        </w:tc>
        <w:tc>
          <w:tcPr>
            <w:tcW w:w="2238" w:type="dxa"/>
            <w:vAlign w:val="center"/>
          </w:tcPr>
          <w:p w14:paraId="08439DB6" w14:textId="77777777" w:rsidR="0097236C" w:rsidRPr="002679B7" w:rsidRDefault="0097236C" w:rsidP="00747AF0">
            <w:pPr>
              <w:spacing w:after="0" w:line="360" w:lineRule="auto"/>
              <w:jc w:val="center"/>
              <w:rPr>
                <w:rFonts w:cs="Times New Roman"/>
                <w:color w:val="000000"/>
                <w:sz w:val="24"/>
                <w:szCs w:val="24"/>
                <w:lang w:val="en-ID"/>
              </w:rPr>
            </w:pPr>
          </w:p>
        </w:tc>
        <w:tc>
          <w:tcPr>
            <w:tcW w:w="1372" w:type="dxa"/>
            <w:vAlign w:val="center"/>
          </w:tcPr>
          <w:p w14:paraId="25061327" w14:textId="77777777" w:rsidR="0097236C" w:rsidRPr="002679B7" w:rsidRDefault="0097236C" w:rsidP="00747AF0">
            <w:pPr>
              <w:spacing w:after="0" w:line="360" w:lineRule="auto"/>
              <w:jc w:val="center"/>
              <w:rPr>
                <w:rFonts w:cs="Times New Roman"/>
                <w:color w:val="000000"/>
                <w:sz w:val="24"/>
                <w:szCs w:val="24"/>
                <w:lang w:val="en-ID"/>
              </w:rPr>
            </w:pPr>
          </w:p>
        </w:tc>
      </w:tr>
      <w:tr w:rsidR="0097236C" w:rsidRPr="002679B7" w14:paraId="19085DE8" w14:textId="77777777" w:rsidTr="0097236C">
        <w:trPr>
          <w:tblCellSpacing w:w="15" w:type="dxa"/>
          <w:jc w:val="center"/>
        </w:trPr>
        <w:tc>
          <w:tcPr>
            <w:tcW w:w="861" w:type="dxa"/>
            <w:vAlign w:val="center"/>
            <w:hideMark/>
          </w:tcPr>
          <w:p w14:paraId="3D0F81AE" w14:textId="302FE7E6" w:rsidR="0097236C" w:rsidRPr="0097236C" w:rsidRDefault="0097236C" w:rsidP="00747AF0">
            <w:pPr>
              <w:spacing w:after="0" w:line="360" w:lineRule="auto"/>
              <w:rPr>
                <w:rFonts w:cs="Times New Roman"/>
                <w:color w:val="000000"/>
                <w:sz w:val="24"/>
                <w:szCs w:val="24"/>
                <w:lang w:val="en-ID"/>
              </w:rPr>
            </w:pPr>
          </w:p>
        </w:tc>
        <w:tc>
          <w:tcPr>
            <w:tcW w:w="2096" w:type="dxa"/>
            <w:vAlign w:val="center"/>
            <w:hideMark/>
          </w:tcPr>
          <w:p w14:paraId="16EECC00" w14:textId="77777777" w:rsidR="0097236C" w:rsidRPr="0097236C" w:rsidRDefault="0097236C" w:rsidP="00747AF0">
            <w:pPr>
              <w:spacing w:after="0" w:line="360" w:lineRule="auto"/>
              <w:rPr>
                <w:rFonts w:cs="Times New Roman"/>
                <w:color w:val="000000"/>
                <w:sz w:val="24"/>
                <w:szCs w:val="24"/>
                <w:lang w:val="en-ID"/>
              </w:rPr>
            </w:pPr>
            <w:r w:rsidRPr="0097236C">
              <w:rPr>
                <w:rFonts w:cs="Times New Roman"/>
                <w:color w:val="000000"/>
                <w:sz w:val="24"/>
                <w:szCs w:val="24"/>
                <w:lang w:val="en-ID"/>
              </w:rPr>
              <w:t>Luminal A</w:t>
            </w:r>
          </w:p>
        </w:tc>
        <w:tc>
          <w:tcPr>
            <w:tcW w:w="821" w:type="dxa"/>
            <w:vAlign w:val="center"/>
            <w:hideMark/>
          </w:tcPr>
          <w:p w14:paraId="6214E308"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21</w:t>
            </w:r>
          </w:p>
        </w:tc>
        <w:tc>
          <w:tcPr>
            <w:tcW w:w="2238" w:type="dxa"/>
            <w:vAlign w:val="center"/>
            <w:hideMark/>
          </w:tcPr>
          <w:p w14:paraId="56568B3D" w14:textId="721A416D"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1.27 </w:t>
            </w:r>
            <w:r w:rsidRPr="002679B7">
              <w:rPr>
                <w:rFonts w:cs="Times New Roman"/>
                <w:color w:val="000000"/>
                <w:sz w:val="24"/>
                <w:szCs w:val="24"/>
                <w:lang w:val="en-ID"/>
              </w:rPr>
              <w:t>±</w:t>
            </w:r>
            <w:r w:rsidRPr="0097236C">
              <w:rPr>
                <w:rFonts w:cs="Times New Roman"/>
                <w:color w:val="000000"/>
                <w:sz w:val="24"/>
                <w:szCs w:val="24"/>
                <w:lang w:val="en-ID"/>
              </w:rPr>
              <w:t> 0.16</w:t>
            </w:r>
          </w:p>
        </w:tc>
        <w:tc>
          <w:tcPr>
            <w:tcW w:w="1372" w:type="dxa"/>
            <w:vAlign w:val="center"/>
            <w:hideMark/>
          </w:tcPr>
          <w:p w14:paraId="51287B20"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0.185</w:t>
            </w:r>
          </w:p>
        </w:tc>
      </w:tr>
      <w:tr w:rsidR="0097236C" w:rsidRPr="002679B7" w14:paraId="2F99DB88" w14:textId="77777777" w:rsidTr="0097236C">
        <w:trPr>
          <w:tblCellSpacing w:w="15" w:type="dxa"/>
          <w:jc w:val="center"/>
        </w:trPr>
        <w:tc>
          <w:tcPr>
            <w:tcW w:w="861" w:type="dxa"/>
            <w:vAlign w:val="center"/>
            <w:hideMark/>
          </w:tcPr>
          <w:p w14:paraId="71075A9B" w14:textId="77777777" w:rsidR="0097236C" w:rsidRPr="0097236C" w:rsidRDefault="0097236C" w:rsidP="00747AF0">
            <w:pPr>
              <w:spacing w:after="0" w:line="360" w:lineRule="auto"/>
              <w:rPr>
                <w:rFonts w:cs="Times New Roman"/>
                <w:color w:val="000000"/>
                <w:sz w:val="24"/>
                <w:szCs w:val="24"/>
                <w:lang w:val="en-ID"/>
              </w:rPr>
            </w:pPr>
          </w:p>
        </w:tc>
        <w:tc>
          <w:tcPr>
            <w:tcW w:w="2096" w:type="dxa"/>
            <w:vAlign w:val="center"/>
            <w:hideMark/>
          </w:tcPr>
          <w:p w14:paraId="422BD788" w14:textId="77777777" w:rsidR="0097236C" w:rsidRPr="0097236C" w:rsidRDefault="0097236C" w:rsidP="00747AF0">
            <w:pPr>
              <w:spacing w:after="0" w:line="360" w:lineRule="auto"/>
              <w:rPr>
                <w:rFonts w:cs="Times New Roman"/>
                <w:color w:val="000000"/>
                <w:sz w:val="24"/>
                <w:szCs w:val="24"/>
                <w:lang w:val="en-ID"/>
              </w:rPr>
            </w:pPr>
            <w:r w:rsidRPr="0097236C">
              <w:rPr>
                <w:rFonts w:cs="Times New Roman"/>
                <w:color w:val="000000"/>
                <w:sz w:val="24"/>
                <w:szCs w:val="24"/>
                <w:lang w:val="en-ID"/>
              </w:rPr>
              <w:t>Luminal B</w:t>
            </w:r>
          </w:p>
        </w:tc>
        <w:tc>
          <w:tcPr>
            <w:tcW w:w="821" w:type="dxa"/>
            <w:vAlign w:val="center"/>
            <w:hideMark/>
          </w:tcPr>
          <w:p w14:paraId="26F8538D"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26</w:t>
            </w:r>
          </w:p>
        </w:tc>
        <w:tc>
          <w:tcPr>
            <w:tcW w:w="2238" w:type="dxa"/>
            <w:vAlign w:val="center"/>
            <w:hideMark/>
          </w:tcPr>
          <w:p w14:paraId="1FAA0537" w14:textId="449310AC"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1.37 </w:t>
            </w:r>
            <w:r w:rsidRPr="002679B7">
              <w:rPr>
                <w:rFonts w:cs="Times New Roman"/>
                <w:color w:val="000000"/>
                <w:sz w:val="24"/>
                <w:szCs w:val="24"/>
                <w:lang w:val="en-ID"/>
              </w:rPr>
              <w:t>±</w:t>
            </w:r>
            <w:r w:rsidRPr="0097236C">
              <w:rPr>
                <w:rFonts w:cs="Times New Roman"/>
                <w:color w:val="000000"/>
                <w:sz w:val="24"/>
                <w:szCs w:val="24"/>
                <w:lang w:val="en-ID"/>
              </w:rPr>
              <w:t> 0.27</w:t>
            </w:r>
          </w:p>
        </w:tc>
        <w:tc>
          <w:tcPr>
            <w:tcW w:w="1372" w:type="dxa"/>
            <w:vAlign w:val="center"/>
            <w:hideMark/>
          </w:tcPr>
          <w:p w14:paraId="5896E346" w14:textId="77777777" w:rsidR="0097236C" w:rsidRPr="0097236C" w:rsidRDefault="0097236C" w:rsidP="00747AF0">
            <w:pPr>
              <w:spacing w:after="0" w:line="360" w:lineRule="auto"/>
              <w:jc w:val="center"/>
              <w:rPr>
                <w:rFonts w:cs="Times New Roman"/>
                <w:color w:val="000000"/>
                <w:sz w:val="24"/>
                <w:szCs w:val="24"/>
                <w:lang w:val="en-ID"/>
              </w:rPr>
            </w:pPr>
          </w:p>
        </w:tc>
      </w:tr>
      <w:tr w:rsidR="0097236C" w:rsidRPr="002679B7" w14:paraId="394BE5D7" w14:textId="77777777" w:rsidTr="0097236C">
        <w:trPr>
          <w:tblCellSpacing w:w="15" w:type="dxa"/>
          <w:jc w:val="center"/>
        </w:trPr>
        <w:tc>
          <w:tcPr>
            <w:tcW w:w="2987" w:type="dxa"/>
            <w:gridSpan w:val="2"/>
            <w:vAlign w:val="center"/>
          </w:tcPr>
          <w:p w14:paraId="377A6485" w14:textId="0BDF7721" w:rsidR="0097236C" w:rsidRPr="002679B7" w:rsidRDefault="0097236C" w:rsidP="00747AF0">
            <w:pPr>
              <w:spacing w:after="0" w:line="360" w:lineRule="auto"/>
              <w:rPr>
                <w:rFonts w:cs="Times New Roman"/>
                <w:color w:val="000000"/>
                <w:sz w:val="24"/>
                <w:szCs w:val="24"/>
                <w:lang w:val="en-ID"/>
              </w:rPr>
            </w:pPr>
            <w:r w:rsidRPr="0097236C">
              <w:rPr>
                <w:rFonts w:cs="Times New Roman"/>
                <w:b/>
                <w:bCs/>
                <w:color w:val="000000"/>
                <w:sz w:val="24"/>
                <w:szCs w:val="24"/>
                <w:lang w:val="en-ID"/>
              </w:rPr>
              <w:t>HER2 status</w:t>
            </w:r>
          </w:p>
        </w:tc>
        <w:tc>
          <w:tcPr>
            <w:tcW w:w="821" w:type="dxa"/>
            <w:vAlign w:val="center"/>
          </w:tcPr>
          <w:p w14:paraId="6D6F212C" w14:textId="77777777" w:rsidR="0097236C" w:rsidRPr="002679B7" w:rsidRDefault="0097236C" w:rsidP="00747AF0">
            <w:pPr>
              <w:spacing w:after="0" w:line="360" w:lineRule="auto"/>
              <w:jc w:val="center"/>
              <w:rPr>
                <w:rFonts w:cs="Times New Roman"/>
                <w:color w:val="000000"/>
                <w:sz w:val="24"/>
                <w:szCs w:val="24"/>
                <w:lang w:val="en-ID"/>
              </w:rPr>
            </w:pPr>
          </w:p>
        </w:tc>
        <w:tc>
          <w:tcPr>
            <w:tcW w:w="2238" w:type="dxa"/>
            <w:vAlign w:val="center"/>
          </w:tcPr>
          <w:p w14:paraId="5B589389" w14:textId="77777777" w:rsidR="0097236C" w:rsidRPr="002679B7" w:rsidRDefault="0097236C" w:rsidP="00747AF0">
            <w:pPr>
              <w:spacing w:after="0" w:line="360" w:lineRule="auto"/>
              <w:jc w:val="center"/>
              <w:rPr>
                <w:rFonts w:cs="Times New Roman"/>
                <w:color w:val="000000"/>
                <w:sz w:val="24"/>
                <w:szCs w:val="24"/>
                <w:lang w:val="en-ID"/>
              </w:rPr>
            </w:pPr>
          </w:p>
        </w:tc>
        <w:tc>
          <w:tcPr>
            <w:tcW w:w="1372" w:type="dxa"/>
            <w:vAlign w:val="center"/>
          </w:tcPr>
          <w:p w14:paraId="7020E707" w14:textId="77777777" w:rsidR="0097236C" w:rsidRPr="002679B7" w:rsidRDefault="0097236C" w:rsidP="00747AF0">
            <w:pPr>
              <w:spacing w:after="0" w:line="360" w:lineRule="auto"/>
              <w:jc w:val="center"/>
              <w:rPr>
                <w:rFonts w:cs="Times New Roman"/>
                <w:color w:val="000000"/>
                <w:sz w:val="24"/>
                <w:szCs w:val="24"/>
                <w:lang w:val="en-ID"/>
              </w:rPr>
            </w:pPr>
          </w:p>
        </w:tc>
      </w:tr>
      <w:tr w:rsidR="0097236C" w:rsidRPr="002679B7" w14:paraId="08A21854" w14:textId="77777777" w:rsidTr="0097236C">
        <w:trPr>
          <w:tblCellSpacing w:w="15" w:type="dxa"/>
          <w:jc w:val="center"/>
        </w:trPr>
        <w:tc>
          <w:tcPr>
            <w:tcW w:w="861" w:type="dxa"/>
            <w:vAlign w:val="center"/>
            <w:hideMark/>
          </w:tcPr>
          <w:p w14:paraId="3C87C7D9" w14:textId="1735F407" w:rsidR="0097236C" w:rsidRPr="0097236C" w:rsidRDefault="0097236C" w:rsidP="00747AF0">
            <w:pPr>
              <w:spacing w:after="0" w:line="360" w:lineRule="auto"/>
              <w:rPr>
                <w:rFonts w:cs="Times New Roman"/>
                <w:color w:val="000000"/>
                <w:sz w:val="24"/>
                <w:szCs w:val="24"/>
                <w:lang w:val="en-ID"/>
              </w:rPr>
            </w:pPr>
          </w:p>
        </w:tc>
        <w:tc>
          <w:tcPr>
            <w:tcW w:w="2096" w:type="dxa"/>
            <w:vAlign w:val="center"/>
            <w:hideMark/>
          </w:tcPr>
          <w:p w14:paraId="400AA8B3" w14:textId="77777777" w:rsidR="0097236C" w:rsidRPr="0097236C" w:rsidRDefault="0097236C" w:rsidP="00747AF0">
            <w:pPr>
              <w:spacing w:after="0" w:line="360" w:lineRule="auto"/>
              <w:rPr>
                <w:rFonts w:cs="Times New Roman"/>
                <w:color w:val="000000"/>
                <w:sz w:val="24"/>
                <w:szCs w:val="24"/>
                <w:lang w:val="en-ID"/>
              </w:rPr>
            </w:pPr>
            <w:r w:rsidRPr="0097236C">
              <w:rPr>
                <w:rFonts w:cs="Times New Roman"/>
                <w:color w:val="000000"/>
                <w:sz w:val="24"/>
                <w:szCs w:val="24"/>
                <w:lang w:val="en-ID"/>
              </w:rPr>
              <w:t>Negative</w:t>
            </w:r>
          </w:p>
        </w:tc>
        <w:tc>
          <w:tcPr>
            <w:tcW w:w="821" w:type="dxa"/>
            <w:vAlign w:val="center"/>
            <w:hideMark/>
          </w:tcPr>
          <w:p w14:paraId="73F69ED6"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31</w:t>
            </w:r>
          </w:p>
        </w:tc>
        <w:tc>
          <w:tcPr>
            <w:tcW w:w="2238" w:type="dxa"/>
            <w:vAlign w:val="center"/>
            <w:hideMark/>
          </w:tcPr>
          <w:p w14:paraId="57386057" w14:textId="0D097EC3"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1.25 </w:t>
            </w:r>
            <w:r w:rsidRPr="002679B7">
              <w:rPr>
                <w:rFonts w:cs="Times New Roman"/>
                <w:color w:val="000000"/>
                <w:sz w:val="24"/>
                <w:szCs w:val="24"/>
                <w:lang w:val="en-ID"/>
              </w:rPr>
              <w:t>±</w:t>
            </w:r>
            <w:r w:rsidRPr="0097236C">
              <w:rPr>
                <w:rFonts w:cs="Times New Roman"/>
                <w:color w:val="000000"/>
                <w:sz w:val="24"/>
                <w:szCs w:val="24"/>
                <w:lang w:val="en-ID"/>
              </w:rPr>
              <w:t> 0.15</w:t>
            </w:r>
          </w:p>
        </w:tc>
        <w:tc>
          <w:tcPr>
            <w:tcW w:w="1372" w:type="dxa"/>
            <w:vAlign w:val="center"/>
            <w:hideMark/>
          </w:tcPr>
          <w:p w14:paraId="28D4D953"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0.002</w:t>
            </w:r>
          </w:p>
        </w:tc>
      </w:tr>
      <w:tr w:rsidR="0097236C" w:rsidRPr="002679B7" w14:paraId="749B610B" w14:textId="77777777" w:rsidTr="0097236C">
        <w:trPr>
          <w:tblCellSpacing w:w="15" w:type="dxa"/>
          <w:jc w:val="center"/>
        </w:trPr>
        <w:tc>
          <w:tcPr>
            <w:tcW w:w="861" w:type="dxa"/>
            <w:vAlign w:val="center"/>
            <w:hideMark/>
          </w:tcPr>
          <w:p w14:paraId="4D8BF374" w14:textId="77777777" w:rsidR="0097236C" w:rsidRPr="0097236C" w:rsidRDefault="0097236C" w:rsidP="00747AF0">
            <w:pPr>
              <w:spacing w:after="0" w:line="360" w:lineRule="auto"/>
              <w:rPr>
                <w:rFonts w:cs="Times New Roman"/>
                <w:color w:val="000000"/>
                <w:sz w:val="24"/>
                <w:szCs w:val="24"/>
                <w:lang w:val="en-ID"/>
              </w:rPr>
            </w:pPr>
          </w:p>
        </w:tc>
        <w:tc>
          <w:tcPr>
            <w:tcW w:w="2096" w:type="dxa"/>
            <w:vAlign w:val="center"/>
            <w:hideMark/>
          </w:tcPr>
          <w:p w14:paraId="0D07980A" w14:textId="77777777" w:rsidR="0097236C" w:rsidRPr="0097236C" w:rsidRDefault="0097236C" w:rsidP="00747AF0">
            <w:pPr>
              <w:spacing w:after="0" w:line="360" w:lineRule="auto"/>
              <w:rPr>
                <w:rFonts w:cs="Times New Roman"/>
                <w:color w:val="000000"/>
                <w:sz w:val="24"/>
                <w:szCs w:val="24"/>
                <w:lang w:val="en-ID"/>
              </w:rPr>
            </w:pPr>
            <w:r w:rsidRPr="0097236C">
              <w:rPr>
                <w:rFonts w:cs="Times New Roman"/>
                <w:color w:val="000000"/>
                <w:sz w:val="24"/>
                <w:szCs w:val="24"/>
                <w:lang w:val="en-ID"/>
              </w:rPr>
              <w:t>Positive</w:t>
            </w:r>
          </w:p>
        </w:tc>
        <w:tc>
          <w:tcPr>
            <w:tcW w:w="821" w:type="dxa"/>
            <w:vAlign w:val="center"/>
            <w:hideMark/>
          </w:tcPr>
          <w:p w14:paraId="77606483" w14:textId="77777777"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16</w:t>
            </w:r>
          </w:p>
        </w:tc>
        <w:tc>
          <w:tcPr>
            <w:tcW w:w="2238" w:type="dxa"/>
            <w:vAlign w:val="center"/>
            <w:hideMark/>
          </w:tcPr>
          <w:p w14:paraId="47FCEE39" w14:textId="7148F0F1" w:rsidR="0097236C" w:rsidRPr="0097236C" w:rsidRDefault="0097236C" w:rsidP="00747AF0">
            <w:pPr>
              <w:spacing w:after="0" w:line="360" w:lineRule="auto"/>
              <w:jc w:val="center"/>
              <w:rPr>
                <w:rFonts w:cs="Times New Roman"/>
                <w:color w:val="000000"/>
                <w:sz w:val="24"/>
                <w:szCs w:val="24"/>
                <w:lang w:val="en-ID"/>
              </w:rPr>
            </w:pPr>
            <w:r w:rsidRPr="0097236C">
              <w:rPr>
                <w:rFonts w:cs="Times New Roman"/>
                <w:color w:val="000000"/>
                <w:sz w:val="24"/>
                <w:szCs w:val="24"/>
                <w:lang w:val="en-ID"/>
              </w:rPr>
              <w:t>1.47 </w:t>
            </w:r>
            <w:r w:rsidRPr="002679B7">
              <w:rPr>
                <w:rFonts w:cs="Times New Roman"/>
                <w:color w:val="000000"/>
                <w:sz w:val="24"/>
                <w:szCs w:val="24"/>
                <w:lang w:val="en-ID"/>
              </w:rPr>
              <w:t>±</w:t>
            </w:r>
            <w:r w:rsidRPr="0097236C">
              <w:rPr>
                <w:rFonts w:cs="Times New Roman"/>
                <w:color w:val="000000"/>
                <w:sz w:val="24"/>
                <w:szCs w:val="24"/>
                <w:lang w:val="en-ID"/>
              </w:rPr>
              <w:t> 0.30</w:t>
            </w:r>
          </w:p>
        </w:tc>
        <w:tc>
          <w:tcPr>
            <w:tcW w:w="1372" w:type="dxa"/>
            <w:vAlign w:val="center"/>
            <w:hideMark/>
          </w:tcPr>
          <w:p w14:paraId="4D4BEBA1" w14:textId="77777777" w:rsidR="0097236C" w:rsidRPr="0097236C" w:rsidRDefault="0097236C" w:rsidP="00747AF0">
            <w:pPr>
              <w:spacing w:after="0" w:line="360" w:lineRule="auto"/>
              <w:jc w:val="center"/>
              <w:rPr>
                <w:rFonts w:cs="Times New Roman"/>
                <w:sz w:val="24"/>
                <w:szCs w:val="24"/>
                <w:lang w:val="en-ID"/>
              </w:rPr>
            </w:pPr>
          </w:p>
        </w:tc>
      </w:tr>
    </w:tbl>
    <w:p w14:paraId="45BBB0DF" w14:textId="77777777" w:rsidR="0097236C" w:rsidRPr="002679B7" w:rsidRDefault="0097236C" w:rsidP="00747AF0">
      <w:pPr>
        <w:spacing w:after="0" w:line="360" w:lineRule="auto"/>
        <w:jc w:val="both"/>
        <w:rPr>
          <w:rFonts w:cs="Times New Roman"/>
          <w:sz w:val="24"/>
          <w:szCs w:val="24"/>
        </w:rPr>
      </w:pPr>
    </w:p>
    <w:p w14:paraId="5F4ABAE0" w14:textId="77777777" w:rsidR="00747AF0" w:rsidRPr="002679B7" w:rsidRDefault="00747AF0" w:rsidP="00095E10">
      <w:pPr>
        <w:pStyle w:val="NormalWeb"/>
        <w:spacing w:before="0" w:beforeAutospacing="0" w:after="0" w:afterAutospacing="0" w:line="360" w:lineRule="auto"/>
        <w:ind w:firstLine="720"/>
        <w:jc w:val="both"/>
        <w:rPr>
          <w:color w:val="000000"/>
        </w:rPr>
      </w:pPr>
      <w:r w:rsidRPr="002679B7">
        <w:rPr>
          <w:color w:val="000000"/>
        </w:rPr>
        <w:t xml:space="preserve">Because HER2 status demonstrated the most robust exploratory association during the initial analysis, a receiver operating characteristic (ROC) curve was generated to establish an optimal serum SP diagnostic threshold for predicting HER2 positivity. </w:t>
      </w:r>
      <w:commentRangeStart w:id="4"/>
      <w:r w:rsidRPr="002679B7">
        <w:rPr>
          <w:color w:val="000000"/>
        </w:rPr>
        <w:t xml:space="preserve">The ROC curve </w:t>
      </w:r>
      <w:r w:rsidRPr="002679B7">
        <w:rPr>
          <w:color w:val="000000"/>
        </w:rPr>
        <w:lastRenderedPageBreak/>
        <w:t>yielded an area under the curve (AUC) of 0.782</w:t>
      </w:r>
      <w:commentRangeEnd w:id="4"/>
      <w:r w:rsidR="00672338" w:rsidRPr="002679B7">
        <w:rPr>
          <w:rStyle w:val="CommentReference"/>
          <w:color w:val="000000"/>
          <w:sz w:val="24"/>
          <w:szCs w:val="24"/>
        </w:rPr>
        <w:commentReference w:id="4"/>
      </w:r>
      <w:r w:rsidRPr="002679B7">
        <w:rPr>
          <w:color w:val="000000"/>
        </w:rPr>
        <w:t>, indicating fair discriminatory capacity, and identified an optimal cutoff value of 1.300 ng/mL based on the most effective balance between sensitivity and specificity.</w:t>
      </w:r>
    </w:p>
    <w:p w14:paraId="2F7EB126" w14:textId="660602A1" w:rsidR="00747AF0" w:rsidRPr="002679B7" w:rsidRDefault="00747AF0" w:rsidP="00095E10">
      <w:pPr>
        <w:pStyle w:val="NormalWeb"/>
        <w:spacing w:before="0" w:beforeAutospacing="0" w:after="0" w:afterAutospacing="0" w:line="360" w:lineRule="auto"/>
        <w:ind w:firstLine="720"/>
        <w:jc w:val="both"/>
        <w:rPr>
          <w:color w:val="000000"/>
        </w:rPr>
      </w:pPr>
      <w:r w:rsidRPr="002679B7">
        <w:rPr>
          <w:color w:val="000000"/>
        </w:rPr>
        <w:t>Following the dichotomization of the cohort based on this 1.300 ng/mL SP cutoff</w:t>
      </w:r>
      <w:r w:rsidR="00FF1FEC">
        <w:rPr>
          <w:color w:val="000000"/>
        </w:rPr>
        <w:t xml:space="preserve"> (</w:t>
      </w:r>
      <w:r w:rsidR="00FF1FEC" w:rsidRPr="00FF1FEC">
        <w:rPr>
          <w:b/>
          <w:bCs/>
          <w:color w:val="000000"/>
        </w:rPr>
        <w:t>Figure 1</w:t>
      </w:r>
      <w:r w:rsidR="00FF1FEC">
        <w:rPr>
          <w:b/>
          <w:bCs/>
          <w:color w:val="000000"/>
        </w:rPr>
        <w:t>)</w:t>
      </w:r>
      <w:r w:rsidRPr="002679B7">
        <w:rPr>
          <w:color w:val="000000"/>
        </w:rPr>
        <w:t>, categorical bivariable analysis corroborated the significant associations with lymph node and HER2 status (</w:t>
      </w:r>
      <w:r w:rsidRPr="00FF1FEC">
        <w:rPr>
          <w:b/>
          <w:bCs/>
          <w:color w:val="000000"/>
        </w:rPr>
        <w:t>Table 3</w:t>
      </w:r>
      <w:r w:rsidRPr="002679B7">
        <w:rPr>
          <w:color w:val="000000"/>
        </w:rPr>
        <w:t>). Notably, all patients with negative lymph nodes exhibited serum SP levels strictly below the threshold, whereas those with positive nodes were evenly distributed. Similarly, high serum SP (</w:t>
      </w:r>
      <w:r w:rsidRPr="002679B7">
        <w:rPr>
          <w:rStyle w:val="mrel"/>
          <w:rFonts w:eastAsiaTheme="majorEastAsia"/>
          <w:color w:val="000000"/>
        </w:rPr>
        <w:t>≥</w:t>
      </w:r>
      <w:r w:rsidRPr="002679B7">
        <w:rPr>
          <w:rStyle w:val="mord"/>
          <w:rFonts w:eastAsiaTheme="majorEastAsia"/>
          <w:color w:val="000000"/>
        </w:rPr>
        <w:t>1.300</w:t>
      </w:r>
      <w:r w:rsidRPr="002679B7">
        <w:rPr>
          <w:rStyle w:val="apple-converted-space"/>
          <w:color w:val="000000"/>
        </w:rPr>
        <w:t> </w:t>
      </w:r>
      <w:r w:rsidRPr="002679B7">
        <w:rPr>
          <w:color w:val="000000"/>
        </w:rPr>
        <w:t>ng/mL) was detected significantly more frequently in HER2-positive tumors compared to HER2-negative tumors. No significant categorical associations were identified for the remaining clinicopathological parameters.</w:t>
      </w:r>
    </w:p>
    <w:p w14:paraId="0B5C66E2" w14:textId="77777777" w:rsidR="00747AF0" w:rsidRDefault="00747AF0" w:rsidP="00747AF0">
      <w:pPr>
        <w:pStyle w:val="NormalWeb"/>
        <w:spacing w:before="0" w:beforeAutospacing="0" w:after="0" w:afterAutospacing="0" w:line="360" w:lineRule="auto"/>
        <w:jc w:val="both"/>
        <w:rPr>
          <w:color w:val="000000"/>
        </w:rPr>
      </w:pPr>
    </w:p>
    <w:p w14:paraId="3542949A" w14:textId="77777777" w:rsidR="00FF1FEC" w:rsidRPr="001657E0" w:rsidRDefault="00FF1FEC" w:rsidP="00FF1FEC">
      <w:pPr>
        <w:ind w:firstLine="720"/>
        <w:jc w:val="both"/>
        <w:rPr>
          <w:color w:val="000000"/>
        </w:rPr>
      </w:pPr>
      <w:r w:rsidRPr="001657E0">
        <w:rPr>
          <w:noProof/>
          <w:color w:val="000000"/>
        </w:rPr>
        <w:drawing>
          <wp:inline distT="0" distB="0" distL="0" distR="0" wp14:anchorId="2F88EDDC" wp14:editId="3319D45C">
            <wp:extent cx="3825948" cy="3546088"/>
            <wp:effectExtent l="0" t="0" r="0" b="0"/>
            <wp:docPr id="101414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42180" name="Picture 10141421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54389" cy="3572449"/>
                    </a:xfrm>
                    <a:prstGeom prst="rect">
                      <a:avLst/>
                    </a:prstGeom>
                  </pic:spPr>
                </pic:pic>
              </a:graphicData>
            </a:graphic>
          </wp:inline>
        </w:drawing>
      </w:r>
    </w:p>
    <w:p w14:paraId="564BA86B" w14:textId="77777777" w:rsidR="00FF1FEC" w:rsidRPr="001657E0" w:rsidRDefault="00FF1FEC" w:rsidP="00FF1FEC">
      <w:pPr>
        <w:pStyle w:val="NormalWeb"/>
        <w:spacing w:before="0" w:beforeAutospacing="0" w:after="0" w:afterAutospacing="0" w:line="360" w:lineRule="auto"/>
        <w:jc w:val="both"/>
        <w:rPr>
          <w:color w:val="000000"/>
        </w:rPr>
      </w:pPr>
      <w:r w:rsidRPr="00FF1FEC">
        <w:rPr>
          <w:b/>
          <w:bCs/>
          <w:color w:val="000000"/>
        </w:rPr>
        <w:t>Figure 1.</w:t>
      </w:r>
      <w:r w:rsidRPr="00FF1FEC">
        <w:rPr>
          <w:color w:val="000000"/>
        </w:rPr>
        <w:t> </w:t>
      </w:r>
      <w:r w:rsidRPr="001657E0">
        <w:rPr>
          <w:color w:val="000000"/>
        </w:rPr>
        <w:t>Receiver operating characteristic (ROC) curve of serum Substance P (SP) levels for predicting HER2 positivity. The optimal diagnostic cutoff was established at 1.300 ng/mL (AUC = 0.782).</w:t>
      </w:r>
    </w:p>
    <w:p w14:paraId="236A04B0" w14:textId="77777777" w:rsidR="00FF1FEC" w:rsidRPr="002679B7" w:rsidRDefault="00FF1FEC" w:rsidP="00FF1FEC">
      <w:pPr>
        <w:pStyle w:val="NormalWeb"/>
        <w:spacing w:before="0" w:beforeAutospacing="0" w:after="0" w:afterAutospacing="0" w:line="360" w:lineRule="auto"/>
        <w:ind w:firstLine="720"/>
        <w:jc w:val="both"/>
        <w:rPr>
          <w:color w:val="000000"/>
        </w:rPr>
      </w:pPr>
    </w:p>
    <w:p w14:paraId="6542C073" w14:textId="31B98B12" w:rsidR="00747AF0" w:rsidRPr="002679B7" w:rsidRDefault="00747AF0" w:rsidP="00747AF0">
      <w:pPr>
        <w:pStyle w:val="NormalWeb"/>
        <w:spacing w:before="0" w:beforeAutospacing="0" w:after="0" w:afterAutospacing="0" w:line="360" w:lineRule="auto"/>
        <w:jc w:val="center"/>
        <w:rPr>
          <w:b/>
          <w:bCs/>
          <w:color w:val="000000"/>
        </w:rPr>
      </w:pPr>
      <w:r w:rsidRPr="002679B7">
        <w:rPr>
          <w:b/>
          <w:bCs/>
          <w:color w:val="000000"/>
        </w:rPr>
        <w:t>Table 3.</w:t>
      </w:r>
      <w:r w:rsidRPr="002679B7">
        <w:rPr>
          <w:rStyle w:val="apple-converted-space"/>
          <w:color w:val="000000"/>
        </w:rPr>
        <w:t> </w:t>
      </w:r>
      <w:r w:rsidRPr="002679B7">
        <w:rPr>
          <w:color w:val="000000"/>
        </w:rPr>
        <w:t>Categorical association between prognostic parameters and high serum Substance P</w:t>
      </w:r>
      <w:r w:rsidRPr="002679B7">
        <w:rPr>
          <w:rStyle w:val="apple-converted-space"/>
          <w:color w:val="000000"/>
        </w:rPr>
        <w:t> </w:t>
      </w:r>
      <w:r w:rsidRPr="002679B7">
        <w:rPr>
          <w:color w:val="000000"/>
        </w:rPr>
        <w:t xml:space="preserve"> (</w:t>
      </w:r>
      <w:r w:rsidRPr="002679B7">
        <w:rPr>
          <w:rStyle w:val="mrel"/>
          <w:rFonts w:eastAsiaTheme="majorEastAsia"/>
          <w:color w:val="000000"/>
        </w:rPr>
        <w:t>≥</w:t>
      </w:r>
      <w:r w:rsidRPr="002679B7">
        <w:rPr>
          <w:rStyle w:val="mord"/>
          <w:rFonts w:eastAsiaTheme="majorEastAsia"/>
          <w:color w:val="000000"/>
        </w:rPr>
        <w:t>1.300</w:t>
      </w:r>
      <w:r w:rsidRPr="002679B7">
        <w:rPr>
          <w:rStyle w:val="apple-converted-space"/>
          <w:color w:val="000000"/>
        </w:rPr>
        <w:t> </w:t>
      </w:r>
      <w:r w:rsidRPr="002679B7">
        <w:rPr>
          <w:color w:val="000000"/>
        </w:rPr>
        <w:t>ng/mL).</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563"/>
        <w:gridCol w:w="1912"/>
        <w:gridCol w:w="1764"/>
        <w:gridCol w:w="1783"/>
        <w:gridCol w:w="1039"/>
        <w:gridCol w:w="899"/>
        <w:gridCol w:w="1156"/>
      </w:tblGrid>
      <w:tr w:rsidR="00747AF0" w:rsidRPr="002679B7" w14:paraId="01105742" w14:textId="77777777" w:rsidTr="00747AF0">
        <w:trPr>
          <w:tblHeader/>
          <w:tblCellSpacing w:w="15" w:type="dxa"/>
        </w:trPr>
        <w:tc>
          <w:tcPr>
            <w:tcW w:w="2562" w:type="dxa"/>
            <w:gridSpan w:val="2"/>
            <w:vAlign w:val="center"/>
            <w:hideMark/>
          </w:tcPr>
          <w:p w14:paraId="236EEA3E" w14:textId="7C5EDB35"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b/>
                <w:bCs/>
                <w:color w:val="000000"/>
                <w:sz w:val="24"/>
                <w:szCs w:val="24"/>
                <w:lang w:val="en-ID"/>
              </w:rPr>
              <w:lastRenderedPageBreak/>
              <w:t>Variable</w:t>
            </w:r>
          </w:p>
        </w:tc>
        <w:tc>
          <w:tcPr>
            <w:tcW w:w="1954" w:type="dxa"/>
            <w:vAlign w:val="center"/>
            <w:hideMark/>
          </w:tcPr>
          <w:p w14:paraId="295AB2EE" w14:textId="77777777" w:rsidR="00747AF0" w:rsidRPr="002679B7" w:rsidRDefault="00747AF0" w:rsidP="00747AF0">
            <w:pPr>
              <w:spacing w:after="0" w:line="360" w:lineRule="auto"/>
              <w:jc w:val="center"/>
              <w:rPr>
                <w:rFonts w:cs="Times New Roman"/>
                <w:b/>
                <w:bCs/>
                <w:color w:val="000000"/>
                <w:sz w:val="24"/>
                <w:szCs w:val="24"/>
                <w:lang w:val="en-ID"/>
              </w:rPr>
            </w:pPr>
            <w:r w:rsidRPr="00747AF0">
              <w:rPr>
                <w:rFonts w:cs="Times New Roman"/>
                <w:b/>
                <w:bCs/>
                <w:color w:val="000000"/>
                <w:sz w:val="24"/>
                <w:szCs w:val="24"/>
                <w:lang w:val="en-ID"/>
              </w:rPr>
              <w:t>SP &lt;1.300 ng/mL</w:t>
            </w:r>
          </w:p>
          <w:p w14:paraId="711D0C36" w14:textId="60CCBC25"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b/>
                <w:bCs/>
                <w:color w:val="000000"/>
                <w:sz w:val="24"/>
                <w:szCs w:val="24"/>
                <w:lang w:val="en-ID"/>
              </w:rPr>
              <w:t>n (%)</w:t>
            </w:r>
          </w:p>
        </w:tc>
        <w:tc>
          <w:tcPr>
            <w:tcW w:w="1955" w:type="dxa"/>
            <w:vAlign w:val="center"/>
            <w:hideMark/>
          </w:tcPr>
          <w:p w14:paraId="69B0FFFF" w14:textId="77777777" w:rsidR="00747AF0" w:rsidRPr="002679B7" w:rsidRDefault="00747AF0" w:rsidP="00747AF0">
            <w:pPr>
              <w:spacing w:after="0" w:line="360" w:lineRule="auto"/>
              <w:jc w:val="center"/>
              <w:rPr>
                <w:rFonts w:cs="Times New Roman"/>
                <w:b/>
                <w:bCs/>
                <w:color w:val="000000"/>
                <w:sz w:val="24"/>
                <w:szCs w:val="24"/>
                <w:lang w:val="en-ID"/>
              </w:rPr>
            </w:pPr>
            <w:r w:rsidRPr="00747AF0">
              <w:rPr>
                <w:rFonts w:cs="Times New Roman"/>
                <w:b/>
                <w:bCs/>
                <w:color w:val="000000"/>
                <w:sz w:val="24"/>
                <w:szCs w:val="24"/>
                <w:lang w:val="en-ID"/>
              </w:rPr>
              <w:t>SP ≥1.300 ng/mL</w:t>
            </w:r>
          </w:p>
          <w:p w14:paraId="026A5C99" w14:textId="178F25FC"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b/>
                <w:bCs/>
                <w:color w:val="000000"/>
                <w:sz w:val="24"/>
                <w:szCs w:val="24"/>
                <w:lang w:val="en-ID"/>
              </w:rPr>
              <w:t>n (%)</w:t>
            </w:r>
          </w:p>
        </w:tc>
        <w:tc>
          <w:tcPr>
            <w:tcW w:w="1104" w:type="dxa"/>
            <w:vAlign w:val="center"/>
            <w:hideMark/>
          </w:tcPr>
          <w:p w14:paraId="456EF920"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b/>
                <w:bCs/>
                <w:color w:val="000000"/>
                <w:sz w:val="24"/>
                <w:szCs w:val="24"/>
                <w:lang w:val="en-ID"/>
              </w:rPr>
              <w:t>p-value</w:t>
            </w:r>
          </w:p>
        </w:tc>
        <w:tc>
          <w:tcPr>
            <w:tcW w:w="962" w:type="dxa"/>
            <w:vAlign w:val="center"/>
            <w:hideMark/>
          </w:tcPr>
          <w:p w14:paraId="4D582C86"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b/>
                <w:bCs/>
                <w:color w:val="000000"/>
                <w:sz w:val="24"/>
                <w:szCs w:val="24"/>
                <w:lang w:val="en-ID"/>
              </w:rPr>
              <w:t>OR</w:t>
            </w:r>
          </w:p>
        </w:tc>
        <w:tc>
          <w:tcPr>
            <w:tcW w:w="1229" w:type="dxa"/>
            <w:vAlign w:val="center"/>
            <w:hideMark/>
          </w:tcPr>
          <w:p w14:paraId="4AB0F0BD"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b/>
                <w:bCs/>
                <w:color w:val="000000"/>
                <w:sz w:val="24"/>
                <w:szCs w:val="24"/>
                <w:lang w:val="en-ID"/>
              </w:rPr>
              <w:t>95% CI</w:t>
            </w:r>
          </w:p>
        </w:tc>
      </w:tr>
      <w:tr w:rsidR="00747AF0" w:rsidRPr="002679B7" w14:paraId="50AF6CB4" w14:textId="77777777" w:rsidTr="00747AF0">
        <w:trPr>
          <w:tblCellSpacing w:w="15" w:type="dxa"/>
        </w:trPr>
        <w:tc>
          <w:tcPr>
            <w:tcW w:w="2562" w:type="dxa"/>
            <w:gridSpan w:val="2"/>
            <w:tcBorders>
              <w:top w:val="single" w:sz="4" w:space="0" w:color="auto"/>
              <w:bottom w:val="nil"/>
            </w:tcBorders>
            <w:vAlign w:val="center"/>
          </w:tcPr>
          <w:p w14:paraId="1CC98A48" w14:textId="76D36126" w:rsidR="00747AF0" w:rsidRPr="002679B7" w:rsidRDefault="00747AF0" w:rsidP="00747AF0">
            <w:pPr>
              <w:spacing w:after="0" w:line="360" w:lineRule="auto"/>
              <w:rPr>
                <w:rFonts w:cs="Times New Roman"/>
                <w:color w:val="000000"/>
                <w:sz w:val="24"/>
                <w:szCs w:val="24"/>
                <w:lang w:val="en-ID"/>
              </w:rPr>
            </w:pPr>
            <w:r w:rsidRPr="00747AF0">
              <w:rPr>
                <w:rFonts w:cs="Times New Roman"/>
                <w:b/>
                <w:bCs/>
                <w:color w:val="000000"/>
                <w:sz w:val="24"/>
                <w:szCs w:val="24"/>
                <w:lang w:val="en-ID"/>
              </w:rPr>
              <w:t>Histopathological grade</w:t>
            </w:r>
          </w:p>
        </w:tc>
        <w:tc>
          <w:tcPr>
            <w:tcW w:w="1954" w:type="dxa"/>
            <w:tcBorders>
              <w:top w:val="single" w:sz="4" w:space="0" w:color="auto"/>
              <w:bottom w:val="nil"/>
            </w:tcBorders>
            <w:vAlign w:val="center"/>
          </w:tcPr>
          <w:p w14:paraId="7ACABA9A" w14:textId="77777777" w:rsidR="00747AF0" w:rsidRPr="002679B7" w:rsidRDefault="00747AF0" w:rsidP="00747AF0">
            <w:pPr>
              <w:spacing w:after="0" w:line="360" w:lineRule="auto"/>
              <w:rPr>
                <w:rFonts w:cs="Times New Roman"/>
                <w:color w:val="000000"/>
                <w:sz w:val="24"/>
                <w:szCs w:val="24"/>
                <w:lang w:val="en-ID"/>
              </w:rPr>
            </w:pPr>
          </w:p>
        </w:tc>
        <w:tc>
          <w:tcPr>
            <w:tcW w:w="1955" w:type="dxa"/>
            <w:tcBorders>
              <w:top w:val="single" w:sz="4" w:space="0" w:color="auto"/>
              <w:bottom w:val="nil"/>
            </w:tcBorders>
            <w:vAlign w:val="center"/>
          </w:tcPr>
          <w:p w14:paraId="4E65ACF7" w14:textId="77777777" w:rsidR="00747AF0" w:rsidRPr="002679B7" w:rsidRDefault="00747AF0" w:rsidP="00747AF0">
            <w:pPr>
              <w:spacing w:after="0" w:line="360" w:lineRule="auto"/>
              <w:rPr>
                <w:rFonts w:cs="Times New Roman"/>
                <w:color w:val="000000"/>
                <w:sz w:val="24"/>
                <w:szCs w:val="24"/>
                <w:lang w:val="en-ID"/>
              </w:rPr>
            </w:pPr>
          </w:p>
        </w:tc>
        <w:tc>
          <w:tcPr>
            <w:tcW w:w="1104" w:type="dxa"/>
            <w:tcBorders>
              <w:top w:val="single" w:sz="4" w:space="0" w:color="auto"/>
              <w:bottom w:val="nil"/>
            </w:tcBorders>
            <w:vAlign w:val="center"/>
          </w:tcPr>
          <w:p w14:paraId="2DA965DC" w14:textId="77777777" w:rsidR="00747AF0" w:rsidRPr="002679B7" w:rsidRDefault="00747AF0" w:rsidP="00747AF0">
            <w:pPr>
              <w:spacing w:after="0" w:line="360" w:lineRule="auto"/>
              <w:rPr>
                <w:rFonts w:cs="Times New Roman"/>
                <w:color w:val="000000"/>
                <w:sz w:val="24"/>
                <w:szCs w:val="24"/>
                <w:lang w:val="en-ID"/>
              </w:rPr>
            </w:pPr>
          </w:p>
        </w:tc>
        <w:tc>
          <w:tcPr>
            <w:tcW w:w="962" w:type="dxa"/>
            <w:tcBorders>
              <w:top w:val="single" w:sz="4" w:space="0" w:color="auto"/>
              <w:bottom w:val="nil"/>
            </w:tcBorders>
            <w:vAlign w:val="center"/>
          </w:tcPr>
          <w:p w14:paraId="56B57280" w14:textId="77777777" w:rsidR="00747AF0" w:rsidRPr="002679B7" w:rsidRDefault="00747AF0" w:rsidP="00747AF0">
            <w:pPr>
              <w:spacing w:after="0" w:line="360" w:lineRule="auto"/>
              <w:rPr>
                <w:rFonts w:cs="Times New Roman"/>
                <w:color w:val="000000"/>
                <w:sz w:val="24"/>
                <w:szCs w:val="24"/>
                <w:lang w:val="en-ID"/>
              </w:rPr>
            </w:pPr>
          </w:p>
        </w:tc>
        <w:tc>
          <w:tcPr>
            <w:tcW w:w="1229" w:type="dxa"/>
            <w:tcBorders>
              <w:top w:val="single" w:sz="4" w:space="0" w:color="auto"/>
              <w:bottom w:val="nil"/>
            </w:tcBorders>
            <w:vAlign w:val="center"/>
          </w:tcPr>
          <w:p w14:paraId="09F68094" w14:textId="77777777" w:rsidR="00747AF0" w:rsidRPr="002679B7" w:rsidRDefault="00747AF0" w:rsidP="00747AF0">
            <w:pPr>
              <w:spacing w:after="0" w:line="360" w:lineRule="auto"/>
              <w:rPr>
                <w:rFonts w:cs="Times New Roman"/>
                <w:color w:val="000000"/>
                <w:sz w:val="24"/>
                <w:szCs w:val="24"/>
                <w:lang w:val="en-ID"/>
              </w:rPr>
            </w:pPr>
          </w:p>
        </w:tc>
      </w:tr>
      <w:tr w:rsidR="00747AF0" w:rsidRPr="002679B7" w14:paraId="3C649DA6" w14:textId="77777777" w:rsidTr="00747AF0">
        <w:trPr>
          <w:tblCellSpacing w:w="15" w:type="dxa"/>
        </w:trPr>
        <w:tc>
          <w:tcPr>
            <w:tcW w:w="577" w:type="dxa"/>
            <w:vAlign w:val="center"/>
            <w:hideMark/>
          </w:tcPr>
          <w:p w14:paraId="6AF03539" w14:textId="79C20176" w:rsidR="00747AF0" w:rsidRPr="00747AF0" w:rsidRDefault="00747AF0" w:rsidP="00747AF0">
            <w:pPr>
              <w:spacing w:after="0" w:line="360" w:lineRule="auto"/>
              <w:rPr>
                <w:rFonts w:cs="Times New Roman"/>
                <w:color w:val="000000"/>
                <w:sz w:val="24"/>
                <w:szCs w:val="24"/>
                <w:lang w:val="en-ID"/>
              </w:rPr>
            </w:pPr>
          </w:p>
        </w:tc>
        <w:tc>
          <w:tcPr>
            <w:tcW w:w="1955" w:type="dxa"/>
            <w:vAlign w:val="center"/>
            <w:hideMark/>
          </w:tcPr>
          <w:p w14:paraId="1C36B908"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Grade 2</w:t>
            </w:r>
          </w:p>
        </w:tc>
        <w:tc>
          <w:tcPr>
            <w:tcW w:w="1954" w:type="dxa"/>
            <w:vAlign w:val="center"/>
            <w:hideMark/>
          </w:tcPr>
          <w:p w14:paraId="7A652784"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9 (47.4)</w:t>
            </w:r>
          </w:p>
        </w:tc>
        <w:tc>
          <w:tcPr>
            <w:tcW w:w="1955" w:type="dxa"/>
            <w:vAlign w:val="center"/>
            <w:hideMark/>
          </w:tcPr>
          <w:p w14:paraId="15A9FB53"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10 (52.6)</w:t>
            </w:r>
          </w:p>
        </w:tc>
        <w:tc>
          <w:tcPr>
            <w:tcW w:w="1104" w:type="dxa"/>
            <w:vAlign w:val="center"/>
            <w:hideMark/>
          </w:tcPr>
          <w:p w14:paraId="351B691C"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0.366</w:t>
            </w:r>
          </w:p>
        </w:tc>
        <w:tc>
          <w:tcPr>
            <w:tcW w:w="962" w:type="dxa"/>
            <w:vAlign w:val="center"/>
            <w:hideMark/>
          </w:tcPr>
          <w:p w14:paraId="779C155C"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0.6</w:t>
            </w:r>
          </w:p>
        </w:tc>
        <w:tc>
          <w:tcPr>
            <w:tcW w:w="1229" w:type="dxa"/>
            <w:vAlign w:val="center"/>
            <w:hideMark/>
          </w:tcPr>
          <w:p w14:paraId="39EC617C"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0.18–1.89</w:t>
            </w:r>
          </w:p>
        </w:tc>
      </w:tr>
      <w:tr w:rsidR="00747AF0" w:rsidRPr="002679B7" w14:paraId="4CC11B81" w14:textId="77777777" w:rsidTr="00747AF0">
        <w:trPr>
          <w:tblCellSpacing w:w="15" w:type="dxa"/>
        </w:trPr>
        <w:tc>
          <w:tcPr>
            <w:tcW w:w="577" w:type="dxa"/>
            <w:vAlign w:val="center"/>
            <w:hideMark/>
          </w:tcPr>
          <w:p w14:paraId="7B00CDB5" w14:textId="77777777" w:rsidR="00747AF0" w:rsidRPr="00747AF0" w:rsidRDefault="00747AF0" w:rsidP="00747AF0">
            <w:pPr>
              <w:spacing w:after="0" w:line="360" w:lineRule="auto"/>
              <w:rPr>
                <w:rFonts w:cs="Times New Roman"/>
                <w:color w:val="000000"/>
                <w:sz w:val="24"/>
                <w:szCs w:val="24"/>
                <w:lang w:val="en-ID"/>
              </w:rPr>
            </w:pPr>
          </w:p>
        </w:tc>
        <w:tc>
          <w:tcPr>
            <w:tcW w:w="1955" w:type="dxa"/>
            <w:vAlign w:val="center"/>
            <w:hideMark/>
          </w:tcPr>
          <w:p w14:paraId="68E081E0"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Grade 3</w:t>
            </w:r>
          </w:p>
        </w:tc>
        <w:tc>
          <w:tcPr>
            <w:tcW w:w="1954" w:type="dxa"/>
            <w:vAlign w:val="center"/>
            <w:hideMark/>
          </w:tcPr>
          <w:p w14:paraId="07E36896"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17 (60.7)</w:t>
            </w:r>
          </w:p>
        </w:tc>
        <w:tc>
          <w:tcPr>
            <w:tcW w:w="1955" w:type="dxa"/>
            <w:vAlign w:val="center"/>
            <w:hideMark/>
          </w:tcPr>
          <w:p w14:paraId="3A2FFFC9"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11 (39.3)</w:t>
            </w:r>
          </w:p>
        </w:tc>
        <w:tc>
          <w:tcPr>
            <w:tcW w:w="1104" w:type="dxa"/>
            <w:vAlign w:val="center"/>
            <w:hideMark/>
          </w:tcPr>
          <w:p w14:paraId="5E748BD3" w14:textId="77777777" w:rsidR="00747AF0" w:rsidRPr="00747AF0" w:rsidRDefault="00747AF0" w:rsidP="00747AF0">
            <w:pPr>
              <w:spacing w:after="0" w:line="360" w:lineRule="auto"/>
              <w:jc w:val="center"/>
              <w:rPr>
                <w:rFonts w:cs="Times New Roman"/>
                <w:color w:val="000000"/>
                <w:sz w:val="24"/>
                <w:szCs w:val="24"/>
                <w:lang w:val="en-ID"/>
              </w:rPr>
            </w:pPr>
          </w:p>
        </w:tc>
        <w:tc>
          <w:tcPr>
            <w:tcW w:w="962" w:type="dxa"/>
            <w:vAlign w:val="center"/>
            <w:hideMark/>
          </w:tcPr>
          <w:p w14:paraId="3824F445" w14:textId="77777777" w:rsidR="00747AF0" w:rsidRPr="00747AF0" w:rsidRDefault="00747AF0" w:rsidP="00747AF0">
            <w:pPr>
              <w:spacing w:after="0" w:line="360" w:lineRule="auto"/>
              <w:jc w:val="center"/>
              <w:rPr>
                <w:rFonts w:cs="Times New Roman"/>
                <w:sz w:val="24"/>
                <w:szCs w:val="24"/>
                <w:lang w:val="en-ID"/>
              </w:rPr>
            </w:pPr>
          </w:p>
        </w:tc>
        <w:tc>
          <w:tcPr>
            <w:tcW w:w="1229" w:type="dxa"/>
            <w:vAlign w:val="center"/>
            <w:hideMark/>
          </w:tcPr>
          <w:p w14:paraId="7CBBD401" w14:textId="77777777" w:rsidR="00747AF0" w:rsidRPr="00747AF0" w:rsidRDefault="00747AF0" w:rsidP="00747AF0">
            <w:pPr>
              <w:spacing w:after="0" w:line="360" w:lineRule="auto"/>
              <w:jc w:val="center"/>
              <w:rPr>
                <w:rFonts w:cs="Times New Roman"/>
                <w:sz w:val="24"/>
                <w:szCs w:val="24"/>
                <w:lang w:val="en-ID"/>
              </w:rPr>
            </w:pPr>
          </w:p>
        </w:tc>
      </w:tr>
      <w:tr w:rsidR="00747AF0" w:rsidRPr="002679B7" w14:paraId="58409C9C" w14:textId="77777777" w:rsidTr="00747AF0">
        <w:trPr>
          <w:tblCellSpacing w:w="15" w:type="dxa"/>
        </w:trPr>
        <w:tc>
          <w:tcPr>
            <w:tcW w:w="2562" w:type="dxa"/>
            <w:gridSpan w:val="2"/>
            <w:vAlign w:val="center"/>
          </w:tcPr>
          <w:p w14:paraId="117003BD" w14:textId="6ACC97D2" w:rsidR="00747AF0" w:rsidRPr="002679B7" w:rsidRDefault="00747AF0" w:rsidP="00747AF0">
            <w:pPr>
              <w:spacing w:after="0" w:line="360" w:lineRule="auto"/>
              <w:rPr>
                <w:rFonts w:cs="Times New Roman"/>
                <w:color w:val="000000"/>
                <w:sz w:val="24"/>
                <w:szCs w:val="24"/>
                <w:lang w:val="en-ID"/>
              </w:rPr>
            </w:pPr>
            <w:r w:rsidRPr="00747AF0">
              <w:rPr>
                <w:rFonts w:cs="Times New Roman"/>
                <w:b/>
                <w:bCs/>
                <w:color w:val="000000"/>
                <w:sz w:val="24"/>
                <w:szCs w:val="24"/>
                <w:lang w:val="en-ID"/>
              </w:rPr>
              <w:t>Tumor size</w:t>
            </w:r>
          </w:p>
        </w:tc>
        <w:tc>
          <w:tcPr>
            <w:tcW w:w="1954" w:type="dxa"/>
            <w:vAlign w:val="center"/>
          </w:tcPr>
          <w:p w14:paraId="114C18DE" w14:textId="77777777" w:rsidR="00747AF0" w:rsidRPr="002679B7" w:rsidRDefault="00747AF0" w:rsidP="00747AF0">
            <w:pPr>
              <w:spacing w:after="0" w:line="360" w:lineRule="auto"/>
              <w:jc w:val="center"/>
              <w:rPr>
                <w:rFonts w:cs="Times New Roman"/>
                <w:color w:val="000000"/>
                <w:sz w:val="24"/>
                <w:szCs w:val="24"/>
                <w:lang w:val="en-ID"/>
              </w:rPr>
            </w:pPr>
          </w:p>
        </w:tc>
        <w:tc>
          <w:tcPr>
            <w:tcW w:w="1955" w:type="dxa"/>
            <w:vAlign w:val="center"/>
          </w:tcPr>
          <w:p w14:paraId="2F62C0C2" w14:textId="77777777" w:rsidR="00747AF0" w:rsidRPr="002679B7" w:rsidRDefault="00747AF0" w:rsidP="00747AF0">
            <w:pPr>
              <w:spacing w:after="0" w:line="360" w:lineRule="auto"/>
              <w:jc w:val="center"/>
              <w:rPr>
                <w:rFonts w:cs="Times New Roman"/>
                <w:color w:val="000000"/>
                <w:sz w:val="24"/>
                <w:szCs w:val="24"/>
                <w:lang w:val="en-ID"/>
              </w:rPr>
            </w:pPr>
          </w:p>
        </w:tc>
        <w:tc>
          <w:tcPr>
            <w:tcW w:w="1104" w:type="dxa"/>
            <w:vAlign w:val="center"/>
          </w:tcPr>
          <w:p w14:paraId="7A89B095" w14:textId="77777777" w:rsidR="00747AF0" w:rsidRPr="002679B7" w:rsidRDefault="00747AF0" w:rsidP="00747AF0">
            <w:pPr>
              <w:spacing w:after="0" w:line="360" w:lineRule="auto"/>
              <w:jc w:val="center"/>
              <w:rPr>
                <w:rFonts w:cs="Times New Roman"/>
                <w:color w:val="000000"/>
                <w:sz w:val="24"/>
                <w:szCs w:val="24"/>
                <w:lang w:val="en-ID"/>
              </w:rPr>
            </w:pPr>
          </w:p>
        </w:tc>
        <w:tc>
          <w:tcPr>
            <w:tcW w:w="962" w:type="dxa"/>
            <w:vAlign w:val="center"/>
          </w:tcPr>
          <w:p w14:paraId="0F4849BB" w14:textId="77777777" w:rsidR="00747AF0" w:rsidRPr="002679B7" w:rsidRDefault="00747AF0" w:rsidP="00747AF0">
            <w:pPr>
              <w:spacing w:after="0" w:line="360" w:lineRule="auto"/>
              <w:jc w:val="center"/>
              <w:rPr>
                <w:rFonts w:cs="Times New Roman"/>
                <w:color w:val="000000"/>
                <w:sz w:val="24"/>
                <w:szCs w:val="24"/>
                <w:lang w:val="en-ID"/>
              </w:rPr>
            </w:pPr>
          </w:p>
        </w:tc>
        <w:tc>
          <w:tcPr>
            <w:tcW w:w="1229" w:type="dxa"/>
            <w:vAlign w:val="center"/>
          </w:tcPr>
          <w:p w14:paraId="63413950" w14:textId="77777777" w:rsidR="00747AF0" w:rsidRPr="002679B7" w:rsidRDefault="00747AF0" w:rsidP="00747AF0">
            <w:pPr>
              <w:spacing w:after="0" w:line="360" w:lineRule="auto"/>
              <w:jc w:val="center"/>
              <w:rPr>
                <w:rFonts w:cs="Times New Roman"/>
                <w:color w:val="000000"/>
                <w:sz w:val="24"/>
                <w:szCs w:val="24"/>
                <w:lang w:val="en-ID"/>
              </w:rPr>
            </w:pPr>
          </w:p>
        </w:tc>
      </w:tr>
      <w:tr w:rsidR="00747AF0" w:rsidRPr="002679B7" w14:paraId="0008CE1A" w14:textId="77777777" w:rsidTr="00747AF0">
        <w:trPr>
          <w:tblCellSpacing w:w="15" w:type="dxa"/>
        </w:trPr>
        <w:tc>
          <w:tcPr>
            <w:tcW w:w="577" w:type="dxa"/>
            <w:vAlign w:val="center"/>
            <w:hideMark/>
          </w:tcPr>
          <w:p w14:paraId="2749087E" w14:textId="2B33AC34" w:rsidR="00747AF0" w:rsidRPr="00747AF0" w:rsidRDefault="00747AF0" w:rsidP="00747AF0">
            <w:pPr>
              <w:spacing w:after="0" w:line="360" w:lineRule="auto"/>
              <w:rPr>
                <w:rFonts w:cs="Times New Roman"/>
                <w:color w:val="000000"/>
                <w:sz w:val="24"/>
                <w:szCs w:val="24"/>
                <w:lang w:val="en-ID"/>
              </w:rPr>
            </w:pPr>
          </w:p>
        </w:tc>
        <w:tc>
          <w:tcPr>
            <w:tcW w:w="1955" w:type="dxa"/>
            <w:vAlign w:val="center"/>
            <w:hideMark/>
          </w:tcPr>
          <w:p w14:paraId="37D7A171"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T3</w:t>
            </w:r>
          </w:p>
        </w:tc>
        <w:tc>
          <w:tcPr>
            <w:tcW w:w="1954" w:type="dxa"/>
            <w:vAlign w:val="center"/>
            <w:hideMark/>
          </w:tcPr>
          <w:p w14:paraId="66593375"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2 (50.0)</w:t>
            </w:r>
          </w:p>
        </w:tc>
        <w:tc>
          <w:tcPr>
            <w:tcW w:w="1955" w:type="dxa"/>
            <w:vAlign w:val="center"/>
            <w:hideMark/>
          </w:tcPr>
          <w:p w14:paraId="0717ED51"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2 (50.0)</w:t>
            </w:r>
          </w:p>
        </w:tc>
        <w:tc>
          <w:tcPr>
            <w:tcW w:w="1104" w:type="dxa"/>
            <w:vAlign w:val="center"/>
            <w:hideMark/>
          </w:tcPr>
          <w:p w14:paraId="3BF7FFC9"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0.876</w:t>
            </w:r>
          </w:p>
        </w:tc>
        <w:tc>
          <w:tcPr>
            <w:tcW w:w="962" w:type="dxa"/>
            <w:vAlign w:val="center"/>
            <w:hideMark/>
          </w:tcPr>
          <w:p w14:paraId="341CA72C"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0.9</w:t>
            </w:r>
          </w:p>
        </w:tc>
        <w:tc>
          <w:tcPr>
            <w:tcW w:w="1229" w:type="dxa"/>
            <w:vAlign w:val="center"/>
            <w:hideMark/>
          </w:tcPr>
          <w:p w14:paraId="4A462511"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0.11–7.16</w:t>
            </w:r>
          </w:p>
        </w:tc>
      </w:tr>
      <w:tr w:rsidR="00747AF0" w:rsidRPr="002679B7" w14:paraId="5BBAA2C8" w14:textId="77777777" w:rsidTr="00747AF0">
        <w:trPr>
          <w:tblCellSpacing w:w="15" w:type="dxa"/>
        </w:trPr>
        <w:tc>
          <w:tcPr>
            <w:tcW w:w="577" w:type="dxa"/>
            <w:vAlign w:val="center"/>
            <w:hideMark/>
          </w:tcPr>
          <w:p w14:paraId="6CD77583" w14:textId="77777777" w:rsidR="00747AF0" w:rsidRPr="00747AF0" w:rsidRDefault="00747AF0" w:rsidP="00747AF0">
            <w:pPr>
              <w:spacing w:after="0" w:line="360" w:lineRule="auto"/>
              <w:rPr>
                <w:rFonts w:cs="Times New Roman"/>
                <w:color w:val="000000"/>
                <w:sz w:val="24"/>
                <w:szCs w:val="24"/>
                <w:lang w:val="en-ID"/>
              </w:rPr>
            </w:pPr>
          </w:p>
        </w:tc>
        <w:tc>
          <w:tcPr>
            <w:tcW w:w="1955" w:type="dxa"/>
            <w:vAlign w:val="center"/>
            <w:hideMark/>
          </w:tcPr>
          <w:p w14:paraId="20C41A07"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T4</w:t>
            </w:r>
          </w:p>
        </w:tc>
        <w:tc>
          <w:tcPr>
            <w:tcW w:w="1954" w:type="dxa"/>
            <w:vAlign w:val="center"/>
            <w:hideMark/>
          </w:tcPr>
          <w:p w14:paraId="1E275457"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24 (55.8)</w:t>
            </w:r>
          </w:p>
        </w:tc>
        <w:tc>
          <w:tcPr>
            <w:tcW w:w="1955" w:type="dxa"/>
            <w:vAlign w:val="center"/>
            <w:hideMark/>
          </w:tcPr>
          <w:p w14:paraId="65DB4041"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19 (44.2)</w:t>
            </w:r>
          </w:p>
        </w:tc>
        <w:tc>
          <w:tcPr>
            <w:tcW w:w="1104" w:type="dxa"/>
            <w:vAlign w:val="center"/>
            <w:hideMark/>
          </w:tcPr>
          <w:p w14:paraId="273CF5BA" w14:textId="77777777" w:rsidR="00747AF0" w:rsidRPr="00747AF0" w:rsidRDefault="00747AF0" w:rsidP="00747AF0">
            <w:pPr>
              <w:spacing w:after="0" w:line="360" w:lineRule="auto"/>
              <w:jc w:val="center"/>
              <w:rPr>
                <w:rFonts w:cs="Times New Roman"/>
                <w:color w:val="000000"/>
                <w:sz w:val="24"/>
                <w:szCs w:val="24"/>
                <w:lang w:val="en-ID"/>
              </w:rPr>
            </w:pPr>
          </w:p>
        </w:tc>
        <w:tc>
          <w:tcPr>
            <w:tcW w:w="962" w:type="dxa"/>
            <w:vAlign w:val="center"/>
            <w:hideMark/>
          </w:tcPr>
          <w:p w14:paraId="68AB9A90" w14:textId="77777777" w:rsidR="00747AF0" w:rsidRPr="00747AF0" w:rsidRDefault="00747AF0" w:rsidP="00747AF0">
            <w:pPr>
              <w:spacing w:after="0" w:line="360" w:lineRule="auto"/>
              <w:jc w:val="center"/>
              <w:rPr>
                <w:rFonts w:cs="Times New Roman"/>
                <w:sz w:val="24"/>
                <w:szCs w:val="24"/>
                <w:lang w:val="en-ID"/>
              </w:rPr>
            </w:pPr>
          </w:p>
        </w:tc>
        <w:tc>
          <w:tcPr>
            <w:tcW w:w="1229" w:type="dxa"/>
            <w:vAlign w:val="center"/>
            <w:hideMark/>
          </w:tcPr>
          <w:p w14:paraId="1A5576C8" w14:textId="77777777" w:rsidR="00747AF0" w:rsidRPr="00747AF0" w:rsidRDefault="00747AF0" w:rsidP="00747AF0">
            <w:pPr>
              <w:spacing w:after="0" w:line="360" w:lineRule="auto"/>
              <w:jc w:val="center"/>
              <w:rPr>
                <w:rFonts w:cs="Times New Roman"/>
                <w:sz w:val="24"/>
                <w:szCs w:val="24"/>
                <w:lang w:val="en-ID"/>
              </w:rPr>
            </w:pPr>
          </w:p>
        </w:tc>
      </w:tr>
      <w:tr w:rsidR="00747AF0" w:rsidRPr="002679B7" w14:paraId="33A07CDA" w14:textId="77777777" w:rsidTr="00747AF0">
        <w:trPr>
          <w:tblCellSpacing w:w="15" w:type="dxa"/>
        </w:trPr>
        <w:tc>
          <w:tcPr>
            <w:tcW w:w="2562" w:type="dxa"/>
            <w:gridSpan w:val="2"/>
            <w:vAlign w:val="center"/>
          </w:tcPr>
          <w:p w14:paraId="41999939" w14:textId="1C3E8085" w:rsidR="00747AF0" w:rsidRPr="002679B7" w:rsidRDefault="00747AF0" w:rsidP="00747AF0">
            <w:pPr>
              <w:spacing w:after="0" w:line="360" w:lineRule="auto"/>
              <w:rPr>
                <w:rFonts w:cs="Times New Roman"/>
                <w:color w:val="000000"/>
                <w:sz w:val="24"/>
                <w:szCs w:val="24"/>
                <w:lang w:val="en-ID"/>
              </w:rPr>
            </w:pPr>
            <w:r w:rsidRPr="00747AF0">
              <w:rPr>
                <w:rFonts w:cs="Times New Roman"/>
                <w:b/>
                <w:bCs/>
                <w:color w:val="000000"/>
                <w:sz w:val="24"/>
                <w:szCs w:val="24"/>
                <w:lang w:val="en-ID"/>
              </w:rPr>
              <w:t>Lymph node status</w:t>
            </w:r>
          </w:p>
        </w:tc>
        <w:tc>
          <w:tcPr>
            <w:tcW w:w="1954" w:type="dxa"/>
            <w:vAlign w:val="center"/>
          </w:tcPr>
          <w:p w14:paraId="3C97FFC4" w14:textId="77777777" w:rsidR="00747AF0" w:rsidRPr="002679B7" w:rsidRDefault="00747AF0" w:rsidP="00747AF0">
            <w:pPr>
              <w:spacing w:after="0" w:line="360" w:lineRule="auto"/>
              <w:jc w:val="center"/>
              <w:rPr>
                <w:rFonts w:cs="Times New Roman"/>
                <w:color w:val="000000"/>
                <w:sz w:val="24"/>
                <w:szCs w:val="24"/>
                <w:lang w:val="en-ID"/>
              </w:rPr>
            </w:pPr>
          </w:p>
        </w:tc>
        <w:tc>
          <w:tcPr>
            <w:tcW w:w="1955" w:type="dxa"/>
            <w:vAlign w:val="center"/>
          </w:tcPr>
          <w:p w14:paraId="2E3BD6CC" w14:textId="77777777" w:rsidR="00747AF0" w:rsidRPr="002679B7" w:rsidRDefault="00747AF0" w:rsidP="00747AF0">
            <w:pPr>
              <w:spacing w:after="0" w:line="360" w:lineRule="auto"/>
              <w:jc w:val="center"/>
              <w:rPr>
                <w:rFonts w:cs="Times New Roman"/>
                <w:color w:val="000000"/>
                <w:sz w:val="24"/>
                <w:szCs w:val="24"/>
                <w:lang w:val="en-ID"/>
              </w:rPr>
            </w:pPr>
          </w:p>
        </w:tc>
        <w:tc>
          <w:tcPr>
            <w:tcW w:w="1104" w:type="dxa"/>
            <w:vAlign w:val="center"/>
          </w:tcPr>
          <w:p w14:paraId="48AC2CB8" w14:textId="77777777" w:rsidR="00747AF0" w:rsidRPr="002679B7" w:rsidRDefault="00747AF0" w:rsidP="00747AF0">
            <w:pPr>
              <w:spacing w:after="0" w:line="360" w:lineRule="auto"/>
              <w:jc w:val="center"/>
              <w:rPr>
                <w:rFonts w:cs="Times New Roman"/>
                <w:color w:val="000000"/>
                <w:sz w:val="24"/>
                <w:szCs w:val="24"/>
                <w:lang w:val="en-ID"/>
              </w:rPr>
            </w:pPr>
          </w:p>
        </w:tc>
        <w:tc>
          <w:tcPr>
            <w:tcW w:w="962" w:type="dxa"/>
            <w:vAlign w:val="center"/>
          </w:tcPr>
          <w:p w14:paraId="103C7C2B" w14:textId="77777777" w:rsidR="00747AF0" w:rsidRPr="002679B7" w:rsidRDefault="00747AF0" w:rsidP="00747AF0">
            <w:pPr>
              <w:spacing w:after="0" w:line="360" w:lineRule="auto"/>
              <w:jc w:val="center"/>
              <w:rPr>
                <w:rFonts w:cs="Times New Roman"/>
                <w:color w:val="000000"/>
                <w:sz w:val="24"/>
                <w:szCs w:val="24"/>
                <w:lang w:val="en-ID"/>
              </w:rPr>
            </w:pPr>
          </w:p>
        </w:tc>
        <w:tc>
          <w:tcPr>
            <w:tcW w:w="1229" w:type="dxa"/>
            <w:vAlign w:val="center"/>
          </w:tcPr>
          <w:p w14:paraId="7B74319E" w14:textId="77777777" w:rsidR="00747AF0" w:rsidRPr="002679B7" w:rsidRDefault="00747AF0" w:rsidP="00747AF0">
            <w:pPr>
              <w:spacing w:after="0" w:line="360" w:lineRule="auto"/>
              <w:jc w:val="center"/>
              <w:rPr>
                <w:rFonts w:cs="Times New Roman"/>
                <w:color w:val="000000"/>
                <w:sz w:val="24"/>
                <w:szCs w:val="24"/>
                <w:lang w:val="en-ID"/>
              </w:rPr>
            </w:pPr>
          </w:p>
        </w:tc>
      </w:tr>
      <w:tr w:rsidR="00747AF0" w:rsidRPr="002679B7" w14:paraId="761DA74A" w14:textId="77777777" w:rsidTr="00747AF0">
        <w:trPr>
          <w:tblCellSpacing w:w="15" w:type="dxa"/>
        </w:trPr>
        <w:tc>
          <w:tcPr>
            <w:tcW w:w="577" w:type="dxa"/>
            <w:vAlign w:val="center"/>
            <w:hideMark/>
          </w:tcPr>
          <w:p w14:paraId="2203C17A" w14:textId="2C6328EA" w:rsidR="00747AF0" w:rsidRPr="00747AF0" w:rsidRDefault="00747AF0" w:rsidP="00747AF0">
            <w:pPr>
              <w:spacing w:after="0" w:line="360" w:lineRule="auto"/>
              <w:rPr>
                <w:rFonts w:cs="Times New Roman"/>
                <w:color w:val="000000"/>
                <w:sz w:val="24"/>
                <w:szCs w:val="24"/>
                <w:lang w:val="en-ID"/>
              </w:rPr>
            </w:pPr>
          </w:p>
        </w:tc>
        <w:tc>
          <w:tcPr>
            <w:tcW w:w="1955" w:type="dxa"/>
            <w:vAlign w:val="center"/>
            <w:hideMark/>
          </w:tcPr>
          <w:p w14:paraId="0522319A" w14:textId="77777777" w:rsidR="00747AF0" w:rsidRPr="00747AF0" w:rsidRDefault="00747AF0" w:rsidP="00747AF0">
            <w:pPr>
              <w:spacing w:after="0" w:line="360" w:lineRule="auto"/>
              <w:rPr>
                <w:rFonts w:cs="Times New Roman"/>
                <w:color w:val="000000"/>
                <w:sz w:val="24"/>
                <w:szCs w:val="24"/>
                <w:lang w:val="en-ID"/>
              </w:rPr>
            </w:pPr>
            <w:commentRangeStart w:id="5"/>
            <w:r w:rsidRPr="00747AF0">
              <w:rPr>
                <w:rFonts w:cs="Times New Roman"/>
                <w:color w:val="000000"/>
                <w:sz w:val="24"/>
                <w:szCs w:val="24"/>
                <w:lang w:val="en-ID"/>
              </w:rPr>
              <w:t>Negative</w:t>
            </w:r>
          </w:p>
        </w:tc>
        <w:tc>
          <w:tcPr>
            <w:tcW w:w="1954" w:type="dxa"/>
            <w:vAlign w:val="center"/>
            <w:hideMark/>
          </w:tcPr>
          <w:p w14:paraId="0BD590FA"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5 (100.0)</w:t>
            </w:r>
          </w:p>
        </w:tc>
        <w:tc>
          <w:tcPr>
            <w:tcW w:w="1955" w:type="dxa"/>
            <w:vAlign w:val="center"/>
            <w:hideMark/>
          </w:tcPr>
          <w:p w14:paraId="1B278ADC"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 (0.0)</w:t>
            </w:r>
            <w:commentRangeEnd w:id="5"/>
            <w:r w:rsidR="00672338" w:rsidRPr="00747AF0">
              <w:rPr>
                <w:rStyle w:val="CommentReference"/>
                <w:rFonts w:cs="Times New Roman"/>
                <w:color w:val="000000"/>
                <w:sz w:val="24"/>
                <w:szCs w:val="24"/>
                <w:lang w:val="en-ID"/>
              </w:rPr>
              <w:commentReference w:id="5"/>
            </w:r>
          </w:p>
        </w:tc>
        <w:tc>
          <w:tcPr>
            <w:tcW w:w="1104" w:type="dxa"/>
            <w:vAlign w:val="center"/>
            <w:hideMark/>
          </w:tcPr>
          <w:p w14:paraId="5706CAB3"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0.040</w:t>
            </w:r>
          </w:p>
        </w:tc>
        <w:tc>
          <w:tcPr>
            <w:tcW w:w="962" w:type="dxa"/>
            <w:vAlign w:val="center"/>
            <w:hideMark/>
          </w:tcPr>
          <w:p w14:paraId="3A9B1862" w14:textId="03308F14"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N/A</w:t>
            </w:r>
          </w:p>
        </w:tc>
        <w:tc>
          <w:tcPr>
            <w:tcW w:w="1229" w:type="dxa"/>
            <w:vAlign w:val="center"/>
            <w:hideMark/>
          </w:tcPr>
          <w:p w14:paraId="6B033BE5"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w:t>
            </w:r>
          </w:p>
        </w:tc>
      </w:tr>
      <w:tr w:rsidR="00747AF0" w:rsidRPr="002679B7" w14:paraId="08B705D4" w14:textId="77777777" w:rsidTr="00747AF0">
        <w:trPr>
          <w:tblCellSpacing w:w="15" w:type="dxa"/>
        </w:trPr>
        <w:tc>
          <w:tcPr>
            <w:tcW w:w="577" w:type="dxa"/>
            <w:vAlign w:val="center"/>
            <w:hideMark/>
          </w:tcPr>
          <w:p w14:paraId="6AA7BFAF" w14:textId="77777777" w:rsidR="00747AF0" w:rsidRPr="00747AF0" w:rsidRDefault="00747AF0" w:rsidP="00747AF0">
            <w:pPr>
              <w:spacing w:after="0" w:line="360" w:lineRule="auto"/>
              <w:rPr>
                <w:rFonts w:cs="Times New Roman"/>
                <w:color w:val="000000"/>
                <w:sz w:val="24"/>
                <w:szCs w:val="24"/>
                <w:lang w:val="en-ID"/>
              </w:rPr>
            </w:pPr>
          </w:p>
        </w:tc>
        <w:tc>
          <w:tcPr>
            <w:tcW w:w="1955" w:type="dxa"/>
            <w:vAlign w:val="center"/>
            <w:hideMark/>
          </w:tcPr>
          <w:p w14:paraId="40719BE1"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Positive</w:t>
            </w:r>
          </w:p>
        </w:tc>
        <w:tc>
          <w:tcPr>
            <w:tcW w:w="1954" w:type="dxa"/>
            <w:vAlign w:val="center"/>
            <w:hideMark/>
          </w:tcPr>
          <w:p w14:paraId="6175D184"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21 (50.0)</w:t>
            </w:r>
          </w:p>
        </w:tc>
        <w:tc>
          <w:tcPr>
            <w:tcW w:w="1955" w:type="dxa"/>
            <w:vAlign w:val="center"/>
            <w:hideMark/>
          </w:tcPr>
          <w:p w14:paraId="7FF3996E"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21 (50.0)</w:t>
            </w:r>
          </w:p>
        </w:tc>
        <w:tc>
          <w:tcPr>
            <w:tcW w:w="1104" w:type="dxa"/>
            <w:vAlign w:val="center"/>
            <w:hideMark/>
          </w:tcPr>
          <w:p w14:paraId="3F52010E" w14:textId="77777777" w:rsidR="00747AF0" w:rsidRPr="00747AF0" w:rsidRDefault="00747AF0" w:rsidP="00747AF0">
            <w:pPr>
              <w:spacing w:after="0" w:line="360" w:lineRule="auto"/>
              <w:jc w:val="center"/>
              <w:rPr>
                <w:rFonts w:cs="Times New Roman"/>
                <w:color w:val="000000"/>
                <w:sz w:val="24"/>
                <w:szCs w:val="24"/>
                <w:lang w:val="en-ID"/>
              </w:rPr>
            </w:pPr>
          </w:p>
        </w:tc>
        <w:tc>
          <w:tcPr>
            <w:tcW w:w="962" w:type="dxa"/>
            <w:vAlign w:val="center"/>
            <w:hideMark/>
          </w:tcPr>
          <w:p w14:paraId="47FF45BC" w14:textId="77777777" w:rsidR="00747AF0" w:rsidRPr="00747AF0" w:rsidRDefault="00747AF0" w:rsidP="00747AF0">
            <w:pPr>
              <w:spacing w:after="0" w:line="360" w:lineRule="auto"/>
              <w:jc w:val="center"/>
              <w:rPr>
                <w:rFonts w:cs="Times New Roman"/>
                <w:sz w:val="24"/>
                <w:szCs w:val="24"/>
                <w:lang w:val="en-ID"/>
              </w:rPr>
            </w:pPr>
          </w:p>
        </w:tc>
        <w:tc>
          <w:tcPr>
            <w:tcW w:w="1229" w:type="dxa"/>
            <w:vAlign w:val="center"/>
            <w:hideMark/>
          </w:tcPr>
          <w:p w14:paraId="27231A5C" w14:textId="77777777" w:rsidR="00747AF0" w:rsidRPr="00747AF0" w:rsidRDefault="00747AF0" w:rsidP="00747AF0">
            <w:pPr>
              <w:spacing w:after="0" w:line="360" w:lineRule="auto"/>
              <w:jc w:val="center"/>
              <w:rPr>
                <w:rFonts w:cs="Times New Roman"/>
                <w:sz w:val="24"/>
                <w:szCs w:val="24"/>
                <w:lang w:val="en-ID"/>
              </w:rPr>
            </w:pPr>
          </w:p>
        </w:tc>
      </w:tr>
      <w:tr w:rsidR="00747AF0" w:rsidRPr="002679B7" w14:paraId="7C897F33" w14:textId="77777777" w:rsidTr="00747AF0">
        <w:trPr>
          <w:tblCellSpacing w:w="15" w:type="dxa"/>
        </w:trPr>
        <w:tc>
          <w:tcPr>
            <w:tcW w:w="2562" w:type="dxa"/>
            <w:gridSpan w:val="2"/>
            <w:vAlign w:val="center"/>
          </w:tcPr>
          <w:p w14:paraId="7A827DEE" w14:textId="32C8C8D0" w:rsidR="00747AF0" w:rsidRPr="002679B7" w:rsidRDefault="00747AF0" w:rsidP="00747AF0">
            <w:pPr>
              <w:spacing w:after="0" w:line="360" w:lineRule="auto"/>
              <w:rPr>
                <w:rFonts w:cs="Times New Roman"/>
                <w:color w:val="000000"/>
                <w:sz w:val="24"/>
                <w:szCs w:val="24"/>
                <w:lang w:val="en-ID"/>
              </w:rPr>
            </w:pPr>
            <w:r w:rsidRPr="00747AF0">
              <w:rPr>
                <w:rFonts w:cs="Times New Roman"/>
                <w:b/>
                <w:bCs/>
                <w:color w:val="000000"/>
                <w:sz w:val="24"/>
                <w:szCs w:val="24"/>
                <w:lang w:val="en-ID"/>
              </w:rPr>
              <w:t>Ki-67 index</w:t>
            </w:r>
          </w:p>
        </w:tc>
        <w:tc>
          <w:tcPr>
            <w:tcW w:w="1954" w:type="dxa"/>
            <w:vAlign w:val="center"/>
          </w:tcPr>
          <w:p w14:paraId="7B25FCA8" w14:textId="77777777" w:rsidR="00747AF0" w:rsidRPr="002679B7" w:rsidRDefault="00747AF0" w:rsidP="00747AF0">
            <w:pPr>
              <w:spacing w:after="0" w:line="360" w:lineRule="auto"/>
              <w:jc w:val="center"/>
              <w:rPr>
                <w:rFonts w:cs="Times New Roman"/>
                <w:color w:val="000000"/>
                <w:sz w:val="24"/>
                <w:szCs w:val="24"/>
                <w:lang w:val="en-ID"/>
              </w:rPr>
            </w:pPr>
          </w:p>
        </w:tc>
        <w:tc>
          <w:tcPr>
            <w:tcW w:w="1955" w:type="dxa"/>
            <w:vAlign w:val="center"/>
          </w:tcPr>
          <w:p w14:paraId="7B5ABA21" w14:textId="77777777" w:rsidR="00747AF0" w:rsidRPr="002679B7" w:rsidRDefault="00747AF0" w:rsidP="00747AF0">
            <w:pPr>
              <w:spacing w:after="0" w:line="360" w:lineRule="auto"/>
              <w:jc w:val="center"/>
              <w:rPr>
                <w:rFonts w:cs="Times New Roman"/>
                <w:color w:val="000000"/>
                <w:sz w:val="24"/>
                <w:szCs w:val="24"/>
                <w:lang w:val="en-ID"/>
              </w:rPr>
            </w:pPr>
          </w:p>
        </w:tc>
        <w:tc>
          <w:tcPr>
            <w:tcW w:w="1104" w:type="dxa"/>
            <w:vAlign w:val="center"/>
          </w:tcPr>
          <w:p w14:paraId="62A382FD" w14:textId="77777777" w:rsidR="00747AF0" w:rsidRPr="002679B7" w:rsidRDefault="00747AF0" w:rsidP="00747AF0">
            <w:pPr>
              <w:spacing w:after="0" w:line="360" w:lineRule="auto"/>
              <w:jc w:val="center"/>
              <w:rPr>
                <w:rFonts w:cs="Times New Roman"/>
                <w:color w:val="000000"/>
                <w:sz w:val="24"/>
                <w:szCs w:val="24"/>
                <w:lang w:val="en-ID"/>
              </w:rPr>
            </w:pPr>
          </w:p>
        </w:tc>
        <w:tc>
          <w:tcPr>
            <w:tcW w:w="962" w:type="dxa"/>
            <w:vAlign w:val="center"/>
          </w:tcPr>
          <w:p w14:paraId="35E51F9E" w14:textId="77777777" w:rsidR="00747AF0" w:rsidRPr="002679B7" w:rsidRDefault="00747AF0" w:rsidP="00747AF0">
            <w:pPr>
              <w:spacing w:after="0" w:line="360" w:lineRule="auto"/>
              <w:jc w:val="center"/>
              <w:rPr>
                <w:rFonts w:cs="Times New Roman"/>
                <w:color w:val="000000"/>
                <w:sz w:val="24"/>
                <w:szCs w:val="24"/>
                <w:lang w:val="en-ID"/>
              </w:rPr>
            </w:pPr>
          </w:p>
        </w:tc>
        <w:tc>
          <w:tcPr>
            <w:tcW w:w="1229" w:type="dxa"/>
            <w:vAlign w:val="center"/>
          </w:tcPr>
          <w:p w14:paraId="31FAC5F8" w14:textId="77777777" w:rsidR="00747AF0" w:rsidRPr="002679B7" w:rsidRDefault="00747AF0" w:rsidP="00747AF0">
            <w:pPr>
              <w:spacing w:after="0" w:line="360" w:lineRule="auto"/>
              <w:jc w:val="center"/>
              <w:rPr>
                <w:rFonts w:cs="Times New Roman"/>
                <w:color w:val="000000"/>
                <w:sz w:val="24"/>
                <w:szCs w:val="24"/>
                <w:lang w:val="en-ID"/>
              </w:rPr>
            </w:pPr>
          </w:p>
        </w:tc>
      </w:tr>
      <w:tr w:rsidR="00747AF0" w:rsidRPr="002679B7" w14:paraId="1210041E" w14:textId="77777777" w:rsidTr="00747AF0">
        <w:trPr>
          <w:tblCellSpacing w:w="15" w:type="dxa"/>
        </w:trPr>
        <w:tc>
          <w:tcPr>
            <w:tcW w:w="577" w:type="dxa"/>
            <w:vAlign w:val="center"/>
            <w:hideMark/>
          </w:tcPr>
          <w:p w14:paraId="706757A6" w14:textId="6AE2EEEC" w:rsidR="00747AF0" w:rsidRPr="00747AF0" w:rsidRDefault="00747AF0" w:rsidP="00747AF0">
            <w:pPr>
              <w:spacing w:after="0" w:line="360" w:lineRule="auto"/>
              <w:rPr>
                <w:rFonts w:cs="Times New Roman"/>
                <w:color w:val="000000"/>
                <w:sz w:val="24"/>
                <w:szCs w:val="24"/>
                <w:lang w:val="en-ID"/>
              </w:rPr>
            </w:pPr>
          </w:p>
        </w:tc>
        <w:tc>
          <w:tcPr>
            <w:tcW w:w="1955" w:type="dxa"/>
            <w:vAlign w:val="center"/>
            <w:hideMark/>
          </w:tcPr>
          <w:p w14:paraId="479A8001"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Low</w:t>
            </w:r>
          </w:p>
        </w:tc>
        <w:tc>
          <w:tcPr>
            <w:tcW w:w="1954" w:type="dxa"/>
            <w:vAlign w:val="center"/>
            <w:hideMark/>
          </w:tcPr>
          <w:p w14:paraId="0D2D7438"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13 (61.9)</w:t>
            </w:r>
          </w:p>
        </w:tc>
        <w:tc>
          <w:tcPr>
            <w:tcW w:w="1955" w:type="dxa"/>
            <w:vAlign w:val="center"/>
            <w:hideMark/>
          </w:tcPr>
          <w:p w14:paraId="23D03142"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8 (38.1)</w:t>
            </w:r>
          </w:p>
        </w:tc>
        <w:tc>
          <w:tcPr>
            <w:tcW w:w="1104" w:type="dxa"/>
            <w:vAlign w:val="center"/>
            <w:hideMark/>
          </w:tcPr>
          <w:p w14:paraId="04FE6B33"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0.366</w:t>
            </w:r>
          </w:p>
        </w:tc>
        <w:tc>
          <w:tcPr>
            <w:tcW w:w="962" w:type="dxa"/>
            <w:vAlign w:val="center"/>
            <w:hideMark/>
          </w:tcPr>
          <w:p w14:paraId="2F633C2D"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0.6</w:t>
            </w:r>
          </w:p>
        </w:tc>
        <w:tc>
          <w:tcPr>
            <w:tcW w:w="1229" w:type="dxa"/>
            <w:vAlign w:val="center"/>
            <w:hideMark/>
          </w:tcPr>
          <w:p w14:paraId="0D084A1D"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0.18–1.89</w:t>
            </w:r>
          </w:p>
        </w:tc>
      </w:tr>
      <w:tr w:rsidR="00747AF0" w:rsidRPr="002679B7" w14:paraId="4D2775D2" w14:textId="77777777" w:rsidTr="00747AF0">
        <w:trPr>
          <w:tblCellSpacing w:w="15" w:type="dxa"/>
        </w:trPr>
        <w:tc>
          <w:tcPr>
            <w:tcW w:w="577" w:type="dxa"/>
            <w:vAlign w:val="center"/>
            <w:hideMark/>
          </w:tcPr>
          <w:p w14:paraId="0B7AB49D" w14:textId="77777777" w:rsidR="00747AF0" w:rsidRPr="00747AF0" w:rsidRDefault="00747AF0" w:rsidP="00747AF0">
            <w:pPr>
              <w:spacing w:after="0" w:line="360" w:lineRule="auto"/>
              <w:rPr>
                <w:rFonts w:cs="Times New Roman"/>
                <w:color w:val="000000"/>
                <w:sz w:val="24"/>
                <w:szCs w:val="24"/>
                <w:lang w:val="en-ID"/>
              </w:rPr>
            </w:pPr>
          </w:p>
        </w:tc>
        <w:tc>
          <w:tcPr>
            <w:tcW w:w="1955" w:type="dxa"/>
            <w:vAlign w:val="center"/>
            <w:hideMark/>
          </w:tcPr>
          <w:p w14:paraId="7D6FA9F9"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High</w:t>
            </w:r>
          </w:p>
        </w:tc>
        <w:tc>
          <w:tcPr>
            <w:tcW w:w="1954" w:type="dxa"/>
            <w:vAlign w:val="center"/>
            <w:hideMark/>
          </w:tcPr>
          <w:p w14:paraId="3FD8A57A"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13 (50.0)</w:t>
            </w:r>
          </w:p>
        </w:tc>
        <w:tc>
          <w:tcPr>
            <w:tcW w:w="1955" w:type="dxa"/>
            <w:vAlign w:val="center"/>
            <w:hideMark/>
          </w:tcPr>
          <w:p w14:paraId="75510213"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13 (50.0)</w:t>
            </w:r>
          </w:p>
        </w:tc>
        <w:tc>
          <w:tcPr>
            <w:tcW w:w="1104" w:type="dxa"/>
            <w:vAlign w:val="center"/>
            <w:hideMark/>
          </w:tcPr>
          <w:p w14:paraId="3FC97B0E" w14:textId="77777777" w:rsidR="00747AF0" w:rsidRPr="00747AF0" w:rsidRDefault="00747AF0" w:rsidP="00747AF0">
            <w:pPr>
              <w:spacing w:after="0" w:line="360" w:lineRule="auto"/>
              <w:jc w:val="center"/>
              <w:rPr>
                <w:rFonts w:cs="Times New Roman"/>
                <w:color w:val="000000"/>
                <w:sz w:val="24"/>
                <w:szCs w:val="24"/>
                <w:lang w:val="en-ID"/>
              </w:rPr>
            </w:pPr>
          </w:p>
        </w:tc>
        <w:tc>
          <w:tcPr>
            <w:tcW w:w="962" w:type="dxa"/>
            <w:vAlign w:val="center"/>
            <w:hideMark/>
          </w:tcPr>
          <w:p w14:paraId="2F828E25" w14:textId="77777777" w:rsidR="00747AF0" w:rsidRPr="00747AF0" w:rsidRDefault="00747AF0" w:rsidP="00747AF0">
            <w:pPr>
              <w:spacing w:after="0" w:line="360" w:lineRule="auto"/>
              <w:jc w:val="center"/>
              <w:rPr>
                <w:rFonts w:cs="Times New Roman"/>
                <w:sz w:val="24"/>
                <w:szCs w:val="24"/>
                <w:lang w:val="en-ID"/>
              </w:rPr>
            </w:pPr>
          </w:p>
        </w:tc>
        <w:tc>
          <w:tcPr>
            <w:tcW w:w="1229" w:type="dxa"/>
            <w:vAlign w:val="center"/>
            <w:hideMark/>
          </w:tcPr>
          <w:p w14:paraId="3E93F4E9" w14:textId="77777777" w:rsidR="00747AF0" w:rsidRPr="00747AF0" w:rsidRDefault="00747AF0" w:rsidP="00747AF0">
            <w:pPr>
              <w:spacing w:after="0" w:line="360" w:lineRule="auto"/>
              <w:jc w:val="center"/>
              <w:rPr>
                <w:rFonts w:cs="Times New Roman"/>
                <w:sz w:val="24"/>
                <w:szCs w:val="24"/>
                <w:lang w:val="en-ID"/>
              </w:rPr>
            </w:pPr>
          </w:p>
        </w:tc>
      </w:tr>
      <w:tr w:rsidR="00747AF0" w:rsidRPr="002679B7" w14:paraId="1F585CC4" w14:textId="77777777" w:rsidTr="00747AF0">
        <w:trPr>
          <w:tblCellSpacing w:w="15" w:type="dxa"/>
        </w:trPr>
        <w:tc>
          <w:tcPr>
            <w:tcW w:w="2562" w:type="dxa"/>
            <w:gridSpan w:val="2"/>
            <w:vAlign w:val="center"/>
          </w:tcPr>
          <w:p w14:paraId="0ED2EF61" w14:textId="6C6713E1" w:rsidR="00747AF0" w:rsidRPr="002679B7" w:rsidRDefault="00747AF0" w:rsidP="00747AF0">
            <w:pPr>
              <w:spacing w:after="0" w:line="360" w:lineRule="auto"/>
              <w:rPr>
                <w:rFonts w:cs="Times New Roman"/>
                <w:color w:val="000000"/>
                <w:sz w:val="24"/>
                <w:szCs w:val="24"/>
                <w:lang w:val="en-ID"/>
              </w:rPr>
            </w:pPr>
            <w:r w:rsidRPr="00747AF0">
              <w:rPr>
                <w:rFonts w:cs="Times New Roman"/>
                <w:b/>
                <w:bCs/>
                <w:color w:val="000000"/>
                <w:sz w:val="24"/>
                <w:szCs w:val="24"/>
                <w:lang w:val="en-ID"/>
              </w:rPr>
              <w:t>Clinical stage</w:t>
            </w:r>
          </w:p>
        </w:tc>
        <w:tc>
          <w:tcPr>
            <w:tcW w:w="1954" w:type="dxa"/>
            <w:vAlign w:val="center"/>
          </w:tcPr>
          <w:p w14:paraId="4D360DD7" w14:textId="77777777" w:rsidR="00747AF0" w:rsidRPr="002679B7" w:rsidRDefault="00747AF0" w:rsidP="00747AF0">
            <w:pPr>
              <w:spacing w:after="0" w:line="360" w:lineRule="auto"/>
              <w:jc w:val="center"/>
              <w:rPr>
                <w:rFonts w:cs="Times New Roman"/>
                <w:color w:val="000000"/>
                <w:sz w:val="24"/>
                <w:szCs w:val="24"/>
                <w:lang w:val="en-ID"/>
              </w:rPr>
            </w:pPr>
          </w:p>
        </w:tc>
        <w:tc>
          <w:tcPr>
            <w:tcW w:w="1955" w:type="dxa"/>
            <w:vAlign w:val="center"/>
          </w:tcPr>
          <w:p w14:paraId="2DBDD463" w14:textId="77777777" w:rsidR="00747AF0" w:rsidRPr="002679B7" w:rsidRDefault="00747AF0" w:rsidP="00747AF0">
            <w:pPr>
              <w:spacing w:after="0" w:line="360" w:lineRule="auto"/>
              <w:jc w:val="center"/>
              <w:rPr>
                <w:rFonts w:cs="Times New Roman"/>
                <w:color w:val="000000"/>
                <w:sz w:val="24"/>
                <w:szCs w:val="24"/>
                <w:lang w:val="en-ID"/>
              </w:rPr>
            </w:pPr>
          </w:p>
        </w:tc>
        <w:tc>
          <w:tcPr>
            <w:tcW w:w="1104" w:type="dxa"/>
            <w:vAlign w:val="center"/>
          </w:tcPr>
          <w:p w14:paraId="6689A74A" w14:textId="77777777" w:rsidR="00747AF0" w:rsidRPr="002679B7" w:rsidRDefault="00747AF0" w:rsidP="00747AF0">
            <w:pPr>
              <w:spacing w:after="0" w:line="360" w:lineRule="auto"/>
              <w:jc w:val="center"/>
              <w:rPr>
                <w:rFonts w:cs="Times New Roman"/>
                <w:color w:val="000000"/>
                <w:sz w:val="24"/>
                <w:szCs w:val="24"/>
                <w:lang w:val="en-ID"/>
              </w:rPr>
            </w:pPr>
          </w:p>
        </w:tc>
        <w:tc>
          <w:tcPr>
            <w:tcW w:w="962" w:type="dxa"/>
            <w:vAlign w:val="center"/>
          </w:tcPr>
          <w:p w14:paraId="49E3AD1B" w14:textId="77777777" w:rsidR="00747AF0" w:rsidRPr="002679B7" w:rsidRDefault="00747AF0" w:rsidP="00747AF0">
            <w:pPr>
              <w:spacing w:after="0" w:line="360" w:lineRule="auto"/>
              <w:jc w:val="center"/>
              <w:rPr>
                <w:rFonts w:cs="Times New Roman"/>
                <w:color w:val="000000"/>
                <w:sz w:val="24"/>
                <w:szCs w:val="24"/>
                <w:lang w:val="en-ID"/>
              </w:rPr>
            </w:pPr>
          </w:p>
        </w:tc>
        <w:tc>
          <w:tcPr>
            <w:tcW w:w="1229" w:type="dxa"/>
            <w:vAlign w:val="center"/>
          </w:tcPr>
          <w:p w14:paraId="3E74BBE0" w14:textId="77777777" w:rsidR="00747AF0" w:rsidRPr="002679B7" w:rsidRDefault="00747AF0" w:rsidP="00747AF0">
            <w:pPr>
              <w:spacing w:after="0" w:line="360" w:lineRule="auto"/>
              <w:jc w:val="center"/>
              <w:rPr>
                <w:rFonts w:cs="Times New Roman"/>
                <w:color w:val="000000"/>
                <w:sz w:val="24"/>
                <w:szCs w:val="24"/>
                <w:lang w:val="en-ID"/>
              </w:rPr>
            </w:pPr>
          </w:p>
        </w:tc>
      </w:tr>
      <w:tr w:rsidR="00747AF0" w:rsidRPr="002679B7" w14:paraId="47886428" w14:textId="77777777" w:rsidTr="00747AF0">
        <w:trPr>
          <w:tblCellSpacing w:w="15" w:type="dxa"/>
        </w:trPr>
        <w:tc>
          <w:tcPr>
            <w:tcW w:w="577" w:type="dxa"/>
            <w:vAlign w:val="center"/>
            <w:hideMark/>
          </w:tcPr>
          <w:p w14:paraId="7DDFD7B2" w14:textId="5AF2288B" w:rsidR="00747AF0" w:rsidRPr="00747AF0" w:rsidRDefault="00747AF0" w:rsidP="00747AF0">
            <w:pPr>
              <w:spacing w:after="0" w:line="360" w:lineRule="auto"/>
              <w:rPr>
                <w:rFonts w:cs="Times New Roman"/>
                <w:color w:val="000000"/>
                <w:sz w:val="24"/>
                <w:szCs w:val="24"/>
                <w:lang w:val="en-ID"/>
              </w:rPr>
            </w:pPr>
          </w:p>
        </w:tc>
        <w:tc>
          <w:tcPr>
            <w:tcW w:w="1955" w:type="dxa"/>
            <w:vAlign w:val="center"/>
            <w:hideMark/>
          </w:tcPr>
          <w:p w14:paraId="0F62C2C6"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IIIA</w:t>
            </w:r>
          </w:p>
        </w:tc>
        <w:tc>
          <w:tcPr>
            <w:tcW w:w="1954" w:type="dxa"/>
            <w:vAlign w:val="center"/>
            <w:hideMark/>
          </w:tcPr>
          <w:p w14:paraId="5AD6EA30"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2 (50.0)</w:t>
            </w:r>
          </w:p>
        </w:tc>
        <w:tc>
          <w:tcPr>
            <w:tcW w:w="1955" w:type="dxa"/>
            <w:vAlign w:val="center"/>
            <w:hideMark/>
          </w:tcPr>
          <w:p w14:paraId="01E31F7D"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2 (50.0)</w:t>
            </w:r>
          </w:p>
        </w:tc>
        <w:tc>
          <w:tcPr>
            <w:tcW w:w="1104" w:type="dxa"/>
            <w:vAlign w:val="center"/>
            <w:hideMark/>
          </w:tcPr>
          <w:p w14:paraId="013BAF0B"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0.876</w:t>
            </w:r>
          </w:p>
        </w:tc>
        <w:tc>
          <w:tcPr>
            <w:tcW w:w="962" w:type="dxa"/>
            <w:vAlign w:val="center"/>
            <w:hideMark/>
          </w:tcPr>
          <w:p w14:paraId="69B6E80D"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0.9</w:t>
            </w:r>
          </w:p>
        </w:tc>
        <w:tc>
          <w:tcPr>
            <w:tcW w:w="1229" w:type="dxa"/>
            <w:vAlign w:val="center"/>
            <w:hideMark/>
          </w:tcPr>
          <w:p w14:paraId="28F12E42"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0.11–7.16</w:t>
            </w:r>
          </w:p>
        </w:tc>
      </w:tr>
      <w:tr w:rsidR="00747AF0" w:rsidRPr="002679B7" w14:paraId="29AEA0E2" w14:textId="77777777" w:rsidTr="00747AF0">
        <w:trPr>
          <w:tblCellSpacing w:w="15" w:type="dxa"/>
        </w:trPr>
        <w:tc>
          <w:tcPr>
            <w:tcW w:w="577" w:type="dxa"/>
            <w:vAlign w:val="center"/>
            <w:hideMark/>
          </w:tcPr>
          <w:p w14:paraId="567725A0" w14:textId="77777777" w:rsidR="00747AF0" w:rsidRPr="00747AF0" w:rsidRDefault="00747AF0" w:rsidP="00747AF0">
            <w:pPr>
              <w:spacing w:after="0" w:line="360" w:lineRule="auto"/>
              <w:rPr>
                <w:rFonts w:cs="Times New Roman"/>
                <w:color w:val="000000"/>
                <w:sz w:val="24"/>
                <w:szCs w:val="24"/>
                <w:lang w:val="en-ID"/>
              </w:rPr>
            </w:pPr>
          </w:p>
        </w:tc>
        <w:tc>
          <w:tcPr>
            <w:tcW w:w="1955" w:type="dxa"/>
            <w:vAlign w:val="center"/>
            <w:hideMark/>
          </w:tcPr>
          <w:p w14:paraId="33EB55D3"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IIIB</w:t>
            </w:r>
          </w:p>
        </w:tc>
        <w:tc>
          <w:tcPr>
            <w:tcW w:w="1954" w:type="dxa"/>
            <w:vAlign w:val="center"/>
            <w:hideMark/>
          </w:tcPr>
          <w:p w14:paraId="66484C4D"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24 (55.8)</w:t>
            </w:r>
          </w:p>
        </w:tc>
        <w:tc>
          <w:tcPr>
            <w:tcW w:w="1955" w:type="dxa"/>
            <w:vAlign w:val="center"/>
            <w:hideMark/>
          </w:tcPr>
          <w:p w14:paraId="7EA41F34"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19 (44.2)</w:t>
            </w:r>
          </w:p>
        </w:tc>
        <w:tc>
          <w:tcPr>
            <w:tcW w:w="1104" w:type="dxa"/>
            <w:vAlign w:val="center"/>
            <w:hideMark/>
          </w:tcPr>
          <w:p w14:paraId="794E0A0B" w14:textId="77777777" w:rsidR="00747AF0" w:rsidRPr="00747AF0" w:rsidRDefault="00747AF0" w:rsidP="00747AF0">
            <w:pPr>
              <w:spacing w:after="0" w:line="360" w:lineRule="auto"/>
              <w:jc w:val="center"/>
              <w:rPr>
                <w:rFonts w:cs="Times New Roman"/>
                <w:color w:val="000000"/>
                <w:sz w:val="24"/>
                <w:szCs w:val="24"/>
                <w:lang w:val="en-ID"/>
              </w:rPr>
            </w:pPr>
          </w:p>
        </w:tc>
        <w:tc>
          <w:tcPr>
            <w:tcW w:w="962" w:type="dxa"/>
            <w:vAlign w:val="center"/>
            <w:hideMark/>
          </w:tcPr>
          <w:p w14:paraId="41E44773" w14:textId="77777777" w:rsidR="00747AF0" w:rsidRPr="00747AF0" w:rsidRDefault="00747AF0" w:rsidP="00747AF0">
            <w:pPr>
              <w:spacing w:after="0" w:line="360" w:lineRule="auto"/>
              <w:jc w:val="center"/>
              <w:rPr>
                <w:rFonts w:cs="Times New Roman"/>
                <w:sz w:val="24"/>
                <w:szCs w:val="24"/>
                <w:lang w:val="en-ID"/>
              </w:rPr>
            </w:pPr>
          </w:p>
        </w:tc>
        <w:tc>
          <w:tcPr>
            <w:tcW w:w="1229" w:type="dxa"/>
            <w:vAlign w:val="center"/>
            <w:hideMark/>
          </w:tcPr>
          <w:p w14:paraId="6D95DF91" w14:textId="77777777" w:rsidR="00747AF0" w:rsidRPr="00747AF0" w:rsidRDefault="00747AF0" w:rsidP="00747AF0">
            <w:pPr>
              <w:spacing w:after="0" w:line="360" w:lineRule="auto"/>
              <w:jc w:val="center"/>
              <w:rPr>
                <w:rFonts w:cs="Times New Roman"/>
                <w:sz w:val="24"/>
                <w:szCs w:val="24"/>
                <w:lang w:val="en-ID"/>
              </w:rPr>
            </w:pPr>
          </w:p>
        </w:tc>
      </w:tr>
      <w:tr w:rsidR="00747AF0" w:rsidRPr="002679B7" w14:paraId="57EAFFED" w14:textId="77777777" w:rsidTr="00747AF0">
        <w:trPr>
          <w:tblCellSpacing w:w="15" w:type="dxa"/>
        </w:trPr>
        <w:tc>
          <w:tcPr>
            <w:tcW w:w="2562" w:type="dxa"/>
            <w:gridSpan w:val="2"/>
            <w:vAlign w:val="center"/>
          </w:tcPr>
          <w:p w14:paraId="46307C0A" w14:textId="7672D178" w:rsidR="00747AF0" w:rsidRPr="002679B7" w:rsidRDefault="00747AF0" w:rsidP="00747AF0">
            <w:pPr>
              <w:spacing w:after="0" w:line="360" w:lineRule="auto"/>
              <w:rPr>
                <w:rFonts w:cs="Times New Roman"/>
                <w:color w:val="000000"/>
                <w:sz w:val="24"/>
                <w:szCs w:val="24"/>
                <w:lang w:val="en-ID"/>
              </w:rPr>
            </w:pPr>
            <w:r w:rsidRPr="00747AF0">
              <w:rPr>
                <w:rFonts w:cs="Times New Roman"/>
                <w:b/>
                <w:bCs/>
                <w:color w:val="000000"/>
                <w:sz w:val="24"/>
                <w:szCs w:val="24"/>
                <w:lang w:val="en-ID"/>
              </w:rPr>
              <w:t>Luminal subtype</w:t>
            </w:r>
          </w:p>
        </w:tc>
        <w:tc>
          <w:tcPr>
            <w:tcW w:w="1954" w:type="dxa"/>
            <w:vAlign w:val="center"/>
          </w:tcPr>
          <w:p w14:paraId="4D136BC4" w14:textId="77777777" w:rsidR="00747AF0" w:rsidRPr="002679B7" w:rsidRDefault="00747AF0" w:rsidP="00747AF0">
            <w:pPr>
              <w:spacing w:after="0" w:line="360" w:lineRule="auto"/>
              <w:jc w:val="center"/>
              <w:rPr>
                <w:rFonts w:cs="Times New Roman"/>
                <w:color w:val="000000"/>
                <w:sz w:val="24"/>
                <w:szCs w:val="24"/>
                <w:lang w:val="en-ID"/>
              </w:rPr>
            </w:pPr>
          </w:p>
        </w:tc>
        <w:tc>
          <w:tcPr>
            <w:tcW w:w="1955" w:type="dxa"/>
            <w:vAlign w:val="center"/>
          </w:tcPr>
          <w:p w14:paraId="7D1A19C3" w14:textId="77777777" w:rsidR="00747AF0" w:rsidRPr="002679B7" w:rsidRDefault="00747AF0" w:rsidP="00747AF0">
            <w:pPr>
              <w:spacing w:after="0" w:line="360" w:lineRule="auto"/>
              <w:jc w:val="center"/>
              <w:rPr>
                <w:rFonts w:cs="Times New Roman"/>
                <w:color w:val="000000"/>
                <w:sz w:val="24"/>
                <w:szCs w:val="24"/>
                <w:lang w:val="en-ID"/>
              </w:rPr>
            </w:pPr>
          </w:p>
        </w:tc>
        <w:tc>
          <w:tcPr>
            <w:tcW w:w="1104" w:type="dxa"/>
            <w:vAlign w:val="center"/>
          </w:tcPr>
          <w:p w14:paraId="6D5B4CB1" w14:textId="77777777" w:rsidR="00747AF0" w:rsidRPr="002679B7" w:rsidRDefault="00747AF0" w:rsidP="00747AF0">
            <w:pPr>
              <w:spacing w:after="0" w:line="360" w:lineRule="auto"/>
              <w:jc w:val="center"/>
              <w:rPr>
                <w:rFonts w:cs="Times New Roman"/>
                <w:color w:val="000000"/>
                <w:sz w:val="24"/>
                <w:szCs w:val="24"/>
                <w:lang w:val="en-ID"/>
              </w:rPr>
            </w:pPr>
          </w:p>
        </w:tc>
        <w:tc>
          <w:tcPr>
            <w:tcW w:w="962" w:type="dxa"/>
            <w:vAlign w:val="center"/>
          </w:tcPr>
          <w:p w14:paraId="629A1012" w14:textId="77777777" w:rsidR="00747AF0" w:rsidRPr="002679B7" w:rsidRDefault="00747AF0" w:rsidP="00747AF0">
            <w:pPr>
              <w:spacing w:after="0" w:line="360" w:lineRule="auto"/>
              <w:jc w:val="center"/>
              <w:rPr>
                <w:rFonts w:cs="Times New Roman"/>
                <w:color w:val="000000"/>
                <w:sz w:val="24"/>
                <w:szCs w:val="24"/>
                <w:lang w:val="en-ID"/>
              </w:rPr>
            </w:pPr>
          </w:p>
        </w:tc>
        <w:tc>
          <w:tcPr>
            <w:tcW w:w="1229" w:type="dxa"/>
            <w:vAlign w:val="center"/>
          </w:tcPr>
          <w:p w14:paraId="4B67606D" w14:textId="77777777" w:rsidR="00747AF0" w:rsidRPr="002679B7" w:rsidRDefault="00747AF0" w:rsidP="00747AF0">
            <w:pPr>
              <w:spacing w:after="0" w:line="360" w:lineRule="auto"/>
              <w:jc w:val="center"/>
              <w:rPr>
                <w:rFonts w:cs="Times New Roman"/>
                <w:color w:val="000000"/>
                <w:sz w:val="24"/>
                <w:szCs w:val="24"/>
                <w:lang w:val="en-ID"/>
              </w:rPr>
            </w:pPr>
          </w:p>
        </w:tc>
      </w:tr>
      <w:tr w:rsidR="00747AF0" w:rsidRPr="002679B7" w14:paraId="09907A8B" w14:textId="77777777" w:rsidTr="00747AF0">
        <w:trPr>
          <w:tblCellSpacing w:w="15" w:type="dxa"/>
        </w:trPr>
        <w:tc>
          <w:tcPr>
            <w:tcW w:w="577" w:type="dxa"/>
            <w:vAlign w:val="center"/>
            <w:hideMark/>
          </w:tcPr>
          <w:p w14:paraId="2B5EC476" w14:textId="29DC8633" w:rsidR="00747AF0" w:rsidRPr="00747AF0" w:rsidRDefault="00747AF0" w:rsidP="00747AF0">
            <w:pPr>
              <w:spacing w:after="0" w:line="360" w:lineRule="auto"/>
              <w:rPr>
                <w:rFonts w:cs="Times New Roman"/>
                <w:color w:val="000000"/>
                <w:sz w:val="24"/>
                <w:szCs w:val="24"/>
                <w:lang w:val="en-ID"/>
              </w:rPr>
            </w:pPr>
          </w:p>
        </w:tc>
        <w:tc>
          <w:tcPr>
            <w:tcW w:w="1955" w:type="dxa"/>
            <w:vAlign w:val="center"/>
            <w:hideMark/>
          </w:tcPr>
          <w:p w14:paraId="6DA3ABD8"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Luminal A</w:t>
            </w:r>
          </w:p>
        </w:tc>
        <w:tc>
          <w:tcPr>
            <w:tcW w:w="1954" w:type="dxa"/>
            <w:vAlign w:val="center"/>
            <w:hideMark/>
          </w:tcPr>
          <w:p w14:paraId="3B047A86"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13 (61.9)</w:t>
            </w:r>
          </w:p>
        </w:tc>
        <w:tc>
          <w:tcPr>
            <w:tcW w:w="1955" w:type="dxa"/>
            <w:vAlign w:val="center"/>
            <w:hideMark/>
          </w:tcPr>
          <w:p w14:paraId="35DD46AA"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8 (38.1)</w:t>
            </w:r>
          </w:p>
        </w:tc>
        <w:tc>
          <w:tcPr>
            <w:tcW w:w="1104" w:type="dxa"/>
            <w:vAlign w:val="center"/>
            <w:hideMark/>
          </w:tcPr>
          <w:p w14:paraId="04ECB563"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0.366</w:t>
            </w:r>
          </w:p>
        </w:tc>
        <w:tc>
          <w:tcPr>
            <w:tcW w:w="962" w:type="dxa"/>
            <w:vAlign w:val="center"/>
            <w:hideMark/>
          </w:tcPr>
          <w:p w14:paraId="07F75156"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0.6</w:t>
            </w:r>
          </w:p>
        </w:tc>
        <w:tc>
          <w:tcPr>
            <w:tcW w:w="1229" w:type="dxa"/>
            <w:vAlign w:val="center"/>
            <w:hideMark/>
          </w:tcPr>
          <w:p w14:paraId="35F816D3"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0.18–1.89</w:t>
            </w:r>
          </w:p>
        </w:tc>
      </w:tr>
      <w:tr w:rsidR="00747AF0" w:rsidRPr="002679B7" w14:paraId="6D4612BF" w14:textId="77777777" w:rsidTr="00747AF0">
        <w:trPr>
          <w:tblCellSpacing w:w="15" w:type="dxa"/>
        </w:trPr>
        <w:tc>
          <w:tcPr>
            <w:tcW w:w="577" w:type="dxa"/>
            <w:vAlign w:val="center"/>
            <w:hideMark/>
          </w:tcPr>
          <w:p w14:paraId="06B9CA77" w14:textId="77777777" w:rsidR="00747AF0" w:rsidRPr="00747AF0" w:rsidRDefault="00747AF0" w:rsidP="00747AF0">
            <w:pPr>
              <w:spacing w:after="0" w:line="360" w:lineRule="auto"/>
              <w:rPr>
                <w:rFonts w:cs="Times New Roman"/>
                <w:color w:val="000000"/>
                <w:sz w:val="24"/>
                <w:szCs w:val="24"/>
                <w:lang w:val="en-ID"/>
              </w:rPr>
            </w:pPr>
          </w:p>
        </w:tc>
        <w:tc>
          <w:tcPr>
            <w:tcW w:w="1955" w:type="dxa"/>
            <w:vAlign w:val="center"/>
            <w:hideMark/>
          </w:tcPr>
          <w:p w14:paraId="2098F1E7"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Luminal B</w:t>
            </w:r>
          </w:p>
        </w:tc>
        <w:tc>
          <w:tcPr>
            <w:tcW w:w="1954" w:type="dxa"/>
            <w:vAlign w:val="center"/>
            <w:hideMark/>
          </w:tcPr>
          <w:p w14:paraId="2684E703"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13 (50.0)</w:t>
            </w:r>
          </w:p>
        </w:tc>
        <w:tc>
          <w:tcPr>
            <w:tcW w:w="1955" w:type="dxa"/>
            <w:vAlign w:val="center"/>
            <w:hideMark/>
          </w:tcPr>
          <w:p w14:paraId="539F2B7D"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13 (50.0)</w:t>
            </w:r>
          </w:p>
        </w:tc>
        <w:tc>
          <w:tcPr>
            <w:tcW w:w="1104" w:type="dxa"/>
            <w:vAlign w:val="center"/>
            <w:hideMark/>
          </w:tcPr>
          <w:p w14:paraId="1C544C9A" w14:textId="77777777" w:rsidR="00747AF0" w:rsidRPr="00747AF0" w:rsidRDefault="00747AF0" w:rsidP="00747AF0">
            <w:pPr>
              <w:spacing w:after="0" w:line="360" w:lineRule="auto"/>
              <w:jc w:val="center"/>
              <w:rPr>
                <w:rFonts w:cs="Times New Roman"/>
                <w:color w:val="000000"/>
                <w:sz w:val="24"/>
                <w:szCs w:val="24"/>
                <w:lang w:val="en-ID"/>
              </w:rPr>
            </w:pPr>
          </w:p>
        </w:tc>
        <w:tc>
          <w:tcPr>
            <w:tcW w:w="962" w:type="dxa"/>
            <w:vAlign w:val="center"/>
            <w:hideMark/>
          </w:tcPr>
          <w:p w14:paraId="690B82E4" w14:textId="77777777" w:rsidR="00747AF0" w:rsidRPr="00747AF0" w:rsidRDefault="00747AF0" w:rsidP="00747AF0">
            <w:pPr>
              <w:spacing w:after="0" w:line="360" w:lineRule="auto"/>
              <w:jc w:val="center"/>
              <w:rPr>
                <w:rFonts w:cs="Times New Roman"/>
                <w:sz w:val="24"/>
                <w:szCs w:val="24"/>
                <w:lang w:val="en-ID"/>
              </w:rPr>
            </w:pPr>
          </w:p>
        </w:tc>
        <w:tc>
          <w:tcPr>
            <w:tcW w:w="1229" w:type="dxa"/>
            <w:vAlign w:val="center"/>
            <w:hideMark/>
          </w:tcPr>
          <w:p w14:paraId="79A94196" w14:textId="77777777" w:rsidR="00747AF0" w:rsidRPr="00747AF0" w:rsidRDefault="00747AF0" w:rsidP="00747AF0">
            <w:pPr>
              <w:spacing w:after="0" w:line="360" w:lineRule="auto"/>
              <w:jc w:val="center"/>
              <w:rPr>
                <w:rFonts w:cs="Times New Roman"/>
                <w:sz w:val="24"/>
                <w:szCs w:val="24"/>
                <w:lang w:val="en-ID"/>
              </w:rPr>
            </w:pPr>
          </w:p>
        </w:tc>
      </w:tr>
      <w:tr w:rsidR="00747AF0" w:rsidRPr="002679B7" w14:paraId="0EAF2902" w14:textId="77777777" w:rsidTr="00747AF0">
        <w:trPr>
          <w:tblCellSpacing w:w="15" w:type="dxa"/>
        </w:trPr>
        <w:tc>
          <w:tcPr>
            <w:tcW w:w="2562" w:type="dxa"/>
            <w:gridSpan w:val="2"/>
            <w:vAlign w:val="center"/>
          </w:tcPr>
          <w:p w14:paraId="13539A11" w14:textId="5E4C613F" w:rsidR="00747AF0" w:rsidRPr="002679B7" w:rsidRDefault="00747AF0" w:rsidP="00747AF0">
            <w:pPr>
              <w:spacing w:after="0" w:line="360" w:lineRule="auto"/>
              <w:rPr>
                <w:rFonts w:cs="Times New Roman"/>
                <w:color w:val="000000"/>
                <w:sz w:val="24"/>
                <w:szCs w:val="24"/>
                <w:lang w:val="en-ID"/>
              </w:rPr>
            </w:pPr>
            <w:r w:rsidRPr="00747AF0">
              <w:rPr>
                <w:rFonts w:cs="Times New Roman"/>
                <w:b/>
                <w:bCs/>
                <w:color w:val="000000"/>
                <w:sz w:val="24"/>
                <w:szCs w:val="24"/>
                <w:lang w:val="en-ID"/>
              </w:rPr>
              <w:t>HER2 status</w:t>
            </w:r>
          </w:p>
        </w:tc>
        <w:tc>
          <w:tcPr>
            <w:tcW w:w="1954" w:type="dxa"/>
            <w:vAlign w:val="center"/>
          </w:tcPr>
          <w:p w14:paraId="094A32DB" w14:textId="77777777" w:rsidR="00747AF0" w:rsidRPr="002679B7" w:rsidRDefault="00747AF0" w:rsidP="00747AF0">
            <w:pPr>
              <w:spacing w:after="0" w:line="360" w:lineRule="auto"/>
              <w:jc w:val="center"/>
              <w:rPr>
                <w:rFonts w:cs="Times New Roman"/>
                <w:color w:val="000000"/>
                <w:sz w:val="24"/>
                <w:szCs w:val="24"/>
                <w:lang w:val="en-ID"/>
              </w:rPr>
            </w:pPr>
          </w:p>
        </w:tc>
        <w:tc>
          <w:tcPr>
            <w:tcW w:w="1955" w:type="dxa"/>
            <w:vAlign w:val="center"/>
          </w:tcPr>
          <w:p w14:paraId="7E8DA344" w14:textId="77777777" w:rsidR="00747AF0" w:rsidRPr="002679B7" w:rsidRDefault="00747AF0" w:rsidP="00747AF0">
            <w:pPr>
              <w:spacing w:after="0" w:line="360" w:lineRule="auto"/>
              <w:jc w:val="center"/>
              <w:rPr>
                <w:rFonts w:cs="Times New Roman"/>
                <w:color w:val="000000"/>
                <w:sz w:val="24"/>
                <w:szCs w:val="24"/>
                <w:lang w:val="en-ID"/>
              </w:rPr>
            </w:pPr>
          </w:p>
        </w:tc>
        <w:tc>
          <w:tcPr>
            <w:tcW w:w="1104" w:type="dxa"/>
            <w:vAlign w:val="center"/>
          </w:tcPr>
          <w:p w14:paraId="1ABD7240" w14:textId="77777777" w:rsidR="00747AF0" w:rsidRPr="002679B7" w:rsidRDefault="00747AF0" w:rsidP="00747AF0">
            <w:pPr>
              <w:spacing w:after="0" w:line="360" w:lineRule="auto"/>
              <w:jc w:val="center"/>
              <w:rPr>
                <w:rFonts w:cs="Times New Roman"/>
                <w:color w:val="000000"/>
                <w:sz w:val="24"/>
                <w:szCs w:val="24"/>
                <w:lang w:val="en-ID"/>
              </w:rPr>
            </w:pPr>
          </w:p>
        </w:tc>
        <w:tc>
          <w:tcPr>
            <w:tcW w:w="962" w:type="dxa"/>
            <w:vAlign w:val="center"/>
          </w:tcPr>
          <w:p w14:paraId="70D4AF2E" w14:textId="77777777" w:rsidR="00747AF0" w:rsidRPr="002679B7" w:rsidRDefault="00747AF0" w:rsidP="00747AF0">
            <w:pPr>
              <w:spacing w:after="0" w:line="360" w:lineRule="auto"/>
              <w:jc w:val="center"/>
              <w:rPr>
                <w:rFonts w:cs="Times New Roman"/>
                <w:color w:val="000000"/>
                <w:sz w:val="24"/>
                <w:szCs w:val="24"/>
                <w:lang w:val="en-ID"/>
              </w:rPr>
            </w:pPr>
          </w:p>
        </w:tc>
        <w:tc>
          <w:tcPr>
            <w:tcW w:w="1229" w:type="dxa"/>
            <w:vAlign w:val="center"/>
          </w:tcPr>
          <w:p w14:paraId="2A515ED0" w14:textId="77777777" w:rsidR="00747AF0" w:rsidRPr="002679B7" w:rsidRDefault="00747AF0" w:rsidP="00747AF0">
            <w:pPr>
              <w:spacing w:after="0" w:line="360" w:lineRule="auto"/>
              <w:jc w:val="center"/>
              <w:rPr>
                <w:rFonts w:cs="Times New Roman"/>
                <w:color w:val="000000"/>
                <w:sz w:val="24"/>
                <w:szCs w:val="24"/>
                <w:lang w:val="en-ID"/>
              </w:rPr>
            </w:pPr>
          </w:p>
        </w:tc>
      </w:tr>
      <w:tr w:rsidR="00747AF0" w:rsidRPr="002679B7" w14:paraId="143109CB" w14:textId="77777777" w:rsidTr="00747AF0">
        <w:trPr>
          <w:tblCellSpacing w:w="15" w:type="dxa"/>
        </w:trPr>
        <w:tc>
          <w:tcPr>
            <w:tcW w:w="577" w:type="dxa"/>
            <w:vAlign w:val="center"/>
            <w:hideMark/>
          </w:tcPr>
          <w:p w14:paraId="344A21F3" w14:textId="73DEBFAF" w:rsidR="00747AF0" w:rsidRPr="00747AF0" w:rsidRDefault="00747AF0" w:rsidP="00747AF0">
            <w:pPr>
              <w:spacing w:after="0" w:line="360" w:lineRule="auto"/>
              <w:rPr>
                <w:rFonts w:cs="Times New Roman"/>
                <w:color w:val="000000"/>
                <w:sz w:val="24"/>
                <w:szCs w:val="24"/>
                <w:lang w:val="en-ID"/>
              </w:rPr>
            </w:pPr>
          </w:p>
        </w:tc>
        <w:tc>
          <w:tcPr>
            <w:tcW w:w="1955" w:type="dxa"/>
            <w:vAlign w:val="center"/>
            <w:hideMark/>
          </w:tcPr>
          <w:p w14:paraId="1B0524CC"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Negative</w:t>
            </w:r>
          </w:p>
        </w:tc>
        <w:tc>
          <w:tcPr>
            <w:tcW w:w="1954" w:type="dxa"/>
            <w:vAlign w:val="center"/>
            <w:hideMark/>
          </w:tcPr>
          <w:p w14:paraId="2F615E75"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22 (71.0)</w:t>
            </w:r>
          </w:p>
        </w:tc>
        <w:tc>
          <w:tcPr>
            <w:tcW w:w="1955" w:type="dxa"/>
            <w:vAlign w:val="center"/>
            <w:hideMark/>
          </w:tcPr>
          <w:p w14:paraId="457178C2"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9 (29.0)</w:t>
            </w:r>
          </w:p>
        </w:tc>
        <w:tc>
          <w:tcPr>
            <w:tcW w:w="1104" w:type="dxa"/>
            <w:vAlign w:val="center"/>
            <w:hideMark/>
          </w:tcPr>
          <w:p w14:paraId="2D32848B"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0.009</w:t>
            </w:r>
          </w:p>
        </w:tc>
        <w:tc>
          <w:tcPr>
            <w:tcW w:w="962" w:type="dxa"/>
            <w:vAlign w:val="center"/>
            <w:hideMark/>
          </w:tcPr>
          <w:p w14:paraId="061388B7"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6.7</w:t>
            </w:r>
          </w:p>
        </w:tc>
        <w:tc>
          <w:tcPr>
            <w:tcW w:w="1229" w:type="dxa"/>
            <w:vAlign w:val="center"/>
            <w:hideMark/>
          </w:tcPr>
          <w:p w14:paraId="36707B25"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1.65–26.91</w:t>
            </w:r>
          </w:p>
        </w:tc>
      </w:tr>
      <w:tr w:rsidR="00747AF0" w:rsidRPr="002679B7" w14:paraId="7C3F9A02" w14:textId="77777777" w:rsidTr="00747AF0">
        <w:trPr>
          <w:tblCellSpacing w:w="15" w:type="dxa"/>
        </w:trPr>
        <w:tc>
          <w:tcPr>
            <w:tcW w:w="577" w:type="dxa"/>
            <w:vAlign w:val="center"/>
            <w:hideMark/>
          </w:tcPr>
          <w:p w14:paraId="385171EF" w14:textId="77777777" w:rsidR="00747AF0" w:rsidRPr="00747AF0" w:rsidRDefault="00747AF0" w:rsidP="00747AF0">
            <w:pPr>
              <w:spacing w:after="0" w:line="360" w:lineRule="auto"/>
              <w:rPr>
                <w:rFonts w:cs="Times New Roman"/>
                <w:color w:val="000000"/>
                <w:sz w:val="24"/>
                <w:szCs w:val="24"/>
                <w:lang w:val="en-ID"/>
              </w:rPr>
            </w:pPr>
          </w:p>
        </w:tc>
        <w:tc>
          <w:tcPr>
            <w:tcW w:w="1955" w:type="dxa"/>
            <w:vAlign w:val="center"/>
            <w:hideMark/>
          </w:tcPr>
          <w:p w14:paraId="278CB8B7"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Positive</w:t>
            </w:r>
          </w:p>
        </w:tc>
        <w:tc>
          <w:tcPr>
            <w:tcW w:w="1954" w:type="dxa"/>
            <w:vAlign w:val="center"/>
            <w:hideMark/>
          </w:tcPr>
          <w:p w14:paraId="5C97049E"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4 (25.0)</w:t>
            </w:r>
          </w:p>
        </w:tc>
        <w:tc>
          <w:tcPr>
            <w:tcW w:w="1955" w:type="dxa"/>
            <w:vAlign w:val="center"/>
            <w:hideMark/>
          </w:tcPr>
          <w:p w14:paraId="28990DD2"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12 (75.0)</w:t>
            </w:r>
          </w:p>
        </w:tc>
        <w:tc>
          <w:tcPr>
            <w:tcW w:w="1104" w:type="dxa"/>
            <w:vAlign w:val="center"/>
            <w:hideMark/>
          </w:tcPr>
          <w:p w14:paraId="12B404C3" w14:textId="77777777" w:rsidR="00747AF0" w:rsidRPr="00747AF0" w:rsidRDefault="00747AF0" w:rsidP="00747AF0">
            <w:pPr>
              <w:spacing w:after="0" w:line="360" w:lineRule="auto"/>
              <w:jc w:val="center"/>
              <w:rPr>
                <w:rFonts w:cs="Times New Roman"/>
                <w:color w:val="000000"/>
                <w:sz w:val="24"/>
                <w:szCs w:val="24"/>
                <w:lang w:val="en-ID"/>
              </w:rPr>
            </w:pPr>
          </w:p>
        </w:tc>
        <w:tc>
          <w:tcPr>
            <w:tcW w:w="962" w:type="dxa"/>
            <w:vAlign w:val="center"/>
            <w:hideMark/>
          </w:tcPr>
          <w:p w14:paraId="1F276DA8" w14:textId="77777777" w:rsidR="00747AF0" w:rsidRPr="00747AF0" w:rsidRDefault="00747AF0" w:rsidP="00747AF0">
            <w:pPr>
              <w:spacing w:after="0" w:line="360" w:lineRule="auto"/>
              <w:jc w:val="center"/>
              <w:rPr>
                <w:rFonts w:cs="Times New Roman"/>
                <w:sz w:val="24"/>
                <w:szCs w:val="24"/>
                <w:lang w:val="en-ID"/>
              </w:rPr>
            </w:pPr>
          </w:p>
        </w:tc>
        <w:tc>
          <w:tcPr>
            <w:tcW w:w="1229" w:type="dxa"/>
            <w:vAlign w:val="center"/>
            <w:hideMark/>
          </w:tcPr>
          <w:p w14:paraId="46A67E14" w14:textId="77777777" w:rsidR="00747AF0" w:rsidRPr="00747AF0" w:rsidRDefault="00747AF0" w:rsidP="00747AF0">
            <w:pPr>
              <w:spacing w:after="0" w:line="360" w:lineRule="auto"/>
              <w:jc w:val="center"/>
              <w:rPr>
                <w:rFonts w:cs="Times New Roman"/>
                <w:sz w:val="24"/>
                <w:szCs w:val="24"/>
                <w:lang w:val="en-ID"/>
              </w:rPr>
            </w:pPr>
          </w:p>
        </w:tc>
      </w:tr>
    </w:tbl>
    <w:p w14:paraId="07C894F0" w14:textId="61D686CD" w:rsidR="00747AF0" w:rsidRPr="002679B7" w:rsidRDefault="00747AF0" w:rsidP="00747AF0">
      <w:pPr>
        <w:pStyle w:val="NormalWeb"/>
        <w:spacing w:before="0" w:beforeAutospacing="0" w:after="0" w:afterAutospacing="0" w:line="360" w:lineRule="auto"/>
        <w:rPr>
          <w:i/>
          <w:iCs/>
          <w:color w:val="000000"/>
        </w:rPr>
      </w:pPr>
      <w:r w:rsidRPr="002679B7">
        <w:rPr>
          <w:b/>
          <w:bCs/>
          <w:i/>
          <w:iCs/>
          <w:color w:val="000000"/>
        </w:rPr>
        <w:t>Note</w:t>
      </w:r>
      <w:r w:rsidRPr="00747AF0">
        <w:rPr>
          <w:i/>
          <w:iCs/>
          <w:color w:val="000000"/>
        </w:rPr>
        <w:t>: OR, odds ratio; CI, confidence interval.</w:t>
      </w:r>
    </w:p>
    <w:p w14:paraId="14BEB9B0" w14:textId="77777777" w:rsidR="00747AF0" w:rsidRPr="002679B7" w:rsidRDefault="00747AF0" w:rsidP="00747AF0">
      <w:pPr>
        <w:pStyle w:val="NormalWeb"/>
        <w:spacing w:before="0" w:beforeAutospacing="0" w:after="0" w:afterAutospacing="0" w:line="360" w:lineRule="auto"/>
        <w:rPr>
          <w:b/>
          <w:bCs/>
          <w:color w:val="000000"/>
        </w:rPr>
      </w:pPr>
    </w:p>
    <w:p w14:paraId="69988514" w14:textId="688B3B96" w:rsidR="00747AF0" w:rsidRPr="002679B7" w:rsidRDefault="00747AF0" w:rsidP="00095E10">
      <w:pPr>
        <w:pStyle w:val="NormalWeb"/>
        <w:spacing w:before="0" w:beforeAutospacing="0" w:after="0" w:afterAutospacing="0" w:line="360" w:lineRule="auto"/>
        <w:ind w:firstLine="720"/>
        <w:jc w:val="both"/>
        <w:rPr>
          <w:color w:val="000000"/>
        </w:rPr>
      </w:pPr>
      <w:r w:rsidRPr="002679B7">
        <w:rPr>
          <w:color w:val="000000"/>
        </w:rPr>
        <w:t>To determine the independent predictive value of the significant variables, a multivariable logistic regression model was constructed (</w:t>
      </w:r>
      <w:r w:rsidRPr="002679B7">
        <w:rPr>
          <w:b/>
          <w:bCs/>
          <w:color w:val="000000"/>
        </w:rPr>
        <w:t>Table 4</w:t>
      </w:r>
      <w:r w:rsidRPr="002679B7">
        <w:rPr>
          <w:color w:val="000000"/>
        </w:rPr>
        <w:t xml:space="preserve">). In the initial model, lymph node status induced quasi-complete separation due to the total absence of high-SP cases </w:t>
      </w:r>
      <w:r w:rsidRPr="002679B7">
        <w:rPr>
          <w:color w:val="000000"/>
        </w:rPr>
        <w:lastRenderedPageBreak/>
        <w:t xml:space="preserve">within the node-negative group. However, in the final adjusted model, HER2-positive status emerged as a robust, independent predictor of high serum </w:t>
      </w:r>
      <w:r w:rsidR="00891736">
        <w:rPr>
          <w:color w:val="000000"/>
        </w:rPr>
        <w:t>SP</w:t>
      </w:r>
      <w:r w:rsidRPr="002679B7">
        <w:rPr>
          <w:color w:val="000000"/>
        </w:rPr>
        <w:t xml:space="preserve"> levels, conferring a greater than seven-fold increased odds of elevated circulating SP.</w:t>
      </w:r>
    </w:p>
    <w:p w14:paraId="6A314E28" w14:textId="77777777" w:rsidR="00747AF0" w:rsidRPr="002679B7" w:rsidRDefault="00747AF0" w:rsidP="00747AF0">
      <w:pPr>
        <w:pStyle w:val="NormalWeb"/>
        <w:spacing w:before="0" w:beforeAutospacing="0" w:after="0" w:afterAutospacing="0" w:line="360" w:lineRule="auto"/>
        <w:rPr>
          <w:color w:val="000000"/>
        </w:rPr>
      </w:pPr>
    </w:p>
    <w:p w14:paraId="39A8B435" w14:textId="6FBEB235" w:rsidR="00AB2309" w:rsidRPr="002679B7" w:rsidRDefault="00747AF0" w:rsidP="00095E10">
      <w:pPr>
        <w:pStyle w:val="NormalWeb"/>
        <w:spacing w:before="0" w:beforeAutospacing="0" w:after="0" w:afterAutospacing="0" w:line="360" w:lineRule="auto"/>
        <w:jc w:val="center"/>
        <w:rPr>
          <w:color w:val="000000"/>
        </w:rPr>
      </w:pPr>
      <w:r w:rsidRPr="002679B7">
        <w:rPr>
          <w:b/>
          <w:bCs/>
          <w:color w:val="000000"/>
        </w:rPr>
        <w:t>Table 4.</w:t>
      </w:r>
      <w:r w:rsidRPr="002679B7">
        <w:rPr>
          <w:rStyle w:val="apple-converted-space"/>
          <w:color w:val="000000"/>
        </w:rPr>
        <w:t> </w:t>
      </w:r>
      <w:r w:rsidRPr="002679B7">
        <w:rPr>
          <w:color w:val="000000"/>
        </w:rPr>
        <w:t>Multivariable logistic regression analysis for high serum Substance P</w:t>
      </w:r>
      <w:r w:rsidR="00095E10">
        <w:rPr>
          <w:color w:val="000000"/>
        </w:rPr>
        <w:t xml:space="preserve"> </w:t>
      </w:r>
      <w:r w:rsidRPr="002679B7">
        <w:rPr>
          <w:color w:val="000000"/>
        </w:rPr>
        <w:t>(</w:t>
      </w:r>
      <w:r w:rsidRPr="002679B7">
        <w:rPr>
          <w:rStyle w:val="mrel"/>
          <w:color w:val="000000"/>
        </w:rPr>
        <w:t>≥</w:t>
      </w:r>
      <w:r w:rsidRPr="002679B7">
        <w:rPr>
          <w:rStyle w:val="mord"/>
          <w:color w:val="000000"/>
        </w:rPr>
        <w:t>1.300</w:t>
      </w:r>
      <w:r w:rsidRPr="002679B7">
        <w:rPr>
          <w:rStyle w:val="apple-converted-space"/>
          <w:color w:val="000000"/>
        </w:rPr>
        <w:t> </w:t>
      </w:r>
      <w:r w:rsidRPr="002679B7">
        <w:rPr>
          <w:color w:val="000000"/>
        </w:rPr>
        <w:t>ng/mL)</w:t>
      </w:r>
    </w:p>
    <w:tbl>
      <w:tblPr>
        <w:tblW w:w="0" w:type="auto"/>
        <w:tblCellSpacing w:w="15" w:type="dxa"/>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65"/>
        <w:gridCol w:w="1134"/>
        <w:gridCol w:w="851"/>
        <w:gridCol w:w="1134"/>
        <w:gridCol w:w="708"/>
        <w:gridCol w:w="993"/>
        <w:gridCol w:w="2551"/>
      </w:tblGrid>
      <w:tr w:rsidR="00747AF0" w:rsidRPr="002679B7" w14:paraId="63A87BCD" w14:textId="77777777" w:rsidTr="00747AF0">
        <w:trPr>
          <w:tblHeader/>
          <w:tblCellSpacing w:w="15" w:type="dxa"/>
        </w:trPr>
        <w:tc>
          <w:tcPr>
            <w:tcW w:w="2420" w:type="dxa"/>
            <w:vAlign w:val="center"/>
            <w:hideMark/>
          </w:tcPr>
          <w:p w14:paraId="7155693E"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b/>
                <w:bCs/>
                <w:color w:val="000000"/>
                <w:sz w:val="24"/>
                <w:szCs w:val="24"/>
                <w:lang w:val="en-ID"/>
              </w:rPr>
              <w:t>Variable</w:t>
            </w:r>
          </w:p>
        </w:tc>
        <w:tc>
          <w:tcPr>
            <w:tcW w:w="1104" w:type="dxa"/>
            <w:vAlign w:val="center"/>
            <w:hideMark/>
          </w:tcPr>
          <w:p w14:paraId="74B3587F"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b/>
                <w:bCs/>
                <w:color w:val="000000"/>
                <w:sz w:val="24"/>
                <w:szCs w:val="24"/>
                <w:lang w:val="en-ID"/>
              </w:rPr>
              <w:t>Model</w:t>
            </w:r>
          </w:p>
        </w:tc>
        <w:tc>
          <w:tcPr>
            <w:tcW w:w="821" w:type="dxa"/>
            <w:vAlign w:val="center"/>
            <w:hideMark/>
          </w:tcPr>
          <w:p w14:paraId="1F56EC69"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b/>
                <w:bCs/>
                <w:color w:val="000000"/>
                <w:sz w:val="24"/>
                <w:szCs w:val="24"/>
                <w:lang w:val="en-ID"/>
              </w:rPr>
              <w:t>B</w:t>
            </w:r>
          </w:p>
        </w:tc>
        <w:tc>
          <w:tcPr>
            <w:tcW w:w="1104" w:type="dxa"/>
            <w:vAlign w:val="center"/>
            <w:hideMark/>
          </w:tcPr>
          <w:p w14:paraId="64B83DC0"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b/>
                <w:bCs/>
                <w:color w:val="000000"/>
                <w:sz w:val="24"/>
                <w:szCs w:val="24"/>
                <w:lang w:val="en-ID"/>
              </w:rPr>
              <w:t>SE</w:t>
            </w:r>
          </w:p>
        </w:tc>
        <w:tc>
          <w:tcPr>
            <w:tcW w:w="678" w:type="dxa"/>
            <w:vAlign w:val="center"/>
            <w:hideMark/>
          </w:tcPr>
          <w:p w14:paraId="0B25E524"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b/>
                <w:bCs/>
                <w:color w:val="000000"/>
                <w:sz w:val="24"/>
                <w:szCs w:val="24"/>
                <w:lang w:val="en-ID"/>
              </w:rPr>
              <w:t>Wald</w:t>
            </w:r>
          </w:p>
        </w:tc>
        <w:tc>
          <w:tcPr>
            <w:tcW w:w="963" w:type="dxa"/>
            <w:vAlign w:val="center"/>
            <w:hideMark/>
          </w:tcPr>
          <w:p w14:paraId="47D44941"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b/>
                <w:bCs/>
                <w:color w:val="000000"/>
                <w:sz w:val="24"/>
                <w:szCs w:val="24"/>
                <w:lang w:val="en-ID"/>
              </w:rPr>
              <w:t>p-value</w:t>
            </w:r>
          </w:p>
        </w:tc>
        <w:tc>
          <w:tcPr>
            <w:tcW w:w="2506" w:type="dxa"/>
            <w:vAlign w:val="center"/>
            <w:hideMark/>
          </w:tcPr>
          <w:p w14:paraId="360B1EC7"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b/>
                <w:bCs/>
                <w:color w:val="000000"/>
                <w:sz w:val="24"/>
                <w:szCs w:val="24"/>
                <w:lang w:val="en-ID"/>
              </w:rPr>
              <w:t>Adjusted OR (95% CI)</w:t>
            </w:r>
          </w:p>
        </w:tc>
      </w:tr>
      <w:tr w:rsidR="00747AF0" w:rsidRPr="002679B7" w14:paraId="6609DC0D" w14:textId="77777777" w:rsidTr="00747AF0">
        <w:trPr>
          <w:tblCellSpacing w:w="15" w:type="dxa"/>
        </w:trPr>
        <w:tc>
          <w:tcPr>
            <w:tcW w:w="2420" w:type="dxa"/>
            <w:tcBorders>
              <w:top w:val="single" w:sz="4" w:space="0" w:color="auto"/>
              <w:bottom w:val="nil"/>
            </w:tcBorders>
            <w:vAlign w:val="center"/>
            <w:hideMark/>
          </w:tcPr>
          <w:p w14:paraId="51A25A90"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Lymph node status</w:t>
            </w:r>
          </w:p>
        </w:tc>
        <w:tc>
          <w:tcPr>
            <w:tcW w:w="1104" w:type="dxa"/>
            <w:tcBorders>
              <w:top w:val="single" w:sz="4" w:space="0" w:color="auto"/>
              <w:bottom w:val="nil"/>
            </w:tcBorders>
            <w:vAlign w:val="center"/>
            <w:hideMark/>
          </w:tcPr>
          <w:p w14:paraId="5C792026"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Initial</w:t>
            </w:r>
          </w:p>
        </w:tc>
        <w:tc>
          <w:tcPr>
            <w:tcW w:w="821" w:type="dxa"/>
            <w:tcBorders>
              <w:top w:val="single" w:sz="4" w:space="0" w:color="auto"/>
              <w:bottom w:val="nil"/>
            </w:tcBorders>
            <w:vAlign w:val="center"/>
            <w:hideMark/>
          </w:tcPr>
          <w:p w14:paraId="2DD349D7"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20.57</w:t>
            </w:r>
          </w:p>
        </w:tc>
        <w:tc>
          <w:tcPr>
            <w:tcW w:w="1104" w:type="dxa"/>
            <w:tcBorders>
              <w:top w:val="single" w:sz="4" w:space="0" w:color="auto"/>
              <w:bottom w:val="nil"/>
            </w:tcBorders>
            <w:vAlign w:val="center"/>
            <w:hideMark/>
          </w:tcPr>
          <w:p w14:paraId="1DC4967F" w14:textId="77777777" w:rsidR="00747AF0" w:rsidRPr="00747AF0" w:rsidRDefault="00747AF0" w:rsidP="00747AF0">
            <w:pPr>
              <w:spacing w:after="0" w:line="360" w:lineRule="auto"/>
              <w:jc w:val="center"/>
              <w:rPr>
                <w:rFonts w:cs="Times New Roman"/>
                <w:color w:val="000000"/>
                <w:sz w:val="24"/>
                <w:szCs w:val="24"/>
                <w:lang w:val="en-ID"/>
              </w:rPr>
            </w:pPr>
            <w:commentRangeStart w:id="6"/>
            <w:r w:rsidRPr="00747AF0">
              <w:rPr>
                <w:rFonts w:cs="Times New Roman"/>
                <w:color w:val="000000"/>
                <w:sz w:val="24"/>
                <w:szCs w:val="24"/>
                <w:lang w:val="en-ID"/>
              </w:rPr>
              <w:t>17,974.82</w:t>
            </w:r>
            <w:commentRangeEnd w:id="6"/>
            <w:r w:rsidR="00672338" w:rsidRPr="00747AF0">
              <w:rPr>
                <w:rStyle w:val="CommentReference"/>
                <w:rFonts w:cs="Times New Roman"/>
                <w:color w:val="000000"/>
                <w:sz w:val="24"/>
                <w:szCs w:val="24"/>
                <w:lang w:val="en-ID"/>
              </w:rPr>
              <w:commentReference w:id="6"/>
            </w:r>
          </w:p>
        </w:tc>
        <w:tc>
          <w:tcPr>
            <w:tcW w:w="678" w:type="dxa"/>
            <w:tcBorders>
              <w:top w:val="single" w:sz="4" w:space="0" w:color="auto"/>
              <w:bottom w:val="nil"/>
            </w:tcBorders>
            <w:vAlign w:val="center"/>
            <w:hideMark/>
          </w:tcPr>
          <w:p w14:paraId="19CE545D"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0.000</w:t>
            </w:r>
          </w:p>
        </w:tc>
        <w:tc>
          <w:tcPr>
            <w:tcW w:w="963" w:type="dxa"/>
            <w:tcBorders>
              <w:top w:val="single" w:sz="4" w:space="0" w:color="auto"/>
              <w:bottom w:val="nil"/>
            </w:tcBorders>
            <w:vAlign w:val="center"/>
            <w:hideMark/>
          </w:tcPr>
          <w:p w14:paraId="1B873F8A"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0.999</w:t>
            </w:r>
          </w:p>
        </w:tc>
        <w:tc>
          <w:tcPr>
            <w:tcW w:w="2506" w:type="dxa"/>
            <w:tcBorders>
              <w:top w:val="single" w:sz="4" w:space="0" w:color="auto"/>
              <w:bottom w:val="nil"/>
            </w:tcBorders>
            <w:vAlign w:val="center"/>
            <w:hideMark/>
          </w:tcPr>
          <w:p w14:paraId="2E9D5D1D" w14:textId="54BC24C4"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N/A</w:t>
            </w:r>
          </w:p>
        </w:tc>
      </w:tr>
      <w:tr w:rsidR="00747AF0" w:rsidRPr="002679B7" w14:paraId="4667F482" w14:textId="77777777" w:rsidTr="00747AF0">
        <w:trPr>
          <w:tblCellSpacing w:w="15" w:type="dxa"/>
        </w:trPr>
        <w:tc>
          <w:tcPr>
            <w:tcW w:w="2420" w:type="dxa"/>
            <w:vAlign w:val="center"/>
            <w:hideMark/>
          </w:tcPr>
          <w:p w14:paraId="234BD99B"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HER2-positive status</w:t>
            </w:r>
          </w:p>
        </w:tc>
        <w:tc>
          <w:tcPr>
            <w:tcW w:w="1104" w:type="dxa"/>
            <w:vAlign w:val="center"/>
            <w:hideMark/>
          </w:tcPr>
          <w:p w14:paraId="2FE7E4F4"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Initial</w:t>
            </w:r>
          </w:p>
        </w:tc>
        <w:tc>
          <w:tcPr>
            <w:tcW w:w="821" w:type="dxa"/>
            <w:vAlign w:val="center"/>
            <w:hideMark/>
          </w:tcPr>
          <w:p w14:paraId="6E472FB7"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1.73</w:t>
            </w:r>
          </w:p>
        </w:tc>
        <w:tc>
          <w:tcPr>
            <w:tcW w:w="1104" w:type="dxa"/>
            <w:vAlign w:val="center"/>
            <w:hideMark/>
          </w:tcPr>
          <w:p w14:paraId="3BFE7FD5"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0.71</w:t>
            </w:r>
          </w:p>
        </w:tc>
        <w:tc>
          <w:tcPr>
            <w:tcW w:w="678" w:type="dxa"/>
            <w:vAlign w:val="center"/>
            <w:hideMark/>
          </w:tcPr>
          <w:p w14:paraId="2D7AEE10"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5.979</w:t>
            </w:r>
          </w:p>
        </w:tc>
        <w:tc>
          <w:tcPr>
            <w:tcW w:w="963" w:type="dxa"/>
            <w:vAlign w:val="center"/>
            <w:hideMark/>
          </w:tcPr>
          <w:p w14:paraId="600BB3ED"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0.014</w:t>
            </w:r>
          </w:p>
        </w:tc>
        <w:tc>
          <w:tcPr>
            <w:tcW w:w="2506" w:type="dxa"/>
            <w:vAlign w:val="center"/>
            <w:hideMark/>
          </w:tcPr>
          <w:p w14:paraId="3C027C51"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5.7 (1.41–22.76)</w:t>
            </w:r>
          </w:p>
        </w:tc>
      </w:tr>
      <w:tr w:rsidR="00747AF0" w:rsidRPr="002679B7" w14:paraId="03AFBC16" w14:textId="77777777" w:rsidTr="00747AF0">
        <w:trPr>
          <w:tblCellSpacing w:w="15" w:type="dxa"/>
        </w:trPr>
        <w:tc>
          <w:tcPr>
            <w:tcW w:w="2420" w:type="dxa"/>
            <w:vAlign w:val="center"/>
            <w:hideMark/>
          </w:tcPr>
          <w:p w14:paraId="1D1C0B33"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HER2-positive status</w:t>
            </w:r>
          </w:p>
        </w:tc>
        <w:tc>
          <w:tcPr>
            <w:tcW w:w="1104" w:type="dxa"/>
            <w:vAlign w:val="center"/>
            <w:hideMark/>
          </w:tcPr>
          <w:p w14:paraId="57E6738D" w14:textId="77777777" w:rsidR="00747AF0" w:rsidRPr="00747AF0" w:rsidRDefault="00747AF0" w:rsidP="00747AF0">
            <w:pPr>
              <w:spacing w:after="0" w:line="360" w:lineRule="auto"/>
              <w:rPr>
                <w:rFonts w:cs="Times New Roman"/>
                <w:color w:val="000000"/>
                <w:sz w:val="24"/>
                <w:szCs w:val="24"/>
                <w:lang w:val="en-ID"/>
              </w:rPr>
            </w:pPr>
            <w:r w:rsidRPr="00747AF0">
              <w:rPr>
                <w:rFonts w:cs="Times New Roman"/>
                <w:color w:val="000000"/>
                <w:sz w:val="24"/>
                <w:szCs w:val="24"/>
                <w:lang w:val="en-ID"/>
              </w:rPr>
              <w:t>Final</w:t>
            </w:r>
          </w:p>
        </w:tc>
        <w:tc>
          <w:tcPr>
            <w:tcW w:w="821" w:type="dxa"/>
            <w:vAlign w:val="center"/>
            <w:hideMark/>
          </w:tcPr>
          <w:p w14:paraId="3EEBC1C3"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1.99</w:t>
            </w:r>
          </w:p>
        </w:tc>
        <w:tc>
          <w:tcPr>
            <w:tcW w:w="1104" w:type="dxa"/>
            <w:vAlign w:val="center"/>
            <w:hideMark/>
          </w:tcPr>
          <w:p w14:paraId="75753200"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0.73</w:t>
            </w:r>
          </w:p>
        </w:tc>
        <w:tc>
          <w:tcPr>
            <w:tcW w:w="678" w:type="dxa"/>
            <w:vAlign w:val="center"/>
            <w:hideMark/>
          </w:tcPr>
          <w:p w14:paraId="2C0C13E0"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7.359</w:t>
            </w:r>
          </w:p>
        </w:tc>
        <w:tc>
          <w:tcPr>
            <w:tcW w:w="963" w:type="dxa"/>
            <w:vAlign w:val="center"/>
            <w:hideMark/>
          </w:tcPr>
          <w:p w14:paraId="6663452D"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0.007</w:t>
            </w:r>
          </w:p>
        </w:tc>
        <w:tc>
          <w:tcPr>
            <w:tcW w:w="2506" w:type="dxa"/>
            <w:vAlign w:val="center"/>
            <w:hideMark/>
          </w:tcPr>
          <w:p w14:paraId="0961B029" w14:textId="77777777" w:rsidR="00747AF0" w:rsidRPr="00747AF0" w:rsidRDefault="00747AF0" w:rsidP="00747AF0">
            <w:pPr>
              <w:spacing w:after="0" w:line="360" w:lineRule="auto"/>
              <w:jc w:val="center"/>
              <w:rPr>
                <w:rFonts w:cs="Times New Roman"/>
                <w:color w:val="000000"/>
                <w:sz w:val="24"/>
                <w:szCs w:val="24"/>
                <w:lang w:val="en-ID"/>
              </w:rPr>
            </w:pPr>
            <w:r w:rsidRPr="00747AF0">
              <w:rPr>
                <w:rFonts w:cs="Times New Roman"/>
                <w:color w:val="000000"/>
                <w:sz w:val="24"/>
                <w:szCs w:val="24"/>
                <w:lang w:val="en-ID"/>
              </w:rPr>
              <w:t>7.3 (1.76–30.50)</w:t>
            </w:r>
          </w:p>
        </w:tc>
      </w:tr>
    </w:tbl>
    <w:p w14:paraId="302469E3" w14:textId="77777777" w:rsidR="00747AF0" w:rsidRPr="002679B7" w:rsidRDefault="00747AF0" w:rsidP="00747AF0">
      <w:pPr>
        <w:spacing w:after="0" w:line="360" w:lineRule="auto"/>
        <w:rPr>
          <w:rFonts w:cs="Times New Roman"/>
          <w:sz w:val="24"/>
          <w:szCs w:val="24"/>
        </w:rPr>
        <w:sectPr w:rsidR="00747AF0" w:rsidRPr="002679B7" w:rsidSect="005A0DF6">
          <w:pgSz w:w="11906" w:h="16838"/>
          <w:pgMar w:top="1440" w:right="1440" w:bottom="1440" w:left="1440" w:header="720" w:footer="720" w:gutter="0"/>
          <w:cols w:space="360"/>
          <w:docGrid w:linePitch="360"/>
        </w:sectPr>
      </w:pPr>
    </w:p>
    <w:p w14:paraId="6F136A0A" w14:textId="7AB9FECF" w:rsidR="00747AF0" w:rsidRPr="002679B7" w:rsidRDefault="00747AF0" w:rsidP="00747AF0">
      <w:pPr>
        <w:keepNext/>
        <w:spacing w:after="0" w:line="360" w:lineRule="auto"/>
        <w:rPr>
          <w:rFonts w:cs="Times New Roman"/>
          <w:i/>
          <w:iCs/>
          <w:color w:val="000000"/>
          <w:sz w:val="24"/>
          <w:szCs w:val="24"/>
          <w:lang w:val="en-ID"/>
        </w:rPr>
      </w:pPr>
      <w:r w:rsidRPr="002679B7">
        <w:rPr>
          <w:rFonts w:cs="Times New Roman"/>
          <w:b/>
          <w:bCs/>
          <w:i/>
          <w:iCs/>
          <w:color w:val="000000"/>
          <w:sz w:val="24"/>
          <w:szCs w:val="24"/>
          <w:lang w:val="en-ID"/>
        </w:rPr>
        <w:t>Note</w:t>
      </w:r>
      <w:r w:rsidRPr="00747AF0">
        <w:rPr>
          <w:rFonts w:cs="Times New Roman"/>
          <w:i/>
          <w:iCs/>
          <w:color w:val="000000"/>
          <w:sz w:val="24"/>
          <w:szCs w:val="24"/>
          <w:lang w:val="en-ID"/>
        </w:rPr>
        <w:t>: SE, standard error; OR, odds ratio; CI, confidence interval.</w:t>
      </w:r>
    </w:p>
    <w:p w14:paraId="28FB2CAA" w14:textId="77777777" w:rsidR="00747AF0" w:rsidRPr="002679B7" w:rsidRDefault="00747AF0" w:rsidP="00747AF0">
      <w:pPr>
        <w:keepNext/>
        <w:spacing w:after="0" w:line="360" w:lineRule="auto"/>
        <w:rPr>
          <w:rFonts w:cs="Times New Roman"/>
          <w:b/>
          <w:sz w:val="24"/>
          <w:szCs w:val="24"/>
        </w:rPr>
      </w:pPr>
    </w:p>
    <w:p w14:paraId="7FFEEFAC" w14:textId="1BC3CBB6" w:rsidR="00AB2309" w:rsidRPr="002679B7" w:rsidRDefault="002679B7" w:rsidP="002679B7">
      <w:pPr>
        <w:keepNext/>
        <w:spacing w:after="0" w:line="360" w:lineRule="auto"/>
        <w:jc w:val="both"/>
        <w:rPr>
          <w:rFonts w:cs="Times New Roman"/>
          <w:sz w:val="24"/>
          <w:szCs w:val="24"/>
        </w:rPr>
      </w:pPr>
      <w:r w:rsidRPr="002679B7">
        <w:rPr>
          <w:rFonts w:cs="Times New Roman"/>
          <w:b/>
          <w:sz w:val="24"/>
          <w:szCs w:val="24"/>
        </w:rPr>
        <w:t>DISCUSSION</w:t>
      </w:r>
    </w:p>
    <w:p w14:paraId="3373ACE5" w14:textId="65611F47" w:rsidR="002679B7" w:rsidRPr="002679B7" w:rsidRDefault="002679B7" w:rsidP="00095E10">
      <w:pPr>
        <w:spacing w:after="0" w:line="360" w:lineRule="auto"/>
        <w:ind w:firstLine="720"/>
        <w:jc w:val="both"/>
        <w:rPr>
          <w:rFonts w:cs="Times New Roman"/>
          <w:sz w:val="24"/>
          <w:szCs w:val="24"/>
        </w:rPr>
      </w:pPr>
      <w:r w:rsidRPr="002679B7">
        <w:rPr>
          <w:rFonts w:cs="Times New Roman"/>
          <w:color w:val="000000"/>
          <w:sz w:val="24"/>
          <w:szCs w:val="24"/>
        </w:rPr>
        <w:t xml:space="preserve">The present study evaluated the prognostic relevance of circulating serum </w:t>
      </w:r>
      <w:r w:rsidR="00891736">
        <w:rPr>
          <w:rFonts w:cs="Times New Roman"/>
          <w:color w:val="000000"/>
          <w:sz w:val="24"/>
          <w:szCs w:val="24"/>
        </w:rPr>
        <w:t>SP</w:t>
      </w:r>
      <w:r w:rsidRPr="002679B7">
        <w:rPr>
          <w:rFonts w:cs="Times New Roman"/>
          <w:color w:val="000000"/>
          <w:sz w:val="24"/>
          <w:szCs w:val="24"/>
        </w:rPr>
        <w:t xml:space="preserve"> levels in patients with luminal breast cancer. Our findings demonstrate that serum SP is not ubiquitously associated with all conventional clinicopathological variables. Instead, it exhibits a highly selective and </w:t>
      </w:r>
      <w:commentRangeStart w:id="7"/>
      <w:r w:rsidRPr="002679B7">
        <w:rPr>
          <w:rFonts w:cs="Times New Roman"/>
          <w:color w:val="000000"/>
          <w:sz w:val="24"/>
          <w:szCs w:val="24"/>
        </w:rPr>
        <w:t>robust association</w:t>
      </w:r>
      <w:commentRangeEnd w:id="7"/>
      <w:r w:rsidR="00672338" w:rsidRPr="002679B7">
        <w:rPr>
          <w:rStyle w:val="CommentReference"/>
          <w:rFonts w:cs="Times New Roman"/>
          <w:color w:val="000000"/>
          <w:sz w:val="24"/>
          <w:szCs w:val="24"/>
        </w:rPr>
        <w:commentReference w:id="7"/>
      </w:r>
      <w:r w:rsidRPr="002679B7">
        <w:rPr>
          <w:rFonts w:cs="Times New Roman"/>
          <w:color w:val="000000"/>
          <w:sz w:val="24"/>
          <w:szCs w:val="24"/>
        </w:rPr>
        <w:t xml:space="preserve"> with regional lymph node involvement and HER2-positive status. This specific distribution pattern suggests that systemic SP levels may reflect distinct biological compartments of tumor progression—primarily lymphatic dissemination and receptor-mediated neuro-oncogenic signaling—rather than acting as a simple surrogate for overall tumor burden or intrinsic cellular proliferation </w:t>
      </w:r>
      <w:r w:rsidR="0042695B">
        <w:rPr>
          <w:rFonts w:cs="Times New Roman"/>
          <w:color w:val="000000"/>
          <w:sz w:val="24"/>
          <w:szCs w:val="24"/>
        </w:rPr>
        <w:fldChar w:fldCharType="begin"/>
      </w:r>
      <w:r w:rsidR="0042695B">
        <w:rPr>
          <w:rFonts w:cs="Times New Roman"/>
          <w:color w:val="000000"/>
          <w:sz w:val="24"/>
          <w:szCs w:val="24"/>
        </w:rPr>
        <w:instrText xml:space="preserve"> ADDIN ZOTERO_ITEM CSL_CITATION {"citationID":"FlIPKNHw","properties":{"formattedCitation":"(5,8)","plainCitation":"(5,8)","noteIndex":0},"citationItems":[{"id":6375,"uris":["http://zotero.org/users/local/wf13h2s2/items/75ZS4Z5Z"],"itemData":{"id":6375,"type":"article-journal","abstract":"New, promising molecular targets to block tumor development and new compounds capable of specifically destroying cancer cells must be urgently investigated [...].","container-title":"Cancers","DOI":"10.3390/cancers14143539","ISSN":"2072-6694","issue":"14","journalAbbreviation":"Cancers (Basel)","language":"eng","page":"3539","PMID":"35884599","PMCID":"PMC9317685","source":"PubMed","title":"Involvement of the Substance P/Neurokinin-1 Receptor System in Cancer","volume":"14","author":[{"family":"Coveñas","given":"Rafael"},{"family":"Muñoz","given":"Miguel"}],"issued":{"date-parts":[["2022",7,21]]}}},{"id":6383,"uris":["http://zotero.org/users/local/wf13h2s2/items/JLVNSSRC"],"itemData":{"id":6383,"type":"article-journal","abstract":"Breast cancer is the second leading cause of cancer death in women with increasing incidence. Hence, finding a diagnostic factor and/or potential drug target could lead to an earlier diagnosis or a more effective therapeutic protocol. It is shown that substance P (SP) through its receptor neurokinin-1 (NK1R) could initiate tumor cell proliferation, angiogenesis, and migration. This was a case-control study on 41 women with breast cancer and 34 healthy controls. Serum level of SP was measured using an ELISA method, and immunohistochemistry staining was performed to study NK1R expression in different cell compartments. Assessing serum SP values of patients showed significantly higher levels than those of healthy individuals. However, no significant correlation was found between SP levels and tumor criteria, but between SP and HER-2. Moreover, the percentage, intensity of staining as well as tissue distribution of NK1R were significantly higher in tumor tissues as compared with controls. Increased serum SP levels and NK1R tissue distribution were observed in patients with breast cancer as compared with their controls, highlighting the involvement of SP/NK1R complex in breast cancer incidence. NK1R profound expression in tumor cell cytoplasm and its significant correlation with the majority of cancer features can be of importance to be taken into consideration as a possible potential therapeutic target in future targeted therapeutic strategies. Furthermore, cytoplasmic expression of NK1R can be suggested as a potent prognostic factor as it has shown significant correlation with TNM and tumor grade.","container-title":"Molecular Biology Reports","DOI":"10.1007/s11033-019-04599-9","ISSN":"1573-4978","issue":"1","journalAbbreviation":"Mol Biol Rep","language":"eng","page":"1285-1293","PMID":"30684188","source":"PubMed","title":"Evaluation of serum level of substance P and tissue distribution of NK-1 receptor in breast cancer","volume":"46","author":[{"family":"Davoodian","given":"Monireh"},{"family":"Boroumand","given":"Nadia"},{"family":"Mehrabi Bahar","given":"Mostafa"},{"family":"Jafarian","given":"Amir Hosein"},{"family":"Asadi","given":"Mahdi"},{"family":"Hashemy","given":"Seyed Isaac"}],"issued":{"date-parts":[["2019",2]]}}}],"schema":"https://github.com/citation-style-language/schema/raw/master/csl-citation.json"} </w:instrText>
      </w:r>
      <w:r w:rsidR="0042695B">
        <w:rPr>
          <w:rFonts w:cs="Times New Roman"/>
          <w:color w:val="000000"/>
          <w:sz w:val="24"/>
          <w:szCs w:val="24"/>
        </w:rPr>
        <w:fldChar w:fldCharType="separate"/>
      </w:r>
      <w:r w:rsidR="0042695B">
        <w:rPr>
          <w:rFonts w:cs="Times New Roman"/>
          <w:noProof/>
          <w:color w:val="000000"/>
          <w:sz w:val="24"/>
          <w:szCs w:val="24"/>
        </w:rPr>
        <w:t>(5,8)</w:t>
      </w:r>
      <w:r w:rsidR="0042695B">
        <w:rPr>
          <w:rFonts w:cs="Times New Roman"/>
          <w:color w:val="000000"/>
          <w:sz w:val="24"/>
          <w:szCs w:val="24"/>
        </w:rPr>
        <w:fldChar w:fldCharType="end"/>
      </w:r>
      <w:r w:rsidRPr="002679B7">
        <w:rPr>
          <w:rFonts w:cs="Times New Roman"/>
          <w:color w:val="000000"/>
          <w:sz w:val="24"/>
          <w:szCs w:val="24"/>
        </w:rPr>
        <w:t>.</w:t>
      </w:r>
    </w:p>
    <w:p w14:paraId="1AF743B9" w14:textId="14CA5E45" w:rsidR="002679B7" w:rsidRPr="002679B7" w:rsidRDefault="002679B7" w:rsidP="00095E10">
      <w:pPr>
        <w:pStyle w:val="NormalWeb"/>
        <w:spacing w:before="0" w:beforeAutospacing="0" w:after="0" w:afterAutospacing="0" w:line="360" w:lineRule="auto"/>
        <w:ind w:firstLine="720"/>
        <w:jc w:val="both"/>
        <w:rPr>
          <w:color w:val="000000"/>
        </w:rPr>
      </w:pPr>
      <w:r w:rsidRPr="002679B7">
        <w:rPr>
          <w:color w:val="000000"/>
        </w:rPr>
        <w:t xml:space="preserve">The absence of a statistically significant association between serum SP concentrations and tumor size (T stage) or overall clinical stage must be contextualized within the specific demographic of our study population. The cohort was predominantly characterized by locally advanced disease, with over 90% presenting with T4 and stage IIIB tumors. This clustering likely attenuated the statistical variance across categories, thereby limiting the discriminatory capacity of serum SP for these specific macroscopic parameters. Similarly, the lack of correlation with histopathological grade and the Ki-67 index implies that circulating SP may be less responsive to intrinsic tumor differentiation and proliferative rates, and more closely tied to the dynamic tumor-host neuroinflammatory interactions that facilitate metastasis </w:t>
      </w:r>
      <w:r w:rsidR="0042695B">
        <w:rPr>
          <w:color w:val="000000"/>
        </w:rPr>
        <w:fldChar w:fldCharType="begin"/>
      </w:r>
      <w:r w:rsidR="0042695B">
        <w:rPr>
          <w:color w:val="000000"/>
        </w:rPr>
        <w:instrText xml:space="preserve"> ADDIN ZOTERO_ITEM CSL_CITATION {"citationID":"rNTiZKgz","properties":{"formattedCitation":"(6,7)","plainCitation":"(6,7)","noteIndex":0},"citationItems":[{"id":6378,"uris":["http://zotero.org/users/local/wf13h2s2/items/QSKEH9XE"],"itemData":{"id":6378,"type":"article-journal","abstract":"Expression and immunolocalization of Substance P (SP)/Neurokinin-1 Receptor (NK-1R) in breast carcinoma (BC) patients and its association with routine proliferative markers (ER, PR, HER2/neu, and Ki-67) were evaluated. A cross-sectional study was performed on 34 cases of BC. There were 23 cases of group A (grade III), 8 of group B (grade II), and only 3 cases of group C (grade I). All samples were then processed for SP and NK-1R immunohistochemistry for few cases. 14/23 cases (61%) of group A, 7/8 cases (88%) of group B, and 2/3 (67%) cases of group C were SP positive. Overall, strong staining (≥10% tumor cells), labeled as \"+3,\" was observed in 9/14 (64.2%) cases of group A and 1/8 (12.5%) cases of group B. Moderate staining labelled as \"+2\" (in ≥10% tumor cells) was observed in 3/14 (21.4%) cases of group A and 4/8 (50%) cases of group B. Weak positive staining \"+1\" was observed in only 2/14 (14.28%) cases of group A, 2/8 (25%) cases of group B, and all 2/2 (100%) cases of group C. SP and NK-1R are overexpressed in breast carcinomas, and there is significant association between the grade of tumor and their overexpression.","container-title":"BioMed Research International","DOI":"10.1155/2021/5577820","ISSN":"2314-6141","journalAbbreviation":"Biomed Res Int","language":"eng","page":"5577820","PMID":"34692834","PMCID":"PMC8528600","source":"PubMed","title":"Prognostic Significance of Substance P/Neurokinin 1 Receptor and Its Association with Hormonal Receptors in Breast Carcinoma","volume":"2021","author":[{"family":"Mehboob","given":"Riffat"},{"family":"Gilani","given":"Syed Amir"},{"family":"Hassan","given":"Amber"},{"family":"Sadaf","given":"null"},{"family":"Tanvir","given":"Imrana"},{"family":"Javaid","given":"Shaista"},{"family":"Khalid","given":"Sidra"},{"family":"Hasan","given":"Sana"},{"family":"Waseem","given":"Humaira"},{"family":"Alwazzan","given":"Ahmad"},{"family":"Munoz","given":"Miguel"}],"issued":{"date-parts":[["2021"]]}}},{"id":6381,"uris":["http://zotero.org/users/local/wf13h2s2/items/CUC36SU3"],"itemData":{"id":6381,"type":"article-journal","abstract":"Background\n              The neuropeptide substance P is a potential biomarker and therapeutic target in cancer. The main objectives of this study were to investigate the expression level of substance P in different breast cancer molecular subtypes and identify its association with clinicopathological parameters of patients and with Ki-67 index.\n            \n            \n              Methods\n              A retrospective analysis was performed for a total of 164 paraffin-embedded breast cancer tissue samples [42 Her2/neu-enriched, 40 luminal A, 42 luminal B (triple-positive) and 40 triple negative subtypes]. The tissue microarray slides containing specimens were used to determine the expression of substance p and Ki-67 by immunohistochemical staining.\n            \n            \n              Results\n              The mean age of the cohort was 51.35 years. Twenty two percent of cases had low substance P expression levels (TS ≤ 5), while 78% had high expression levels (TS &gt; 5). A significant association was found between SP expression level and breast cancer molecular subtype (p = 0.002), TNM stage (p = 0.034), pN stage (p = 0.013), axillary lymph node metastasis (p = 0.004), ER and PR statuses (p&lt;0.001) and history of DCIS (p = 0.009). The average percentage of Ki-67 expression was 27.05%. When analyzed as a continuous variable, significant differences were observed between the mean Ki-67 scores and molecular subtype (p = 0.001), grade (p = 0.003), pN stage (p = 0.007), axillary lymph node metastasis (p = 0.001), and ER and PR statuses (p &lt;0.001).\n            \n            \n              Conclusion\n              SP is overexpressed in most of the analyzed tissues and has a negative prognostic value in the breast cancer patients. Besides substance P is a potential therapeutic target in breast cancer.","container-title":"PLOS ONE","DOI":"10.1371/journal.pone.0252616","ISSN":"1932-6203","issue":"6","journalAbbreviation":"PLoS ONE","language":"en","page":"e0252616","source":"DOI.org (Crossref)","title":"Immunohistochemical expression of substance P in breast cancer and its association with prognostic parameters and Ki-67 index","URL":"https://dx.plos.org/10.1371/journal.pone.0252616","volume":"16","author":[{"family":"Al-Keilani","given":"Maha S."},{"family":"Elstaty","given":"Rana I."},{"family":"Alqudah","given":"Mohammad A."},{"family":"Alkhateeb","given":"Asem M."}],"editor":[{"family":"Özmen","given":"Vahit"}],"accessed":{"date-parts":[["2026",4,3]]},"issued":{"date-parts":[["2021",6,4]]}}}],"schema":"https://github.com/citation-style-language/schema/raw/master/csl-citation.json"} </w:instrText>
      </w:r>
      <w:r w:rsidR="0042695B">
        <w:rPr>
          <w:color w:val="000000"/>
        </w:rPr>
        <w:fldChar w:fldCharType="separate"/>
      </w:r>
      <w:r w:rsidR="0042695B">
        <w:rPr>
          <w:noProof/>
          <w:color w:val="000000"/>
        </w:rPr>
        <w:t>(6,7)</w:t>
      </w:r>
      <w:r w:rsidR="0042695B">
        <w:rPr>
          <w:color w:val="000000"/>
        </w:rPr>
        <w:fldChar w:fldCharType="end"/>
      </w:r>
      <w:r w:rsidRPr="002679B7">
        <w:rPr>
          <w:color w:val="000000"/>
        </w:rPr>
        <w:t>.</w:t>
      </w:r>
    </w:p>
    <w:p w14:paraId="1AEDD990" w14:textId="078B7FCE" w:rsidR="002679B7" w:rsidRPr="002679B7" w:rsidRDefault="002679B7" w:rsidP="00095E10">
      <w:pPr>
        <w:pStyle w:val="NormalWeb"/>
        <w:spacing w:before="0" w:beforeAutospacing="0" w:after="0" w:afterAutospacing="0" w:line="360" w:lineRule="auto"/>
        <w:ind w:firstLine="720"/>
        <w:jc w:val="both"/>
        <w:rPr>
          <w:color w:val="000000"/>
        </w:rPr>
      </w:pPr>
      <w:r w:rsidRPr="002679B7">
        <w:rPr>
          <w:color w:val="000000"/>
        </w:rPr>
        <w:t xml:space="preserve">A pivotal finding of this study is the significant elevation of serum SP in patients with histologically confirmed lymph node metastasis. Continuous analysis revealed higher mean SP concentrations in node-positive patients, and categorical analysis utilizing the 1.300 </w:t>
      </w:r>
      <w:r w:rsidRPr="002679B7">
        <w:rPr>
          <w:color w:val="000000"/>
        </w:rPr>
        <w:lastRenderedPageBreak/>
        <w:t xml:space="preserve">ng/mL diagnostic threshold showed that all node-negative cases mapped exclusively to the low-SP category. These findings align strongly with established biological mechanistic models. The SP/NK-1R axis is a well-documented driver of neurogenic inflammation, vascular permeability, cellular motility, and the initiation of the metastatic cascade </w:t>
      </w:r>
      <w:r w:rsidR="0042695B">
        <w:rPr>
          <w:color w:val="000000"/>
        </w:rPr>
        <w:fldChar w:fldCharType="begin"/>
      </w:r>
      <w:r w:rsidR="007321BD">
        <w:rPr>
          <w:color w:val="000000"/>
        </w:rPr>
        <w:instrText xml:space="preserve"> ADDIN ZOTERO_ITEM CSL_CITATION {"citationID":"MPzm5SHk","properties":{"formattedCitation":"(16)","plainCitation":"(16)","noteIndex":0},"citationItems":[{"id":6388,"uris":["http://zotero.org/users/local/wf13h2s2/items/UM4WN225"],"itemData":{"id":6388,"type":"article-journal","container-title":"Nature","DOI":"10.1038/s41586-024-07767-5","ISSN":"0028-0836, 1476-4687","issue":"8028","journalAbbreviation":"Nature","language":"en","page":"207-215","source":"DOI.org (Crossref)","title":"Neuronal substance P drives metastasis through an extracellular RNA–TLR7 axis","URL":"https://www.nature.com/articles/s41586-024-07767-5","volume":"633","author":[{"family":"Padmanaban","given":"Veena"},{"family":"Keller","given":"Isabel"},{"family":"Seltzer","given":"Ethan S."},{"family":"Ostendorf","given":"Benjamin N."},{"family":"Kerner","given":"Zachary"},{"family":"Tavazoie","given":"Sohail F."}],"accessed":{"date-parts":[["2026",4,3]]},"issued":{"date-parts":[["2024",9,5]]}}}],"schema":"https://github.com/citation-style-language/schema/raw/master/csl-citation.json"} </w:instrText>
      </w:r>
      <w:r w:rsidR="0042695B">
        <w:rPr>
          <w:color w:val="000000"/>
        </w:rPr>
        <w:fldChar w:fldCharType="separate"/>
      </w:r>
      <w:r w:rsidR="007321BD">
        <w:rPr>
          <w:noProof/>
          <w:color w:val="000000"/>
        </w:rPr>
        <w:t>(16)</w:t>
      </w:r>
      <w:r w:rsidR="0042695B">
        <w:rPr>
          <w:color w:val="000000"/>
        </w:rPr>
        <w:fldChar w:fldCharType="end"/>
      </w:r>
      <w:r w:rsidRPr="002679B7">
        <w:rPr>
          <w:color w:val="000000"/>
        </w:rPr>
        <w:t xml:space="preserve">. Previous immunohistochemical investigations have corroborated that tissue-level SP and NK-1R overexpressions are inextricably linked to lymphatic invasion and advanced regional disease </w:t>
      </w:r>
      <w:r w:rsidR="0042695B">
        <w:rPr>
          <w:color w:val="000000"/>
        </w:rPr>
        <w:fldChar w:fldCharType="begin"/>
      </w:r>
      <w:r w:rsidR="0042695B">
        <w:rPr>
          <w:color w:val="000000"/>
        </w:rPr>
        <w:instrText xml:space="preserve"> ADDIN ZOTERO_ITEM CSL_CITATION {"citationID":"F5eayDCl","properties":{"formattedCitation":"(6,7)","plainCitation":"(6,7)","noteIndex":0},"citationItems":[{"id":6378,"uris":["http://zotero.org/users/local/wf13h2s2/items/QSKEH9XE"],"itemData":{"id":6378,"type":"article-journal","abstract":"Expression and immunolocalization of Substance P (SP)/Neurokinin-1 Receptor (NK-1R) in breast carcinoma (BC) patients and its association with routine proliferative markers (ER, PR, HER2/neu, and Ki-67) were evaluated. A cross-sectional study was performed on 34 cases of BC. There were 23 cases of group A (grade III), 8 of group B (grade II), and only 3 cases of group C (grade I). All samples were then processed for SP and NK-1R immunohistochemistry for few cases. 14/23 cases (61%) of group A, 7/8 cases (88%) of group B, and 2/3 (67%) cases of group C were SP positive. Overall, strong staining (≥10% tumor cells), labeled as \"+3,\" was observed in 9/14 (64.2%) cases of group A and 1/8 (12.5%) cases of group B. Moderate staining labelled as \"+2\" (in ≥10% tumor cells) was observed in 3/14 (21.4%) cases of group A and 4/8 (50%) cases of group B. Weak positive staining \"+1\" was observed in only 2/14 (14.28%) cases of group A, 2/8 (25%) cases of group B, and all 2/2 (100%) cases of group C. SP and NK-1R are overexpressed in breast carcinomas, and there is significant association between the grade of tumor and their overexpression.","container-title":"BioMed Research International","DOI":"10.1155/2021/5577820","ISSN":"2314-6141","journalAbbreviation":"Biomed Res Int","language":"eng","page":"5577820","PMID":"34692834","PMCID":"PMC8528600","source":"PubMed","title":"Prognostic Significance of Substance P/Neurokinin 1 Receptor and Its Association with Hormonal Receptors in Breast Carcinoma","volume":"2021","author":[{"family":"Mehboob","given":"Riffat"},{"family":"Gilani","given":"Syed Amir"},{"family":"Hassan","given":"Amber"},{"family":"Sadaf","given":"null"},{"family":"Tanvir","given":"Imrana"},{"family":"Javaid","given":"Shaista"},{"family":"Khalid","given":"Sidra"},{"family":"Hasan","given":"Sana"},{"family":"Waseem","given":"Humaira"},{"family":"Alwazzan","given":"Ahmad"},{"family":"Munoz","given":"Miguel"}],"issued":{"date-parts":[["2021"]]}}},{"id":6381,"uris":["http://zotero.org/users/local/wf13h2s2/items/CUC36SU3"],"itemData":{"id":6381,"type":"article-journal","abstract":"Background\n              The neuropeptide substance P is a potential biomarker and therapeutic target in cancer. The main objectives of this study were to investigate the expression level of substance P in different breast cancer molecular subtypes and identify its association with clinicopathological parameters of patients and with Ki-67 index.\n            \n            \n              Methods\n              A retrospective analysis was performed for a total of 164 paraffin-embedded breast cancer tissue samples [42 Her2/neu-enriched, 40 luminal A, 42 luminal B (triple-positive) and 40 triple negative subtypes]. The tissue microarray slides containing specimens were used to determine the expression of substance p and Ki-67 by immunohistochemical staining.\n            \n            \n              Results\n              The mean age of the cohort was 51.35 years. Twenty two percent of cases had low substance P expression levels (TS ≤ 5), while 78% had high expression levels (TS &gt; 5). A significant association was found between SP expression level and breast cancer molecular subtype (p = 0.002), TNM stage (p = 0.034), pN stage (p = 0.013), axillary lymph node metastasis (p = 0.004), ER and PR statuses (p&lt;0.001) and history of DCIS (p = 0.009). The average percentage of Ki-67 expression was 27.05%. When analyzed as a continuous variable, significant differences were observed between the mean Ki-67 scores and molecular subtype (p = 0.001), grade (p = 0.003), pN stage (p = 0.007), axillary lymph node metastasis (p = 0.001), and ER and PR statuses (p &lt;0.001).\n            \n            \n              Conclusion\n              SP is overexpressed in most of the analyzed tissues and has a negative prognostic value in the breast cancer patients. Besides substance P is a potential therapeutic target in breast cancer.","container-title":"PLOS ONE","DOI":"10.1371/journal.pone.0252616","ISSN":"1932-6203","issue":"6","journalAbbreviation":"PLoS ONE","language":"en","page":"e0252616","source":"DOI.org (Crossref)","title":"Immunohistochemical expression of substance P in breast cancer and its association with prognostic parameters and Ki-67 index","URL":"https://dx.plos.org/10.1371/journal.pone.0252616","volume":"16","author":[{"family":"Al-Keilani","given":"Maha S."},{"family":"Elstaty","given":"Rana I."},{"family":"Alqudah","given":"Mohammad A."},{"family":"Alkhateeb","given":"Asem M."}],"editor":[{"family":"Özmen","given":"Vahit"}],"accessed":{"date-parts":[["2026",4,3]]},"issued":{"date-parts":[["2021",6,4]]}}}],"schema":"https://github.com/citation-style-language/schema/raw/master/csl-citation.json"} </w:instrText>
      </w:r>
      <w:r w:rsidR="0042695B">
        <w:rPr>
          <w:color w:val="000000"/>
        </w:rPr>
        <w:fldChar w:fldCharType="separate"/>
      </w:r>
      <w:r w:rsidR="0042695B">
        <w:rPr>
          <w:noProof/>
          <w:color w:val="000000"/>
        </w:rPr>
        <w:t>(6,7)</w:t>
      </w:r>
      <w:r w:rsidR="0042695B">
        <w:rPr>
          <w:color w:val="000000"/>
        </w:rPr>
        <w:fldChar w:fldCharType="end"/>
      </w:r>
      <w:r w:rsidRPr="002679B7">
        <w:rPr>
          <w:color w:val="000000"/>
        </w:rPr>
        <w:t xml:space="preserve">. </w:t>
      </w:r>
      <w:commentRangeStart w:id="8"/>
      <w:r w:rsidRPr="002679B7">
        <w:rPr>
          <w:color w:val="000000"/>
        </w:rPr>
        <w:t>Our data build upon this by validating</w:t>
      </w:r>
      <w:commentRangeEnd w:id="8"/>
      <w:r w:rsidR="00D52195" w:rsidRPr="002679B7">
        <w:rPr>
          <w:rStyle w:val="CommentReference"/>
          <w:color w:val="000000"/>
          <w:sz w:val="24"/>
          <w:szCs w:val="24"/>
        </w:rPr>
        <w:commentReference w:id="8"/>
      </w:r>
      <w:r w:rsidRPr="002679B7">
        <w:rPr>
          <w:color w:val="000000"/>
        </w:rPr>
        <w:t xml:space="preserve"> that these tissue-level interactions are reflected systemically, supporting the translational validity of serum SP as a "liquid biopsy" indicator of regional dissemination.</w:t>
      </w:r>
    </w:p>
    <w:p w14:paraId="31C03C7C" w14:textId="1EFE04D6" w:rsidR="002679B7" w:rsidRPr="002679B7" w:rsidRDefault="002679B7" w:rsidP="00095E10">
      <w:pPr>
        <w:pStyle w:val="NormalWeb"/>
        <w:spacing w:before="0" w:beforeAutospacing="0" w:after="0" w:afterAutospacing="0" w:line="360" w:lineRule="auto"/>
        <w:ind w:firstLine="720"/>
        <w:jc w:val="both"/>
        <w:rPr>
          <w:color w:val="000000"/>
        </w:rPr>
      </w:pPr>
      <w:r w:rsidRPr="002679B7">
        <w:rPr>
          <w:color w:val="000000"/>
        </w:rPr>
        <w:t>The most clinically salient finding of the present study is the robust, independent association between elevated serum SP levels (</w:t>
      </w:r>
      <w:r w:rsidRPr="002679B7">
        <w:rPr>
          <w:rStyle w:val="mrel"/>
          <w:rFonts w:eastAsiaTheme="majorEastAsia"/>
          <w:color w:val="000000"/>
        </w:rPr>
        <w:t>≥</w:t>
      </w:r>
      <w:r w:rsidRPr="002679B7">
        <w:rPr>
          <w:rStyle w:val="mord"/>
          <w:rFonts w:eastAsiaTheme="majorEastAsia"/>
          <w:color w:val="000000"/>
        </w:rPr>
        <w:t>1.300</w:t>
      </w:r>
      <w:r w:rsidRPr="002679B7">
        <w:rPr>
          <w:rStyle w:val="apple-converted-space"/>
          <w:color w:val="000000"/>
        </w:rPr>
        <w:t> </w:t>
      </w:r>
      <w:r w:rsidRPr="002679B7">
        <w:rPr>
          <w:color w:val="000000"/>
        </w:rPr>
        <w:t xml:space="preserve">ng/mL) and HER2-positive status. This dynamic remained statistically significant across continuous bivariable analysis, ROC curve profiling (AUC 0.782), and multivariable logistic regression, where HER2 positivity conferred a greater than seven-fold increased odds of high circulating SP. Mechanistically, this observation is highly consistent with experimental paradigms demonstrating intricate, bidirectional crosstalk between the SP/NK-1R axis and receptor tyrosine kinase (RTK) signaling networks, specifically the epidermal growth factor receptor (EGFR) and HER2 pathways </w:t>
      </w:r>
      <w:r w:rsidR="0042695B">
        <w:rPr>
          <w:color w:val="000000"/>
        </w:rPr>
        <w:fldChar w:fldCharType="begin"/>
      </w:r>
      <w:r w:rsidR="007321BD">
        <w:rPr>
          <w:color w:val="000000"/>
        </w:rPr>
        <w:instrText xml:space="preserve"> ADDIN ZOTERO_ITEM CSL_CITATION {"citationID":"giHJf1Hg","properties":{"formattedCitation":"(17,18)","plainCitation":"(17,18)","noteIndex":0},"citationItems":[{"id":6389,"uris":["http://zotero.org/users/local/wf13h2s2/items/3M6Z8E5R"],"itemData":{"id":6389,"type":"article-journal","abstract":"NK1 is a tachykinin receptor highly relevant to tumorigenesis and metastasis development in breast cancer and other carcinomas. Despite the substantial efforts done to develop potent NK1 receptor antagonists, none of these antagonists had shown good antitumor activity in clinical trials. Now, we have tested the effect of inhibition of the neuropeptide Substance P (SP), a NK1 ligand, as a potential therapeutic approach in cancer. We found that the inhibition of SP with antibodies strongly inhibit cell growth and induce apoptosis in breast, colon, and prostate cancer cell lines. These effects were accompained by a decrease in the mitogen-activated kinase singaling pathway. Interestingly, in some cell lines SP abrogation decreased the steady state of Her2 and EGFR, suggesting that SP-mediated signaling is important for the basal activity of these ErbB receptors. In consequence, we observed a blockade of the cell cycle progression and the inhibition of several cell cycle-related proteins including mTOR. SP inhibition also induced cell death in cell lines resistant to Lapatinib and Trastuzumab that have increased levels of active Her2, suggesting that this therapeutic approach could be also effective for those cancers resistant to current anti-ErbB therapies. Thus, we propose a new therapeutic strategy for those cancers that express NK1 receptor and/or other tachykinin receptors, based in the immuno-blockade of the neuropeptide SP.","container-title":"Journal of Cellular Physiology","DOI":"10.1002/jcp.22848","ISSN":"1097-4652","issue":"4","journalAbbreviation":"J Cell Physiol","language":"eng","page":"1358-1366","PMID":"21604273","source":"PubMed","title":"Targeting of substance P induces cancer cell death and decreases the steady state of EGFR and Her2","volume":"227","author":[{"family":"Mayordomo","given":"Cristina"},{"family":"García-Recio","given":"Susana"},{"family":"Ametller","given":"Elisabet"},{"family":"Fernández-Nogueira","given":"Patricia"},{"family":"Pastor-Arroyo","given":"Eva María"},{"family":"Vinyals","given":"Laia"},{"family":"Casas","given":"Ignasi"},{"family":"Gascón","given":"Pedro"},{"family":"Almendro","given":"Vanessa"}],"issued":{"date-parts":[["2012",4]]}}},{"id":6391,"uris":["http://zotero.org/users/local/wf13h2s2/items/CT5L6AIL"],"itemData":{"id":6391,"type":"article-journal","abstract":"ERBB receptor transmodulation by heterologous G-protein-coupled receptors (GPCR) generates functional diversity in signal transduction. Tachykinins are neuropeptides and proinflammatory cytokines that promote cell survival and cancer progression by activating several GPCRs. In this work, we found that the pain-associated tachykinin Substance P (SP) contributes to persistent transmodulation of the ERBB receptors, EGFR and HER2, in breast cancer, acting to enhance malignancy and therapeutic resistance. SP and its high-affinity receptor NK-1R were highly expressed in HER2(+) primary breast tumors (relative to the luminal and triple-negative subtypes) and were overall correlated with poor prognosis factors. In breast cancer cell lines and primary cultures derived from breast cancer samples, we found that SP could activate HER2. Conversely, RNA interference-mediated attenuation of NK-1R, or its chemical inhibition, or suppression of overall GPCR-mediated signaling, all strongly decreased steady-state expression of EGFR and HER2, establishing that their basal activity relied upon transdirectional activation by GPCR. Thus, SP exposure affected cellular responses to anti-ERBB therapies. Our work reveals an important oncogenic cooperation between NK-1R and HER2, thereby adding a novel link between inflammation and cancer progression that may be targetable by SP antagonists that have been clinically explored.","container-title":"Cancer Research","DOI":"10.1158/0008-5472.CAN-12-4573","ISSN":"1538-7445","issue":"21","journalAbbreviation":"Cancer Res","language":"eng","page":"6424-6434","PMID":"24030979","source":"PubMed","title":"Substance P autocrine signaling contributes to persistent HER2 activation that drives malignant progression and drug resistance in breast cancer","volume":"73","author":[{"family":"Garcia-Recio","given":"Susana"},{"family":"Fuster","given":"Gemma"},{"family":"Fernandez-Nogueira","given":"Patricia"},{"family":"Pastor-Arroyo","given":"Eva M."},{"family":"Park","given":"So Yeon"},{"family":"Mayordomo","given":"Cristina"},{"family":"Ametller","given":"Elisabet"},{"family":"Mancino","given":"Mario"},{"family":"Gonzalez-Farre","given":"Xavier"},{"family":"Russnes","given":"Hege G."},{"family":"Engel","given":"Pablo"},{"family":"Costamagna","given":"Domiziana"},{"family":"Fernandez","given":"Pedro L."},{"family":"Gascón","given":"Pedro"},{"family":"Almendro","given":"Vanessa"}],"issued":{"date-parts":[["2013",11,1]]}}}],"schema":"https://github.com/citation-style-language/schema/raw/master/csl-citation.json"} </w:instrText>
      </w:r>
      <w:r w:rsidR="0042695B">
        <w:rPr>
          <w:color w:val="000000"/>
        </w:rPr>
        <w:fldChar w:fldCharType="separate"/>
      </w:r>
      <w:r w:rsidR="007321BD">
        <w:rPr>
          <w:noProof/>
          <w:color w:val="000000"/>
        </w:rPr>
        <w:t>(17,18)</w:t>
      </w:r>
      <w:r w:rsidR="0042695B">
        <w:rPr>
          <w:color w:val="000000"/>
        </w:rPr>
        <w:fldChar w:fldCharType="end"/>
      </w:r>
      <w:r w:rsidRPr="002679B7">
        <w:rPr>
          <w:color w:val="000000"/>
        </w:rPr>
        <w:t xml:space="preserve">. Autocrine and paracrine SP signaling has been shown to induce prolonged HER2 activation, driving malignant progression and therapeutic resistance </w:t>
      </w:r>
      <w:r w:rsidR="00BA3587">
        <w:rPr>
          <w:color w:val="000000"/>
        </w:rPr>
        <w:fldChar w:fldCharType="begin"/>
      </w:r>
      <w:r w:rsidR="007321BD">
        <w:rPr>
          <w:color w:val="000000"/>
        </w:rPr>
        <w:instrText xml:space="preserve"> ADDIN ZOTERO_ITEM CSL_CITATION {"citationID":"De1ESaI0","properties":{"formattedCitation":"(18)","plainCitation":"(18)","noteIndex":0},"citationItems":[{"id":6391,"uris":["http://zotero.org/users/local/wf13h2s2/items/CT5L6AIL"],"itemData":{"id":6391,"type":"article-journal","abstract":"ERBB receptor transmodulation by heterologous G-protein-coupled receptors (GPCR) generates functional diversity in signal transduction. Tachykinins are neuropeptides and proinflammatory cytokines that promote cell survival and cancer progression by activating several GPCRs. In this work, we found that the pain-associated tachykinin Substance P (SP) contributes to persistent transmodulation of the ERBB receptors, EGFR and HER2, in breast cancer, acting to enhance malignancy and therapeutic resistance. SP and its high-affinity receptor NK-1R were highly expressed in HER2(+) primary breast tumors (relative to the luminal and triple-negative subtypes) and were overall correlated with poor prognosis factors. In breast cancer cell lines and primary cultures derived from breast cancer samples, we found that SP could activate HER2. Conversely, RNA interference-mediated attenuation of NK-1R, or its chemical inhibition, or suppression of overall GPCR-mediated signaling, all strongly decreased steady-state expression of EGFR and HER2, establishing that their basal activity relied upon transdirectional activation by GPCR. Thus, SP exposure affected cellular responses to anti-ERBB therapies. Our work reveals an important oncogenic cooperation between NK-1R and HER2, thereby adding a novel link between inflammation and cancer progression that may be targetable by SP antagonists that have been clinically explored.","container-title":"Cancer Research","DOI":"10.1158/0008-5472.CAN-12-4573","ISSN":"1538-7445","issue":"21","journalAbbreviation":"Cancer Res","language":"eng","page":"6424-6434","PMID":"24030979","source":"PubMed","title":"Substance P autocrine signaling contributes to persistent HER2 activation that drives malignant progression and drug resistance in breast cancer","volume":"73","author":[{"family":"Garcia-Recio","given":"Susana"},{"family":"Fuster","given":"Gemma"},{"family":"Fernandez-Nogueira","given":"Patricia"},{"family":"Pastor-Arroyo","given":"Eva M."},{"family":"Park","given":"So Yeon"},{"family":"Mayordomo","given":"Cristina"},{"family":"Ametller","given":"Elisabet"},{"family":"Mancino","given":"Mario"},{"family":"Gonzalez-Farre","given":"Xavier"},{"family":"Russnes","given":"Hege G."},{"family":"Engel","given":"Pablo"},{"family":"Costamagna","given":"Domiziana"},{"family":"Fernandez","given":"Pedro L."},{"family":"Gascón","given":"Pedro"},{"family":"Almendro","given":"Vanessa"}],"issued":{"date-parts":[["2013",11,1]]}}}],"schema":"https://github.com/citation-style-language/schema/raw/master/csl-citation.json"} </w:instrText>
      </w:r>
      <w:r w:rsidR="00BA3587">
        <w:rPr>
          <w:color w:val="000000"/>
        </w:rPr>
        <w:fldChar w:fldCharType="separate"/>
      </w:r>
      <w:r w:rsidR="007321BD">
        <w:rPr>
          <w:noProof/>
          <w:color w:val="000000"/>
        </w:rPr>
        <w:t>(18)</w:t>
      </w:r>
      <w:r w:rsidR="00BA3587">
        <w:rPr>
          <w:color w:val="000000"/>
        </w:rPr>
        <w:fldChar w:fldCharType="end"/>
      </w:r>
      <w:r w:rsidRPr="002679B7">
        <w:rPr>
          <w:color w:val="000000"/>
        </w:rPr>
        <w:t xml:space="preserve">. Consequently, </w:t>
      </w:r>
      <w:commentRangeStart w:id="9"/>
      <w:r w:rsidRPr="002679B7">
        <w:rPr>
          <w:color w:val="000000"/>
        </w:rPr>
        <w:t>serum SP holds substantial promise</w:t>
      </w:r>
      <w:commentRangeEnd w:id="9"/>
      <w:r w:rsidR="00D52195" w:rsidRPr="002679B7">
        <w:rPr>
          <w:rStyle w:val="CommentReference"/>
          <w:color w:val="000000"/>
          <w:sz w:val="24"/>
          <w:szCs w:val="24"/>
        </w:rPr>
        <w:commentReference w:id="9"/>
      </w:r>
      <w:r w:rsidRPr="002679B7">
        <w:rPr>
          <w:color w:val="000000"/>
        </w:rPr>
        <w:t xml:space="preserve"> as a specific adjunct biomarker capable of identifying a biologically aggressive subset of luminal tumors characterized by amplified signaling complexity.</w:t>
      </w:r>
    </w:p>
    <w:p w14:paraId="36DD2C5A" w14:textId="22B48EBD" w:rsidR="002679B7" w:rsidRPr="002679B7" w:rsidRDefault="002679B7" w:rsidP="00095E10">
      <w:pPr>
        <w:pStyle w:val="NormalWeb"/>
        <w:spacing w:before="0" w:beforeAutospacing="0" w:after="0" w:afterAutospacing="0" w:line="360" w:lineRule="auto"/>
        <w:ind w:firstLine="720"/>
        <w:jc w:val="both"/>
        <w:rPr>
          <w:color w:val="000000"/>
        </w:rPr>
      </w:pPr>
      <w:r w:rsidRPr="002679B7">
        <w:rPr>
          <w:color w:val="000000"/>
        </w:rPr>
        <w:t xml:space="preserve">From a theoretical standpoint, these findings reinforce the emerging neuroimmuno-oncology framework, which posits that breast cancer progression is fundamentally shaped by dynamic interactions among neuropeptidergic signaling, malignant epithelia, and the tumor microenvironment </w:t>
      </w:r>
      <w:r w:rsidR="00BA3587">
        <w:rPr>
          <w:color w:val="000000"/>
        </w:rPr>
        <w:fldChar w:fldCharType="begin"/>
      </w:r>
      <w:r w:rsidR="007321BD">
        <w:rPr>
          <w:color w:val="000000"/>
        </w:rPr>
        <w:instrText xml:space="preserve"> ADDIN ZOTERO_ITEM CSL_CITATION {"citationID":"j8oy3Fw5","properties":{"formattedCitation":"(5,19)","plainCitation":"(5,19)","noteIndex":0},"citationItems":[{"id":6375,"uris":["http://zotero.org/users/local/wf13h2s2/items/75ZS4Z5Z"],"itemData":{"id":6375,"type":"article-journal","abstract":"New, promising molecular targets to block tumor development and new compounds capable of specifically destroying cancer cells must be urgently investigated [...].","container-title":"Cancers","DOI":"10.3390/cancers14143539","ISSN":"2072-6694","issue":"14","journalAbbreviation":"Cancers (Basel)","language":"eng","page":"3539","PMID":"35884599","PMCID":"PMC9317685","source":"PubMed","title":"Involvement of the Substance P/Neurokinin-1 Receptor System in Cancer","volume":"14","author":[{"family":"Coveñas","given":"Rafael"},{"family":"Muñoz","given":"Miguel"}],"issued":{"date-parts":[["2022",7,21]]}}},{"id":6393,"uris":["http://zotero.org/users/local/wf13h2s2/items/NF99NFEA"],"itemData":{"id":6393,"type":"article-journal","abstract":"The current known data on the involvement of the peptidergic systems in breast cancer progression is overwhelmingly vast. Peptidergic systems are useful tools for imaging, diagnosis, prognosis and treatment of breast cancer. These systems play a crucial role in both basic and clinical breast cancer research by enabling the exploration of novel molecular mechanisms, signaling pathways, and the development of effective drug design strategies. Breast cancer cells overexpress peptide receptors; at the same time they are known to interact with peptides that (a) exert an oncogenic action (adrenomedullin 2, endothelin, gastrin-releasing peptide, neurokinin A, neuromedin, neuropeptide Y, neurotensin, substance P, vasoactive intestinal peptide), (b) exert an anticancer action (angiotensin (1-7), ghrelin, peptide YY) or (c) exert dual oncogenic and anticancer effects (adrenomedullin, angiotensin II, bradykinin, corticotropin-releasing factor, β-endorphin, glucagon-like peptide 1, gonadotropin-releasing hormone, kisspeptin, methionine-enkephalin, oxytocin). This indicates that peptides, as well as peptide receptor agonists and antagonists, may serve as antitumor agents due to their diverse actions against breast cancer development, including the inhibition of cell proliferation, migration and invasion, induction of apoptosis, and anti-angiogenesis. Multiple strategies have been developed to combat breast cancer, including peptide receptor silencing; antibodies conjugated to specific signaling proteins; antibodies targeting specific peptide receptors or oncogenic peptides; and the use of peptides or peptide receptor agonists/antagonists loaded with antitumor cargo. Future lines of research are suggested in breast cancer using promising anti-breast-cancer peptide receptor antagonists (HOE-140, exendin (9-39), bosentan, macitentan, PD168,368, CGP71,683A, SR48,692, aprepitant) or agonists (FR190,997, semaglutide, exendin 4, goserelin) mentioned in this review. Peptidergic systems have tremendous anti-breast-cancer clinical potential which must be exploited and developed. Taken together, the available data highlight the enormous promise of translational research into breast cancer and peptidergic systems for the development of effective treatments. A full understanding of the roles played by the peptidergic systems in breast cancer will serve to improve diagnosis and treatment.","container-title":"Cancers","DOI":"10.3390/cancers17223662","ISSN":"2072-6694","issue":"22","journalAbbreviation":"Cancers (Basel)","language":"eng","page":"3662","PMID":"41301028","PMCID":"PMC12651768","source":"PubMed","title":"The Involvement of the Peptidergic Systems in Breast Cancer Development","volume":"17","author":[{"family":"Sánchez","given":"Manuel L."},{"family":"Robinson","given":"Prema"},{"family":"Italia","given":"Zal"},{"family":"Hoang","given":"Tan"},{"family":"Muñoz","given":"Miguel"},{"family":"Coveñas","given":"Rafael"}],"issued":{"date-parts":[["2025",11,14]]}}}],"schema":"https://github.com/citation-style-language/schema/raw/master/csl-citation.json"} </w:instrText>
      </w:r>
      <w:r w:rsidR="00BA3587">
        <w:rPr>
          <w:color w:val="000000"/>
        </w:rPr>
        <w:fldChar w:fldCharType="separate"/>
      </w:r>
      <w:r w:rsidR="007321BD">
        <w:rPr>
          <w:noProof/>
          <w:color w:val="000000"/>
        </w:rPr>
        <w:t>(5,19)</w:t>
      </w:r>
      <w:r w:rsidR="00BA3587">
        <w:rPr>
          <w:color w:val="000000"/>
        </w:rPr>
        <w:fldChar w:fldCharType="end"/>
      </w:r>
      <w:r w:rsidRPr="002679B7">
        <w:rPr>
          <w:color w:val="000000"/>
        </w:rPr>
        <w:t>. From a pragmatic clinical perspective, the data suggest that serum SP should not currently be deployed as a universal, standalone biomarker for general luminal prognostication. Instead, its optimal clinical utility likely resides in risk stratification for targeted, high-risk subgroups—specifically those presenting with or at high risk for nodal dissemination and HER2 amplification.</w:t>
      </w:r>
    </w:p>
    <w:p w14:paraId="6F15F776" w14:textId="77777777" w:rsidR="004A1401" w:rsidRDefault="002679B7" w:rsidP="00095E10">
      <w:pPr>
        <w:pStyle w:val="NormalWeb"/>
        <w:spacing w:before="0" w:beforeAutospacing="0" w:after="0" w:afterAutospacing="0" w:line="360" w:lineRule="auto"/>
        <w:ind w:firstLine="720"/>
        <w:jc w:val="both"/>
        <w:rPr>
          <w:color w:val="000000"/>
        </w:rPr>
      </w:pPr>
      <w:r w:rsidRPr="002679B7">
        <w:rPr>
          <w:color w:val="000000"/>
        </w:rPr>
        <w:t>This study is subject to several methodological limitations that warrant consideration. First, the single-center, retrospective design and the relatively modest sample size (</w:t>
      </w:r>
      <w:r w:rsidRPr="002679B7">
        <w:rPr>
          <w:rStyle w:val="mord"/>
          <w:rFonts w:eastAsiaTheme="majorEastAsia"/>
          <w:color w:val="000000"/>
        </w:rPr>
        <w:t>N</w:t>
      </w:r>
      <w:r w:rsidRPr="002679B7">
        <w:rPr>
          <w:rStyle w:val="mrel"/>
          <w:rFonts w:eastAsiaTheme="majorEastAsia"/>
          <w:color w:val="000000"/>
        </w:rPr>
        <w:t>=</w:t>
      </w:r>
      <w:r w:rsidRPr="002679B7">
        <w:rPr>
          <w:rStyle w:val="mord"/>
          <w:rFonts w:eastAsiaTheme="majorEastAsia"/>
          <w:color w:val="000000"/>
        </w:rPr>
        <w:t>47</w:t>
      </w:r>
      <w:r w:rsidRPr="002679B7">
        <w:rPr>
          <w:color w:val="000000"/>
        </w:rPr>
        <w:t xml:space="preserve">) limit the statistical power and generalizability of the findings. Second, the uneven distribution of certain clinicopathological categories—most notably the scarcity of early-stage (T1/T2) </w:t>
      </w:r>
      <w:r w:rsidRPr="002679B7">
        <w:rPr>
          <w:color w:val="000000"/>
        </w:rPr>
        <w:lastRenderedPageBreak/>
        <w:t>and node-negative cases—resulted in quasi-complete data separation in our regression models, restricting our ability to fully estimate the independent predictive weight of lymph node status. Finally, the cross-sectional nature of the blood sampling precludes the evaluation of dynamic changes in SP levels over time, and the lack of longitudinal follow-up prevents the direct assessment of SP against hard oncological endpoints, such as disease-free survival (DFS) or overall survival (OS).</w:t>
      </w:r>
    </w:p>
    <w:p w14:paraId="3B3F0C7E" w14:textId="77777777" w:rsidR="004A1401" w:rsidRDefault="004A1401" w:rsidP="004A1401">
      <w:pPr>
        <w:pStyle w:val="NormalWeb"/>
        <w:spacing w:before="0" w:beforeAutospacing="0" w:after="0" w:afterAutospacing="0" w:line="360" w:lineRule="auto"/>
        <w:jc w:val="both"/>
        <w:rPr>
          <w:color w:val="000000"/>
        </w:rPr>
      </w:pPr>
    </w:p>
    <w:p w14:paraId="57EF13F5" w14:textId="77777777" w:rsidR="004A1401" w:rsidRDefault="002679B7" w:rsidP="004A1401">
      <w:pPr>
        <w:pStyle w:val="NormalWeb"/>
        <w:spacing w:before="0" w:beforeAutospacing="0" w:after="0" w:afterAutospacing="0" w:line="360" w:lineRule="auto"/>
        <w:jc w:val="both"/>
        <w:rPr>
          <w:b/>
        </w:rPr>
      </w:pPr>
      <w:r w:rsidRPr="002679B7">
        <w:rPr>
          <w:b/>
        </w:rPr>
        <w:t>CONCLUSION</w:t>
      </w:r>
    </w:p>
    <w:p w14:paraId="35ADFE25" w14:textId="31A9BE1C" w:rsidR="002679B7" w:rsidRPr="002679B7" w:rsidRDefault="002679B7" w:rsidP="004A1401">
      <w:pPr>
        <w:pStyle w:val="NormalWeb"/>
        <w:spacing w:before="0" w:beforeAutospacing="0" w:after="0" w:afterAutospacing="0" w:line="360" w:lineRule="auto"/>
        <w:jc w:val="both"/>
        <w:rPr>
          <w:color w:val="000000"/>
        </w:rPr>
      </w:pPr>
      <w:r w:rsidRPr="002679B7">
        <w:rPr>
          <w:color w:val="000000"/>
        </w:rPr>
        <w:t xml:space="preserve">Serum SP demonstrates compartment-specific utility in luminal breast cancer, </w:t>
      </w:r>
      <w:commentRangeStart w:id="10"/>
      <w:r w:rsidRPr="002679B7">
        <w:rPr>
          <w:color w:val="000000"/>
        </w:rPr>
        <w:t>acting as an indicator of nodal spread and HER2-driven aggressiveness</w:t>
      </w:r>
      <w:commentRangeEnd w:id="10"/>
      <w:r w:rsidR="00D52195" w:rsidRPr="002679B7">
        <w:rPr>
          <w:rStyle w:val="CommentReference"/>
          <w:color w:val="000000"/>
          <w:sz w:val="24"/>
          <w:szCs w:val="24"/>
        </w:rPr>
        <w:commentReference w:id="10"/>
      </w:r>
      <w:r w:rsidRPr="002679B7">
        <w:rPr>
          <w:color w:val="000000"/>
        </w:rPr>
        <w:t xml:space="preserve"> rather than a general marker of tumor size or proliferation. Future multicenter, prospective investigations integrating larger, more evenly distributed cohorts and longitudinal survival tracking are essential to </w:t>
      </w:r>
      <w:commentRangeStart w:id="11"/>
      <w:r w:rsidRPr="002679B7">
        <w:rPr>
          <w:color w:val="000000"/>
        </w:rPr>
        <w:t>definitively establish the prognostic validity</w:t>
      </w:r>
      <w:commentRangeEnd w:id="11"/>
      <w:r w:rsidR="00D52195" w:rsidRPr="002679B7">
        <w:rPr>
          <w:rStyle w:val="CommentReference"/>
          <w:color w:val="000000"/>
          <w:sz w:val="24"/>
          <w:szCs w:val="24"/>
        </w:rPr>
        <w:commentReference w:id="11"/>
      </w:r>
      <w:r w:rsidRPr="002679B7">
        <w:rPr>
          <w:color w:val="000000"/>
        </w:rPr>
        <w:t xml:space="preserve"> and therapeutic predictive value of circulating SP in clinical oncology.</w:t>
      </w:r>
    </w:p>
    <w:p w14:paraId="224FBC3A" w14:textId="77777777" w:rsidR="002679B7" w:rsidRPr="002679B7" w:rsidRDefault="002679B7" w:rsidP="002679B7">
      <w:pPr>
        <w:keepNext/>
        <w:spacing w:after="0" w:line="360" w:lineRule="auto"/>
        <w:jc w:val="both"/>
        <w:rPr>
          <w:rFonts w:cs="Times New Roman"/>
          <w:color w:val="000000"/>
          <w:sz w:val="24"/>
          <w:szCs w:val="24"/>
        </w:rPr>
      </w:pPr>
    </w:p>
    <w:p w14:paraId="7DB86CC4" w14:textId="77777777" w:rsidR="005A0DF6" w:rsidRDefault="005A0DF6" w:rsidP="005A0DF6">
      <w:pPr>
        <w:spacing w:after="0" w:line="360" w:lineRule="auto"/>
        <w:jc w:val="both"/>
        <w:rPr>
          <w:rFonts w:cs="Times New Roman"/>
          <w:b/>
          <w:bCs/>
          <w:sz w:val="24"/>
          <w:szCs w:val="24"/>
        </w:rPr>
      </w:pPr>
      <w:r w:rsidRPr="005A0DF6">
        <w:rPr>
          <w:rFonts w:cs="Times New Roman"/>
          <w:b/>
          <w:bCs/>
          <w:color w:val="000000"/>
          <w:sz w:val="24"/>
          <w:szCs w:val="24"/>
        </w:rPr>
        <w:t>Conflict of Interest</w:t>
      </w:r>
    </w:p>
    <w:p w14:paraId="0AA59D88" w14:textId="77F499AD" w:rsidR="005A0DF6" w:rsidRDefault="005A0DF6" w:rsidP="005A0DF6">
      <w:pPr>
        <w:spacing w:after="0" w:line="360" w:lineRule="auto"/>
        <w:jc w:val="both"/>
        <w:rPr>
          <w:rFonts w:cs="Times New Roman"/>
          <w:color w:val="000000"/>
          <w:sz w:val="24"/>
          <w:szCs w:val="24"/>
        </w:rPr>
      </w:pPr>
      <w:r w:rsidRPr="005A0DF6">
        <w:rPr>
          <w:rFonts w:cs="Times New Roman"/>
          <w:color w:val="000000"/>
          <w:sz w:val="24"/>
          <w:szCs w:val="24"/>
        </w:rPr>
        <w:t>The authors declare that they have no conflicts of interest.</w:t>
      </w:r>
    </w:p>
    <w:p w14:paraId="504E391C" w14:textId="77777777" w:rsidR="00A237E6" w:rsidRPr="005A0DF6" w:rsidRDefault="00A237E6" w:rsidP="005A0DF6">
      <w:pPr>
        <w:spacing w:after="0" w:line="360" w:lineRule="auto"/>
        <w:jc w:val="both"/>
        <w:rPr>
          <w:rFonts w:cs="Times New Roman"/>
          <w:color w:val="000000"/>
          <w:sz w:val="24"/>
          <w:szCs w:val="24"/>
        </w:rPr>
      </w:pPr>
    </w:p>
    <w:p w14:paraId="6BBB4727" w14:textId="77777777" w:rsidR="005A0DF6" w:rsidRPr="004A1401" w:rsidRDefault="005A0DF6" w:rsidP="004A1401">
      <w:pPr>
        <w:keepNext/>
        <w:spacing w:after="0" w:line="360" w:lineRule="auto"/>
        <w:jc w:val="both"/>
        <w:rPr>
          <w:rFonts w:cs="Times New Roman"/>
          <w:sz w:val="24"/>
          <w:szCs w:val="24"/>
        </w:rPr>
      </w:pPr>
    </w:p>
    <w:p w14:paraId="20EE91DD" w14:textId="77777777" w:rsidR="005A0DF6" w:rsidRDefault="005A0DF6" w:rsidP="005A0DF6">
      <w:pPr>
        <w:keepNext/>
        <w:spacing w:after="0" w:line="360" w:lineRule="auto"/>
        <w:jc w:val="both"/>
        <w:rPr>
          <w:rFonts w:cs="Times New Roman"/>
          <w:b/>
          <w:sz w:val="24"/>
          <w:szCs w:val="24"/>
        </w:rPr>
      </w:pPr>
      <w:r w:rsidRPr="004A1401">
        <w:rPr>
          <w:rFonts w:cs="Times New Roman"/>
          <w:b/>
          <w:sz w:val="24"/>
          <w:szCs w:val="24"/>
        </w:rPr>
        <w:t>Acknowledgments</w:t>
      </w:r>
    </w:p>
    <w:p w14:paraId="10726271" w14:textId="77777777" w:rsidR="004A1401" w:rsidRPr="004A1401" w:rsidRDefault="004A1401" w:rsidP="004A1401">
      <w:pPr>
        <w:keepNext/>
        <w:spacing w:after="0" w:line="360" w:lineRule="auto"/>
        <w:jc w:val="both"/>
        <w:rPr>
          <w:rFonts w:cs="Times New Roman"/>
          <w:color w:val="000000"/>
          <w:sz w:val="24"/>
          <w:szCs w:val="24"/>
        </w:rPr>
      </w:pPr>
      <w:r w:rsidRPr="004A1401">
        <w:rPr>
          <w:rFonts w:cs="Times New Roman"/>
          <w:color w:val="000000"/>
          <w:sz w:val="24"/>
          <w:szCs w:val="24"/>
        </w:rPr>
        <w:t>The authors would like to express their deepest gratitude to the patients and their families for their participation and trust in this study. We also extend our sincere appreciation to the clinical staff at the oncology service of Dr. Wahidin Sudirohusodo Hospital and Hasanuddin University Hospital, Makassar, Indonesia, for their invaluable assistance with patient recruitment, specimen handling, and technical support throughout the completion of this research.</w:t>
      </w:r>
    </w:p>
    <w:p w14:paraId="01F942E8" w14:textId="77777777" w:rsidR="004A1401" w:rsidRDefault="004A1401" w:rsidP="004A1401">
      <w:pPr>
        <w:keepNext/>
        <w:spacing w:after="0" w:line="360" w:lineRule="auto"/>
        <w:jc w:val="both"/>
        <w:rPr>
          <w:rFonts w:cs="Times New Roman"/>
          <w:b/>
          <w:bCs/>
          <w:color w:val="000000"/>
          <w:sz w:val="24"/>
          <w:szCs w:val="24"/>
        </w:rPr>
      </w:pPr>
    </w:p>
    <w:p w14:paraId="1A323BE4" w14:textId="51E60FCE" w:rsidR="004A1401" w:rsidRPr="004A1401" w:rsidRDefault="004A1401" w:rsidP="004A1401">
      <w:pPr>
        <w:keepNext/>
        <w:spacing w:after="0" w:line="360" w:lineRule="auto"/>
        <w:jc w:val="both"/>
        <w:rPr>
          <w:rStyle w:val="apple-converted-space"/>
          <w:rFonts w:cs="Times New Roman"/>
          <w:color w:val="000000"/>
          <w:sz w:val="24"/>
          <w:szCs w:val="24"/>
        </w:rPr>
      </w:pPr>
      <w:r w:rsidRPr="004A1401">
        <w:rPr>
          <w:rFonts w:cs="Times New Roman"/>
          <w:b/>
          <w:bCs/>
          <w:color w:val="000000"/>
          <w:sz w:val="24"/>
          <w:szCs w:val="24"/>
        </w:rPr>
        <w:t>Ethical Approval</w:t>
      </w:r>
    </w:p>
    <w:p w14:paraId="059BEEC6" w14:textId="0E33A45F" w:rsidR="004A1401" w:rsidRPr="004A1401" w:rsidRDefault="004A1401" w:rsidP="004A1401">
      <w:pPr>
        <w:keepNext/>
        <w:spacing w:after="0" w:line="360" w:lineRule="auto"/>
        <w:jc w:val="both"/>
        <w:rPr>
          <w:rFonts w:cs="Times New Roman"/>
          <w:color w:val="000000"/>
          <w:sz w:val="24"/>
          <w:szCs w:val="24"/>
        </w:rPr>
      </w:pPr>
      <w:r w:rsidRPr="004A1401">
        <w:rPr>
          <w:rFonts w:cs="Times New Roman"/>
          <w:color w:val="000000"/>
          <w:sz w:val="24"/>
          <w:szCs w:val="24"/>
        </w:rPr>
        <w:t>This study was conducted in strict accordance with the ethical principles outlined in the Declaration of Helsinki. The study protocol was reviewed and formally approved by the Health Research Ethics Committee of the Faculty of Medicine, Hasanuddin University, Makassar, Indonesia (Protocol Number: UH25100933)</w:t>
      </w:r>
      <w:r>
        <w:rPr>
          <w:rFonts w:cs="Times New Roman"/>
          <w:color w:val="000000"/>
          <w:sz w:val="24"/>
          <w:szCs w:val="24"/>
        </w:rPr>
        <w:t xml:space="preserve"> on November 20, 2025</w:t>
      </w:r>
      <w:r w:rsidRPr="004A1401">
        <w:rPr>
          <w:rFonts w:cs="Times New Roman"/>
          <w:color w:val="000000"/>
          <w:sz w:val="24"/>
          <w:szCs w:val="24"/>
        </w:rPr>
        <w:t>. Written informed consent was obtained from all individual participants prior to their enrollment and any data collection.</w:t>
      </w:r>
    </w:p>
    <w:p w14:paraId="1FE9B610" w14:textId="77777777" w:rsidR="004A1401" w:rsidRDefault="004A1401" w:rsidP="004A1401">
      <w:pPr>
        <w:keepNext/>
        <w:spacing w:after="0" w:line="360" w:lineRule="auto"/>
        <w:jc w:val="both"/>
        <w:rPr>
          <w:rFonts w:cs="Times New Roman"/>
          <w:b/>
          <w:bCs/>
          <w:color w:val="000000"/>
          <w:sz w:val="24"/>
          <w:szCs w:val="24"/>
        </w:rPr>
      </w:pPr>
    </w:p>
    <w:p w14:paraId="7CBAFB26" w14:textId="45CB362A" w:rsidR="004A1401" w:rsidRPr="004A1401" w:rsidRDefault="004A1401" w:rsidP="004A1401">
      <w:pPr>
        <w:keepNext/>
        <w:spacing w:after="0" w:line="360" w:lineRule="auto"/>
        <w:jc w:val="both"/>
        <w:rPr>
          <w:rStyle w:val="apple-converted-space"/>
          <w:rFonts w:cs="Times New Roman"/>
          <w:color w:val="000000"/>
          <w:sz w:val="24"/>
          <w:szCs w:val="24"/>
        </w:rPr>
      </w:pPr>
      <w:r w:rsidRPr="004A1401">
        <w:rPr>
          <w:rFonts w:cs="Times New Roman"/>
          <w:b/>
          <w:bCs/>
          <w:color w:val="000000"/>
          <w:sz w:val="24"/>
          <w:szCs w:val="24"/>
        </w:rPr>
        <w:t>Funding</w:t>
      </w:r>
    </w:p>
    <w:p w14:paraId="776BF610" w14:textId="7D09D19A" w:rsidR="004A1401" w:rsidRPr="004A1401" w:rsidRDefault="004A1401" w:rsidP="004A1401">
      <w:pPr>
        <w:keepNext/>
        <w:spacing w:after="0" w:line="360" w:lineRule="auto"/>
        <w:jc w:val="both"/>
        <w:rPr>
          <w:rFonts w:cs="Times New Roman"/>
          <w:color w:val="000000"/>
          <w:sz w:val="24"/>
          <w:szCs w:val="24"/>
        </w:rPr>
      </w:pPr>
      <w:r w:rsidRPr="004A1401">
        <w:rPr>
          <w:rFonts w:cs="Times New Roman"/>
          <w:color w:val="000000"/>
          <w:sz w:val="24"/>
          <w:szCs w:val="24"/>
        </w:rPr>
        <w:t>This research received no specific grant from any funding agency in the public, commercial, or not-for-profit sectors.</w:t>
      </w:r>
    </w:p>
    <w:p w14:paraId="12333788" w14:textId="77777777" w:rsidR="004A1401" w:rsidRDefault="004A1401" w:rsidP="004A1401">
      <w:pPr>
        <w:spacing w:after="0" w:line="360" w:lineRule="auto"/>
        <w:jc w:val="both"/>
        <w:rPr>
          <w:rFonts w:cs="Times New Roman"/>
          <w:b/>
          <w:bCs/>
          <w:color w:val="000000"/>
          <w:sz w:val="24"/>
          <w:szCs w:val="24"/>
        </w:rPr>
      </w:pPr>
    </w:p>
    <w:p w14:paraId="23043767" w14:textId="77777777" w:rsidR="005A0DF6" w:rsidRDefault="004A1401" w:rsidP="004A1401">
      <w:pPr>
        <w:spacing w:after="0" w:line="360" w:lineRule="auto"/>
        <w:jc w:val="both"/>
        <w:rPr>
          <w:rFonts w:cs="Times New Roman"/>
          <w:b/>
          <w:bCs/>
          <w:color w:val="000000"/>
          <w:sz w:val="24"/>
          <w:szCs w:val="24"/>
        </w:rPr>
      </w:pPr>
      <w:r w:rsidRPr="004A1401">
        <w:rPr>
          <w:rFonts w:cs="Times New Roman"/>
          <w:b/>
          <w:bCs/>
          <w:color w:val="000000"/>
          <w:sz w:val="24"/>
          <w:szCs w:val="24"/>
        </w:rPr>
        <w:t>Authors' Contributions</w:t>
      </w:r>
    </w:p>
    <w:p w14:paraId="2C00B6A5" w14:textId="77777777" w:rsidR="005B6ECC" w:rsidRDefault="004A1401" w:rsidP="004A1401">
      <w:pPr>
        <w:spacing w:after="0" w:line="360" w:lineRule="auto"/>
        <w:jc w:val="both"/>
        <w:rPr>
          <w:rFonts w:cs="Times New Roman"/>
          <w:color w:val="000000"/>
          <w:sz w:val="24"/>
          <w:szCs w:val="24"/>
        </w:rPr>
      </w:pPr>
      <w:r w:rsidRPr="004A1401">
        <w:rPr>
          <w:rFonts w:cs="Times New Roman"/>
          <w:color w:val="000000"/>
          <w:sz w:val="24"/>
          <w:szCs w:val="24"/>
        </w:rPr>
        <w:t>FM: Conceptualization, Methodology, Formal analysis, Investigation, Writing – original draft. ES: Methodology, Investigation, Data curation, Writing – review and editing. SAS: Formal analysis, Investigation, Data curation, Writing – review and editing. </w:t>
      </w:r>
      <w:r>
        <w:rPr>
          <w:rFonts w:cs="Times New Roman"/>
          <w:color w:val="000000"/>
          <w:sz w:val="24"/>
          <w:szCs w:val="24"/>
        </w:rPr>
        <w:t>JP</w:t>
      </w:r>
      <w:r w:rsidRPr="004A1401">
        <w:rPr>
          <w:rFonts w:cs="Times New Roman"/>
          <w:color w:val="000000"/>
          <w:sz w:val="24"/>
          <w:szCs w:val="24"/>
        </w:rPr>
        <w:t>: Formal analysis, Investigation, Data curation, Writing – review and editing. MF: Conceptualization, Project administration, Writing – review and editing. All authors have read, critically reviewed, and agreed to the published version of the manuscript.</w:t>
      </w:r>
    </w:p>
    <w:p w14:paraId="6FDE9A19" w14:textId="43F26AF2" w:rsidR="004A1401" w:rsidRPr="004A1401" w:rsidRDefault="004A1401" w:rsidP="004A1401">
      <w:pPr>
        <w:spacing w:after="0" w:line="360" w:lineRule="auto"/>
        <w:jc w:val="both"/>
        <w:rPr>
          <w:rFonts w:cs="Times New Roman"/>
          <w:color w:val="000000"/>
          <w:sz w:val="24"/>
          <w:szCs w:val="24"/>
        </w:rPr>
        <w:sectPr w:rsidR="004A1401" w:rsidRPr="004A1401" w:rsidSect="005A0DF6">
          <w:type w:val="continuous"/>
          <w:pgSz w:w="11906" w:h="16838"/>
          <w:pgMar w:top="1440" w:right="1440" w:bottom="1440" w:left="1440" w:header="720" w:footer="720" w:gutter="0"/>
          <w:cols w:space="500"/>
          <w:docGrid w:linePitch="360"/>
        </w:sectPr>
      </w:pPr>
    </w:p>
    <w:p w14:paraId="580DCAD0" w14:textId="77777777" w:rsidR="004A1401" w:rsidRDefault="004A1401" w:rsidP="00747AF0">
      <w:pPr>
        <w:keepNext/>
        <w:spacing w:after="0" w:line="360" w:lineRule="auto"/>
        <w:rPr>
          <w:rFonts w:cs="Times New Roman"/>
          <w:b/>
          <w:sz w:val="24"/>
          <w:szCs w:val="24"/>
        </w:rPr>
      </w:pPr>
    </w:p>
    <w:p w14:paraId="49CAA7D8" w14:textId="5288756D" w:rsidR="00AB2309" w:rsidRPr="002679B7" w:rsidRDefault="00000000" w:rsidP="00747AF0">
      <w:pPr>
        <w:keepNext/>
        <w:spacing w:after="0" w:line="360" w:lineRule="auto"/>
        <w:rPr>
          <w:rFonts w:cs="Times New Roman"/>
          <w:sz w:val="24"/>
          <w:szCs w:val="24"/>
        </w:rPr>
      </w:pPr>
      <w:r w:rsidRPr="002679B7">
        <w:rPr>
          <w:rFonts w:cs="Times New Roman"/>
          <w:b/>
          <w:sz w:val="24"/>
          <w:szCs w:val="24"/>
        </w:rPr>
        <w:t>References</w:t>
      </w:r>
    </w:p>
    <w:p w14:paraId="7D636BAB" w14:textId="77777777" w:rsidR="00C06DDE" w:rsidRPr="00C06DDE" w:rsidRDefault="0042695B" w:rsidP="00C06DDE">
      <w:pPr>
        <w:pStyle w:val="Bibliography"/>
        <w:rPr>
          <w:rFonts w:eastAsiaTheme="minorEastAsia" w:cs="Times New Roman"/>
          <w:sz w:val="24"/>
        </w:rPr>
      </w:pPr>
      <w:r>
        <w:fldChar w:fldCharType="begin"/>
      </w:r>
      <w:r w:rsidR="00C06DDE">
        <w:instrText xml:space="preserve"> ADDIN ZOTERO_BIBL {"uncited":[],"omitted":[],"custom":[]} CSL_BIBLIOGRAPHY </w:instrText>
      </w:r>
      <w:r>
        <w:fldChar w:fldCharType="separate"/>
      </w:r>
      <w:r w:rsidR="00C06DDE" w:rsidRPr="00C06DDE">
        <w:rPr>
          <w:rFonts w:eastAsiaTheme="minorEastAsia" w:cs="Times New Roman"/>
          <w:sz w:val="24"/>
        </w:rPr>
        <w:t>1.</w:t>
      </w:r>
      <w:r w:rsidR="00C06DDE" w:rsidRPr="00C06DDE">
        <w:rPr>
          <w:rFonts w:eastAsiaTheme="minorEastAsia" w:cs="Times New Roman"/>
          <w:sz w:val="24"/>
        </w:rPr>
        <w:tab/>
        <w:t xml:space="preserve">Bray F, Laversanne M, Sung H, et al. Global cancer statistics 2022: GLOBOCAN estimates of incidence and mortality worldwide for 36 cancers in 185 countries. </w:t>
      </w:r>
      <w:r w:rsidR="00C06DDE" w:rsidRPr="00C06DDE">
        <w:rPr>
          <w:rFonts w:eastAsiaTheme="minorEastAsia" w:cs="Times New Roman"/>
          <w:i/>
          <w:iCs/>
          <w:sz w:val="24"/>
        </w:rPr>
        <w:t>CA A Cancer J Clinicians</w:t>
      </w:r>
      <w:r w:rsidR="00C06DDE" w:rsidRPr="00C06DDE">
        <w:rPr>
          <w:rFonts w:eastAsiaTheme="minorEastAsia" w:cs="Times New Roman"/>
          <w:sz w:val="24"/>
        </w:rPr>
        <w:t>. 2024;74(3):229-263. doi:10.3322/caac.21834</w:t>
      </w:r>
    </w:p>
    <w:p w14:paraId="6A267056" w14:textId="77777777" w:rsidR="00C06DDE" w:rsidRPr="00C06DDE" w:rsidRDefault="00C06DDE" w:rsidP="00C06DDE">
      <w:pPr>
        <w:pStyle w:val="Bibliography"/>
        <w:rPr>
          <w:rFonts w:eastAsiaTheme="minorEastAsia" w:cs="Times New Roman"/>
          <w:sz w:val="24"/>
        </w:rPr>
      </w:pPr>
      <w:r w:rsidRPr="00C06DDE">
        <w:rPr>
          <w:rFonts w:eastAsiaTheme="minorEastAsia" w:cs="Times New Roman"/>
          <w:sz w:val="24"/>
        </w:rPr>
        <w:lastRenderedPageBreak/>
        <w:t>2.</w:t>
      </w:r>
      <w:r w:rsidRPr="00C06DDE">
        <w:rPr>
          <w:rFonts w:eastAsiaTheme="minorEastAsia" w:cs="Times New Roman"/>
          <w:sz w:val="24"/>
        </w:rPr>
        <w:tab/>
        <w:t xml:space="preserve">Turner KM, Yeo SK, Holm TM, Shaughnessy E, Guan JL. Heterogeneity within molecular subtypes of breast cancer. </w:t>
      </w:r>
      <w:r w:rsidRPr="00C06DDE">
        <w:rPr>
          <w:rFonts w:eastAsiaTheme="minorEastAsia" w:cs="Times New Roman"/>
          <w:i/>
          <w:iCs/>
          <w:sz w:val="24"/>
        </w:rPr>
        <w:t>Am J Physiol Cell Physiol</w:t>
      </w:r>
      <w:r w:rsidRPr="00C06DDE">
        <w:rPr>
          <w:rFonts w:eastAsiaTheme="minorEastAsia" w:cs="Times New Roman"/>
          <w:sz w:val="24"/>
        </w:rPr>
        <w:t>. 2021;321(2):C343-C354. doi:10.1152/ajpcell.00109.2021</w:t>
      </w:r>
    </w:p>
    <w:p w14:paraId="5FB07EC3" w14:textId="77777777" w:rsidR="00C06DDE" w:rsidRPr="00C06DDE" w:rsidRDefault="00C06DDE" w:rsidP="00C06DDE">
      <w:pPr>
        <w:pStyle w:val="Bibliography"/>
        <w:rPr>
          <w:rFonts w:eastAsiaTheme="minorEastAsia" w:cs="Times New Roman"/>
          <w:sz w:val="24"/>
        </w:rPr>
      </w:pPr>
      <w:r w:rsidRPr="00C06DDE">
        <w:rPr>
          <w:rFonts w:eastAsiaTheme="minorEastAsia" w:cs="Times New Roman"/>
          <w:sz w:val="24"/>
        </w:rPr>
        <w:t>3.</w:t>
      </w:r>
      <w:r w:rsidRPr="00C06DDE">
        <w:rPr>
          <w:rFonts w:eastAsiaTheme="minorEastAsia" w:cs="Times New Roman"/>
          <w:sz w:val="24"/>
        </w:rPr>
        <w:tab/>
        <w:t xml:space="preserve">Colomer R, González-Farré B, Ballesteros AI, et al. Biomarkers in breast cancer 2024: an updated consensus statement by the Spanish Society of Medical Oncology and the Spanish Society of Pathology. </w:t>
      </w:r>
      <w:r w:rsidRPr="00C06DDE">
        <w:rPr>
          <w:rFonts w:eastAsiaTheme="minorEastAsia" w:cs="Times New Roman"/>
          <w:i/>
          <w:iCs/>
          <w:sz w:val="24"/>
        </w:rPr>
        <w:t>Clin Transl Oncol</w:t>
      </w:r>
      <w:r w:rsidRPr="00C06DDE">
        <w:rPr>
          <w:rFonts w:eastAsiaTheme="minorEastAsia" w:cs="Times New Roman"/>
          <w:sz w:val="24"/>
        </w:rPr>
        <w:t>. 2024;26(12):2935-2951. doi:10.1007/s12094-024-03541-1</w:t>
      </w:r>
    </w:p>
    <w:p w14:paraId="10FBF1C8" w14:textId="77777777" w:rsidR="00C06DDE" w:rsidRPr="00C06DDE" w:rsidRDefault="00C06DDE" w:rsidP="00C06DDE">
      <w:pPr>
        <w:pStyle w:val="Bibliography"/>
        <w:rPr>
          <w:rFonts w:eastAsiaTheme="minorEastAsia" w:cs="Times New Roman"/>
          <w:sz w:val="24"/>
        </w:rPr>
      </w:pPr>
      <w:r w:rsidRPr="00C06DDE">
        <w:rPr>
          <w:rFonts w:eastAsiaTheme="minorEastAsia" w:cs="Times New Roman"/>
          <w:sz w:val="24"/>
        </w:rPr>
        <w:t>4.</w:t>
      </w:r>
      <w:r w:rsidRPr="00C06DDE">
        <w:rPr>
          <w:rFonts w:eastAsiaTheme="minorEastAsia" w:cs="Times New Roman"/>
          <w:sz w:val="24"/>
        </w:rPr>
        <w:tab/>
        <w:t xml:space="preserve">Höller A, Nguyen-Sträuli BD, Frauchiger-Heuer H, Ring A. Diagnostic and Prognostic Biomarkers of Luminal Breast Cancer: Where are We Now? </w:t>
      </w:r>
      <w:r w:rsidRPr="00C06DDE">
        <w:rPr>
          <w:rFonts w:eastAsiaTheme="minorEastAsia" w:cs="Times New Roman"/>
          <w:i/>
          <w:iCs/>
          <w:sz w:val="24"/>
        </w:rPr>
        <w:t>Breast Cancer (Dove Med Press)</w:t>
      </w:r>
      <w:r w:rsidRPr="00C06DDE">
        <w:rPr>
          <w:rFonts w:eastAsiaTheme="minorEastAsia" w:cs="Times New Roman"/>
          <w:sz w:val="24"/>
        </w:rPr>
        <w:t>. 2023;15:525-540. doi:10.2147/BCTT.S340741</w:t>
      </w:r>
    </w:p>
    <w:p w14:paraId="2C77518F" w14:textId="77777777" w:rsidR="00C06DDE" w:rsidRPr="00C06DDE" w:rsidRDefault="00C06DDE" w:rsidP="00C06DDE">
      <w:pPr>
        <w:pStyle w:val="Bibliography"/>
        <w:rPr>
          <w:rFonts w:eastAsiaTheme="minorEastAsia" w:cs="Times New Roman"/>
          <w:sz w:val="24"/>
        </w:rPr>
      </w:pPr>
      <w:r w:rsidRPr="00C06DDE">
        <w:rPr>
          <w:rFonts w:eastAsiaTheme="minorEastAsia" w:cs="Times New Roman"/>
          <w:sz w:val="24"/>
        </w:rPr>
        <w:t>5.</w:t>
      </w:r>
      <w:r w:rsidRPr="00C06DDE">
        <w:rPr>
          <w:rFonts w:eastAsiaTheme="minorEastAsia" w:cs="Times New Roman"/>
          <w:sz w:val="24"/>
        </w:rPr>
        <w:tab/>
        <w:t xml:space="preserve">Coveñas R, Muñoz M. Involvement of the Substance P/Neurokinin-1 Receptor System in Cancer. </w:t>
      </w:r>
      <w:r w:rsidRPr="00C06DDE">
        <w:rPr>
          <w:rFonts w:eastAsiaTheme="minorEastAsia" w:cs="Times New Roman"/>
          <w:i/>
          <w:iCs/>
          <w:sz w:val="24"/>
        </w:rPr>
        <w:t>Cancers (Basel)</w:t>
      </w:r>
      <w:r w:rsidRPr="00C06DDE">
        <w:rPr>
          <w:rFonts w:eastAsiaTheme="minorEastAsia" w:cs="Times New Roman"/>
          <w:sz w:val="24"/>
        </w:rPr>
        <w:t>. 2022;14(14):3539. doi:10.3390/cancers14143539</w:t>
      </w:r>
    </w:p>
    <w:p w14:paraId="7880B4DC" w14:textId="77777777" w:rsidR="00C06DDE" w:rsidRPr="00C06DDE" w:rsidRDefault="00C06DDE" w:rsidP="00C06DDE">
      <w:pPr>
        <w:pStyle w:val="Bibliography"/>
        <w:rPr>
          <w:rFonts w:eastAsiaTheme="minorEastAsia" w:cs="Times New Roman"/>
          <w:sz w:val="24"/>
        </w:rPr>
      </w:pPr>
      <w:r w:rsidRPr="00C06DDE">
        <w:rPr>
          <w:rFonts w:eastAsiaTheme="minorEastAsia" w:cs="Times New Roman"/>
          <w:sz w:val="24"/>
        </w:rPr>
        <w:t>6.</w:t>
      </w:r>
      <w:r w:rsidRPr="00C06DDE">
        <w:rPr>
          <w:rFonts w:eastAsiaTheme="minorEastAsia" w:cs="Times New Roman"/>
          <w:sz w:val="24"/>
        </w:rPr>
        <w:tab/>
        <w:t xml:space="preserve">Mehboob R, Gilani SA, Hassan A, et al. Prognostic Significance of Substance P/Neurokinin 1 Receptor and Its Association with Hormonal Receptors in Breast Carcinoma. </w:t>
      </w:r>
      <w:r w:rsidRPr="00C06DDE">
        <w:rPr>
          <w:rFonts w:eastAsiaTheme="minorEastAsia" w:cs="Times New Roman"/>
          <w:i/>
          <w:iCs/>
          <w:sz w:val="24"/>
        </w:rPr>
        <w:t>Biomed Res Int</w:t>
      </w:r>
      <w:r w:rsidRPr="00C06DDE">
        <w:rPr>
          <w:rFonts w:eastAsiaTheme="minorEastAsia" w:cs="Times New Roman"/>
          <w:sz w:val="24"/>
        </w:rPr>
        <w:t>. 2021;2021:5577820. doi:10.1155/2021/5577820</w:t>
      </w:r>
    </w:p>
    <w:p w14:paraId="7CA75AEC" w14:textId="77777777" w:rsidR="00C06DDE" w:rsidRPr="00C06DDE" w:rsidRDefault="00C06DDE" w:rsidP="00C06DDE">
      <w:pPr>
        <w:pStyle w:val="Bibliography"/>
        <w:rPr>
          <w:rFonts w:eastAsiaTheme="minorEastAsia" w:cs="Times New Roman"/>
          <w:sz w:val="24"/>
        </w:rPr>
      </w:pPr>
      <w:r w:rsidRPr="00C06DDE">
        <w:rPr>
          <w:rFonts w:eastAsiaTheme="minorEastAsia" w:cs="Times New Roman"/>
          <w:sz w:val="24"/>
        </w:rPr>
        <w:t>7.</w:t>
      </w:r>
      <w:r w:rsidRPr="00C06DDE">
        <w:rPr>
          <w:rFonts w:eastAsiaTheme="minorEastAsia" w:cs="Times New Roman"/>
          <w:sz w:val="24"/>
        </w:rPr>
        <w:tab/>
        <w:t xml:space="preserve">Al-Keilani MS, Elstaty RI, Alqudah MA, Alkhateeb AM. Immunohistochemical expression of substance P in breast cancer and its association with prognostic parameters and Ki-67 index. Özmen V, ed. </w:t>
      </w:r>
      <w:r w:rsidRPr="00C06DDE">
        <w:rPr>
          <w:rFonts w:eastAsiaTheme="minorEastAsia" w:cs="Times New Roman"/>
          <w:i/>
          <w:iCs/>
          <w:sz w:val="24"/>
        </w:rPr>
        <w:t>PLoS ONE</w:t>
      </w:r>
      <w:r w:rsidRPr="00C06DDE">
        <w:rPr>
          <w:rFonts w:eastAsiaTheme="minorEastAsia" w:cs="Times New Roman"/>
          <w:sz w:val="24"/>
        </w:rPr>
        <w:t>. 2021;16(6):e0252616. doi:10.1371/journal.pone.0252616</w:t>
      </w:r>
    </w:p>
    <w:p w14:paraId="3B580B71" w14:textId="77777777" w:rsidR="00C06DDE" w:rsidRPr="00C06DDE" w:rsidRDefault="00C06DDE" w:rsidP="00C06DDE">
      <w:pPr>
        <w:pStyle w:val="Bibliography"/>
        <w:rPr>
          <w:rFonts w:eastAsiaTheme="minorEastAsia" w:cs="Times New Roman"/>
          <w:sz w:val="24"/>
        </w:rPr>
      </w:pPr>
      <w:r w:rsidRPr="00C06DDE">
        <w:rPr>
          <w:rFonts w:eastAsiaTheme="minorEastAsia" w:cs="Times New Roman"/>
          <w:sz w:val="24"/>
        </w:rPr>
        <w:t>8.</w:t>
      </w:r>
      <w:r w:rsidRPr="00C06DDE">
        <w:rPr>
          <w:rFonts w:eastAsiaTheme="minorEastAsia" w:cs="Times New Roman"/>
          <w:sz w:val="24"/>
        </w:rPr>
        <w:tab/>
        <w:t xml:space="preserve">Davoodian M, Boroumand N, Mehrabi Bahar M, Jafarian AH, Asadi M, Hashemy SI. Evaluation of serum level of substance P and tissue distribution of NK-1 receptor in breast cancer. </w:t>
      </w:r>
      <w:r w:rsidRPr="00C06DDE">
        <w:rPr>
          <w:rFonts w:eastAsiaTheme="minorEastAsia" w:cs="Times New Roman"/>
          <w:i/>
          <w:iCs/>
          <w:sz w:val="24"/>
        </w:rPr>
        <w:t>Mol Biol Rep</w:t>
      </w:r>
      <w:r w:rsidRPr="00C06DDE">
        <w:rPr>
          <w:rFonts w:eastAsiaTheme="minorEastAsia" w:cs="Times New Roman"/>
          <w:sz w:val="24"/>
        </w:rPr>
        <w:t>. 2019;46(1):1285-1293. doi:10.1007/s11033-019-04599-9</w:t>
      </w:r>
    </w:p>
    <w:p w14:paraId="3BBBC3B2" w14:textId="77777777" w:rsidR="00C06DDE" w:rsidRPr="00C06DDE" w:rsidRDefault="00C06DDE" w:rsidP="00C06DDE">
      <w:pPr>
        <w:pStyle w:val="Bibliography"/>
        <w:rPr>
          <w:rFonts w:eastAsiaTheme="minorEastAsia" w:cs="Times New Roman"/>
          <w:sz w:val="24"/>
        </w:rPr>
      </w:pPr>
      <w:r w:rsidRPr="00C06DDE">
        <w:rPr>
          <w:rFonts w:eastAsiaTheme="minorEastAsia" w:cs="Times New Roman"/>
          <w:sz w:val="24"/>
        </w:rPr>
        <w:t>9.</w:t>
      </w:r>
      <w:r w:rsidRPr="00C06DDE">
        <w:rPr>
          <w:rFonts w:eastAsiaTheme="minorEastAsia" w:cs="Times New Roman"/>
          <w:sz w:val="24"/>
        </w:rPr>
        <w:tab/>
        <w:t xml:space="preserve">Howat WJ, Blows FM, Provenzano E, et al. Performance of automated scoring of ER, PR, HER2, CK5/6 and EGFR in breast cancer tissue microarrays in the Breast Cancer Association Consortium. </w:t>
      </w:r>
      <w:r w:rsidRPr="00C06DDE">
        <w:rPr>
          <w:rFonts w:eastAsiaTheme="minorEastAsia" w:cs="Times New Roman"/>
          <w:i/>
          <w:iCs/>
          <w:sz w:val="24"/>
        </w:rPr>
        <w:t>J Pathol Clin Res</w:t>
      </w:r>
      <w:r w:rsidRPr="00C06DDE">
        <w:rPr>
          <w:rFonts w:eastAsiaTheme="minorEastAsia" w:cs="Times New Roman"/>
          <w:sz w:val="24"/>
        </w:rPr>
        <w:t>. 2015;1(1):18-32. doi:10.1002/cjp2.3</w:t>
      </w:r>
    </w:p>
    <w:p w14:paraId="2D4F4EBE" w14:textId="77777777" w:rsidR="00C06DDE" w:rsidRPr="00C06DDE" w:rsidRDefault="00C06DDE" w:rsidP="00C06DDE">
      <w:pPr>
        <w:pStyle w:val="Bibliography"/>
        <w:rPr>
          <w:rFonts w:eastAsiaTheme="minorEastAsia" w:cs="Times New Roman"/>
          <w:sz w:val="24"/>
        </w:rPr>
      </w:pPr>
      <w:r w:rsidRPr="00C06DDE">
        <w:rPr>
          <w:rFonts w:eastAsiaTheme="minorEastAsia" w:cs="Times New Roman"/>
          <w:sz w:val="24"/>
        </w:rPr>
        <w:t>10.</w:t>
      </w:r>
      <w:r w:rsidRPr="00C06DDE">
        <w:rPr>
          <w:rFonts w:eastAsiaTheme="minorEastAsia" w:cs="Times New Roman"/>
          <w:sz w:val="24"/>
        </w:rPr>
        <w:tab/>
        <w:t xml:space="preserve">Wijayanto A, Pieter JSLA, Prihantono P, Syamsu SA, Smaradhania N, Abdi A. Survivability Rates Based on Molecular Subtype, Stage and Metastasis of 36 months cohort in Breast Cancer Patients. </w:t>
      </w:r>
      <w:r w:rsidRPr="00C06DDE">
        <w:rPr>
          <w:rFonts w:eastAsiaTheme="minorEastAsia" w:cs="Times New Roman"/>
          <w:i/>
          <w:iCs/>
          <w:sz w:val="24"/>
        </w:rPr>
        <w:t>Nusantara Med Sci J</w:t>
      </w:r>
      <w:r w:rsidRPr="00C06DDE">
        <w:rPr>
          <w:rFonts w:eastAsiaTheme="minorEastAsia" w:cs="Times New Roman"/>
          <w:sz w:val="24"/>
        </w:rPr>
        <w:t>. Published online April 16, 2022:29-38. doi:10.20956/nmsj.v7i1.20092</w:t>
      </w:r>
    </w:p>
    <w:p w14:paraId="568CA903" w14:textId="77777777" w:rsidR="00C06DDE" w:rsidRPr="00C06DDE" w:rsidRDefault="00C06DDE" w:rsidP="00C06DDE">
      <w:pPr>
        <w:pStyle w:val="Bibliography"/>
        <w:rPr>
          <w:rFonts w:eastAsiaTheme="minorEastAsia" w:cs="Times New Roman"/>
          <w:sz w:val="24"/>
        </w:rPr>
      </w:pPr>
      <w:r w:rsidRPr="00C06DDE">
        <w:rPr>
          <w:rFonts w:eastAsiaTheme="minorEastAsia" w:cs="Times New Roman"/>
          <w:sz w:val="24"/>
        </w:rPr>
        <w:t>11.</w:t>
      </w:r>
      <w:r w:rsidRPr="00C06DDE">
        <w:rPr>
          <w:rFonts w:eastAsiaTheme="minorEastAsia" w:cs="Times New Roman"/>
          <w:sz w:val="24"/>
        </w:rPr>
        <w:tab/>
        <w:t xml:space="preserve">Amin MB, Greene FL, Edge SB, et al. The Eighth Edition </w:t>
      </w:r>
      <w:r w:rsidRPr="00C06DDE">
        <w:rPr>
          <w:rFonts w:eastAsiaTheme="minorEastAsia" w:cs="Times New Roman"/>
          <w:smallCaps/>
          <w:sz w:val="24"/>
        </w:rPr>
        <w:t>AJCC</w:t>
      </w:r>
      <w:r w:rsidRPr="00C06DDE">
        <w:rPr>
          <w:rFonts w:eastAsiaTheme="minorEastAsia" w:cs="Times New Roman"/>
          <w:sz w:val="24"/>
        </w:rPr>
        <w:t xml:space="preserve"> Cancer Staging Manual: Continuing to build a bridge from a population‐based to a more “personalized” approach to cancer staging. </w:t>
      </w:r>
      <w:r w:rsidRPr="00C06DDE">
        <w:rPr>
          <w:rFonts w:eastAsiaTheme="minorEastAsia" w:cs="Times New Roman"/>
          <w:i/>
          <w:iCs/>
          <w:sz w:val="24"/>
        </w:rPr>
        <w:t>CA A Cancer J Clinicians</w:t>
      </w:r>
      <w:r w:rsidRPr="00C06DDE">
        <w:rPr>
          <w:rFonts w:eastAsiaTheme="minorEastAsia" w:cs="Times New Roman"/>
          <w:sz w:val="24"/>
        </w:rPr>
        <w:t>. 2017;67(2):93-99. doi:10.3322/caac.21388</w:t>
      </w:r>
    </w:p>
    <w:p w14:paraId="6D3CB7B2" w14:textId="77777777" w:rsidR="00C06DDE" w:rsidRPr="00C06DDE" w:rsidRDefault="00C06DDE" w:rsidP="00C06DDE">
      <w:pPr>
        <w:pStyle w:val="Bibliography"/>
        <w:rPr>
          <w:rFonts w:eastAsiaTheme="minorEastAsia" w:cs="Times New Roman"/>
          <w:sz w:val="24"/>
        </w:rPr>
      </w:pPr>
      <w:r w:rsidRPr="00C06DDE">
        <w:rPr>
          <w:rFonts w:eastAsiaTheme="minorEastAsia" w:cs="Times New Roman"/>
          <w:sz w:val="24"/>
        </w:rPr>
        <w:t>12.</w:t>
      </w:r>
      <w:r w:rsidRPr="00C06DDE">
        <w:rPr>
          <w:rFonts w:eastAsiaTheme="minorEastAsia" w:cs="Times New Roman"/>
          <w:sz w:val="24"/>
        </w:rPr>
        <w:tab/>
        <w:t xml:space="preserve">Rosen RD, Sapra A. TNM Classification. In: </w:t>
      </w:r>
      <w:r w:rsidRPr="00C06DDE">
        <w:rPr>
          <w:rFonts w:eastAsiaTheme="minorEastAsia" w:cs="Times New Roman"/>
          <w:i/>
          <w:iCs/>
          <w:sz w:val="24"/>
        </w:rPr>
        <w:t>StatPearls</w:t>
      </w:r>
      <w:r w:rsidRPr="00C06DDE">
        <w:rPr>
          <w:rFonts w:eastAsiaTheme="minorEastAsia" w:cs="Times New Roman"/>
          <w:sz w:val="24"/>
        </w:rPr>
        <w:t>. StatPearls Publishing; 2026. http://www.ncbi.nlm.nih.gov/books/NBK553187/</w:t>
      </w:r>
    </w:p>
    <w:p w14:paraId="4D601F2D" w14:textId="77777777" w:rsidR="00C06DDE" w:rsidRPr="00C06DDE" w:rsidRDefault="00C06DDE" w:rsidP="00C06DDE">
      <w:pPr>
        <w:pStyle w:val="Bibliography"/>
        <w:rPr>
          <w:rFonts w:eastAsiaTheme="minorEastAsia" w:cs="Times New Roman"/>
          <w:sz w:val="24"/>
        </w:rPr>
      </w:pPr>
      <w:r w:rsidRPr="00C06DDE">
        <w:rPr>
          <w:rFonts w:eastAsiaTheme="minorEastAsia" w:cs="Times New Roman"/>
          <w:sz w:val="24"/>
        </w:rPr>
        <w:t>13.</w:t>
      </w:r>
      <w:r w:rsidRPr="00C06DDE">
        <w:rPr>
          <w:rFonts w:eastAsiaTheme="minorEastAsia" w:cs="Times New Roman"/>
          <w:sz w:val="24"/>
        </w:rPr>
        <w:tab/>
        <w:t xml:space="preserve">Haroon S, Hashmi AA, Khurshid A, et al. Ki67 Index in Breast Cancer: Correlation with Other Prognostic Markers and Potential in Pakistani Patients. </w:t>
      </w:r>
      <w:r w:rsidRPr="00C06DDE">
        <w:rPr>
          <w:rFonts w:eastAsiaTheme="minorEastAsia" w:cs="Times New Roman"/>
          <w:i/>
          <w:iCs/>
          <w:sz w:val="24"/>
        </w:rPr>
        <w:t>Asian Pac J Cancer Prev</w:t>
      </w:r>
      <w:r w:rsidRPr="00C06DDE">
        <w:rPr>
          <w:rFonts w:eastAsiaTheme="minorEastAsia" w:cs="Times New Roman"/>
          <w:sz w:val="24"/>
        </w:rPr>
        <w:t>. 2013;14(7):4353-4358. doi:10.7314/APJCP.2013.14.7.4353</w:t>
      </w:r>
    </w:p>
    <w:p w14:paraId="7B98D065" w14:textId="77777777" w:rsidR="00C06DDE" w:rsidRPr="00C06DDE" w:rsidRDefault="00C06DDE" w:rsidP="00C06DDE">
      <w:pPr>
        <w:pStyle w:val="Bibliography"/>
        <w:rPr>
          <w:rFonts w:eastAsiaTheme="minorEastAsia" w:cs="Times New Roman"/>
          <w:sz w:val="24"/>
        </w:rPr>
      </w:pPr>
      <w:r w:rsidRPr="00C06DDE">
        <w:rPr>
          <w:rFonts w:eastAsiaTheme="minorEastAsia" w:cs="Times New Roman"/>
          <w:sz w:val="24"/>
        </w:rPr>
        <w:lastRenderedPageBreak/>
        <w:t>14.</w:t>
      </w:r>
      <w:r w:rsidRPr="00C06DDE">
        <w:rPr>
          <w:rFonts w:eastAsiaTheme="minorEastAsia" w:cs="Times New Roman"/>
          <w:sz w:val="24"/>
        </w:rPr>
        <w:tab/>
        <w:t xml:space="preserve">Allison KH, Hammond MEH, Dowsett M, et al. Estrogen and Progesterone Receptor Testing in Breast Cancer: ASCO/CAP Guideline Update. </w:t>
      </w:r>
      <w:r w:rsidRPr="00C06DDE">
        <w:rPr>
          <w:rFonts w:eastAsiaTheme="minorEastAsia" w:cs="Times New Roman"/>
          <w:i/>
          <w:iCs/>
          <w:sz w:val="24"/>
        </w:rPr>
        <w:t>J Clin Oncol</w:t>
      </w:r>
      <w:r w:rsidRPr="00C06DDE">
        <w:rPr>
          <w:rFonts w:eastAsiaTheme="minorEastAsia" w:cs="Times New Roman"/>
          <w:sz w:val="24"/>
        </w:rPr>
        <w:t>. 2020;38(12):1346-1366. doi:10.1200/JCO.19.02309</w:t>
      </w:r>
    </w:p>
    <w:p w14:paraId="307FA4BC" w14:textId="77777777" w:rsidR="00C06DDE" w:rsidRPr="00C06DDE" w:rsidRDefault="00C06DDE" w:rsidP="00C06DDE">
      <w:pPr>
        <w:pStyle w:val="Bibliography"/>
        <w:rPr>
          <w:rFonts w:eastAsiaTheme="minorEastAsia" w:cs="Times New Roman"/>
          <w:sz w:val="24"/>
        </w:rPr>
      </w:pPr>
      <w:r w:rsidRPr="00C06DDE">
        <w:rPr>
          <w:rFonts w:eastAsiaTheme="minorEastAsia" w:cs="Times New Roman"/>
          <w:sz w:val="24"/>
        </w:rPr>
        <w:t>15.</w:t>
      </w:r>
      <w:r w:rsidRPr="00C06DDE">
        <w:rPr>
          <w:rFonts w:eastAsiaTheme="minorEastAsia" w:cs="Times New Roman"/>
          <w:sz w:val="24"/>
        </w:rPr>
        <w:tab/>
        <w:t xml:space="preserve">Ivanova M, Porta FM, D’Ercole M, et al. Standardized pathology report for HER2 testing in compliance with 2023 ASCO/CAP updates and 2023 ESMO consensus statements on HER2-low breast cancer. </w:t>
      </w:r>
      <w:r w:rsidRPr="00C06DDE">
        <w:rPr>
          <w:rFonts w:eastAsiaTheme="minorEastAsia" w:cs="Times New Roman"/>
          <w:i/>
          <w:iCs/>
          <w:sz w:val="24"/>
        </w:rPr>
        <w:t>Virchows Arch</w:t>
      </w:r>
      <w:r w:rsidRPr="00C06DDE">
        <w:rPr>
          <w:rFonts w:eastAsiaTheme="minorEastAsia" w:cs="Times New Roman"/>
          <w:sz w:val="24"/>
        </w:rPr>
        <w:t>. 2024;484(1):3-14. doi:10.1007/s00428-023-03656-w</w:t>
      </w:r>
    </w:p>
    <w:p w14:paraId="2BDF8575" w14:textId="77777777" w:rsidR="00C06DDE" w:rsidRPr="00C06DDE" w:rsidRDefault="00C06DDE" w:rsidP="00C06DDE">
      <w:pPr>
        <w:pStyle w:val="Bibliography"/>
        <w:rPr>
          <w:rFonts w:eastAsiaTheme="minorEastAsia" w:cs="Times New Roman"/>
          <w:sz w:val="24"/>
        </w:rPr>
      </w:pPr>
      <w:r w:rsidRPr="00C06DDE">
        <w:rPr>
          <w:rFonts w:eastAsiaTheme="minorEastAsia" w:cs="Times New Roman"/>
          <w:sz w:val="24"/>
        </w:rPr>
        <w:t>16.</w:t>
      </w:r>
      <w:r w:rsidRPr="00C06DDE">
        <w:rPr>
          <w:rFonts w:eastAsiaTheme="minorEastAsia" w:cs="Times New Roman"/>
          <w:sz w:val="24"/>
        </w:rPr>
        <w:tab/>
        <w:t xml:space="preserve">Padmanaban V, Keller I, Seltzer ES, Ostendorf BN, Kerner Z, Tavazoie SF. Neuronal substance P drives metastasis through an extracellular RNA–TLR7 axis. </w:t>
      </w:r>
      <w:r w:rsidRPr="00C06DDE">
        <w:rPr>
          <w:rFonts w:eastAsiaTheme="minorEastAsia" w:cs="Times New Roman"/>
          <w:i/>
          <w:iCs/>
          <w:sz w:val="24"/>
        </w:rPr>
        <w:t>Nature</w:t>
      </w:r>
      <w:r w:rsidRPr="00C06DDE">
        <w:rPr>
          <w:rFonts w:eastAsiaTheme="minorEastAsia" w:cs="Times New Roman"/>
          <w:sz w:val="24"/>
        </w:rPr>
        <w:t>. 2024;633(8028):207-215. doi:10.1038/s41586-024-07767-5</w:t>
      </w:r>
    </w:p>
    <w:p w14:paraId="390FA615" w14:textId="77777777" w:rsidR="00C06DDE" w:rsidRPr="00C06DDE" w:rsidRDefault="00C06DDE" w:rsidP="00C06DDE">
      <w:pPr>
        <w:pStyle w:val="Bibliography"/>
        <w:rPr>
          <w:rFonts w:eastAsiaTheme="minorEastAsia" w:cs="Times New Roman"/>
          <w:sz w:val="24"/>
        </w:rPr>
      </w:pPr>
      <w:r w:rsidRPr="00C06DDE">
        <w:rPr>
          <w:rFonts w:eastAsiaTheme="minorEastAsia" w:cs="Times New Roman"/>
          <w:sz w:val="24"/>
        </w:rPr>
        <w:t>17.</w:t>
      </w:r>
      <w:r w:rsidRPr="00C06DDE">
        <w:rPr>
          <w:rFonts w:eastAsiaTheme="minorEastAsia" w:cs="Times New Roman"/>
          <w:sz w:val="24"/>
        </w:rPr>
        <w:tab/>
        <w:t xml:space="preserve">Mayordomo C, García-Recio S, Ametller E, et al. Targeting of substance P induces cancer cell death and decreases the steady state of EGFR and Her2. </w:t>
      </w:r>
      <w:r w:rsidRPr="00C06DDE">
        <w:rPr>
          <w:rFonts w:eastAsiaTheme="minorEastAsia" w:cs="Times New Roman"/>
          <w:i/>
          <w:iCs/>
          <w:sz w:val="24"/>
        </w:rPr>
        <w:t>J Cell Physiol</w:t>
      </w:r>
      <w:r w:rsidRPr="00C06DDE">
        <w:rPr>
          <w:rFonts w:eastAsiaTheme="minorEastAsia" w:cs="Times New Roman"/>
          <w:sz w:val="24"/>
        </w:rPr>
        <w:t>. 2012;227(4):1358-1366. doi:10.1002/jcp.22848</w:t>
      </w:r>
    </w:p>
    <w:p w14:paraId="28633F88" w14:textId="77777777" w:rsidR="00C06DDE" w:rsidRPr="00C06DDE" w:rsidRDefault="00C06DDE" w:rsidP="00C06DDE">
      <w:pPr>
        <w:pStyle w:val="Bibliography"/>
        <w:rPr>
          <w:rFonts w:eastAsiaTheme="minorEastAsia" w:cs="Times New Roman"/>
          <w:sz w:val="24"/>
        </w:rPr>
      </w:pPr>
      <w:r w:rsidRPr="00C06DDE">
        <w:rPr>
          <w:rFonts w:eastAsiaTheme="minorEastAsia" w:cs="Times New Roman"/>
          <w:sz w:val="24"/>
        </w:rPr>
        <w:t>18.</w:t>
      </w:r>
      <w:r w:rsidRPr="00C06DDE">
        <w:rPr>
          <w:rFonts w:eastAsiaTheme="minorEastAsia" w:cs="Times New Roman"/>
          <w:sz w:val="24"/>
        </w:rPr>
        <w:tab/>
        <w:t xml:space="preserve">Garcia-Recio S, Fuster G, Fernandez-Nogueira P, et al. Substance P autocrine signaling contributes to persistent HER2 activation that drives malignant progression and drug resistance in breast cancer. </w:t>
      </w:r>
      <w:r w:rsidRPr="00C06DDE">
        <w:rPr>
          <w:rFonts w:eastAsiaTheme="minorEastAsia" w:cs="Times New Roman"/>
          <w:i/>
          <w:iCs/>
          <w:sz w:val="24"/>
        </w:rPr>
        <w:t>Cancer Res</w:t>
      </w:r>
      <w:r w:rsidRPr="00C06DDE">
        <w:rPr>
          <w:rFonts w:eastAsiaTheme="minorEastAsia" w:cs="Times New Roman"/>
          <w:sz w:val="24"/>
        </w:rPr>
        <w:t>. 2013;73(21):6424-6434. doi:10.1158/0008-5472.CAN-12-4573</w:t>
      </w:r>
    </w:p>
    <w:p w14:paraId="02891E53" w14:textId="77777777" w:rsidR="00C06DDE" w:rsidRPr="00C06DDE" w:rsidRDefault="00C06DDE" w:rsidP="00C06DDE">
      <w:pPr>
        <w:pStyle w:val="Bibliography"/>
        <w:rPr>
          <w:rFonts w:eastAsiaTheme="minorEastAsia" w:cs="Times New Roman"/>
          <w:sz w:val="24"/>
        </w:rPr>
      </w:pPr>
      <w:r w:rsidRPr="00C06DDE">
        <w:rPr>
          <w:rFonts w:eastAsiaTheme="minorEastAsia" w:cs="Times New Roman"/>
          <w:sz w:val="24"/>
        </w:rPr>
        <w:t>19.</w:t>
      </w:r>
      <w:r w:rsidRPr="00C06DDE">
        <w:rPr>
          <w:rFonts w:eastAsiaTheme="minorEastAsia" w:cs="Times New Roman"/>
          <w:sz w:val="24"/>
        </w:rPr>
        <w:tab/>
        <w:t xml:space="preserve">Sánchez ML, Robinson P, Italia Z, Hoang T, Muñoz M, Coveñas R. The Involvement of the Peptidergic Systems in Breast Cancer Development. </w:t>
      </w:r>
      <w:r w:rsidRPr="00C06DDE">
        <w:rPr>
          <w:rFonts w:eastAsiaTheme="minorEastAsia" w:cs="Times New Roman"/>
          <w:i/>
          <w:iCs/>
          <w:sz w:val="24"/>
        </w:rPr>
        <w:t>Cancers (Basel)</w:t>
      </w:r>
      <w:r w:rsidRPr="00C06DDE">
        <w:rPr>
          <w:rFonts w:eastAsiaTheme="minorEastAsia" w:cs="Times New Roman"/>
          <w:sz w:val="24"/>
        </w:rPr>
        <w:t>. 2025;17(22):3662. doi:10.3390/cancers17223662</w:t>
      </w:r>
    </w:p>
    <w:p w14:paraId="40C64BA7" w14:textId="615D086D" w:rsidR="00AB2309" w:rsidRDefault="0042695B" w:rsidP="00C06DDE">
      <w:pPr>
        <w:pStyle w:val="Bibliography"/>
        <w:rPr>
          <w:rFonts w:cs="Times New Roman"/>
          <w:sz w:val="24"/>
          <w:szCs w:val="24"/>
        </w:rPr>
      </w:pPr>
      <w:r>
        <w:rPr>
          <w:rFonts w:cs="Times New Roman"/>
          <w:sz w:val="24"/>
          <w:szCs w:val="24"/>
        </w:rPr>
        <w:fldChar w:fldCharType="end"/>
      </w:r>
    </w:p>
    <w:p w14:paraId="7539989D" w14:textId="77777777" w:rsidR="00A237E6" w:rsidRDefault="00A237E6" w:rsidP="00A237E6"/>
    <w:p w14:paraId="5A6B14B2" w14:textId="77777777" w:rsidR="00A237E6" w:rsidRDefault="00A237E6" w:rsidP="00A237E6"/>
    <w:p w14:paraId="4DAF6E9D" w14:textId="1A7B89A4" w:rsidR="00A237E6" w:rsidRPr="00A237E6" w:rsidRDefault="00A237E6" w:rsidP="00A237E6">
      <w:r w:rsidRPr="00A237E6">
        <w:rPr>
          <w:highlight w:val="yellow"/>
        </w:rPr>
        <w:t>Overall, the manuscript addresses an interesting topic; however, methodological limitations and overinterpretation require major revision before it can be considered for publication.</w:t>
      </w:r>
    </w:p>
    <w:sectPr w:rsidR="00A237E6" w:rsidRPr="00A237E6" w:rsidSect="005A0DF6">
      <w:type w:val="continuous"/>
      <w:pgSz w:w="11906" w:h="16838"/>
      <w:pgMar w:top="1440" w:right="1440" w:bottom="1440" w:left="1440" w:header="720" w:footer="720" w:gutter="0"/>
      <w:cols w:space="50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 w:date="2026-04-27T10:03:00Z" w:initials=".">
    <w:p w14:paraId="41FCF724" w14:textId="57FF59DE" w:rsidR="00672338" w:rsidRDefault="00672338">
      <w:pPr>
        <w:pStyle w:val="CommentText"/>
      </w:pPr>
      <w:r>
        <w:rPr>
          <w:rStyle w:val="CommentReference"/>
        </w:rPr>
        <w:annotationRef/>
      </w:r>
      <w:r w:rsidRPr="00A237E6">
        <w:t>The conclusion appears overstated given the small sample size. Please moderate the claim and present this as preliminary findings.</w:t>
      </w:r>
    </w:p>
  </w:comment>
  <w:comment w:id="1" w:author="." w:date="2026-04-27T10:03:00Z" w:initials=".">
    <w:p w14:paraId="13A9A976" w14:textId="2F213A1B" w:rsidR="00672338" w:rsidRDefault="00672338">
      <w:pPr>
        <w:pStyle w:val="CommentText"/>
      </w:pPr>
      <w:r>
        <w:rPr>
          <w:rStyle w:val="CommentReference"/>
        </w:rPr>
        <w:annotationRef/>
      </w:r>
      <w:r w:rsidRPr="00A237E6">
        <w:t>The use of multivariable logistic regression with a small sample size (n=47) may lead to overfitting. Please provide a sample size justification or consider simplifying the model.</w:t>
      </w:r>
    </w:p>
  </w:comment>
  <w:comment w:id="2" w:author="." w:date="2026-04-27T10:04:00Z" w:initials=".">
    <w:p w14:paraId="5A3BC1F5" w14:textId="77777777" w:rsidR="00672338" w:rsidRDefault="00672338" w:rsidP="00672338">
      <w:pPr>
        <w:pStyle w:val="CommentText"/>
      </w:pPr>
      <w:r>
        <w:rPr>
          <w:rStyle w:val="CommentReference"/>
        </w:rPr>
        <w:annotationRef/>
      </w:r>
      <w:r w:rsidRPr="00E73524">
        <w:t>The highly skewed distribution (predominantly advanced-stage patients) should be justified and discussed as a potential source of selection bias.</w:t>
      </w:r>
    </w:p>
    <w:p w14:paraId="0736DEE8" w14:textId="418CB2DD" w:rsidR="00672338" w:rsidRDefault="00672338">
      <w:pPr>
        <w:pStyle w:val="CommentText"/>
      </w:pPr>
    </w:p>
  </w:comment>
  <w:comment w:id="3" w:author="." w:date="2026-04-27T10:04:00Z" w:initials=".">
    <w:p w14:paraId="1F59AFB5" w14:textId="77777777" w:rsidR="00672338" w:rsidRDefault="00672338" w:rsidP="00672338">
      <w:pPr>
        <w:pStyle w:val="CommentText"/>
      </w:pPr>
      <w:r>
        <w:rPr>
          <w:rStyle w:val="CommentReference"/>
        </w:rPr>
        <w:annotationRef/>
      </w:r>
      <w:r w:rsidRPr="00E73524">
        <w:t>Please specify whether assumptions for parametric testing (normality, variance) were assessed.</w:t>
      </w:r>
    </w:p>
    <w:p w14:paraId="72373A24" w14:textId="4EB688B2" w:rsidR="00672338" w:rsidRDefault="00672338">
      <w:pPr>
        <w:pStyle w:val="CommentText"/>
      </w:pPr>
    </w:p>
  </w:comment>
  <w:comment w:id="4" w:author="." w:date="2026-04-27T10:05:00Z" w:initials=".">
    <w:p w14:paraId="40DCDD68" w14:textId="77777777" w:rsidR="00672338" w:rsidRDefault="00672338" w:rsidP="00672338">
      <w:pPr>
        <w:pStyle w:val="CommentText"/>
      </w:pPr>
      <w:r>
        <w:rPr>
          <w:rStyle w:val="CommentReference"/>
        </w:rPr>
        <w:annotationRef/>
      </w:r>
      <w:r w:rsidRPr="00E73524">
        <w:t>Please report sensitivity and specificity values corresponding to the selected cutoff.</w:t>
      </w:r>
    </w:p>
    <w:p w14:paraId="600FA5E7" w14:textId="7426B34C" w:rsidR="00672338" w:rsidRDefault="00672338">
      <w:pPr>
        <w:pStyle w:val="CommentText"/>
      </w:pPr>
    </w:p>
  </w:comment>
  <w:comment w:id="5" w:author="." w:date="2026-04-27T10:06:00Z" w:initials=".">
    <w:p w14:paraId="5ECC7EAF" w14:textId="6FD04AC8" w:rsidR="00672338" w:rsidRDefault="00672338">
      <w:pPr>
        <w:pStyle w:val="CommentText"/>
      </w:pPr>
      <w:r>
        <w:rPr>
          <w:rStyle w:val="CommentReference"/>
        </w:rPr>
        <w:annotationRef/>
      </w:r>
      <w:r w:rsidRPr="00E73524">
        <w:t>The absence of high-SP cases in the node-negative group suggests quasi-complete separation. Please address this issue and its implications for statistical validity.</w:t>
      </w:r>
    </w:p>
  </w:comment>
  <w:comment w:id="6" w:author="." w:date="2026-04-27T10:07:00Z" w:initials=".">
    <w:p w14:paraId="793F82FD" w14:textId="796DB6A2" w:rsidR="00672338" w:rsidRDefault="00672338">
      <w:pPr>
        <w:pStyle w:val="CommentText"/>
      </w:pPr>
      <w:r>
        <w:rPr>
          <w:rStyle w:val="CommentReference"/>
        </w:rPr>
        <w:annotationRef/>
      </w:r>
      <w:r w:rsidRPr="00E73524">
        <w:t>The extremely large standard error indicates model instability, likely due to quasi-complete separation. Please address this issue or consider alternative statistical approaches.</w:t>
      </w:r>
    </w:p>
  </w:comment>
  <w:comment w:id="7" w:author="." w:date="2026-04-27T10:07:00Z" w:initials=".">
    <w:p w14:paraId="716E5931" w14:textId="77777777" w:rsidR="00672338" w:rsidRDefault="00672338" w:rsidP="00672338">
      <w:pPr>
        <w:pStyle w:val="CommentText"/>
      </w:pPr>
      <w:r>
        <w:rPr>
          <w:rStyle w:val="CommentReference"/>
        </w:rPr>
        <w:annotationRef/>
      </w:r>
      <w:r w:rsidRPr="00E73524">
        <w:t>The term “robust” may be overstated given the sample size and study design. Please use more cautious wording.</w:t>
      </w:r>
    </w:p>
    <w:p w14:paraId="7E696CE2" w14:textId="3160AA3B" w:rsidR="00672338" w:rsidRDefault="00672338">
      <w:pPr>
        <w:pStyle w:val="CommentText"/>
      </w:pPr>
    </w:p>
  </w:comment>
  <w:comment w:id="8" w:author="." w:date="2026-04-27T10:07:00Z" w:initials=".">
    <w:p w14:paraId="0595279A" w14:textId="77777777" w:rsidR="00D52195" w:rsidRDefault="00D52195" w:rsidP="00D52195">
      <w:pPr>
        <w:pStyle w:val="CommentText"/>
      </w:pPr>
      <w:r>
        <w:rPr>
          <w:rStyle w:val="CommentReference"/>
        </w:rPr>
        <w:annotationRef/>
      </w:r>
      <w:r w:rsidRPr="00E73524">
        <w:t>The term “validating” is too strong for a single-center study with a limited sample size. Consider revising to “suggesting” or “supporting”.</w:t>
      </w:r>
    </w:p>
    <w:p w14:paraId="1FB14B10" w14:textId="461CFCC3" w:rsidR="00D52195" w:rsidRDefault="00D52195">
      <w:pPr>
        <w:pStyle w:val="CommentText"/>
      </w:pPr>
    </w:p>
  </w:comment>
  <w:comment w:id="9" w:author="." w:date="2026-04-27T10:08:00Z" w:initials=".">
    <w:p w14:paraId="46443294" w14:textId="6A1EABA8" w:rsidR="00D52195" w:rsidRDefault="00D52195">
      <w:pPr>
        <w:pStyle w:val="CommentText"/>
      </w:pPr>
      <w:r>
        <w:rPr>
          <w:rStyle w:val="CommentReference"/>
        </w:rPr>
        <w:annotationRef/>
      </w:r>
      <w:r w:rsidRPr="00E73524">
        <w:t>This statement is too strong. Please moderate the language to reflect preliminary findings.</w:t>
      </w:r>
    </w:p>
  </w:comment>
  <w:comment w:id="10" w:author="." w:date="2026-04-27T10:08:00Z" w:initials=".">
    <w:p w14:paraId="35AC3F46" w14:textId="59564F09" w:rsidR="00D52195" w:rsidRDefault="00D52195">
      <w:pPr>
        <w:pStyle w:val="CommentText"/>
      </w:pPr>
      <w:r>
        <w:rPr>
          <w:rStyle w:val="CommentReference"/>
        </w:rPr>
        <w:annotationRef/>
      </w:r>
      <w:r w:rsidRPr="00E73524">
        <w:t>This statement is too strong. Please moderate the language to reflect preliminary findings.</w:t>
      </w:r>
    </w:p>
  </w:comment>
  <w:comment w:id="11" w:author="." w:date="2026-04-27T10:09:00Z" w:initials=".">
    <w:p w14:paraId="74AE1A8D" w14:textId="78962288" w:rsidR="00D52195" w:rsidRDefault="00D52195">
      <w:pPr>
        <w:pStyle w:val="CommentText"/>
      </w:pPr>
      <w:r>
        <w:rPr>
          <w:rStyle w:val="CommentReference"/>
        </w:rPr>
        <w:annotationRef/>
      </w:r>
      <w:r w:rsidRPr="00464BB8">
        <w:t>The term “prognostic” may not be appropriate without survival data. Consider revising to “clinical relevance” or “associative value”.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FCF724" w15:done="0"/>
  <w15:commentEx w15:paraId="13A9A976" w15:done="0"/>
  <w15:commentEx w15:paraId="0736DEE8" w15:done="0"/>
  <w15:commentEx w15:paraId="72373A24" w15:done="0"/>
  <w15:commentEx w15:paraId="600FA5E7" w15:done="0"/>
  <w15:commentEx w15:paraId="5ECC7EAF" w15:done="0"/>
  <w15:commentEx w15:paraId="793F82FD" w15:done="0"/>
  <w15:commentEx w15:paraId="7E696CE2" w15:done="0"/>
  <w15:commentEx w15:paraId="1FB14B10" w15:done="0"/>
  <w15:commentEx w15:paraId="46443294" w15:done="0"/>
  <w15:commentEx w15:paraId="35AC3F46" w15:done="0"/>
  <w15:commentEx w15:paraId="74AE1A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52FF19" w16cex:dateUtc="2026-04-27T02:03:00Z"/>
  <w16cex:commentExtensible w16cex:durableId="2E74FB76" w16cex:dateUtc="2026-04-27T02:03:00Z"/>
  <w16cex:commentExtensible w16cex:durableId="0E117B60" w16cex:dateUtc="2026-04-27T02:04:00Z"/>
  <w16cex:commentExtensible w16cex:durableId="38A6AF23" w16cex:dateUtc="2026-04-27T02:04:00Z"/>
  <w16cex:commentExtensible w16cex:durableId="02FC22DB" w16cex:dateUtc="2026-04-27T02:05:00Z"/>
  <w16cex:commentExtensible w16cex:durableId="3A23E8C3" w16cex:dateUtc="2026-04-27T02:06:00Z"/>
  <w16cex:commentExtensible w16cex:durableId="5089621E" w16cex:dateUtc="2026-04-27T02:07:00Z"/>
  <w16cex:commentExtensible w16cex:durableId="15153F1F" w16cex:dateUtc="2026-04-27T02:07:00Z"/>
  <w16cex:commentExtensible w16cex:durableId="2AB138B4" w16cex:dateUtc="2026-04-27T02:07:00Z"/>
  <w16cex:commentExtensible w16cex:durableId="400F4407" w16cex:dateUtc="2026-04-27T02:08:00Z"/>
  <w16cex:commentExtensible w16cex:durableId="62B20BAE" w16cex:dateUtc="2026-04-27T02:08:00Z"/>
  <w16cex:commentExtensible w16cex:durableId="0B065037" w16cex:dateUtc="2026-04-27T0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FCF724" w16cid:durableId="7B52FF19"/>
  <w16cid:commentId w16cid:paraId="13A9A976" w16cid:durableId="2E74FB76"/>
  <w16cid:commentId w16cid:paraId="0736DEE8" w16cid:durableId="0E117B60"/>
  <w16cid:commentId w16cid:paraId="72373A24" w16cid:durableId="38A6AF23"/>
  <w16cid:commentId w16cid:paraId="600FA5E7" w16cid:durableId="02FC22DB"/>
  <w16cid:commentId w16cid:paraId="5ECC7EAF" w16cid:durableId="3A23E8C3"/>
  <w16cid:commentId w16cid:paraId="793F82FD" w16cid:durableId="5089621E"/>
  <w16cid:commentId w16cid:paraId="7E696CE2" w16cid:durableId="15153F1F"/>
  <w16cid:commentId w16cid:paraId="1FB14B10" w16cid:durableId="2AB138B4"/>
  <w16cid:commentId w16cid:paraId="46443294" w16cid:durableId="400F4407"/>
  <w16cid:commentId w16cid:paraId="35AC3F46" w16cid:durableId="62B20BAE"/>
  <w16cid:commentId w16cid:paraId="74AE1A8D" w16cid:durableId="0B0650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70578D"/>
    <w:multiLevelType w:val="multilevel"/>
    <w:tmpl w:val="14869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530903">
    <w:abstractNumId w:val="8"/>
  </w:num>
  <w:num w:numId="2" w16cid:durableId="1513954057">
    <w:abstractNumId w:val="6"/>
  </w:num>
  <w:num w:numId="3" w16cid:durableId="1274171360">
    <w:abstractNumId w:val="5"/>
  </w:num>
  <w:num w:numId="4" w16cid:durableId="1519854464">
    <w:abstractNumId w:val="4"/>
  </w:num>
  <w:num w:numId="5" w16cid:durableId="1475637457">
    <w:abstractNumId w:val="7"/>
  </w:num>
  <w:num w:numId="6" w16cid:durableId="25105314">
    <w:abstractNumId w:val="3"/>
  </w:num>
  <w:num w:numId="7" w16cid:durableId="455179275">
    <w:abstractNumId w:val="2"/>
  </w:num>
  <w:num w:numId="8" w16cid:durableId="1520661213">
    <w:abstractNumId w:val="1"/>
  </w:num>
  <w:num w:numId="9" w16cid:durableId="250505394">
    <w:abstractNumId w:val="0"/>
  </w:num>
  <w:num w:numId="10" w16cid:durableId="118312683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
    <w15:presenceInfo w15:providerId="None"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D88"/>
    <w:rsid w:val="0006063C"/>
    <w:rsid w:val="00095E10"/>
    <w:rsid w:val="0015074B"/>
    <w:rsid w:val="002679B7"/>
    <w:rsid w:val="0029639D"/>
    <w:rsid w:val="002E011B"/>
    <w:rsid w:val="00326F90"/>
    <w:rsid w:val="003838AD"/>
    <w:rsid w:val="0042695B"/>
    <w:rsid w:val="00464BB8"/>
    <w:rsid w:val="004A1401"/>
    <w:rsid w:val="004E4C67"/>
    <w:rsid w:val="004E7EEF"/>
    <w:rsid w:val="005544AD"/>
    <w:rsid w:val="005A0DF6"/>
    <w:rsid w:val="005B3169"/>
    <w:rsid w:val="005B6ECC"/>
    <w:rsid w:val="005E1EDC"/>
    <w:rsid w:val="00602473"/>
    <w:rsid w:val="00672338"/>
    <w:rsid w:val="007321BD"/>
    <w:rsid w:val="00747AF0"/>
    <w:rsid w:val="00757176"/>
    <w:rsid w:val="0088616A"/>
    <w:rsid w:val="00891736"/>
    <w:rsid w:val="00905551"/>
    <w:rsid w:val="0097236C"/>
    <w:rsid w:val="00A237E6"/>
    <w:rsid w:val="00A25404"/>
    <w:rsid w:val="00A97CC2"/>
    <w:rsid w:val="00AA1D8D"/>
    <w:rsid w:val="00AA3292"/>
    <w:rsid w:val="00AB2309"/>
    <w:rsid w:val="00B47730"/>
    <w:rsid w:val="00BA3587"/>
    <w:rsid w:val="00C06DDE"/>
    <w:rsid w:val="00C664F5"/>
    <w:rsid w:val="00C66F97"/>
    <w:rsid w:val="00CB0664"/>
    <w:rsid w:val="00D31BA2"/>
    <w:rsid w:val="00D52195"/>
    <w:rsid w:val="00D873B9"/>
    <w:rsid w:val="00E028D7"/>
    <w:rsid w:val="00E73524"/>
    <w:rsid w:val="00F3182C"/>
    <w:rsid w:val="00F528B5"/>
    <w:rsid w:val="00FC693F"/>
    <w:rsid w:val="00FF1F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410CB"/>
  <w14:defaultImageDpi w14:val="330"/>
  <w15:docId w15:val="{FD11FAC3-ACCD-49CE-A250-E305374BE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404"/>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B3169"/>
    <w:pPr>
      <w:spacing w:before="100" w:beforeAutospacing="1" w:after="100" w:afterAutospacing="1" w:line="240" w:lineRule="auto"/>
    </w:pPr>
    <w:rPr>
      <w:rFonts w:cs="Times New Roman"/>
      <w:sz w:val="24"/>
      <w:szCs w:val="24"/>
      <w:lang w:val="en-ID"/>
    </w:rPr>
  </w:style>
  <w:style w:type="character" w:customStyle="1" w:styleId="apple-converted-space">
    <w:name w:val="apple-converted-space"/>
    <w:basedOn w:val="DefaultParagraphFont"/>
    <w:rsid w:val="005B3169"/>
  </w:style>
  <w:style w:type="character" w:customStyle="1" w:styleId="math-inline">
    <w:name w:val="math-inline"/>
    <w:basedOn w:val="DefaultParagraphFont"/>
    <w:rsid w:val="0097236C"/>
  </w:style>
  <w:style w:type="character" w:customStyle="1" w:styleId="mrel">
    <w:name w:val="mrel"/>
    <w:basedOn w:val="DefaultParagraphFont"/>
    <w:rsid w:val="00747AF0"/>
  </w:style>
  <w:style w:type="character" w:customStyle="1" w:styleId="mord">
    <w:name w:val="mord"/>
    <w:basedOn w:val="DefaultParagraphFont"/>
    <w:rsid w:val="00747AF0"/>
  </w:style>
  <w:style w:type="character" w:customStyle="1" w:styleId="citation-1">
    <w:name w:val="citation-1"/>
    <w:basedOn w:val="DefaultParagraphFont"/>
    <w:rsid w:val="0088616A"/>
  </w:style>
  <w:style w:type="paragraph" w:styleId="Bibliography">
    <w:name w:val="Bibliography"/>
    <w:basedOn w:val="Normal"/>
    <w:next w:val="Normal"/>
    <w:uiPriority w:val="37"/>
    <w:unhideWhenUsed/>
    <w:rsid w:val="0042695B"/>
    <w:pPr>
      <w:tabs>
        <w:tab w:val="left" w:pos="260"/>
      </w:tabs>
      <w:spacing w:after="240" w:line="240" w:lineRule="auto"/>
      <w:ind w:left="264" w:hanging="264"/>
    </w:pPr>
  </w:style>
  <w:style w:type="character" w:styleId="CommentReference">
    <w:name w:val="annotation reference"/>
    <w:basedOn w:val="DefaultParagraphFont"/>
    <w:uiPriority w:val="99"/>
    <w:semiHidden/>
    <w:unhideWhenUsed/>
    <w:rsid w:val="00E73524"/>
    <w:rPr>
      <w:sz w:val="16"/>
      <w:szCs w:val="16"/>
    </w:rPr>
  </w:style>
  <w:style w:type="paragraph" w:styleId="CommentText">
    <w:name w:val="annotation text"/>
    <w:basedOn w:val="Normal"/>
    <w:link w:val="CommentTextChar"/>
    <w:uiPriority w:val="99"/>
    <w:semiHidden/>
    <w:unhideWhenUsed/>
    <w:rsid w:val="00E73524"/>
    <w:pPr>
      <w:spacing w:line="240" w:lineRule="auto"/>
    </w:pPr>
    <w:rPr>
      <w:szCs w:val="20"/>
    </w:rPr>
  </w:style>
  <w:style w:type="character" w:customStyle="1" w:styleId="CommentTextChar">
    <w:name w:val="Comment Text Char"/>
    <w:basedOn w:val="DefaultParagraphFont"/>
    <w:link w:val="CommentText"/>
    <w:uiPriority w:val="99"/>
    <w:semiHidden/>
    <w:rsid w:val="00E73524"/>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73524"/>
    <w:rPr>
      <w:b/>
      <w:bCs/>
    </w:rPr>
  </w:style>
  <w:style w:type="character" w:customStyle="1" w:styleId="CommentSubjectChar">
    <w:name w:val="Comment Subject Char"/>
    <w:basedOn w:val="CommentTextChar"/>
    <w:link w:val="CommentSubject"/>
    <w:uiPriority w:val="99"/>
    <w:semiHidden/>
    <w:rsid w:val="00E73524"/>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23867">
      <w:bodyDiv w:val="1"/>
      <w:marLeft w:val="0"/>
      <w:marRight w:val="0"/>
      <w:marTop w:val="0"/>
      <w:marBottom w:val="0"/>
      <w:divBdr>
        <w:top w:val="none" w:sz="0" w:space="0" w:color="auto"/>
        <w:left w:val="none" w:sz="0" w:space="0" w:color="auto"/>
        <w:bottom w:val="none" w:sz="0" w:space="0" w:color="auto"/>
        <w:right w:val="none" w:sz="0" w:space="0" w:color="auto"/>
      </w:divBdr>
    </w:div>
    <w:div w:id="117450850">
      <w:bodyDiv w:val="1"/>
      <w:marLeft w:val="0"/>
      <w:marRight w:val="0"/>
      <w:marTop w:val="0"/>
      <w:marBottom w:val="0"/>
      <w:divBdr>
        <w:top w:val="none" w:sz="0" w:space="0" w:color="auto"/>
        <w:left w:val="none" w:sz="0" w:space="0" w:color="auto"/>
        <w:bottom w:val="none" w:sz="0" w:space="0" w:color="auto"/>
        <w:right w:val="none" w:sz="0" w:space="0" w:color="auto"/>
      </w:divBdr>
    </w:div>
    <w:div w:id="171579251">
      <w:bodyDiv w:val="1"/>
      <w:marLeft w:val="0"/>
      <w:marRight w:val="0"/>
      <w:marTop w:val="0"/>
      <w:marBottom w:val="0"/>
      <w:divBdr>
        <w:top w:val="none" w:sz="0" w:space="0" w:color="auto"/>
        <w:left w:val="none" w:sz="0" w:space="0" w:color="auto"/>
        <w:bottom w:val="none" w:sz="0" w:space="0" w:color="auto"/>
        <w:right w:val="none" w:sz="0" w:space="0" w:color="auto"/>
      </w:divBdr>
    </w:div>
    <w:div w:id="208340546">
      <w:bodyDiv w:val="1"/>
      <w:marLeft w:val="0"/>
      <w:marRight w:val="0"/>
      <w:marTop w:val="0"/>
      <w:marBottom w:val="0"/>
      <w:divBdr>
        <w:top w:val="none" w:sz="0" w:space="0" w:color="auto"/>
        <w:left w:val="none" w:sz="0" w:space="0" w:color="auto"/>
        <w:bottom w:val="none" w:sz="0" w:space="0" w:color="auto"/>
        <w:right w:val="none" w:sz="0" w:space="0" w:color="auto"/>
      </w:divBdr>
    </w:div>
    <w:div w:id="609582362">
      <w:bodyDiv w:val="1"/>
      <w:marLeft w:val="0"/>
      <w:marRight w:val="0"/>
      <w:marTop w:val="0"/>
      <w:marBottom w:val="0"/>
      <w:divBdr>
        <w:top w:val="none" w:sz="0" w:space="0" w:color="auto"/>
        <w:left w:val="none" w:sz="0" w:space="0" w:color="auto"/>
        <w:bottom w:val="none" w:sz="0" w:space="0" w:color="auto"/>
        <w:right w:val="none" w:sz="0" w:space="0" w:color="auto"/>
      </w:divBdr>
    </w:div>
    <w:div w:id="747653417">
      <w:bodyDiv w:val="1"/>
      <w:marLeft w:val="0"/>
      <w:marRight w:val="0"/>
      <w:marTop w:val="0"/>
      <w:marBottom w:val="0"/>
      <w:divBdr>
        <w:top w:val="none" w:sz="0" w:space="0" w:color="auto"/>
        <w:left w:val="none" w:sz="0" w:space="0" w:color="auto"/>
        <w:bottom w:val="none" w:sz="0" w:space="0" w:color="auto"/>
        <w:right w:val="none" w:sz="0" w:space="0" w:color="auto"/>
      </w:divBdr>
    </w:div>
    <w:div w:id="1321694821">
      <w:bodyDiv w:val="1"/>
      <w:marLeft w:val="0"/>
      <w:marRight w:val="0"/>
      <w:marTop w:val="0"/>
      <w:marBottom w:val="0"/>
      <w:divBdr>
        <w:top w:val="none" w:sz="0" w:space="0" w:color="auto"/>
        <w:left w:val="none" w:sz="0" w:space="0" w:color="auto"/>
        <w:bottom w:val="none" w:sz="0" w:space="0" w:color="auto"/>
        <w:right w:val="none" w:sz="0" w:space="0" w:color="auto"/>
      </w:divBdr>
    </w:div>
    <w:div w:id="1633749718">
      <w:bodyDiv w:val="1"/>
      <w:marLeft w:val="0"/>
      <w:marRight w:val="0"/>
      <w:marTop w:val="0"/>
      <w:marBottom w:val="0"/>
      <w:divBdr>
        <w:top w:val="none" w:sz="0" w:space="0" w:color="auto"/>
        <w:left w:val="none" w:sz="0" w:space="0" w:color="auto"/>
        <w:bottom w:val="none" w:sz="0" w:space="0" w:color="auto"/>
        <w:right w:val="none" w:sz="0" w:space="0" w:color="auto"/>
      </w:divBdr>
    </w:div>
    <w:div w:id="1920166345">
      <w:bodyDiv w:val="1"/>
      <w:marLeft w:val="0"/>
      <w:marRight w:val="0"/>
      <w:marTop w:val="0"/>
      <w:marBottom w:val="0"/>
      <w:divBdr>
        <w:top w:val="none" w:sz="0" w:space="0" w:color="auto"/>
        <w:left w:val="none" w:sz="0" w:space="0" w:color="auto"/>
        <w:bottom w:val="none" w:sz="0" w:space="0" w:color="auto"/>
        <w:right w:val="none" w:sz="0" w:space="0" w:color="auto"/>
      </w:divBdr>
    </w:div>
    <w:div w:id="1953197207">
      <w:bodyDiv w:val="1"/>
      <w:marLeft w:val="0"/>
      <w:marRight w:val="0"/>
      <w:marTop w:val="0"/>
      <w:marBottom w:val="0"/>
      <w:divBdr>
        <w:top w:val="none" w:sz="0" w:space="0" w:color="auto"/>
        <w:left w:val="none" w:sz="0" w:space="0" w:color="auto"/>
        <w:bottom w:val="none" w:sz="0" w:space="0" w:color="auto"/>
        <w:right w:val="none" w:sz="0" w:space="0" w:color="auto"/>
      </w:divBdr>
    </w:div>
    <w:div w:id="1960913445">
      <w:bodyDiv w:val="1"/>
      <w:marLeft w:val="0"/>
      <w:marRight w:val="0"/>
      <w:marTop w:val="0"/>
      <w:marBottom w:val="0"/>
      <w:divBdr>
        <w:top w:val="none" w:sz="0" w:space="0" w:color="auto"/>
        <w:left w:val="none" w:sz="0" w:space="0" w:color="auto"/>
        <w:bottom w:val="none" w:sz="0" w:space="0" w:color="auto"/>
        <w:right w:val="none" w:sz="0" w:space="0" w:color="auto"/>
      </w:divBdr>
    </w:div>
    <w:div w:id="20079776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14</Pages>
  <Words>14720</Words>
  <Characters>83909</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32</cp:revision>
  <dcterms:created xsi:type="dcterms:W3CDTF">2013-12-23T23:15:00Z</dcterms:created>
  <dcterms:modified xsi:type="dcterms:W3CDTF">2026-04-27T02:11:00Z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id="DHIsVCwT"/&gt;&lt;style id="http://www.zotero.org/styles/american-medical-association-parentheses" hasBibliography="1" bibliographyStyleHasBeenSet="1"/&gt;&lt;prefs&gt;&lt;pref name="fieldType" value="Field"/&gt;&lt;/pr</vt:lpwstr>
  </property>
  <property fmtid="{D5CDD505-2E9C-101B-9397-08002B2CF9AE}" pid="3" name="ZOTERO_PREF_2">
    <vt:lpwstr>efs&gt;&lt;/data&gt;</vt:lpwstr>
  </property>
</Properties>
</file>