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5824" w14:textId="77777777" w:rsidR="00B474D5" w:rsidRDefault="00000000">
      <w:pPr>
        <w:spacing w:line="360" w:lineRule="auto"/>
        <w:jc w:val="center"/>
        <w:rPr>
          <w:b/>
          <w:sz w:val="28"/>
          <w:szCs w:val="28"/>
        </w:rPr>
      </w:pPr>
      <w:r>
        <w:rPr>
          <w:b/>
          <w:sz w:val="28"/>
          <w:szCs w:val="28"/>
        </w:rPr>
        <w:t>Diagnostic Accuracy of Plasma 1,5-Anhydroglucitol for Detecting Prediabetes in Obese Young Adults</w:t>
      </w:r>
    </w:p>
    <w:p w14:paraId="274640A1" w14:textId="77777777" w:rsidR="00B474D5" w:rsidRDefault="00000000">
      <w:pPr>
        <w:spacing w:line="360" w:lineRule="auto"/>
        <w:rPr>
          <w:sz w:val="20"/>
          <w:szCs w:val="20"/>
        </w:rPr>
      </w:pPr>
      <w:r>
        <w:rPr>
          <w:sz w:val="16"/>
          <w:szCs w:val="16"/>
        </w:rPr>
        <w:t> </w:t>
      </w:r>
    </w:p>
    <w:p w14:paraId="4D2A1743" w14:textId="77777777" w:rsidR="00B474D5" w:rsidRDefault="00000000">
      <w:pPr>
        <w:ind w:left="56"/>
      </w:pPr>
      <w:r>
        <w:rPr>
          <w:b/>
          <w:sz w:val="24"/>
          <w:szCs w:val="24"/>
        </w:rPr>
        <w:t xml:space="preserve">ABSTRACT </w:t>
      </w:r>
    </w:p>
    <w:p w14:paraId="62CB36B6" w14:textId="77777777" w:rsidR="00B474D5" w:rsidRDefault="00000000">
      <w:pPr>
        <w:ind w:firstLine="720"/>
        <w:jc w:val="both"/>
      </w:pPr>
      <w:r>
        <w:rPr>
          <w:sz w:val="24"/>
          <w:szCs w:val="24"/>
        </w:rPr>
        <w:t>Prediabetes is a metabolic condition characterized by elevated blood glucose levels that do not yet meet the diagnostic criteria for diabetes mellitus. Early detection is essential, particularly among obese young adults who are at increased risk of developing metabolic disorders. Conventional diagnostic tests such as fasting blood glucose, oral glucose tolerance test, and glycated hemoglobin (HbA1c) have several limitations. Therefore, alternative biomarkers that can detect early glycemic abnormalities are needed. This study aimed to evaluate the diagnostic accuracy of plasma 1,5-Anhydroglucitol (1,5-AG) for detecting prediabetes in obese young adults. This diagnostic accuracy study was conducted over a six-month period at Dr. M. Djamil General Hospital, Padang, Indonesia. A total of 143 obese adults aged 18–40 years were included using incidental sampling. Venous blood samples were collected to measure HbA1c and plasma 1,5-Anhydroglucitol levels. HbA1c was used as the reference standard for prediabetes classification. The diagnostic performance of plasma 1,5-AG was assessed by calculating sensitivity, specificity, positive predictive value (PPV), and negative predictive value (NPV) using a 2 × 2 contingency table. Among the 143 participants, 79 (55.2%) were male and 64 (44.8%) were female, with a mean age of 30.4 ± 3.88 years and a mean body mass index of 29.97 ± 3.49 kg/m². Based on HbA1c classification, 20 participants (14%) were identified as having prediabetes. Plasma 1,5-Anhydroglucitol demonstrated a sensitivity of 90.0%, specificity of 74.79%, positive predictive value of 36.73%, and negative predictive value of 97.87% for detecting prediabetes. In conclusion, plasma 1,5-Anhydroglucitol demonstrated high sensitivity and a high negative predictive value for detecting prediabetes among obese young adults. These findings suggest that plasma 1,5-AG may serve as a useful screening biomarker for identifying individuals at risk of prediabetes, although confirmation with established glycemic markers remains necessary. Further multicenter studies with larger sample sizes are suggested to validate its diagnostic role in broader populations.</w:t>
      </w:r>
    </w:p>
    <w:p w14:paraId="28FEC800" w14:textId="77777777" w:rsidR="00B474D5" w:rsidRDefault="00000000">
      <w:pPr>
        <w:rPr>
          <w:sz w:val="20"/>
          <w:szCs w:val="20"/>
        </w:rPr>
      </w:pPr>
      <w:r>
        <w:rPr>
          <w:sz w:val="24"/>
          <w:szCs w:val="24"/>
        </w:rPr>
        <w:t> </w:t>
      </w:r>
    </w:p>
    <w:p w14:paraId="514B6058" w14:textId="77777777" w:rsidR="00B474D5" w:rsidRDefault="00000000">
      <w:pPr>
        <w:jc w:val="both"/>
      </w:pPr>
      <w:r>
        <w:rPr>
          <w:b/>
          <w:sz w:val="24"/>
          <w:szCs w:val="24"/>
        </w:rPr>
        <w:t xml:space="preserve">Keywords: </w:t>
      </w:r>
      <w:r>
        <w:rPr>
          <w:sz w:val="24"/>
          <w:szCs w:val="24"/>
        </w:rPr>
        <w:t>Prediabetic state; obesity; young adult; 1,5-Anhydroglucitol</w:t>
      </w:r>
    </w:p>
    <w:tbl>
      <w:tblPr>
        <w:tblStyle w:val="Style22"/>
        <w:tblpPr w:leftFromText="45" w:rightFromText="45" w:vertAnchor="text"/>
        <w:tblW w:w="9026" w:type="dxa"/>
        <w:tblLayout w:type="fixed"/>
        <w:tblLook w:val="04A0" w:firstRow="1" w:lastRow="0" w:firstColumn="1" w:lastColumn="0" w:noHBand="0" w:noVBand="1"/>
      </w:tblPr>
      <w:tblGrid>
        <w:gridCol w:w="20"/>
        <w:gridCol w:w="9006"/>
      </w:tblGrid>
      <w:tr w:rsidR="00B474D5" w14:paraId="6E6F548E" w14:textId="77777777">
        <w:trPr>
          <w:gridAfter w:val="1"/>
          <w:wAfter w:w="9006" w:type="dxa"/>
        </w:trPr>
        <w:tc>
          <w:tcPr>
            <w:tcW w:w="6" w:type="dxa"/>
            <w:vAlign w:val="center"/>
          </w:tcPr>
          <w:p w14:paraId="53BC0096" w14:textId="77777777" w:rsidR="00B474D5" w:rsidRDefault="00B474D5">
            <w:pPr>
              <w:spacing w:line="360" w:lineRule="auto"/>
            </w:pPr>
          </w:p>
        </w:tc>
      </w:tr>
      <w:tr w:rsidR="00B474D5" w14:paraId="003319BE" w14:textId="77777777">
        <w:tc>
          <w:tcPr>
            <w:tcW w:w="6" w:type="dxa"/>
            <w:vAlign w:val="center"/>
          </w:tcPr>
          <w:p w14:paraId="400BB22A" w14:textId="77777777" w:rsidR="00B474D5" w:rsidRDefault="00B474D5">
            <w:pPr>
              <w:widowControl/>
              <w:spacing w:line="360" w:lineRule="auto"/>
              <w:rPr>
                <w:rFonts w:eastAsia="Calibri"/>
                <w:sz w:val="20"/>
                <w:szCs w:val="20"/>
              </w:rPr>
            </w:pPr>
          </w:p>
        </w:tc>
        <w:tc>
          <w:tcPr>
            <w:tcW w:w="9020" w:type="dxa"/>
            <w:vAlign w:val="center"/>
          </w:tcPr>
          <w:p w14:paraId="1BBEC25D" w14:textId="77777777" w:rsidR="00B474D5" w:rsidRDefault="00000000">
            <w:pPr>
              <w:widowControl/>
              <w:spacing w:line="360" w:lineRule="auto"/>
              <w:rPr>
                <w:rFonts w:eastAsia="Times New Roman"/>
                <w:sz w:val="24"/>
                <w:szCs w:val="24"/>
              </w:rPr>
            </w:pPr>
            <w:r>
              <w:rPr>
                <w:rFonts w:eastAsia="Times New Roman"/>
                <w:noProof/>
                <w:sz w:val="24"/>
                <w:szCs w:val="24"/>
              </w:rPr>
              <w:drawing>
                <wp:inline distT="0" distB="0" distL="0" distR="0" wp14:anchorId="1D4A4CD4" wp14:editId="46722D25">
                  <wp:extent cx="5731510" cy="12065"/>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6" name="image3.gif"/>
                          <pic:cNvPicPr preferRelativeResize="0"/>
                        </pic:nvPicPr>
                        <pic:blipFill>
                          <a:blip r:embed="rId8"/>
                          <a:srcRect/>
                          <a:stretch>
                            <a:fillRect/>
                          </a:stretch>
                        </pic:blipFill>
                        <pic:spPr>
                          <a:xfrm>
                            <a:off x="0" y="0"/>
                            <a:ext cx="5731510" cy="12065"/>
                          </a:xfrm>
                          <a:prstGeom prst="rect">
                            <a:avLst/>
                          </a:prstGeom>
                        </pic:spPr>
                      </pic:pic>
                    </a:graphicData>
                  </a:graphic>
                </wp:inline>
              </w:drawing>
            </w:r>
          </w:p>
        </w:tc>
      </w:tr>
    </w:tbl>
    <w:p w14:paraId="436F4B17" w14:textId="77777777" w:rsidR="00B474D5" w:rsidRDefault="00B474D5">
      <w:pPr>
        <w:spacing w:line="360" w:lineRule="auto"/>
        <w:jc w:val="both"/>
      </w:pPr>
    </w:p>
    <w:p w14:paraId="1FA08C9F" w14:textId="77777777" w:rsidR="00B474D5" w:rsidRDefault="00000000">
      <w:pPr>
        <w:pStyle w:val="Heading1"/>
        <w:spacing w:line="360" w:lineRule="auto"/>
        <w:ind w:left="64"/>
      </w:pPr>
      <w:r>
        <w:rPr>
          <w:sz w:val="24"/>
          <w:szCs w:val="24"/>
        </w:rPr>
        <w:t>INTRODUCTION</w:t>
      </w:r>
    </w:p>
    <w:p w14:paraId="12725D00" w14:textId="77777777" w:rsidR="00B474D5" w:rsidRDefault="00000000">
      <w:pPr>
        <w:pStyle w:val="Abstracttext"/>
        <w:ind w:firstLine="709"/>
        <w:jc w:val="both"/>
        <w:rPr>
          <w:rFonts w:ascii="Microsoft Tai Le" w:hAnsi="Microsoft Tai Le" w:cs="Microsoft Tai Le"/>
          <w:i w:val="0"/>
          <w:iCs/>
          <w:lang w:val="zh-CN"/>
        </w:rPr>
      </w:pPr>
      <w:r>
        <w:rPr>
          <w:rFonts w:ascii="Microsoft Tai Le" w:hAnsi="Microsoft Tai Le" w:cs="Microsoft Tai Le"/>
          <w:i w:val="0"/>
          <w:iCs/>
          <w:lang w:val="zh-CN"/>
        </w:rPr>
        <w:t xml:space="preserve">Prediabetes is a metabolic condition characterized by elevated blood glucose levels that do not yet meet the diagnostic criteria for diabetes mellitus. The concept of </w:t>
      </w:r>
      <w:r>
        <w:rPr>
          <w:rFonts w:ascii="Microsoft Tai Le" w:hAnsi="Microsoft Tai Le" w:cs="Microsoft Tai Le"/>
          <w:i w:val="0"/>
          <w:iCs/>
          <w:lang w:val="zh-CN"/>
        </w:rPr>
        <w:lastRenderedPageBreak/>
        <w:t xml:space="preserve">prediabetes was formally introduced by the Department of Health and Human Services (DHHS) and </w:t>
      </w:r>
      <w:commentRangeStart w:id="0"/>
      <w:r>
        <w:rPr>
          <w:rFonts w:ascii="Microsoft Tai Le" w:hAnsi="Microsoft Tai Le" w:cs="Microsoft Tai Le"/>
          <w:i w:val="0"/>
          <w:iCs/>
          <w:lang w:val="zh-CN"/>
        </w:rPr>
        <w:t>the American Diabetes Association (ADA) in 2002</w:t>
      </w:r>
      <w:commentRangeEnd w:id="0"/>
      <w:r>
        <w:rPr>
          <w:rStyle w:val="CommentReference"/>
          <w:rFonts w:ascii="Microsoft Tai Le" w:hAnsi="Microsoft Tai Le" w:cs="Microsoft Tai Le"/>
          <w:i w:val="0"/>
          <w:iCs/>
          <w:sz w:val="24"/>
          <w:szCs w:val="24"/>
          <w:lang w:val="zh-CN"/>
        </w:rPr>
        <w:commentReference w:id="0"/>
      </w:r>
      <w:r>
        <w:rPr>
          <w:rFonts w:ascii="Microsoft Tai Le" w:hAnsi="Microsoft Tai Le" w:cs="Microsoft Tai Le"/>
          <w:i w:val="0"/>
          <w:iCs/>
          <w:lang w:val="zh-CN"/>
        </w:rPr>
        <w:t>. Currently, prediabetes has become a major global health concern, affecting millions of individuals worldwide. In 2019, approximately 314 million people were estimated to have prediabetes, and this number is projected to increase to 418 million by 2025. Without appropriate intervention, approximately 4–9% of individuals with prediabetes progress to diabetes each year.¹²</w:t>
      </w:r>
    </w:p>
    <w:p w14:paraId="486685FE" w14:textId="77777777" w:rsidR="00B474D5" w:rsidRDefault="00000000">
      <w:pPr>
        <w:pStyle w:val="Abstracttext"/>
        <w:ind w:firstLine="709"/>
        <w:jc w:val="both"/>
        <w:rPr>
          <w:rFonts w:ascii="Microsoft Tai Le" w:hAnsi="Microsoft Tai Le" w:cs="Microsoft Tai Le"/>
          <w:i w:val="0"/>
          <w:iCs/>
          <w:lang w:val="zh-CN"/>
        </w:rPr>
      </w:pPr>
      <w:r>
        <w:rPr>
          <w:rFonts w:ascii="Microsoft Tai Le" w:hAnsi="Microsoft Tai Le" w:cs="Microsoft Tai Le"/>
          <w:i w:val="0"/>
          <w:iCs/>
          <w:lang w:val="zh-CN"/>
        </w:rPr>
        <w:t>In the United States, the Centers for Disease Control and Prevention (CDC) estimates that one in three adults may have prediabetes, many of whom remain undiagnosed. Indonesia has also experienced a significant increase in prediabetes prevalence, reaching 30.8% in 2018. Early detection of prediabetes is therefore essential, particularly among young adults, as the early onset of metabolic abnormalities increases the risk of long-term complications such as type 2 diabetes mellitus and cardiovascular disease.³–</w:t>
      </w:r>
      <w:r>
        <w:rPr>
          <w:rFonts w:ascii="Cambria Math" w:hAnsi="Cambria Math" w:cs="Cambria Math"/>
          <w:i w:val="0"/>
          <w:iCs/>
          <w:lang w:val="zh-CN"/>
        </w:rPr>
        <w:t>⁶</w:t>
      </w:r>
    </w:p>
    <w:p w14:paraId="202F3592" w14:textId="77777777" w:rsidR="00B474D5" w:rsidRDefault="00000000">
      <w:pPr>
        <w:pStyle w:val="Abstracttext"/>
        <w:ind w:firstLine="709"/>
        <w:jc w:val="both"/>
        <w:rPr>
          <w:rFonts w:ascii="Microsoft Tai Le" w:hAnsi="Microsoft Tai Le" w:cs="Microsoft Tai Le"/>
          <w:i w:val="0"/>
          <w:iCs/>
          <w:lang w:val="zh-CN"/>
        </w:rPr>
      </w:pPr>
      <w:r>
        <w:rPr>
          <w:rFonts w:ascii="Microsoft Tai Le" w:hAnsi="Microsoft Tai Le" w:cs="Microsoft Tai Le"/>
          <w:i w:val="0"/>
          <w:iCs/>
          <w:lang w:val="zh-CN"/>
        </w:rPr>
        <w:t>Several diagnostic methods are currently used to identify individuals with prediabetes, including fasting blood sugar (FBS), oral glucose tolerance test (OGTT), and glycated hemoglobin (HbA1c). However, each of these methods has limitations. FBS and OGTT results may be influenced by temporary physiological factors such as stress, illness, and short-term dietary variations, which may affect their reliability.²</w:t>
      </w:r>
      <w:r>
        <w:rPr>
          <w:rFonts w:ascii="Cambria Math" w:hAnsi="Cambria Math" w:cs="Cambria Math"/>
          <w:i w:val="0"/>
          <w:iCs/>
          <w:lang w:val="zh-CN"/>
        </w:rPr>
        <w:t>⁷</w:t>
      </w:r>
      <w:r>
        <w:rPr>
          <w:rFonts w:ascii="Microsoft Tai Le" w:hAnsi="Microsoft Tai Le" w:cs="Microsoft Tai Le"/>
          <w:i w:val="0"/>
          <w:iCs/>
          <w:lang w:val="zh-CN"/>
        </w:rPr>
        <w:t xml:space="preserve"> In addition, HbA1c measurements may be less accurate in certain clinical conditions, including anemia, kidney disease, and hemoglobinopathies. These limitations highlight the need for alternative biomarkers that can provide a more reliable assessment of glycemic control.¹</w:t>
      </w:r>
      <w:r>
        <w:rPr>
          <w:rFonts w:ascii="Cambria Math" w:hAnsi="Cambria Math" w:cs="Cambria Math"/>
          <w:i w:val="0"/>
          <w:iCs/>
          <w:lang w:val="zh-CN"/>
        </w:rPr>
        <w:t>⁷</w:t>
      </w:r>
    </w:p>
    <w:p w14:paraId="4E26E2C7" w14:textId="77777777" w:rsidR="00B474D5" w:rsidRDefault="00000000">
      <w:pPr>
        <w:pStyle w:val="Abstracttext"/>
        <w:ind w:firstLine="709"/>
        <w:jc w:val="both"/>
        <w:rPr>
          <w:rFonts w:ascii="Microsoft Tai Le" w:hAnsi="Microsoft Tai Le" w:cs="Microsoft Tai Le"/>
          <w:i w:val="0"/>
          <w:iCs/>
          <w:lang w:val="zh-CN"/>
        </w:rPr>
      </w:pPr>
      <w:r>
        <w:rPr>
          <w:rFonts w:ascii="Microsoft Tai Le" w:hAnsi="Microsoft Tai Le" w:cs="Microsoft Tai Le"/>
          <w:i w:val="0"/>
          <w:iCs/>
          <w:lang w:val="zh-CN"/>
        </w:rPr>
        <w:t>One biomarker that has attracted increasing attention is 1,5-Anhydroglucitol (1,5-AG). This biomarker reflects short-term glycemic fluctuations and is considered capable of detecting postprandial hyperglycemia more effectively than HbA1c. Because of its stability and relatively simple measurement, 1,5-AG has been proposed as a potential marker for early glycemic abnormalities, including prediabetes.</w:t>
      </w:r>
      <w:r>
        <w:rPr>
          <w:rFonts w:ascii="Cambria Math" w:hAnsi="Cambria Math" w:cs="Cambria Math"/>
          <w:i w:val="0"/>
          <w:iCs/>
          <w:lang w:val="zh-CN"/>
        </w:rPr>
        <w:t>⁸</w:t>
      </w:r>
      <w:r>
        <w:rPr>
          <w:rFonts w:ascii="Microsoft Tai Le" w:hAnsi="Microsoft Tai Le" w:cs="Microsoft Tai Le"/>
          <w:i w:val="0"/>
          <w:iCs/>
          <w:lang w:val="zh-CN"/>
        </w:rPr>
        <w:t>–¹</w:t>
      </w:r>
      <w:r>
        <w:rPr>
          <w:rFonts w:ascii="Cambria Math" w:hAnsi="Cambria Math" w:cs="Cambria Math"/>
          <w:i w:val="0"/>
          <w:iCs/>
          <w:lang w:val="zh-CN"/>
        </w:rPr>
        <w:t>⁰</w:t>
      </w:r>
    </w:p>
    <w:p w14:paraId="37558439" w14:textId="77777777" w:rsidR="00B474D5" w:rsidRDefault="00000000">
      <w:pPr>
        <w:pStyle w:val="Heading3"/>
        <w:spacing w:before="0" w:line="360" w:lineRule="auto"/>
        <w:ind w:firstLine="709"/>
        <w:jc w:val="both"/>
        <w:rPr>
          <w:rFonts w:eastAsia="Calibri"/>
          <w:b w:val="0"/>
          <w:bCs/>
          <w:iCs/>
          <w:sz w:val="24"/>
          <w:szCs w:val="24"/>
          <w:lang w:val="zh-CN"/>
        </w:rPr>
      </w:pPr>
      <w:r>
        <w:rPr>
          <w:rFonts w:eastAsia="Calibri"/>
          <w:b w:val="0"/>
          <w:bCs/>
          <w:iCs/>
          <w:sz w:val="24"/>
          <w:szCs w:val="24"/>
          <w:lang w:val="zh-CN"/>
        </w:rPr>
        <w:lastRenderedPageBreak/>
        <w:t>Therefore, this study aimed to evaluate the diagnostic accuracy of plasma 1,5-Anhydroglucitol (1,5-AG) in detecting prediabetes among obese young adults. By examining its diagnostic performance compared with HbA1c, this study seeks to explore the potential role of 1,5-AG as an alternative screening biomarker for early identification of prediabetes in this high-risk population.</w:t>
      </w:r>
    </w:p>
    <w:p w14:paraId="70A1459D" w14:textId="77777777" w:rsidR="00B474D5" w:rsidRDefault="00000000">
      <w:pPr>
        <w:pStyle w:val="Heading1"/>
        <w:spacing w:line="360" w:lineRule="auto"/>
        <w:ind w:left="0"/>
        <w:rPr>
          <w:sz w:val="24"/>
          <w:szCs w:val="24"/>
        </w:rPr>
      </w:pPr>
      <w:r>
        <w:rPr>
          <w:sz w:val="24"/>
          <w:szCs w:val="24"/>
        </w:rPr>
        <w:t>METHODS</w:t>
      </w:r>
    </w:p>
    <w:p w14:paraId="2ECE0448" w14:textId="77777777" w:rsidR="00B474D5" w:rsidRDefault="00000000">
      <w:pPr>
        <w:pStyle w:val="Heading3"/>
        <w:numPr>
          <w:ilvl w:val="0"/>
          <w:numId w:val="1"/>
        </w:numPr>
        <w:spacing w:before="0" w:after="0" w:line="360" w:lineRule="auto"/>
        <w:ind w:left="426" w:hanging="284"/>
        <w:jc w:val="both"/>
        <w:rPr>
          <w:b w:val="0"/>
          <w:sz w:val="24"/>
          <w:szCs w:val="24"/>
          <w:lang w:val="zh-CN"/>
        </w:rPr>
      </w:pPr>
      <w:r>
        <w:rPr>
          <w:b w:val="0"/>
          <w:sz w:val="24"/>
          <w:szCs w:val="24"/>
          <w:lang w:val="zh-CN"/>
        </w:rPr>
        <w:lastRenderedPageBreak/>
        <w:t>Study Design and Setting</w:t>
      </w:r>
    </w:p>
    <w:p w14:paraId="6A33EA0E"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This diagnostic accuracy study was conducted over a six-month period at Dr. M. Djamil General Hospital, Padang, Indonesia. The study aimed to evaluate the diagnostic performance of plasma 1,5-Anhydroglucitol (1,5-AG) for detecting prediabetes among obese young adults.</w:t>
      </w:r>
    </w:p>
    <w:p w14:paraId="64A71345" w14:textId="77777777" w:rsidR="00B474D5" w:rsidRDefault="00000000">
      <w:pPr>
        <w:pStyle w:val="Heading3"/>
        <w:numPr>
          <w:ilvl w:val="0"/>
          <w:numId w:val="2"/>
        </w:numPr>
        <w:spacing w:before="0" w:after="0" w:line="360" w:lineRule="auto"/>
        <w:ind w:left="426" w:hanging="284"/>
        <w:jc w:val="both"/>
        <w:rPr>
          <w:b w:val="0"/>
          <w:sz w:val="24"/>
          <w:szCs w:val="24"/>
          <w:lang w:val="zh-CN"/>
        </w:rPr>
      </w:pPr>
      <w:r>
        <w:rPr>
          <w:b w:val="0"/>
          <w:sz w:val="24"/>
          <w:szCs w:val="24"/>
          <w:lang w:val="zh-CN"/>
        </w:rPr>
        <w:t>Participants</w:t>
      </w:r>
    </w:p>
    <w:p w14:paraId="789B2564"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The study population consisted of adults aged 18–40 years with obesity who attended the Internal Medicine outpatient clinic during the study period. Participants were recruited using incidental sampling.</w:t>
      </w:r>
    </w:p>
    <w:p w14:paraId="72F659AC"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Inclusion criteria were individuals aged 18–40 years with a body mass index (BMI) greater than 25 kg/m² who were willing to participate in the study. Exclusion criteria included a prior history of prediabetes or diabetes mellitus, kidney disorders, the use of sodium-glucose cotransporter-2 (SGLT2) inhibitors or corticosteroids, and erythrocyte abnormalities.</w:t>
      </w:r>
    </w:p>
    <w:p w14:paraId="41C81772"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Baseline demographic and clinical data were collected, including age, sex, family history of diabetes, waist circumference, body weight, height, and body mass index.</w:t>
      </w:r>
    </w:p>
    <w:p w14:paraId="34384D40" w14:textId="77777777" w:rsidR="00B474D5" w:rsidRDefault="00000000">
      <w:pPr>
        <w:pStyle w:val="Heading3"/>
        <w:numPr>
          <w:ilvl w:val="0"/>
          <w:numId w:val="2"/>
        </w:numPr>
        <w:spacing w:before="0" w:after="0" w:line="360" w:lineRule="auto"/>
        <w:ind w:left="426" w:hanging="284"/>
        <w:jc w:val="both"/>
        <w:rPr>
          <w:b w:val="0"/>
          <w:sz w:val="24"/>
          <w:szCs w:val="24"/>
          <w:lang w:val="zh-CN"/>
        </w:rPr>
      </w:pPr>
      <w:r>
        <w:rPr>
          <w:b w:val="0"/>
          <w:sz w:val="24"/>
          <w:szCs w:val="24"/>
          <w:lang w:val="zh-CN"/>
        </w:rPr>
        <w:t>Data Collection and Laboratory Examination</w:t>
      </w:r>
    </w:p>
    <w:p w14:paraId="4B586289"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Venous blood samples (6 mL) were obtained from each participant for the measurement of glycated hemoglobin (HbA1c) and plasma 1,5-Anhydroglucitol (1,5-AG) levels. These measurements were used to assess the glycemic status of the participants.</w:t>
      </w:r>
    </w:p>
    <w:p w14:paraId="18C8FF0F" w14:textId="77777777" w:rsidR="00B474D5" w:rsidRDefault="00000000">
      <w:pPr>
        <w:pStyle w:val="Heading3"/>
        <w:numPr>
          <w:ilvl w:val="0"/>
          <w:numId w:val="2"/>
        </w:numPr>
        <w:spacing w:before="0" w:after="0" w:line="360" w:lineRule="auto"/>
        <w:ind w:left="426" w:hanging="284"/>
        <w:jc w:val="both"/>
        <w:rPr>
          <w:b w:val="0"/>
          <w:sz w:val="24"/>
          <w:szCs w:val="24"/>
          <w:lang w:val="zh-CN"/>
        </w:rPr>
      </w:pPr>
      <w:r>
        <w:rPr>
          <w:b w:val="0"/>
          <w:sz w:val="24"/>
          <w:szCs w:val="24"/>
          <w:lang w:val="zh-CN"/>
        </w:rPr>
        <w:t>Reference Standard and Diagnostic Analysis</w:t>
      </w:r>
    </w:p>
    <w:p w14:paraId="71ED9B64"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HbA1c was used as the reference standard for the classification of prediabetes. Descriptive analysis was performed to summarize the baseline characteristics of the participants.</w:t>
      </w:r>
    </w:p>
    <w:p w14:paraId="1FF66F0D" w14:textId="77777777" w:rsidR="00B474D5" w:rsidRDefault="00000000">
      <w:pPr>
        <w:pStyle w:val="Heading3"/>
        <w:spacing w:before="0" w:after="0" w:line="360" w:lineRule="auto"/>
        <w:ind w:left="142" w:firstLine="567"/>
        <w:jc w:val="both"/>
        <w:rPr>
          <w:b w:val="0"/>
          <w:sz w:val="24"/>
          <w:szCs w:val="24"/>
          <w:lang w:val="zh-CN"/>
        </w:rPr>
      </w:pPr>
      <w:r>
        <w:rPr>
          <w:b w:val="0"/>
          <w:sz w:val="24"/>
          <w:szCs w:val="24"/>
          <w:lang w:val="zh-CN"/>
        </w:rPr>
        <w:t>The diagnostic performance of plasma 1,5-Anhydroglucitol was evaluated by calculating sensitivity, specificity, positive predictive value (PPV), and negative predictive value (NPV) using a 2 × 2 contingency table comparing 1,5-AG results with HbA1c classification.</w:t>
      </w:r>
    </w:p>
    <w:p w14:paraId="4C0F0FE7" w14:textId="77777777" w:rsidR="00B474D5" w:rsidRDefault="00000000">
      <w:pPr>
        <w:pStyle w:val="Heading3"/>
        <w:numPr>
          <w:ilvl w:val="0"/>
          <w:numId w:val="2"/>
        </w:numPr>
        <w:spacing w:before="0" w:after="0" w:line="360" w:lineRule="auto"/>
        <w:ind w:left="426" w:hanging="284"/>
        <w:jc w:val="both"/>
        <w:rPr>
          <w:b w:val="0"/>
          <w:sz w:val="24"/>
          <w:szCs w:val="24"/>
          <w:lang w:val="zh-CN"/>
        </w:rPr>
      </w:pPr>
      <w:r>
        <w:rPr>
          <w:b w:val="0"/>
          <w:sz w:val="24"/>
          <w:szCs w:val="24"/>
          <w:lang w:val="zh-CN"/>
        </w:rPr>
        <w:lastRenderedPageBreak/>
        <w:t>Ethical Considerations</w:t>
      </w:r>
    </w:p>
    <w:p w14:paraId="316A085D" w14:textId="77777777" w:rsidR="00B474D5" w:rsidRDefault="00000000">
      <w:pPr>
        <w:pStyle w:val="Heading3"/>
        <w:spacing w:before="0" w:line="360" w:lineRule="auto"/>
        <w:ind w:left="142" w:firstLine="567"/>
        <w:jc w:val="both"/>
        <w:rPr>
          <w:b w:val="0"/>
          <w:sz w:val="24"/>
          <w:szCs w:val="24"/>
        </w:rPr>
      </w:pPr>
      <w:r>
        <w:rPr>
          <w:b w:val="0"/>
          <w:sz w:val="24"/>
          <w:szCs w:val="24"/>
        </w:rPr>
        <w:t>This study was approved by an institutional health research ethics committee (Approval No. DP.04.03/D.XVI.XI/622/2023). All participants received detailed information regarding the study and provided written informed consent prior to participation. Participation was voluntary, and all study-related costs were covered by the researchers.</w:t>
      </w:r>
    </w:p>
    <w:p w14:paraId="01B428F5" w14:textId="77777777" w:rsidR="00B474D5" w:rsidRDefault="00B474D5"/>
    <w:p w14:paraId="4BCFB119" w14:textId="77777777" w:rsidR="00B474D5" w:rsidRDefault="00000000">
      <w:pPr>
        <w:pStyle w:val="Heading1"/>
        <w:spacing w:line="360" w:lineRule="auto"/>
        <w:ind w:left="0" w:firstLine="142"/>
        <w:rPr>
          <w:sz w:val="24"/>
          <w:szCs w:val="24"/>
        </w:rPr>
      </w:pPr>
      <w:r>
        <w:rPr>
          <w:sz w:val="24"/>
          <w:szCs w:val="24"/>
        </w:rPr>
        <w:t>RESULTS AND DISCUSSIONS</w:t>
      </w:r>
    </w:p>
    <w:p w14:paraId="6711B552" w14:textId="77777777" w:rsidR="00B474D5" w:rsidRDefault="00000000">
      <w:pPr>
        <w:spacing w:line="360" w:lineRule="auto"/>
        <w:ind w:left="142"/>
        <w:jc w:val="both"/>
        <w:rPr>
          <w:b/>
          <w:bCs/>
          <w:sz w:val="20"/>
          <w:szCs w:val="20"/>
          <w:lang w:val="zh-CN"/>
        </w:rPr>
      </w:pPr>
      <w:r>
        <w:rPr>
          <w:b/>
          <w:bCs/>
          <w:sz w:val="20"/>
          <w:szCs w:val="20"/>
          <w:lang w:val="zh-CN"/>
        </w:rPr>
        <w:t>Baseline Characteristics of the Study Population</w:t>
      </w:r>
    </w:p>
    <w:p w14:paraId="005BE5A8" w14:textId="77777777" w:rsidR="00B474D5" w:rsidRDefault="00000000">
      <w:pPr>
        <w:spacing w:line="360" w:lineRule="auto"/>
        <w:ind w:left="142" w:firstLine="567"/>
        <w:jc w:val="both"/>
        <w:rPr>
          <w:sz w:val="20"/>
          <w:szCs w:val="20"/>
          <w:lang w:val="zh-CN"/>
        </w:rPr>
      </w:pPr>
      <w:r>
        <w:rPr>
          <w:sz w:val="20"/>
          <w:szCs w:val="20"/>
          <w:lang w:val="zh-CN"/>
        </w:rPr>
        <w:t>A total of 143 obese young adults were included in this study. The baseline demographic and clinical characteristics of the participants are presented in Table 1. The study population consisted of 79 males (55.2%) and 64 females (44.8%). The mean age of the participants was 30.4 ± 3.88 years, with the largest age group being 30–34 years (60.14%).</w:t>
      </w:r>
    </w:p>
    <w:p w14:paraId="435482E4" w14:textId="77777777" w:rsidR="00B474D5" w:rsidRDefault="00000000" w:rsidP="00273AA5">
      <w:pPr>
        <w:spacing w:line="360" w:lineRule="auto"/>
        <w:ind w:left="142"/>
        <w:rPr>
          <w:b/>
          <w:bCs/>
          <w:sz w:val="20"/>
          <w:szCs w:val="20"/>
          <w:lang w:val="zh-CN"/>
        </w:rPr>
      </w:pPr>
      <w:commentRangeStart w:id="1"/>
      <w:r>
        <w:rPr>
          <w:b/>
          <w:bCs/>
          <w:sz w:val="20"/>
          <w:szCs w:val="20"/>
          <w:lang w:val="zh-CN"/>
        </w:rPr>
        <w:t xml:space="preserve">Table 1. </w:t>
      </w:r>
      <w:r>
        <w:rPr>
          <w:sz w:val="20"/>
          <w:szCs w:val="20"/>
          <w:lang w:val="zh-CN"/>
        </w:rPr>
        <w:t xml:space="preserve"> </w:t>
      </w:r>
      <w:r>
        <w:rPr>
          <w:sz w:val="20"/>
          <w:szCs w:val="20"/>
        </w:rPr>
        <w:t>Baseline Characteristics of the Study Population</w:t>
      </w:r>
      <w:commentRangeEnd w:id="1"/>
      <w:r>
        <w:rPr>
          <w:rStyle w:val="CommentReference"/>
          <w:b/>
          <w:bCs/>
          <w:sz w:val="20"/>
          <w:szCs w:val="20"/>
          <w:lang w:val="zh-CN"/>
        </w:rPr>
        <w:commentReference w:id="1"/>
      </w:r>
    </w:p>
    <w:tbl>
      <w:tblPr>
        <w:tblStyle w:val="TableGrid"/>
        <w:tblW w:w="0" w:type="auto"/>
        <w:tblInd w:w="1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843"/>
        <w:gridCol w:w="2268"/>
        <w:gridCol w:w="1503"/>
      </w:tblGrid>
      <w:tr w:rsidR="00B474D5" w14:paraId="0B2177B0" w14:textId="77777777">
        <w:tc>
          <w:tcPr>
            <w:tcW w:w="3260" w:type="dxa"/>
            <w:tcBorders>
              <w:top w:val="single" w:sz="4" w:space="0" w:color="auto"/>
              <w:bottom w:val="single" w:sz="4" w:space="0" w:color="auto"/>
            </w:tcBorders>
            <w:vAlign w:val="center"/>
          </w:tcPr>
          <w:p w14:paraId="4EC14AF7" w14:textId="77777777" w:rsidR="00B474D5" w:rsidRDefault="00000000">
            <w:pPr>
              <w:spacing w:line="360" w:lineRule="auto"/>
              <w:jc w:val="both"/>
              <w:rPr>
                <w:sz w:val="24"/>
                <w:szCs w:val="24"/>
                <w:lang w:val="zh-CN"/>
              </w:rPr>
            </w:pPr>
            <w:r>
              <w:rPr>
                <w:b/>
                <w:bCs/>
                <w:sz w:val="24"/>
                <w:szCs w:val="24"/>
              </w:rPr>
              <w:t>Characteristics</w:t>
            </w:r>
          </w:p>
        </w:tc>
        <w:tc>
          <w:tcPr>
            <w:tcW w:w="1843" w:type="dxa"/>
            <w:tcBorders>
              <w:top w:val="single" w:sz="4" w:space="0" w:color="auto"/>
              <w:bottom w:val="single" w:sz="4" w:space="0" w:color="auto"/>
            </w:tcBorders>
            <w:vAlign w:val="center"/>
          </w:tcPr>
          <w:p w14:paraId="6865D0A7" w14:textId="77777777" w:rsidR="00B474D5" w:rsidRDefault="00000000">
            <w:pPr>
              <w:spacing w:line="360" w:lineRule="auto"/>
              <w:jc w:val="both"/>
              <w:rPr>
                <w:sz w:val="24"/>
                <w:szCs w:val="24"/>
                <w:lang w:val="zh-CN"/>
              </w:rPr>
            </w:pPr>
            <w:r>
              <w:rPr>
                <w:b/>
                <w:bCs/>
                <w:sz w:val="24"/>
                <w:szCs w:val="24"/>
              </w:rPr>
              <w:t>n (%)</w:t>
            </w:r>
          </w:p>
        </w:tc>
        <w:tc>
          <w:tcPr>
            <w:tcW w:w="2268" w:type="dxa"/>
            <w:tcBorders>
              <w:top w:val="single" w:sz="4" w:space="0" w:color="auto"/>
              <w:bottom w:val="single" w:sz="4" w:space="0" w:color="auto"/>
            </w:tcBorders>
            <w:vAlign w:val="center"/>
          </w:tcPr>
          <w:p w14:paraId="2502783A" w14:textId="77777777" w:rsidR="00B474D5" w:rsidRDefault="00000000">
            <w:pPr>
              <w:spacing w:line="360" w:lineRule="auto"/>
              <w:jc w:val="both"/>
              <w:rPr>
                <w:sz w:val="24"/>
                <w:szCs w:val="24"/>
                <w:lang w:val="zh-CN"/>
              </w:rPr>
            </w:pPr>
            <w:r>
              <w:rPr>
                <w:b/>
                <w:bCs/>
                <w:sz w:val="24"/>
                <w:szCs w:val="24"/>
              </w:rPr>
              <w:t>Mean (SD)</w:t>
            </w:r>
          </w:p>
        </w:tc>
        <w:tc>
          <w:tcPr>
            <w:tcW w:w="1503" w:type="dxa"/>
            <w:tcBorders>
              <w:top w:val="single" w:sz="4" w:space="0" w:color="auto"/>
              <w:bottom w:val="single" w:sz="4" w:space="0" w:color="auto"/>
            </w:tcBorders>
            <w:vAlign w:val="center"/>
          </w:tcPr>
          <w:p w14:paraId="6ACB0F93" w14:textId="77777777" w:rsidR="00B474D5" w:rsidRDefault="00000000">
            <w:pPr>
              <w:spacing w:line="360" w:lineRule="auto"/>
              <w:jc w:val="both"/>
              <w:rPr>
                <w:sz w:val="24"/>
                <w:szCs w:val="24"/>
                <w:lang w:val="zh-CN"/>
              </w:rPr>
            </w:pPr>
            <w:r>
              <w:rPr>
                <w:b/>
                <w:bCs/>
                <w:sz w:val="24"/>
                <w:szCs w:val="24"/>
              </w:rPr>
              <w:t>p</w:t>
            </w:r>
          </w:p>
        </w:tc>
      </w:tr>
      <w:tr w:rsidR="00B474D5" w14:paraId="6A2CF905" w14:textId="77777777">
        <w:tc>
          <w:tcPr>
            <w:tcW w:w="3260" w:type="dxa"/>
            <w:tcBorders>
              <w:top w:val="single" w:sz="4" w:space="0" w:color="auto"/>
              <w:bottom w:val="single" w:sz="4" w:space="0" w:color="auto"/>
            </w:tcBorders>
            <w:vAlign w:val="center"/>
          </w:tcPr>
          <w:p w14:paraId="1DF94307" w14:textId="77777777" w:rsidR="00B474D5" w:rsidRDefault="00000000">
            <w:pPr>
              <w:spacing w:line="360" w:lineRule="auto"/>
              <w:jc w:val="both"/>
              <w:rPr>
                <w:sz w:val="24"/>
                <w:szCs w:val="24"/>
                <w:lang w:val="zh-CN"/>
              </w:rPr>
            </w:pPr>
            <w:r>
              <w:rPr>
                <w:b/>
                <w:bCs/>
                <w:sz w:val="24"/>
                <w:szCs w:val="24"/>
              </w:rPr>
              <w:t>Gender</w:t>
            </w:r>
          </w:p>
        </w:tc>
        <w:tc>
          <w:tcPr>
            <w:tcW w:w="1843" w:type="dxa"/>
            <w:tcBorders>
              <w:top w:val="single" w:sz="4" w:space="0" w:color="auto"/>
              <w:bottom w:val="single" w:sz="4" w:space="0" w:color="auto"/>
            </w:tcBorders>
            <w:vAlign w:val="center"/>
          </w:tcPr>
          <w:p w14:paraId="7E8D1DD5"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06BE80B9" w14:textId="77777777" w:rsidR="00B474D5" w:rsidRDefault="00B474D5">
            <w:pPr>
              <w:spacing w:line="360" w:lineRule="auto"/>
              <w:jc w:val="both"/>
              <w:rPr>
                <w:sz w:val="24"/>
                <w:szCs w:val="24"/>
                <w:lang w:val="zh-CN"/>
              </w:rPr>
            </w:pPr>
          </w:p>
        </w:tc>
        <w:tc>
          <w:tcPr>
            <w:tcW w:w="1503" w:type="dxa"/>
            <w:tcBorders>
              <w:top w:val="single" w:sz="4" w:space="0" w:color="auto"/>
              <w:bottom w:val="single" w:sz="4" w:space="0" w:color="auto"/>
            </w:tcBorders>
            <w:vAlign w:val="center"/>
          </w:tcPr>
          <w:p w14:paraId="555CF4ED" w14:textId="77777777" w:rsidR="00B474D5" w:rsidRDefault="00000000">
            <w:pPr>
              <w:spacing w:line="360" w:lineRule="auto"/>
              <w:jc w:val="both"/>
              <w:rPr>
                <w:sz w:val="24"/>
                <w:szCs w:val="24"/>
                <w:lang w:val="zh-CN"/>
              </w:rPr>
            </w:pPr>
            <w:r>
              <w:rPr>
                <w:sz w:val="24"/>
                <w:szCs w:val="24"/>
              </w:rPr>
              <w:t>0.656</w:t>
            </w:r>
          </w:p>
        </w:tc>
      </w:tr>
      <w:tr w:rsidR="00B474D5" w14:paraId="5009E653" w14:textId="77777777">
        <w:tc>
          <w:tcPr>
            <w:tcW w:w="3260" w:type="dxa"/>
            <w:tcBorders>
              <w:top w:val="single" w:sz="4" w:space="0" w:color="auto"/>
            </w:tcBorders>
            <w:vAlign w:val="center"/>
          </w:tcPr>
          <w:p w14:paraId="5A5A153F" w14:textId="77777777" w:rsidR="00B474D5" w:rsidRDefault="00000000">
            <w:pPr>
              <w:spacing w:line="360" w:lineRule="auto"/>
              <w:jc w:val="both"/>
              <w:rPr>
                <w:sz w:val="24"/>
                <w:szCs w:val="24"/>
                <w:lang w:val="zh-CN"/>
              </w:rPr>
            </w:pPr>
            <w:r>
              <w:rPr>
                <w:sz w:val="24"/>
                <w:szCs w:val="24"/>
              </w:rPr>
              <w:t>Male</w:t>
            </w:r>
          </w:p>
        </w:tc>
        <w:tc>
          <w:tcPr>
            <w:tcW w:w="1843" w:type="dxa"/>
            <w:tcBorders>
              <w:top w:val="single" w:sz="4" w:space="0" w:color="auto"/>
            </w:tcBorders>
            <w:vAlign w:val="center"/>
          </w:tcPr>
          <w:p w14:paraId="4CEE0952" w14:textId="77777777" w:rsidR="00B474D5" w:rsidRDefault="00000000">
            <w:pPr>
              <w:spacing w:line="360" w:lineRule="auto"/>
              <w:jc w:val="both"/>
              <w:rPr>
                <w:sz w:val="24"/>
                <w:szCs w:val="24"/>
                <w:lang w:val="zh-CN"/>
              </w:rPr>
            </w:pPr>
            <w:r>
              <w:rPr>
                <w:sz w:val="24"/>
                <w:szCs w:val="24"/>
              </w:rPr>
              <w:t>79 (55.2)</w:t>
            </w:r>
          </w:p>
        </w:tc>
        <w:tc>
          <w:tcPr>
            <w:tcW w:w="2268" w:type="dxa"/>
            <w:tcBorders>
              <w:top w:val="single" w:sz="4" w:space="0" w:color="auto"/>
            </w:tcBorders>
            <w:vAlign w:val="center"/>
          </w:tcPr>
          <w:p w14:paraId="62E87D28" w14:textId="77777777" w:rsidR="00B474D5" w:rsidRDefault="00B474D5">
            <w:pPr>
              <w:spacing w:line="360" w:lineRule="auto"/>
              <w:jc w:val="both"/>
              <w:rPr>
                <w:sz w:val="24"/>
                <w:szCs w:val="24"/>
                <w:lang w:val="zh-CN"/>
              </w:rPr>
            </w:pPr>
          </w:p>
        </w:tc>
        <w:tc>
          <w:tcPr>
            <w:tcW w:w="1503" w:type="dxa"/>
            <w:tcBorders>
              <w:top w:val="single" w:sz="4" w:space="0" w:color="auto"/>
            </w:tcBorders>
            <w:vAlign w:val="center"/>
          </w:tcPr>
          <w:p w14:paraId="0C1656BA" w14:textId="77777777" w:rsidR="00B474D5" w:rsidRDefault="00B474D5">
            <w:pPr>
              <w:spacing w:line="360" w:lineRule="auto"/>
              <w:jc w:val="both"/>
              <w:rPr>
                <w:sz w:val="24"/>
                <w:szCs w:val="24"/>
                <w:lang w:val="zh-CN"/>
              </w:rPr>
            </w:pPr>
          </w:p>
        </w:tc>
      </w:tr>
      <w:tr w:rsidR="00B474D5" w14:paraId="1F91868C" w14:textId="77777777">
        <w:tc>
          <w:tcPr>
            <w:tcW w:w="3260" w:type="dxa"/>
            <w:tcBorders>
              <w:bottom w:val="single" w:sz="4" w:space="0" w:color="auto"/>
            </w:tcBorders>
            <w:vAlign w:val="center"/>
          </w:tcPr>
          <w:p w14:paraId="26D5E64E" w14:textId="77777777" w:rsidR="00B474D5" w:rsidRDefault="00000000">
            <w:pPr>
              <w:spacing w:line="360" w:lineRule="auto"/>
              <w:jc w:val="both"/>
              <w:rPr>
                <w:sz w:val="24"/>
                <w:szCs w:val="24"/>
                <w:lang w:val="zh-CN"/>
              </w:rPr>
            </w:pPr>
            <w:r>
              <w:rPr>
                <w:sz w:val="24"/>
                <w:szCs w:val="24"/>
              </w:rPr>
              <w:t>Female</w:t>
            </w:r>
          </w:p>
        </w:tc>
        <w:tc>
          <w:tcPr>
            <w:tcW w:w="1843" w:type="dxa"/>
            <w:tcBorders>
              <w:bottom w:val="single" w:sz="4" w:space="0" w:color="auto"/>
            </w:tcBorders>
            <w:vAlign w:val="center"/>
          </w:tcPr>
          <w:p w14:paraId="76F1043E" w14:textId="77777777" w:rsidR="00B474D5" w:rsidRDefault="00000000">
            <w:pPr>
              <w:spacing w:line="360" w:lineRule="auto"/>
              <w:jc w:val="both"/>
              <w:rPr>
                <w:sz w:val="24"/>
                <w:szCs w:val="24"/>
                <w:lang w:val="zh-CN"/>
              </w:rPr>
            </w:pPr>
            <w:r>
              <w:rPr>
                <w:sz w:val="24"/>
                <w:szCs w:val="24"/>
              </w:rPr>
              <w:t>64 (44.8)</w:t>
            </w:r>
          </w:p>
        </w:tc>
        <w:tc>
          <w:tcPr>
            <w:tcW w:w="2268" w:type="dxa"/>
            <w:tcBorders>
              <w:bottom w:val="single" w:sz="4" w:space="0" w:color="auto"/>
            </w:tcBorders>
            <w:vAlign w:val="center"/>
          </w:tcPr>
          <w:p w14:paraId="173CAA6C"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0D62BA4B" w14:textId="77777777" w:rsidR="00B474D5" w:rsidRDefault="00B474D5">
            <w:pPr>
              <w:spacing w:line="360" w:lineRule="auto"/>
              <w:jc w:val="both"/>
              <w:rPr>
                <w:sz w:val="24"/>
                <w:szCs w:val="24"/>
                <w:lang w:val="zh-CN"/>
              </w:rPr>
            </w:pPr>
          </w:p>
        </w:tc>
      </w:tr>
      <w:tr w:rsidR="00B474D5" w14:paraId="322F2A81" w14:textId="77777777">
        <w:tc>
          <w:tcPr>
            <w:tcW w:w="3260" w:type="dxa"/>
            <w:tcBorders>
              <w:top w:val="single" w:sz="4" w:space="0" w:color="auto"/>
              <w:bottom w:val="single" w:sz="4" w:space="0" w:color="auto"/>
            </w:tcBorders>
            <w:vAlign w:val="center"/>
          </w:tcPr>
          <w:p w14:paraId="2CE35E49" w14:textId="77777777" w:rsidR="00B474D5" w:rsidRDefault="00000000">
            <w:pPr>
              <w:spacing w:line="360" w:lineRule="auto"/>
              <w:jc w:val="both"/>
              <w:rPr>
                <w:sz w:val="24"/>
                <w:szCs w:val="24"/>
                <w:lang w:val="zh-CN"/>
              </w:rPr>
            </w:pPr>
            <w:r>
              <w:rPr>
                <w:b/>
                <w:bCs/>
                <w:sz w:val="24"/>
                <w:szCs w:val="24"/>
              </w:rPr>
              <w:t>Age (years)</w:t>
            </w:r>
          </w:p>
        </w:tc>
        <w:tc>
          <w:tcPr>
            <w:tcW w:w="1843" w:type="dxa"/>
            <w:tcBorders>
              <w:top w:val="single" w:sz="4" w:space="0" w:color="auto"/>
              <w:bottom w:val="single" w:sz="4" w:space="0" w:color="auto"/>
            </w:tcBorders>
            <w:vAlign w:val="center"/>
          </w:tcPr>
          <w:p w14:paraId="29A4DD8E"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34D44B8E" w14:textId="77777777" w:rsidR="00B474D5" w:rsidRDefault="00000000">
            <w:pPr>
              <w:spacing w:line="360" w:lineRule="auto"/>
              <w:jc w:val="both"/>
              <w:rPr>
                <w:sz w:val="24"/>
                <w:szCs w:val="24"/>
                <w:lang w:val="zh-CN"/>
              </w:rPr>
            </w:pPr>
            <w:r>
              <w:rPr>
                <w:sz w:val="24"/>
                <w:szCs w:val="24"/>
              </w:rPr>
              <w:t>30.4 (3.88)</w:t>
            </w:r>
          </w:p>
        </w:tc>
        <w:tc>
          <w:tcPr>
            <w:tcW w:w="1503" w:type="dxa"/>
            <w:tcBorders>
              <w:top w:val="single" w:sz="4" w:space="0" w:color="auto"/>
              <w:bottom w:val="single" w:sz="4" w:space="0" w:color="auto"/>
            </w:tcBorders>
            <w:vAlign w:val="center"/>
          </w:tcPr>
          <w:p w14:paraId="4F635E8D" w14:textId="77777777" w:rsidR="00B474D5" w:rsidRDefault="00000000">
            <w:pPr>
              <w:spacing w:line="360" w:lineRule="auto"/>
              <w:jc w:val="both"/>
              <w:rPr>
                <w:sz w:val="24"/>
                <w:szCs w:val="24"/>
                <w:lang w:val="zh-CN"/>
              </w:rPr>
            </w:pPr>
            <w:r>
              <w:rPr>
                <w:sz w:val="24"/>
                <w:szCs w:val="24"/>
              </w:rPr>
              <w:t>0.007</w:t>
            </w:r>
          </w:p>
        </w:tc>
      </w:tr>
      <w:tr w:rsidR="00B474D5" w14:paraId="1175DB2F" w14:textId="77777777">
        <w:tc>
          <w:tcPr>
            <w:tcW w:w="3260" w:type="dxa"/>
            <w:tcBorders>
              <w:top w:val="single" w:sz="4" w:space="0" w:color="auto"/>
            </w:tcBorders>
            <w:vAlign w:val="center"/>
          </w:tcPr>
          <w:p w14:paraId="4494D3BB" w14:textId="77777777" w:rsidR="00B474D5" w:rsidRDefault="00000000">
            <w:pPr>
              <w:spacing w:line="360" w:lineRule="auto"/>
              <w:jc w:val="both"/>
              <w:rPr>
                <w:sz w:val="24"/>
                <w:szCs w:val="24"/>
                <w:lang w:val="zh-CN"/>
              </w:rPr>
            </w:pPr>
            <w:r>
              <w:rPr>
                <w:sz w:val="24"/>
                <w:szCs w:val="24"/>
              </w:rPr>
              <w:t>18–24</w:t>
            </w:r>
          </w:p>
        </w:tc>
        <w:tc>
          <w:tcPr>
            <w:tcW w:w="1843" w:type="dxa"/>
            <w:tcBorders>
              <w:top w:val="single" w:sz="4" w:space="0" w:color="auto"/>
            </w:tcBorders>
            <w:vAlign w:val="center"/>
          </w:tcPr>
          <w:p w14:paraId="1C8B7431" w14:textId="77777777" w:rsidR="00B474D5" w:rsidRDefault="00000000">
            <w:pPr>
              <w:spacing w:line="360" w:lineRule="auto"/>
              <w:jc w:val="both"/>
              <w:rPr>
                <w:sz w:val="24"/>
                <w:szCs w:val="24"/>
                <w:lang w:val="zh-CN"/>
              </w:rPr>
            </w:pPr>
            <w:r>
              <w:rPr>
                <w:sz w:val="24"/>
                <w:szCs w:val="24"/>
              </w:rPr>
              <w:t>12 (8.39)</w:t>
            </w:r>
          </w:p>
        </w:tc>
        <w:tc>
          <w:tcPr>
            <w:tcW w:w="2268" w:type="dxa"/>
            <w:tcBorders>
              <w:top w:val="single" w:sz="4" w:space="0" w:color="auto"/>
            </w:tcBorders>
            <w:vAlign w:val="center"/>
          </w:tcPr>
          <w:p w14:paraId="2CF54BAD" w14:textId="77777777" w:rsidR="00B474D5" w:rsidRDefault="00B474D5">
            <w:pPr>
              <w:spacing w:line="360" w:lineRule="auto"/>
              <w:jc w:val="both"/>
              <w:rPr>
                <w:sz w:val="24"/>
                <w:szCs w:val="24"/>
                <w:lang w:val="zh-CN"/>
              </w:rPr>
            </w:pPr>
          </w:p>
        </w:tc>
        <w:tc>
          <w:tcPr>
            <w:tcW w:w="1503" w:type="dxa"/>
            <w:tcBorders>
              <w:top w:val="single" w:sz="4" w:space="0" w:color="auto"/>
            </w:tcBorders>
            <w:vAlign w:val="center"/>
          </w:tcPr>
          <w:p w14:paraId="5964F773" w14:textId="77777777" w:rsidR="00B474D5" w:rsidRDefault="00B474D5">
            <w:pPr>
              <w:spacing w:line="360" w:lineRule="auto"/>
              <w:jc w:val="both"/>
              <w:rPr>
                <w:sz w:val="24"/>
                <w:szCs w:val="24"/>
                <w:lang w:val="zh-CN"/>
              </w:rPr>
            </w:pPr>
          </w:p>
        </w:tc>
      </w:tr>
      <w:tr w:rsidR="00B474D5" w14:paraId="0401C8A1" w14:textId="77777777">
        <w:tc>
          <w:tcPr>
            <w:tcW w:w="3260" w:type="dxa"/>
            <w:vAlign w:val="center"/>
          </w:tcPr>
          <w:p w14:paraId="56B3CAC7" w14:textId="77777777" w:rsidR="00B474D5" w:rsidRDefault="00000000">
            <w:pPr>
              <w:spacing w:line="360" w:lineRule="auto"/>
              <w:jc w:val="both"/>
              <w:rPr>
                <w:sz w:val="24"/>
                <w:szCs w:val="24"/>
                <w:lang w:val="zh-CN"/>
              </w:rPr>
            </w:pPr>
            <w:r>
              <w:rPr>
                <w:sz w:val="24"/>
                <w:szCs w:val="24"/>
              </w:rPr>
              <w:t>25–29</w:t>
            </w:r>
          </w:p>
        </w:tc>
        <w:tc>
          <w:tcPr>
            <w:tcW w:w="1843" w:type="dxa"/>
            <w:vAlign w:val="center"/>
          </w:tcPr>
          <w:p w14:paraId="4A772822" w14:textId="77777777" w:rsidR="00B474D5" w:rsidRDefault="00000000">
            <w:pPr>
              <w:spacing w:line="360" w:lineRule="auto"/>
              <w:jc w:val="both"/>
              <w:rPr>
                <w:sz w:val="24"/>
                <w:szCs w:val="24"/>
                <w:lang w:val="zh-CN"/>
              </w:rPr>
            </w:pPr>
            <w:r>
              <w:rPr>
                <w:sz w:val="24"/>
                <w:szCs w:val="24"/>
              </w:rPr>
              <w:t>29 (20.28)</w:t>
            </w:r>
          </w:p>
        </w:tc>
        <w:tc>
          <w:tcPr>
            <w:tcW w:w="2268" w:type="dxa"/>
            <w:vAlign w:val="center"/>
          </w:tcPr>
          <w:p w14:paraId="584B7325" w14:textId="77777777" w:rsidR="00B474D5" w:rsidRDefault="00B474D5">
            <w:pPr>
              <w:spacing w:line="360" w:lineRule="auto"/>
              <w:jc w:val="both"/>
              <w:rPr>
                <w:sz w:val="24"/>
                <w:szCs w:val="24"/>
                <w:lang w:val="zh-CN"/>
              </w:rPr>
            </w:pPr>
          </w:p>
        </w:tc>
        <w:tc>
          <w:tcPr>
            <w:tcW w:w="1503" w:type="dxa"/>
            <w:vAlign w:val="center"/>
          </w:tcPr>
          <w:p w14:paraId="618D47A1" w14:textId="77777777" w:rsidR="00B474D5" w:rsidRDefault="00B474D5">
            <w:pPr>
              <w:spacing w:line="360" w:lineRule="auto"/>
              <w:jc w:val="both"/>
              <w:rPr>
                <w:sz w:val="24"/>
                <w:szCs w:val="24"/>
                <w:lang w:val="zh-CN"/>
              </w:rPr>
            </w:pPr>
          </w:p>
        </w:tc>
      </w:tr>
      <w:tr w:rsidR="00B474D5" w14:paraId="2678AD99" w14:textId="77777777">
        <w:tc>
          <w:tcPr>
            <w:tcW w:w="3260" w:type="dxa"/>
            <w:vAlign w:val="center"/>
          </w:tcPr>
          <w:p w14:paraId="450BEFEC" w14:textId="77777777" w:rsidR="00B474D5" w:rsidRDefault="00000000">
            <w:pPr>
              <w:spacing w:line="360" w:lineRule="auto"/>
              <w:jc w:val="both"/>
              <w:rPr>
                <w:sz w:val="24"/>
                <w:szCs w:val="24"/>
                <w:lang w:val="zh-CN"/>
              </w:rPr>
            </w:pPr>
            <w:r>
              <w:rPr>
                <w:sz w:val="24"/>
                <w:szCs w:val="24"/>
              </w:rPr>
              <w:t>30–34</w:t>
            </w:r>
          </w:p>
        </w:tc>
        <w:tc>
          <w:tcPr>
            <w:tcW w:w="1843" w:type="dxa"/>
            <w:vAlign w:val="center"/>
          </w:tcPr>
          <w:p w14:paraId="7600185B" w14:textId="77777777" w:rsidR="00B474D5" w:rsidRDefault="00000000">
            <w:pPr>
              <w:spacing w:line="360" w:lineRule="auto"/>
              <w:jc w:val="both"/>
              <w:rPr>
                <w:sz w:val="24"/>
                <w:szCs w:val="24"/>
                <w:lang w:val="zh-CN"/>
              </w:rPr>
            </w:pPr>
            <w:r>
              <w:rPr>
                <w:sz w:val="24"/>
                <w:szCs w:val="24"/>
              </w:rPr>
              <w:t>86 (60.14)</w:t>
            </w:r>
          </w:p>
        </w:tc>
        <w:tc>
          <w:tcPr>
            <w:tcW w:w="2268" w:type="dxa"/>
            <w:vAlign w:val="center"/>
          </w:tcPr>
          <w:p w14:paraId="7CB36346" w14:textId="77777777" w:rsidR="00B474D5" w:rsidRDefault="00B474D5">
            <w:pPr>
              <w:spacing w:line="360" w:lineRule="auto"/>
              <w:jc w:val="both"/>
              <w:rPr>
                <w:sz w:val="24"/>
                <w:szCs w:val="24"/>
                <w:lang w:val="zh-CN"/>
              </w:rPr>
            </w:pPr>
          </w:p>
        </w:tc>
        <w:tc>
          <w:tcPr>
            <w:tcW w:w="1503" w:type="dxa"/>
            <w:vAlign w:val="center"/>
          </w:tcPr>
          <w:p w14:paraId="08F47D54" w14:textId="77777777" w:rsidR="00B474D5" w:rsidRDefault="00B474D5">
            <w:pPr>
              <w:spacing w:line="360" w:lineRule="auto"/>
              <w:jc w:val="both"/>
              <w:rPr>
                <w:sz w:val="24"/>
                <w:szCs w:val="24"/>
                <w:lang w:val="zh-CN"/>
              </w:rPr>
            </w:pPr>
          </w:p>
        </w:tc>
      </w:tr>
      <w:tr w:rsidR="00B474D5" w14:paraId="0D056560" w14:textId="77777777">
        <w:tc>
          <w:tcPr>
            <w:tcW w:w="3260" w:type="dxa"/>
            <w:tcBorders>
              <w:bottom w:val="single" w:sz="4" w:space="0" w:color="auto"/>
            </w:tcBorders>
            <w:vAlign w:val="center"/>
          </w:tcPr>
          <w:p w14:paraId="725427A7" w14:textId="77777777" w:rsidR="00B474D5" w:rsidRDefault="00000000">
            <w:pPr>
              <w:spacing w:line="360" w:lineRule="auto"/>
              <w:jc w:val="both"/>
              <w:rPr>
                <w:sz w:val="24"/>
                <w:szCs w:val="24"/>
                <w:lang w:val="zh-CN"/>
              </w:rPr>
            </w:pPr>
            <w:r>
              <w:rPr>
                <w:sz w:val="24"/>
                <w:szCs w:val="24"/>
              </w:rPr>
              <w:t>35–40</w:t>
            </w:r>
          </w:p>
        </w:tc>
        <w:tc>
          <w:tcPr>
            <w:tcW w:w="1843" w:type="dxa"/>
            <w:tcBorders>
              <w:bottom w:val="single" w:sz="4" w:space="0" w:color="auto"/>
            </w:tcBorders>
            <w:vAlign w:val="center"/>
          </w:tcPr>
          <w:p w14:paraId="21821F97" w14:textId="77777777" w:rsidR="00B474D5" w:rsidRDefault="00000000">
            <w:pPr>
              <w:spacing w:line="360" w:lineRule="auto"/>
              <w:jc w:val="both"/>
              <w:rPr>
                <w:sz w:val="24"/>
                <w:szCs w:val="24"/>
                <w:lang w:val="zh-CN"/>
              </w:rPr>
            </w:pPr>
            <w:r>
              <w:rPr>
                <w:sz w:val="24"/>
                <w:szCs w:val="24"/>
              </w:rPr>
              <w:t>16 (11.19)</w:t>
            </w:r>
          </w:p>
        </w:tc>
        <w:tc>
          <w:tcPr>
            <w:tcW w:w="2268" w:type="dxa"/>
            <w:tcBorders>
              <w:bottom w:val="single" w:sz="4" w:space="0" w:color="auto"/>
            </w:tcBorders>
            <w:vAlign w:val="center"/>
          </w:tcPr>
          <w:p w14:paraId="1802A951"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39264A83" w14:textId="77777777" w:rsidR="00B474D5" w:rsidRDefault="00B474D5">
            <w:pPr>
              <w:spacing w:line="360" w:lineRule="auto"/>
              <w:jc w:val="both"/>
              <w:rPr>
                <w:sz w:val="24"/>
                <w:szCs w:val="24"/>
                <w:lang w:val="zh-CN"/>
              </w:rPr>
            </w:pPr>
          </w:p>
        </w:tc>
      </w:tr>
      <w:tr w:rsidR="00B474D5" w14:paraId="7235420E" w14:textId="77777777">
        <w:tc>
          <w:tcPr>
            <w:tcW w:w="3260" w:type="dxa"/>
            <w:tcBorders>
              <w:top w:val="single" w:sz="4" w:space="0" w:color="auto"/>
              <w:bottom w:val="single" w:sz="4" w:space="0" w:color="auto"/>
            </w:tcBorders>
            <w:vAlign w:val="center"/>
          </w:tcPr>
          <w:p w14:paraId="4CDCEF58" w14:textId="77777777" w:rsidR="00B474D5" w:rsidRDefault="00000000">
            <w:pPr>
              <w:spacing w:line="360" w:lineRule="auto"/>
              <w:jc w:val="both"/>
              <w:rPr>
                <w:sz w:val="24"/>
                <w:szCs w:val="24"/>
                <w:lang w:val="zh-CN"/>
              </w:rPr>
            </w:pPr>
            <w:r>
              <w:rPr>
                <w:b/>
                <w:bCs/>
                <w:sz w:val="24"/>
                <w:szCs w:val="24"/>
              </w:rPr>
              <w:t>Occupation</w:t>
            </w:r>
          </w:p>
        </w:tc>
        <w:tc>
          <w:tcPr>
            <w:tcW w:w="1843" w:type="dxa"/>
            <w:tcBorders>
              <w:top w:val="single" w:sz="4" w:space="0" w:color="auto"/>
              <w:bottom w:val="single" w:sz="4" w:space="0" w:color="auto"/>
            </w:tcBorders>
            <w:vAlign w:val="center"/>
          </w:tcPr>
          <w:p w14:paraId="52D6E80C"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1990EF7A" w14:textId="77777777" w:rsidR="00B474D5" w:rsidRDefault="00B474D5">
            <w:pPr>
              <w:spacing w:line="360" w:lineRule="auto"/>
              <w:jc w:val="both"/>
              <w:rPr>
                <w:sz w:val="24"/>
                <w:szCs w:val="24"/>
                <w:lang w:val="zh-CN"/>
              </w:rPr>
            </w:pPr>
          </w:p>
        </w:tc>
        <w:tc>
          <w:tcPr>
            <w:tcW w:w="1503" w:type="dxa"/>
            <w:tcBorders>
              <w:top w:val="single" w:sz="4" w:space="0" w:color="auto"/>
              <w:bottom w:val="single" w:sz="4" w:space="0" w:color="auto"/>
            </w:tcBorders>
            <w:vAlign w:val="center"/>
          </w:tcPr>
          <w:p w14:paraId="683FCA00" w14:textId="77777777" w:rsidR="00B474D5" w:rsidRDefault="00000000">
            <w:pPr>
              <w:spacing w:line="360" w:lineRule="auto"/>
              <w:jc w:val="both"/>
              <w:rPr>
                <w:sz w:val="24"/>
                <w:szCs w:val="24"/>
                <w:lang w:val="zh-CN"/>
              </w:rPr>
            </w:pPr>
            <w:r>
              <w:rPr>
                <w:sz w:val="24"/>
                <w:szCs w:val="24"/>
              </w:rPr>
              <w:t>0.021</w:t>
            </w:r>
          </w:p>
        </w:tc>
      </w:tr>
      <w:tr w:rsidR="00B474D5" w14:paraId="0B9FFA28" w14:textId="77777777">
        <w:tc>
          <w:tcPr>
            <w:tcW w:w="3260" w:type="dxa"/>
            <w:tcBorders>
              <w:top w:val="single" w:sz="4" w:space="0" w:color="auto"/>
            </w:tcBorders>
            <w:vAlign w:val="center"/>
          </w:tcPr>
          <w:p w14:paraId="0E7DD43D" w14:textId="77777777" w:rsidR="00B474D5" w:rsidRDefault="00000000">
            <w:pPr>
              <w:spacing w:line="360" w:lineRule="auto"/>
              <w:jc w:val="both"/>
              <w:rPr>
                <w:sz w:val="24"/>
                <w:szCs w:val="24"/>
                <w:lang w:val="zh-CN"/>
              </w:rPr>
            </w:pPr>
            <w:r>
              <w:rPr>
                <w:sz w:val="24"/>
                <w:szCs w:val="24"/>
              </w:rPr>
              <w:t>Resident Doctor (PPDS)</w:t>
            </w:r>
          </w:p>
        </w:tc>
        <w:tc>
          <w:tcPr>
            <w:tcW w:w="1843" w:type="dxa"/>
            <w:tcBorders>
              <w:top w:val="single" w:sz="4" w:space="0" w:color="auto"/>
            </w:tcBorders>
            <w:vAlign w:val="center"/>
          </w:tcPr>
          <w:p w14:paraId="0C43E036" w14:textId="77777777" w:rsidR="00B474D5" w:rsidRDefault="00000000">
            <w:pPr>
              <w:spacing w:line="360" w:lineRule="auto"/>
              <w:jc w:val="both"/>
              <w:rPr>
                <w:sz w:val="24"/>
                <w:szCs w:val="24"/>
                <w:lang w:val="zh-CN"/>
              </w:rPr>
            </w:pPr>
            <w:r>
              <w:rPr>
                <w:sz w:val="24"/>
                <w:szCs w:val="24"/>
              </w:rPr>
              <w:t>129 (90.21)</w:t>
            </w:r>
          </w:p>
        </w:tc>
        <w:tc>
          <w:tcPr>
            <w:tcW w:w="2268" w:type="dxa"/>
            <w:tcBorders>
              <w:top w:val="single" w:sz="4" w:space="0" w:color="auto"/>
            </w:tcBorders>
            <w:vAlign w:val="center"/>
          </w:tcPr>
          <w:p w14:paraId="22FD2600" w14:textId="77777777" w:rsidR="00B474D5" w:rsidRDefault="00B474D5">
            <w:pPr>
              <w:spacing w:line="360" w:lineRule="auto"/>
              <w:jc w:val="both"/>
              <w:rPr>
                <w:sz w:val="24"/>
                <w:szCs w:val="24"/>
                <w:lang w:val="zh-CN"/>
              </w:rPr>
            </w:pPr>
          </w:p>
        </w:tc>
        <w:tc>
          <w:tcPr>
            <w:tcW w:w="1503" w:type="dxa"/>
            <w:tcBorders>
              <w:top w:val="single" w:sz="4" w:space="0" w:color="auto"/>
            </w:tcBorders>
            <w:vAlign w:val="center"/>
          </w:tcPr>
          <w:p w14:paraId="64A7922F" w14:textId="77777777" w:rsidR="00B474D5" w:rsidRDefault="00B474D5">
            <w:pPr>
              <w:spacing w:line="360" w:lineRule="auto"/>
              <w:jc w:val="both"/>
              <w:rPr>
                <w:sz w:val="24"/>
                <w:szCs w:val="24"/>
                <w:lang w:val="zh-CN"/>
              </w:rPr>
            </w:pPr>
          </w:p>
        </w:tc>
      </w:tr>
      <w:tr w:rsidR="00B474D5" w14:paraId="04143539" w14:textId="77777777">
        <w:tc>
          <w:tcPr>
            <w:tcW w:w="3260" w:type="dxa"/>
            <w:tcBorders>
              <w:bottom w:val="single" w:sz="4" w:space="0" w:color="auto"/>
            </w:tcBorders>
            <w:vAlign w:val="center"/>
          </w:tcPr>
          <w:p w14:paraId="601EFE83" w14:textId="77777777" w:rsidR="00B474D5" w:rsidRDefault="00000000">
            <w:pPr>
              <w:spacing w:line="360" w:lineRule="auto"/>
              <w:jc w:val="both"/>
              <w:rPr>
                <w:sz w:val="24"/>
                <w:szCs w:val="24"/>
                <w:lang w:val="zh-CN"/>
              </w:rPr>
            </w:pPr>
            <w:r>
              <w:rPr>
                <w:sz w:val="24"/>
                <w:szCs w:val="24"/>
              </w:rPr>
              <w:t>General Practitioner</w:t>
            </w:r>
          </w:p>
        </w:tc>
        <w:tc>
          <w:tcPr>
            <w:tcW w:w="1843" w:type="dxa"/>
            <w:tcBorders>
              <w:bottom w:val="single" w:sz="4" w:space="0" w:color="auto"/>
            </w:tcBorders>
            <w:vAlign w:val="center"/>
          </w:tcPr>
          <w:p w14:paraId="2016CE2B" w14:textId="77777777" w:rsidR="00B474D5" w:rsidRDefault="00000000">
            <w:pPr>
              <w:spacing w:line="360" w:lineRule="auto"/>
              <w:jc w:val="both"/>
              <w:rPr>
                <w:sz w:val="24"/>
                <w:szCs w:val="24"/>
                <w:lang w:val="zh-CN"/>
              </w:rPr>
            </w:pPr>
            <w:r>
              <w:rPr>
                <w:sz w:val="24"/>
                <w:szCs w:val="24"/>
              </w:rPr>
              <w:t>14 (9.79)</w:t>
            </w:r>
          </w:p>
        </w:tc>
        <w:tc>
          <w:tcPr>
            <w:tcW w:w="2268" w:type="dxa"/>
            <w:tcBorders>
              <w:bottom w:val="single" w:sz="4" w:space="0" w:color="auto"/>
            </w:tcBorders>
            <w:vAlign w:val="center"/>
          </w:tcPr>
          <w:p w14:paraId="25F014A6"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0654F3A8" w14:textId="77777777" w:rsidR="00B474D5" w:rsidRDefault="00B474D5">
            <w:pPr>
              <w:spacing w:line="360" w:lineRule="auto"/>
              <w:jc w:val="both"/>
              <w:rPr>
                <w:sz w:val="24"/>
                <w:szCs w:val="24"/>
                <w:lang w:val="zh-CN"/>
              </w:rPr>
            </w:pPr>
          </w:p>
        </w:tc>
      </w:tr>
      <w:tr w:rsidR="00B474D5" w14:paraId="11A61F6D" w14:textId="77777777">
        <w:tc>
          <w:tcPr>
            <w:tcW w:w="3260" w:type="dxa"/>
            <w:tcBorders>
              <w:top w:val="single" w:sz="4" w:space="0" w:color="auto"/>
              <w:bottom w:val="single" w:sz="4" w:space="0" w:color="auto"/>
            </w:tcBorders>
            <w:vAlign w:val="center"/>
          </w:tcPr>
          <w:p w14:paraId="4302F3D4" w14:textId="77777777" w:rsidR="00B474D5" w:rsidRDefault="00000000">
            <w:pPr>
              <w:spacing w:line="360" w:lineRule="auto"/>
              <w:jc w:val="both"/>
              <w:rPr>
                <w:sz w:val="24"/>
                <w:szCs w:val="24"/>
                <w:lang w:val="zh-CN"/>
              </w:rPr>
            </w:pPr>
            <w:r>
              <w:rPr>
                <w:b/>
                <w:bCs/>
                <w:sz w:val="24"/>
                <w:szCs w:val="24"/>
              </w:rPr>
              <w:t>Body Mass Index (kg/m²)</w:t>
            </w:r>
          </w:p>
        </w:tc>
        <w:tc>
          <w:tcPr>
            <w:tcW w:w="1843" w:type="dxa"/>
            <w:tcBorders>
              <w:top w:val="single" w:sz="4" w:space="0" w:color="auto"/>
              <w:bottom w:val="single" w:sz="4" w:space="0" w:color="auto"/>
            </w:tcBorders>
            <w:vAlign w:val="center"/>
          </w:tcPr>
          <w:p w14:paraId="6350D97D"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2FB48992" w14:textId="77777777" w:rsidR="00B474D5" w:rsidRDefault="00000000">
            <w:pPr>
              <w:spacing w:line="360" w:lineRule="auto"/>
              <w:jc w:val="both"/>
              <w:rPr>
                <w:sz w:val="24"/>
                <w:szCs w:val="24"/>
                <w:lang w:val="zh-CN"/>
              </w:rPr>
            </w:pPr>
            <w:r>
              <w:rPr>
                <w:sz w:val="24"/>
                <w:szCs w:val="24"/>
              </w:rPr>
              <w:t>29.97 (3.49)</w:t>
            </w:r>
          </w:p>
        </w:tc>
        <w:tc>
          <w:tcPr>
            <w:tcW w:w="1503" w:type="dxa"/>
            <w:tcBorders>
              <w:top w:val="single" w:sz="4" w:space="0" w:color="auto"/>
              <w:bottom w:val="single" w:sz="4" w:space="0" w:color="auto"/>
            </w:tcBorders>
            <w:vAlign w:val="center"/>
          </w:tcPr>
          <w:p w14:paraId="3C0E74DD" w14:textId="77777777" w:rsidR="00B474D5" w:rsidRDefault="00000000">
            <w:pPr>
              <w:spacing w:line="360" w:lineRule="auto"/>
              <w:jc w:val="both"/>
              <w:rPr>
                <w:sz w:val="24"/>
                <w:szCs w:val="24"/>
                <w:lang w:val="zh-CN"/>
              </w:rPr>
            </w:pPr>
            <w:r>
              <w:rPr>
                <w:sz w:val="24"/>
                <w:szCs w:val="24"/>
              </w:rPr>
              <w:t>0.949</w:t>
            </w:r>
          </w:p>
        </w:tc>
      </w:tr>
      <w:tr w:rsidR="00B474D5" w14:paraId="48395040" w14:textId="77777777">
        <w:tc>
          <w:tcPr>
            <w:tcW w:w="3260" w:type="dxa"/>
            <w:tcBorders>
              <w:top w:val="single" w:sz="4" w:space="0" w:color="auto"/>
            </w:tcBorders>
            <w:vAlign w:val="center"/>
          </w:tcPr>
          <w:p w14:paraId="2149EF0B" w14:textId="77777777" w:rsidR="00B474D5" w:rsidRDefault="00000000">
            <w:pPr>
              <w:spacing w:line="360" w:lineRule="auto"/>
              <w:jc w:val="both"/>
              <w:rPr>
                <w:sz w:val="24"/>
                <w:szCs w:val="24"/>
                <w:lang w:val="zh-CN"/>
              </w:rPr>
            </w:pPr>
            <w:r>
              <w:rPr>
                <w:sz w:val="24"/>
                <w:szCs w:val="24"/>
              </w:rPr>
              <w:t>Obesity I (25–29.9)</w:t>
            </w:r>
          </w:p>
        </w:tc>
        <w:tc>
          <w:tcPr>
            <w:tcW w:w="1843" w:type="dxa"/>
            <w:tcBorders>
              <w:top w:val="single" w:sz="4" w:space="0" w:color="auto"/>
            </w:tcBorders>
            <w:vAlign w:val="center"/>
          </w:tcPr>
          <w:p w14:paraId="2C644F51" w14:textId="77777777" w:rsidR="00B474D5" w:rsidRDefault="00000000">
            <w:pPr>
              <w:spacing w:line="360" w:lineRule="auto"/>
              <w:jc w:val="both"/>
              <w:rPr>
                <w:sz w:val="24"/>
                <w:szCs w:val="24"/>
                <w:lang w:val="zh-CN"/>
              </w:rPr>
            </w:pPr>
            <w:r>
              <w:rPr>
                <w:sz w:val="24"/>
                <w:szCs w:val="24"/>
              </w:rPr>
              <w:t>83 (58.05)</w:t>
            </w:r>
          </w:p>
        </w:tc>
        <w:tc>
          <w:tcPr>
            <w:tcW w:w="2268" w:type="dxa"/>
            <w:tcBorders>
              <w:top w:val="single" w:sz="4" w:space="0" w:color="auto"/>
            </w:tcBorders>
            <w:vAlign w:val="center"/>
          </w:tcPr>
          <w:p w14:paraId="1F43937F" w14:textId="77777777" w:rsidR="00B474D5" w:rsidRDefault="00B474D5">
            <w:pPr>
              <w:spacing w:line="360" w:lineRule="auto"/>
              <w:jc w:val="both"/>
              <w:rPr>
                <w:sz w:val="24"/>
                <w:szCs w:val="24"/>
                <w:lang w:val="zh-CN"/>
              </w:rPr>
            </w:pPr>
          </w:p>
        </w:tc>
        <w:tc>
          <w:tcPr>
            <w:tcW w:w="1503" w:type="dxa"/>
            <w:tcBorders>
              <w:top w:val="single" w:sz="4" w:space="0" w:color="auto"/>
            </w:tcBorders>
            <w:vAlign w:val="center"/>
          </w:tcPr>
          <w:p w14:paraId="7E7E2408" w14:textId="77777777" w:rsidR="00B474D5" w:rsidRDefault="00B474D5">
            <w:pPr>
              <w:spacing w:line="360" w:lineRule="auto"/>
              <w:jc w:val="both"/>
              <w:rPr>
                <w:sz w:val="24"/>
                <w:szCs w:val="24"/>
                <w:lang w:val="zh-CN"/>
              </w:rPr>
            </w:pPr>
          </w:p>
        </w:tc>
      </w:tr>
      <w:tr w:rsidR="00B474D5" w14:paraId="2098C08B" w14:textId="77777777">
        <w:tc>
          <w:tcPr>
            <w:tcW w:w="3260" w:type="dxa"/>
            <w:vAlign w:val="center"/>
          </w:tcPr>
          <w:p w14:paraId="59344EE9" w14:textId="77777777" w:rsidR="00B474D5" w:rsidRDefault="00000000">
            <w:pPr>
              <w:spacing w:line="360" w:lineRule="auto"/>
              <w:jc w:val="both"/>
              <w:rPr>
                <w:sz w:val="24"/>
                <w:szCs w:val="24"/>
                <w:lang w:val="zh-CN"/>
              </w:rPr>
            </w:pPr>
            <w:r>
              <w:rPr>
                <w:sz w:val="24"/>
                <w:szCs w:val="24"/>
              </w:rPr>
              <w:t>Obesity II (30–34.9)</w:t>
            </w:r>
          </w:p>
        </w:tc>
        <w:tc>
          <w:tcPr>
            <w:tcW w:w="1843" w:type="dxa"/>
            <w:vAlign w:val="center"/>
          </w:tcPr>
          <w:p w14:paraId="46C42679" w14:textId="77777777" w:rsidR="00B474D5" w:rsidRDefault="00000000">
            <w:pPr>
              <w:spacing w:line="360" w:lineRule="auto"/>
              <w:jc w:val="both"/>
              <w:rPr>
                <w:sz w:val="24"/>
                <w:szCs w:val="24"/>
                <w:lang w:val="zh-CN"/>
              </w:rPr>
            </w:pPr>
            <w:r>
              <w:rPr>
                <w:sz w:val="24"/>
                <w:szCs w:val="24"/>
              </w:rPr>
              <w:t>51 (35.66)</w:t>
            </w:r>
          </w:p>
        </w:tc>
        <w:tc>
          <w:tcPr>
            <w:tcW w:w="2268" w:type="dxa"/>
            <w:vAlign w:val="center"/>
          </w:tcPr>
          <w:p w14:paraId="6E04C406" w14:textId="77777777" w:rsidR="00B474D5" w:rsidRDefault="00B474D5">
            <w:pPr>
              <w:spacing w:line="360" w:lineRule="auto"/>
              <w:jc w:val="both"/>
              <w:rPr>
                <w:sz w:val="24"/>
                <w:szCs w:val="24"/>
                <w:lang w:val="zh-CN"/>
              </w:rPr>
            </w:pPr>
          </w:p>
        </w:tc>
        <w:tc>
          <w:tcPr>
            <w:tcW w:w="1503" w:type="dxa"/>
            <w:vAlign w:val="center"/>
          </w:tcPr>
          <w:p w14:paraId="47E112BD" w14:textId="77777777" w:rsidR="00B474D5" w:rsidRDefault="00B474D5">
            <w:pPr>
              <w:spacing w:line="360" w:lineRule="auto"/>
              <w:jc w:val="both"/>
              <w:rPr>
                <w:sz w:val="24"/>
                <w:szCs w:val="24"/>
                <w:lang w:val="zh-CN"/>
              </w:rPr>
            </w:pPr>
          </w:p>
        </w:tc>
      </w:tr>
      <w:tr w:rsidR="00B474D5" w14:paraId="162F61A6" w14:textId="77777777">
        <w:tc>
          <w:tcPr>
            <w:tcW w:w="3260" w:type="dxa"/>
            <w:tcBorders>
              <w:bottom w:val="single" w:sz="4" w:space="0" w:color="auto"/>
            </w:tcBorders>
            <w:vAlign w:val="center"/>
          </w:tcPr>
          <w:p w14:paraId="681EBB34" w14:textId="77777777" w:rsidR="00B474D5" w:rsidRDefault="00000000">
            <w:pPr>
              <w:spacing w:line="360" w:lineRule="auto"/>
              <w:jc w:val="both"/>
              <w:rPr>
                <w:sz w:val="24"/>
                <w:szCs w:val="24"/>
                <w:lang w:val="zh-CN"/>
              </w:rPr>
            </w:pPr>
            <w:r>
              <w:rPr>
                <w:sz w:val="24"/>
                <w:szCs w:val="24"/>
              </w:rPr>
              <w:t>Obesity III (</w:t>
            </w:r>
            <w:r>
              <w:rPr>
                <w:rFonts w:ascii="Cambria Math" w:hAnsi="Cambria Math" w:cs="Cambria Math"/>
                <w:sz w:val="24"/>
                <w:szCs w:val="24"/>
              </w:rPr>
              <w:t>≥</w:t>
            </w:r>
            <w:r>
              <w:rPr>
                <w:sz w:val="24"/>
                <w:szCs w:val="24"/>
              </w:rPr>
              <w:t>35)</w:t>
            </w:r>
          </w:p>
        </w:tc>
        <w:tc>
          <w:tcPr>
            <w:tcW w:w="1843" w:type="dxa"/>
            <w:tcBorders>
              <w:bottom w:val="single" w:sz="4" w:space="0" w:color="auto"/>
            </w:tcBorders>
            <w:vAlign w:val="center"/>
          </w:tcPr>
          <w:p w14:paraId="7E00B585" w14:textId="77777777" w:rsidR="00B474D5" w:rsidRDefault="00000000">
            <w:pPr>
              <w:spacing w:line="360" w:lineRule="auto"/>
              <w:jc w:val="both"/>
              <w:rPr>
                <w:sz w:val="24"/>
                <w:szCs w:val="24"/>
                <w:lang w:val="zh-CN"/>
              </w:rPr>
            </w:pPr>
            <w:r>
              <w:rPr>
                <w:sz w:val="24"/>
                <w:szCs w:val="24"/>
              </w:rPr>
              <w:t>9 (6.29)</w:t>
            </w:r>
          </w:p>
        </w:tc>
        <w:tc>
          <w:tcPr>
            <w:tcW w:w="2268" w:type="dxa"/>
            <w:tcBorders>
              <w:bottom w:val="single" w:sz="4" w:space="0" w:color="auto"/>
            </w:tcBorders>
            <w:vAlign w:val="center"/>
          </w:tcPr>
          <w:p w14:paraId="7C40A447"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56EB2676" w14:textId="77777777" w:rsidR="00B474D5" w:rsidRDefault="00B474D5">
            <w:pPr>
              <w:spacing w:line="360" w:lineRule="auto"/>
              <w:jc w:val="both"/>
              <w:rPr>
                <w:sz w:val="24"/>
                <w:szCs w:val="24"/>
                <w:lang w:val="zh-CN"/>
              </w:rPr>
            </w:pPr>
          </w:p>
        </w:tc>
      </w:tr>
      <w:tr w:rsidR="00B474D5" w14:paraId="002C74C1" w14:textId="77777777">
        <w:tc>
          <w:tcPr>
            <w:tcW w:w="3260" w:type="dxa"/>
            <w:tcBorders>
              <w:top w:val="single" w:sz="4" w:space="0" w:color="auto"/>
              <w:bottom w:val="single" w:sz="4" w:space="0" w:color="auto"/>
            </w:tcBorders>
            <w:vAlign w:val="center"/>
          </w:tcPr>
          <w:p w14:paraId="01F019F9" w14:textId="77777777" w:rsidR="00B474D5" w:rsidRDefault="00000000">
            <w:pPr>
              <w:spacing w:line="360" w:lineRule="auto"/>
              <w:jc w:val="both"/>
              <w:rPr>
                <w:sz w:val="24"/>
                <w:szCs w:val="24"/>
                <w:lang w:val="zh-CN"/>
              </w:rPr>
            </w:pPr>
            <w:r>
              <w:rPr>
                <w:b/>
                <w:bCs/>
                <w:sz w:val="24"/>
                <w:szCs w:val="24"/>
              </w:rPr>
              <w:lastRenderedPageBreak/>
              <w:t>Family History of Diabetes</w:t>
            </w:r>
          </w:p>
        </w:tc>
        <w:tc>
          <w:tcPr>
            <w:tcW w:w="1843" w:type="dxa"/>
            <w:tcBorders>
              <w:top w:val="single" w:sz="4" w:space="0" w:color="auto"/>
              <w:bottom w:val="single" w:sz="4" w:space="0" w:color="auto"/>
            </w:tcBorders>
            <w:vAlign w:val="center"/>
          </w:tcPr>
          <w:p w14:paraId="73212358"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5955E885" w14:textId="77777777" w:rsidR="00B474D5" w:rsidRDefault="00B474D5">
            <w:pPr>
              <w:spacing w:line="360" w:lineRule="auto"/>
              <w:jc w:val="both"/>
              <w:rPr>
                <w:sz w:val="24"/>
                <w:szCs w:val="24"/>
                <w:lang w:val="zh-CN"/>
              </w:rPr>
            </w:pPr>
          </w:p>
        </w:tc>
        <w:tc>
          <w:tcPr>
            <w:tcW w:w="1503" w:type="dxa"/>
            <w:tcBorders>
              <w:top w:val="single" w:sz="4" w:space="0" w:color="auto"/>
              <w:bottom w:val="single" w:sz="4" w:space="0" w:color="auto"/>
            </w:tcBorders>
            <w:vAlign w:val="center"/>
          </w:tcPr>
          <w:p w14:paraId="4FC62955" w14:textId="77777777" w:rsidR="00B474D5" w:rsidRDefault="00000000">
            <w:pPr>
              <w:spacing w:line="360" w:lineRule="auto"/>
              <w:jc w:val="both"/>
              <w:rPr>
                <w:sz w:val="24"/>
                <w:szCs w:val="24"/>
                <w:lang w:val="zh-CN"/>
              </w:rPr>
            </w:pPr>
            <w:r>
              <w:rPr>
                <w:sz w:val="24"/>
                <w:szCs w:val="24"/>
              </w:rPr>
              <w:t>0.033</w:t>
            </w:r>
          </w:p>
        </w:tc>
      </w:tr>
      <w:tr w:rsidR="00B474D5" w14:paraId="026DE16C" w14:textId="77777777">
        <w:tc>
          <w:tcPr>
            <w:tcW w:w="3260" w:type="dxa"/>
            <w:tcBorders>
              <w:top w:val="single" w:sz="4" w:space="0" w:color="auto"/>
            </w:tcBorders>
            <w:vAlign w:val="center"/>
          </w:tcPr>
          <w:p w14:paraId="1914EF78" w14:textId="77777777" w:rsidR="00B474D5" w:rsidRDefault="00000000">
            <w:pPr>
              <w:spacing w:line="360" w:lineRule="auto"/>
              <w:jc w:val="both"/>
              <w:rPr>
                <w:sz w:val="24"/>
                <w:szCs w:val="24"/>
                <w:lang w:val="zh-CN"/>
              </w:rPr>
            </w:pPr>
            <w:r>
              <w:rPr>
                <w:sz w:val="24"/>
                <w:szCs w:val="24"/>
              </w:rPr>
              <w:t>Yes</w:t>
            </w:r>
          </w:p>
        </w:tc>
        <w:tc>
          <w:tcPr>
            <w:tcW w:w="1843" w:type="dxa"/>
            <w:tcBorders>
              <w:top w:val="single" w:sz="4" w:space="0" w:color="auto"/>
            </w:tcBorders>
            <w:vAlign w:val="center"/>
          </w:tcPr>
          <w:p w14:paraId="5333921A" w14:textId="77777777" w:rsidR="00B474D5" w:rsidRDefault="00000000">
            <w:pPr>
              <w:spacing w:line="360" w:lineRule="auto"/>
              <w:jc w:val="both"/>
              <w:rPr>
                <w:sz w:val="24"/>
                <w:szCs w:val="24"/>
                <w:lang w:val="zh-CN"/>
              </w:rPr>
            </w:pPr>
            <w:r>
              <w:rPr>
                <w:sz w:val="24"/>
                <w:szCs w:val="24"/>
              </w:rPr>
              <w:t>44 (30.8)</w:t>
            </w:r>
          </w:p>
        </w:tc>
        <w:tc>
          <w:tcPr>
            <w:tcW w:w="2268" w:type="dxa"/>
            <w:tcBorders>
              <w:top w:val="single" w:sz="4" w:space="0" w:color="auto"/>
            </w:tcBorders>
            <w:vAlign w:val="center"/>
          </w:tcPr>
          <w:p w14:paraId="7C78E288" w14:textId="77777777" w:rsidR="00B474D5" w:rsidRDefault="00B474D5">
            <w:pPr>
              <w:spacing w:line="360" w:lineRule="auto"/>
              <w:jc w:val="both"/>
              <w:rPr>
                <w:sz w:val="24"/>
                <w:szCs w:val="24"/>
                <w:lang w:val="zh-CN"/>
              </w:rPr>
            </w:pPr>
          </w:p>
        </w:tc>
        <w:tc>
          <w:tcPr>
            <w:tcW w:w="1503" w:type="dxa"/>
            <w:tcBorders>
              <w:top w:val="single" w:sz="4" w:space="0" w:color="auto"/>
            </w:tcBorders>
            <w:vAlign w:val="center"/>
          </w:tcPr>
          <w:p w14:paraId="44977B9C" w14:textId="77777777" w:rsidR="00B474D5" w:rsidRDefault="00B474D5">
            <w:pPr>
              <w:spacing w:line="360" w:lineRule="auto"/>
              <w:jc w:val="both"/>
              <w:rPr>
                <w:sz w:val="24"/>
                <w:szCs w:val="24"/>
                <w:lang w:val="zh-CN"/>
              </w:rPr>
            </w:pPr>
          </w:p>
        </w:tc>
      </w:tr>
      <w:tr w:rsidR="00B474D5" w14:paraId="4E69F7C3" w14:textId="77777777">
        <w:tc>
          <w:tcPr>
            <w:tcW w:w="3260" w:type="dxa"/>
            <w:tcBorders>
              <w:bottom w:val="single" w:sz="4" w:space="0" w:color="auto"/>
            </w:tcBorders>
            <w:vAlign w:val="center"/>
          </w:tcPr>
          <w:p w14:paraId="3ECBE2E5" w14:textId="77777777" w:rsidR="00B474D5" w:rsidRDefault="00000000">
            <w:pPr>
              <w:spacing w:line="360" w:lineRule="auto"/>
              <w:jc w:val="both"/>
              <w:rPr>
                <w:sz w:val="24"/>
                <w:szCs w:val="24"/>
                <w:lang w:val="zh-CN"/>
              </w:rPr>
            </w:pPr>
            <w:r>
              <w:rPr>
                <w:sz w:val="24"/>
                <w:szCs w:val="24"/>
              </w:rPr>
              <w:t>No</w:t>
            </w:r>
          </w:p>
        </w:tc>
        <w:tc>
          <w:tcPr>
            <w:tcW w:w="1843" w:type="dxa"/>
            <w:tcBorders>
              <w:bottom w:val="single" w:sz="4" w:space="0" w:color="auto"/>
            </w:tcBorders>
            <w:vAlign w:val="center"/>
          </w:tcPr>
          <w:p w14:paraId="2ECC4C00" w14:textId="77777777" w:rsidR="00B474D5" w:rsidRDefault="00000000">
            <w:pPr>
              <w:spacing w:line="360" w:lineRule="auto"/>
              <w:jc w:val="both"/>
              <w:rPr>
                <w:sz w:val="24"/>
                <w:szCs w:val="24"/>
                <w:lang w:val="zh-CN"/>
              </w:rPr>
            </w:pPr>
            <w:r>
              <w:rPr>
                <w:sz w:val="24"/>
                <w:szCs w:val="24"/>
              </w:rPr>
              <w:t>99 (69.2)</w:t>
            </w:r>
          </w:p>
        </w:tc>
        <w:tc>
          <w:tcPr>
            <w:tcW w:w="2268" w:type="dxa"/>
            <w:tcBorders>
              <w:bottom w:val="single" w:sz="4" w:space="0" w:color="auto"/>
            </w:tcBorders>
            <w:vAlign w:val="center"/>
          </w:tcPr>
          <w:p w14:paraId="6E8C698C"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1BBA1FFD" w14:textId="77777777" w:rsidR="00B474D5" w:rsidRDefault="00B474D5">
            <w:pPr>
              <w:spacing w:line="360" w:lineRule="auto"/>
              <w:jc w:val="both"/>
              <w:rPr>
                <w:sz w:val="24"/>
                <w:szCs w:val="24"/>
                <w:lang w:val="zh-CN"/>
              </w:rPr>
            </w:pPr>
          </w:p>
        </w:tc>
      </w:tr>
      <w:tr w:rsidR="00B474D5" w14:paraId="5D49A273" w14:textId="77777777">
        <w:tc>
          <w:tcPr>
            <w:tcW w:w="3260" w:type="dxa"/>
            <w:tcBorders>
              <w:top w:val="single" w:sz="4" w:space="0" w:color="auto"/>
              <w:bottom w:val="single" w:sz="4" w:space="0" w:color="auto"/>
            </w:tcBorders>
            <w:vAlign w:val="center"/>
          </w:tcPr>
          <w:p w14:paraId="15870DB8" w14:textId="77777777" w:rsidR="00B474D5" w:rsidRDefault="00000000">
            <w:pPr>
              <w:spacing w:line="360" w:lineRule="auto"/>
              <w:jc w:val="both"/>
              <w:rPr>
                <w:sz w:val="24"/>
                <w:szCs w:val="24"/>
                <w:lang w:val="zh-CN"/>
              </w:rPr>
            </w:pPr>
            <w:r>
              <w:rPr>
                <w:b/>
                <w:bCs/>
                <w:sz w:val="24"/>
                <w:szCs w:val="24"/>
              </w:rPr>
              <w:t>Waist Circumference</w:t>
            </w:r>
          </w:p>
        </w:tc>
        <w:tc>
          <w:tcPr>
            <w:tcW w:w="1843" w:type="dxa"/>
            <w:tcBorders>
              <w:top w:val="single" w:sz="4" w:space="0" w:color="auto"/>
              <w:bottom w:val="single" w:sz="4" w:space="0" w:color="auto"/>
            </w:tcBorders>
            <w:vAlign w:val="center"/>
          </w:tcPr>
          <w:p w14:paraId="79260EFA"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4419836F" w14:textId="77777777" w:rsidR="00B474D5" w:rsidRDefault="00B474D5">
            <w:pPr>
              <w:spacing w:line="360" w:lineRule="auto"/>
              <w:jc w:val="both"/>
              <w:rPr>
                <w:sz w:val="24"/>
                <w:szCs w:val="24"/>
                <w:lang w:val="zh-CN"/>
              </w:rPr>
            </w:pPr>
          </w:p>
        </w:tc>
        <w:tc>
          <w:tcPr>
            <w:tcW w:w="1503" w:type="dxa"/>
            <w:tcBorders>
              <w:top w:val="single" w:sz="4" w:space="0" w:color="auto"/>
              <w:bottom w:val="single" w:sz="4" w:space="0" w:color="auto"/>
            </w:tcBorders>
            <w:vAlign w:val="center"/>
          </w:tcPr>
          <w:p w14:paraId="21D4017B" w14:textId="77777777" w:rsidR="00B474D5" w:rsidRDefault="00000000">
            <w:pPr>
              <w:spacing w:line="360" w:lineRule="auto"/>
              <w:jc w:val="both"/>
              <w:rPr>
                <w:sz w:val="24"/>
                <w:szCs w:val="24"/>
                <w:lang w:val="zh-CN"/>
              </w:rPr>
            </w:pPr>
            <w:r>
              <w:rPr>
                <w:sz w:val="24"/>
                <w:szCs w:val="24"/>
              </w:rPr>
              <w:t>0.615</w:t>
            </w:r>
          </w:p>
        </w:tc>
      </w:tr>
      <w:tr w:rsidR="00B474D5" w14:paraId="310C3282" w14:textId="77777777">
        <w:tc>
          <w:tcPr>
            <w:tcW w:w="3260" w:type="dxa"/>
            <w:tcBorders>
              <w:top w:val="single" w:sz="4" w:space="0" w:color="auto"/>
            </w:tcBorders>
            <w:vAlign w:val="center"/>
          </w:tcPr>
          <w:p w14:paraId="65011D6B" w14:textId="77777777" w:rsidR="00B474D5" w:rsidRDefault="00000000">
            <w:pPr>
              <w:spacing w:line="360" w:lineRule="auto"/>
              <w:jc w:val="both"/>
              <w:rPr>
                <w:sz w:val="24"/>
                <w:szCs w:val="24"/>
                <w:lang w:val="zh-CN"/>
              </w:rPr>
            </w:pPr>
            <w:r>
              <w:rPr>
                <w:sz w:val="24"/>
                <w:szCs w:val="24"/>
              </w:rPr>
              <w:t>Male</w:t>
            </w:r>
          </w:p>
        </w:tc>
        <w:tc>
          <w:tcPr>
            <w:tcW w:w="1843" w:type="dxa"/>
            <w:tcBorders>
              <w:top w:val="single" w:sz="4" w:space="0" w:color="auto"/>
            </w:tcBorders>
            <w:vAlign w:val="center"/>
          </w:tcPr>
          <w:p w14:paraId="76D27C31" w14:textId="77777777" w:rsidR="00B474D5" w:rsidRDefault="00B474D5">
            <w:pPr>
              <w:spacing w:line="360" w:lineRule="auto"/>
              <w:jc w:val="both"/>
              <w:rPr>
                <w:sz w:val="24"/>
                <w:szCs w:val="24"/>
                <w:lang w:val="zh-CN"/>
              </w:rPr>
            </w:pPr>
          </w:p>
        </w:tc>
        <w:tc>
          <w:tcPr>
            <w:tcW w:w="2268" w:type="dxa"/>
            <w:tcBorders>
              <w:top w:val="single" w:sz="4" w:space="0" w:color="auto"/>
            </w:tcBorders>
            <w:vAlign w:val="center"/>
          </w:tcPr>
          <w:p w14:paraId="03F35A57" w14:textId="77777777" w:rsidR="00B474D5" w:rsidRDefault="00000000">
            <w:pPr>
              <w:spacing w:line="360" w:lineRule="auto"/>
              <w:jc w:val="both"/>
              <w:rPr>
                <w:sz w:val="24"/>
                <w:szCs w:val="24"/>
                <w:lang w:val="zh-CN"/>
              </w:rPr>
            </w:pPr>
            <w:r>
              <w:rPr>
                <w:sz w:val="24"/>
                <w:szCs w:val="24"/>
              </w:rPr>
              <w:t>94.47 (10.42)</w:t>
            </w:r>
          </w:p>
        </w:tc>
        <w:tc>
          <w:tcPr>
            <w:tcW w:w="1503" w:type="dxa"/>
            <w:tcBorders>
              <w:top w:val="single" w:sz="4" w:space="0" w:color="auto"/>
            </w:tcBorders>
            <w:vAlign w:val="center"/>
          </w:tcPr>
          <w:p w14:paraId="29DD7CDF" w14:textId="77777777" w:rsidR="00B474D5" w:rsidRDefault="00B474D5">
            <w:pPr>
              <w:spacing w:line="360" w:lineRule="auto"/>
              <w:jc w:val="both"/>
              <w:rPr>
                <w:sz w:val="24"/>
                <w:szCs w:val="24"/>
                <w:lang w:val="zh-CN"/>
              </w:rPr>
            </w:pPr>
          </w:p>
        </w:tc>
      </w:tr>
      <w:tr w:rsidR="00B474D5" w14:paraId="1DF0120B" w14:textId="77777777">
        <w:tc>
          <w:tcPr>
            <w:tcW w:w="3260" w:type="dxa"/>
            <w:vAlign w:val="center"/>
          </w:tcPr>
          <w:p w14:paraId="4E269690" w14:textId="77777777" w:rsidR="00B474D5" w:rsidRDefault="00000000">
            <w:pPr>
              <w:spacing w:line="360" w:lineRule="auto"/>
              <w:jc w:val="both"/>
              <w:rPr>
                <w:sz w:val="24"/>
                <w:szCs w:val="24"/>
                <w:lang w:val="zh-CN"/>
              </w:rPr>
            </w:pPr>
            <w:r>
              <w:rPr>
                <w:sz w:val="24"/>
                <w:szCs w:val="24"/>
              </w:rPr>
              <w:t>&gt;90 cm</w:t>
            </w:r>
          </w:p>
        </w:tc>
        <w:tc>
          <w:tcPr>
            <w:tcW w:w="1843" w:type="dxa"/>
            <w:vAlign w:val="center"/>
          </w:tcPr>
          <w:p w14:paraId="396AFE82" w14:textId="77777777" w:rsidR="00B474D5" w:rsidRDefault="00000000">
            <w:pPr>
              <w:spacing w:line="360" w:lineRule="auto"/>
              <w:jc w:val="both"/>
              <w:rPr>
                <w:sz w:val="24"/>
                <w:szCs w:val="24"/>
                <w:lang w:val="zh-CN"/>
              </w:rPr>
            </w:pPr>
            <w:r>
              <w:rPr>
                <w:sz w:val="24"/>
                <w:szCs w:val="24"/>
              </w:rPr>
              <w:t>73 (92.41)</w:t>
            </w:r>
          </w:p>
        </w:tc>
        <w:tc>
          <w:tcPr>
            <w:tcW w:w="2268" w:type="dxa"/>
            <w:vAlign w:val="center"/>
          </w:tcPr>
          <w:p w14:paraId="58B2A627" w14:textId="77777777" w:rsidR="00B474D5" w:rsidRDefault="00B474D5">
            <w:pPr>
              <w:spacing w:line="360" w:lineRule="auto"/>
              <w:jc w:val="both"/>
              <w:rPr>
                <w:sz w:val="24"/>
                <w:szCs w:val="24"/>
                <w:lang w:val="zh-CN"/>
              </w:rPr>
            </w:pPr>
          </w:p>
        </w:tc>
        <w:tc>
          <w:tcPr>
            <w:tcW w:w="1503" w:type="dxa"/>
            <w:vAlign w:val="center"/>
          </w:tcPr>
          <w:p w14:paraId="589D19B5" w14:textId="77777777" w:rsidR="00B474D5" w:rsidRDefault="00B474D5">
            <w:pPr>
              <w:spacing w:line="360" w:lineRule="auto"/>
              <w:jc w:val="both"/>
              <w:rPr>
                <w:sz w:val="24"/>
                <w:szCs w:val="24"/>
                <w:lang w:val="zh-CN"/>
              </w:rPr>
            </w:pPr>
          </w:p>
        </w:tc>
      </w:tr>
      <w:tr w:rsidR="00B474D5" w14:paraId="2AAB272E" w14:textId="77777777">
        <w:tc>
          <w:tcPr>
            <w:tcW w:w="3260" w:type="dxa"/>
            <w:vAlign w:val="center"/>
          </w:tcPr>
          <w:p w14:paraId="1D529384" w14:textId="77777777" w:rsidR="00B474D5" w:rsidRDefault="00000000">
            <w:pPr>
              <w:spacing w:line="360" w:lineRule="auto"/>
              <w:jc w:val="both"/>
              <w:rPr>
                <w:sz w:val="24"/>
                <w:szCs w:val="24"/>
                <w:lang w:val="zh-CN"/>
              </w:rPr>
            </w:pPr>
            <w:r>
              <w:rPr>
                <w:rFonts w:ascii="Cambria Math" w:hAnsi="Cambria Math" w:cs="Cambria Math"/>
                <w:sz w:val="24"/>
                <w:szCs w:val="24"/>
              </w:rPr>
              <w:t>≤</w:t>
            </w:r>
            <w:r>
              <w:rPr>
                <w:sz w:val="24"/>
                <w:szCs w:val="24"/>
              </w:rPr>
              <w:t>90 cm</w:t>
            </w:r>
          </w:p>
        </w:tc>
        <w:tc>
          <w:tcPr>
            <w:tcW w:w="1843" w:type="dxa"/>
            <w:vAlign w:val="center"/>
          </w:tcPr>
          <w:p w14:paraId="03F1EE0C" w14:textId="77777777" w:rsidR="00B474D5" w:rsidRDefault="00000000">
            <w:pPr>
              <w:spacing w:line="360" w:lineRule="auto"/>
              <w:jc w:val="both"/>
              <w:rPr>
                <w:sz w:val="24"/>
                <w:szCs w:val="24"/>
                <w:lang w:val="zh-CN"/>
              </w:rPr>
            </w:pPr>
            <w:r>
              <w:rPr>
                <w:sz w:val="24"/>
                <w:szCs w:val="24"/>
              </w:rPr>
              <w:t>6 (7.59)</w:t>
            </w:r>
          </w:p>
        </w:tc>
        <w:tc>
          <w:tcPr>
            <w:tcW w:w="2268" w:type="dxa"/>
            <w:vAlign w:val="center"/>
          </w:tcPr>
          <w:p w14:paraId="7345F396" w14:textId="77777777" w:rsidR="00B474D5" w:rsidRDefault="00B474D5">
            <w:pPr>
              <w:spacing w:line="360" w:lineRule="auto"/>
              <w:jc w:val="both"/>
              <w:rPr>
                <w:sz w:val="24"/>
                <w:szCs w:val="24"/>
                <w:lang w:val="zh-CN"/>
              </w:rPr>
            </w:pPr>
          </w:p>
        </w:tc>
        <w:tc>
          <w:tcPr>
            <w:tcW w:w="1503" w:type="dxa"/>
            <w:vAlign w:val="center"/>
          </w:tcPr>
          <w:p w14:paraId="5D9EA84B" w14:textId="77777777" w:rsidR="00B474D5" w:rsidRDefault="00B474D5">
            <w:pPr>
              <w:spacing w:line="360" w:lineRule="auto"/>
              <w:jc w:val="both"/>
              <w:rPr>
                <w:sz w:val="24"/>
                <w:szCs w:val="24"/>
                <w:lang w:val="zh-CN"/>
              </w:rPr>
            </w:pPr>
          </w:p>
        </w:tc>
      </w:tr>
      <w:tr w:rsidR="00B474D5" w14:paraId="414E5D6F" w14:textId="77777777">
        <w:tc>
          <w:tcPr>
            <w:tcW w:w="3260" w:type="dxa"/>
            <w:vAlign w:val="center"/>
          </w:tcPr>
          <w:p w14:paraId="3AFED2F5" w14:textId="77777777" w:rsidR="00B474D5" w:rsidRDefault="00000000">
            <w:pPr>
              <w:spacing w:line="360" w:lineRule="auto"/>
              <w:jc w:val="both"/>
              <w:rPr>
                <w:sz w:val="24"/>
                <w:szCs w:val="24"/>
                <w:lang w:val="zh-CN"/>
              </w:rPr>
            </w:pPr>
            <w:r>
              <w:rPr>
                <w:sz w:val="24"/>
                <w:szCs w:val="24"/>
              </w:rPr>
              <w:t>Female</w:t>
            </w:r>
          </w:p>
        </w:tc>
        <w:tc>
          <w:tcPr>
            <w:tcW w:w="1843" w:type="dxa"/>
            <w:vAlign w:val="center"/>
          </w:tcPr>
          <w:p w14:paraId="5CEFD931" w14:textId="77777777" w:rsidR="00B474D5" w:rsidRDefault="00B474D5">
            <w:pPr>
              <w:spacing w:line="360" w:lineRule="auto"/>
              <w:jc w:val="both"/>
              <w:rPr>
                <w:sz w:val="24"/>
                <w:szCs w:val="24"/>
                <w:lang w:val="zh-CN"/>
              </w:rPr>
            </w:pPr>
          </w:p>
        </w:tc>
        <w:tc>
          <w:tcPr>
            <w:tcW w:w="2268" w:type="dxa"/>
            <w:vAlign w:val="center"/>
          </w:tcPr>
          <w:p w14:paraId="786C24FC" w14:textId="77777777" w:rsidR="00B474D5" w:rsidRDefault="00000000">
            <w:pPr>
              <w:spacing w:line="360" w:lineRule="auto"/>
              <w:jc w:val="both"/>
              <w:rPr>
                <w:sz w:val="24"/>
                <w:szCs w:val="24"/>
                <w:lang w:val="zh-CN"/>
              </w:rPr>
            </w:pPr>
            <w:r>
              <w:rPr>
                <w:sz w:val="24"/>
                <w:szCs w:val="24"/>
              </w:rPr>
              <w:t>99.97 (9.55)</w:t>
            </w:r>
          </w:p>
        </w:tc>
        <w:tc>
          <w:tcPr>
            <w:tcW w:w="1503" w:type="dxa"/>
            <w:vAlign w:val="center"/>
          </w:tcPr>
          <w:p w14:paraId="67D3BEDF" w14:textId="77777777" w:rsidR="00B474D5" w:rsidRDefault="00B474D5">
            <w:pPr>
              <w:spacing w:line="360" w:lineRule="auto"/>
              <w:jc w:val="both"/>
              <w:rPr>
                <w:sz w:val="24"/>
                <w:szCs w:val="24"/>
                <w:lang w:val="zh-CN"/>
              </w:rPr>
            </w:pPr>
          </w:p>
        </w:tc>
      </w:tr>
      <w:tr w:rsidR="00B474D5" w14:paraId="19E78255" w14:textId="77777777">
        <w:tc>
          <w:tcPr>
            <w:tcW w:w="3260" w:type="dxa"/>
            <w:vAlign w:val="center"/>
          </w:tcPr>
          <w:p w14:paraId="1306A97B" w14:textId="77777777" w:rsidR="00B474D5" w:rsidRDefault="00000000">
            <w:pPr>
              <w:spacing w:line="360" w:lineRule="auto"/>
              <w:jc w:val="both"/>
              <w:rPr>
                <w:sz w:val="24"/>
                <w:szCs w:val="24"/>
                <w:lang w:val="zh-CN"/>
              </w:rPr>
            </w:pPr>
            <w:r>
              <w:rPr>
                <w:sz w:val="24"/>
                <w:szCs w:val="24"/>
              </w:rPr>
              <w:t>&gt;80 cm</w:t>
            </w:r>
          </w:p>
        </w:tc>
        <w:tc>
          <w:tcPr>
            <w:tcW w:w="1843" w:type="dxa"/>
            <w:vAlign w:val="center"/>
          </w:tcPr>
          <w:p w14:paraId="01A092C7" w14:textId="77777777" w:rsidR="00B474D5" w:rsidRDefault="00000000">
            <w:pPr>
              <w:spacing w:line="360" w:lineRule="auto"/>
              <w:jc w:val="both"/>
              <w:rPr>
                <w:sz w:val="24"/>
                <w:szCs w:val="24"/>
                <w:lang w:val="zh-CN"/>
              </w:rPr>
            </w:pPr>
            <w:r>
              <w:rPr>
                <w:sz w:val="24"/>
                <w:szCs w:val="24"/>
              </w:rPr>
              <w:t>62 (96.88)</w:t>
            </w:r>
          </w:p>
        </w:tc>
        <w:tc>
          <w:tcPr>
            <w:tcW w:w="2268" w:type="dxa"/>
            <w:vAlign w:val="center"/>
          </w:tcPr>
          <w:p w14:paraId="082B8D86" w14:textId="77777777" w:rsidR="00B474D5" w:rsidRDefault="00B474D5">
            <w:pPr>
              <w:spacing w:line="360" w:lineRule="auto"/>
              <w:jc w:val="both"/>
              <w:rPr>
                <w:sz w:val="24"/>
                <w:szCs w:val="24"/>
                <w:lang w:val="zh-CN"/>
              </w:rPr>
            </w:pPr>
          </w:p>
        </w:tc>
        <w:tc>
          <w:tcPr>
            <w:tcW w:w="1503" w:type="dxa"/>
            <w:vAlign w:val="center"/>
          </w:tcPr>
          <w:p w14:paraId="09E10E1F" w14:textId="77777777" w:rsidR="00B474D5" w:rsidRDefault="00B474D5">
            <w:pPr>
              <w:spacing w:line="360" w:lineRule="auto"/>
              <w:jc w:val="both"/>
              <w:rPr>
                <w:sz w:val="24"/>
                <w:szCs w:val="24"/>
                <w:lang w:val="zh-CN"/>
              </w:rPr>
            </w:pPr>
          </w:p>
        </w:tc>
      </w:tr>
      <w:tr w:rsidR="00B474D5" w14:paraId="3ACC90D8" w14:textId="77777777">
        <w:tc>
          <w:tcPr>
            <w:tcW w:w="3260" w:type="dxa"/>
            <w:tcBorders>
              <w:bottom w:val="single" w:sz="4" w:space="0" w:color="auto"/>
            </w:tcBorders>
            <w:vAlign w:val="center"/>
          </w:tcPr>
          <w:p w14:paraId="34514CA1" w14:textId="77777777" w:rsidR="00B474D5" w:rsidRDefault="00000000">
            <w:pPr>
              <w:spacing w:line="360" w:lineRule="auto"/>
              <w:jc w:val="both"/>
              <w:rPr>
                <w:sz w:val="24"/>
                <w:szCs w:val="24"/>
                <w:lang w:val="zh-CN"/>
              </w:rPr>
            </w:pPr>
            <w:r>
              <w:rPr>
                <w:rFonts w:ascii="Cambria Math" w:hAnsi="Cambria Math" w:cs="Cambria Math"/>
                <w:sz w:val="24"/>
                <w:szCs w:val="24"/>
              </w:rPr>
              <w:t>≤</w:t>
            </w:r>
            <w:r>
              <w:rPr>
                <w:sz w:val="24"/>
                <w:szCs w:val="24"/>
              </w:rPr>
              <w:t>80 cm</w:t>
            </w:r>
          </w:p>
        </w:tc>
        <w:tc>
          <w:tcPr>
            <w:tcW w:w="1843" w:type="dxa"/>
            <w:tcBorders>
              <w:bottom w:val="single" w:sz="4" w:space="0" w:color="auto"/>
            </w:tcBorders>
            <w:vAlign w:val="center"/>
          </w:tcPr>
          <w:p w14:paraId="2DF580C0" w14:textId="77777777" w:rsidR="00B474D5" w:rsidRDefault="00000000">
            <w:pPr>
              <w:spacing w:line="360" w:lineRule="auto"/>
              <w:jc w:val="both"/>
              <w:rPr>
                <w:sz w:val="24"/>
                <w:szCs w:val="24"/>
                <w:lang w:val="zh-CN"/>
              </w:rPr>
            </w:pPr>
            <w:r>
              <w:rPr>
                <w:sz w:val="24"/>
                <w:szCs w:val="24"/>
              </w:rPr>
              <w:t>2 (3.12)</w:t>
            </w:r>
          </w:p>
        </w:tc>
        <w:tc>
          <w:tcPr>
            <w:tcW w:w="2268" w:type="dxa"/>
            <w:tcBorders>
              <w:bottom w:val="single" w:sz="4" w:space="0" w:color="auto"/>
            </w:tcBorders>
            <w:vAlign w:val="center"/>
          </w:tcPr>
          <w:p w14:paraId="3E590B6F" w14:textId="77777777" w:rsidR="00B474D5" w:rsidRDefault="00B474D5">
            <w:pPr>
              <w:spacing w:line="360" w:lineRule="auto"/>
              <w:jc w:val="both"/>
              <w:rPr>
                <w:sz w:val="24"/>
                <w:szCs w:val="24"/>
                <w:lang w:val="zh-CN"/>
              </w:rPr>
            </w:pPr>
          </w:p>
        </w:tc>
        <w:tc>
          <w:tcPr>
            <w:tcW w:w="1503" w:type="dxa"/>
            <w:tcBorders>
              <w:bottom w:val="single" w:sz="4" w:space="0" w:color="auto"/>
            </w:tcBorders>
            <w:vAlign w:val="center"/>
          </w:tcPr>
          <w:p w14:paraId="79187850" w14:textId="77777777" w:rsidR="00B474D5" w:rsidRDefault="00B474D5">
            <w:pPr>
              <w:spacing w:line="360" w:lineRule="auto"/>
              <w:jc w:val="both"/>
              <w:rPr>
                <w:sz w:val="24"/>
                <w:szCs w:val="24"/>
                <w:lang w:val="zh-CN"/>
              </w:rPr>
            </w:pPr>
          </w:p>
        </w:tc>
      </w:tr>
      <w:tr w:rsidR="00B474D5" w14:paraId="2AE1CBF5" w14:textId="77777777">
        <w:tc>
          <w:tcPr>
            <w:tcW w:w="3260" w:type="dxa"/>
            <w:tcBorders>
              <w:top w:val="single" w:sz="4" w:space="0" w:color="auto"/>
              <w:bottom w:val="single" w:sz="4" w:space="0" w:color="auto"/>
            </w:tcBorders>
            <w:vAlign w:val="center"/>
          </w:tcPr>
          <w:p w14:paraId="2ED3D54A" w14:textId="77777777" w:rsidR="00B474D5" w:rsidRDefault="00000000">
            <w:pPr>
              <w:spacing w:line="360" w:lineRule="auto"/>
              <w:jc w:val="both"/>
              <w:rPr>
                <w:sz w:val="24"/>
                <w:szCs w:val="24"/>
                <w:lang w:val="zh-CN"/>
              </w:rPr>
            </w:pPr>
            <w:r>
              <w:rPr>
                <w:b/>
                <w:bCs/>
                <w:sz w:val="24"/>
                <w:szCs w:val="24"/>
              </w:rPr>
              <w:t>Hemoglobin A1c (%)</w:t>
            </w:r>
          </w:p>
        </w:tc>
        <w:tc>
          <w:tcPr>
            <w:tcW w:w="1843" w:type="dxa"/>
            <w:tcBorders>
              <w:top w:val="single" w:sz="4" w:space="0" w:color="auto"/>
              <w:bottom w:val="single" w:sz="4" w:space="0" w:color="auto"/>
            </w:tcBorders>
            <w:vAlign w:val="center"/>
          </w:tcPr>
          <w:p w14:paraId="0FAA3FE4"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1161D6A9" w14:textId="77777777" w:rsidR="00B474D5" w:rsidRDefault="00000000">
            <w:pPr>
              <w:spacing w:line="360" w:lineRule="auto"/>
              <w:jc w:val="both"/>
              <w:rPr>
                <w:sz w:val="24"/>
                <w:szCs w:val="24"/>
                <w:lang w:val="zh-CN"/>
              </w:rPr>
            </w:pPr>
            <w:r>
              <w:rPr>
                <w:sz w:val="24"/>
                <w:szCs w:val="24"/>
              </w:rPr>
              <w:t>5.08 (0.66)</w:t>
            </w:r>
          </w:p>
        </w:tc>
        <w:tc>
          <w:tcPr>
            <w:tcW w:w="1503" w:type="dxa"/>
            <w:tcBorders>
              <w:top w:val="single" w:sz="4" w:space="0" w:color="auto"/>
              <w:bottom w:val="single" w:sz="4" w:space="0" w:color="auto"/>
            </w:tcBorders>
            <w:vAlign w:val="center"/>
          </w:tcPr>
          <w:p w14:paraId="7174DA26" w14:textId="77777777" w:rsidR="00B474D5" w:rsidRDefault="00B474D5">
            <w:pPr>
              <w:spacing w:line="360" w:lineRule="auto"/>
              <w:jc w:val="both"/>
              <w:rPr>
                <w:sz w:val="24"/>
                <w:szCs w:val="24"/>
                <w:lang w:val="zh-CN"/>
              </w:rPr>
            </w:pPr>
          </w:p>
        </w:tc>
      </w:tr>
      <w:tr w:rsidR="00B474D5" w14:paraId="394982B8" w14:textId="77777777">
        <w:tc>
          <w:tcPr>
            <w:tcW w:w="3260" w:type="dxa"/>
            <w:tcBorders>
              <w:top w:val="single" w:sz="4" w:space="0" w:color="auto"/>
              <w:bottom w:val="single" w:sz="4" w:space="0" w:color="auto"/>
            </w:tcBorders>
            <w:vAlign w:val="center"/>
          </w:tcPr>
          <w:p w14:paraId="661DB73C" w14:textId="77777777" w:rsidR="00B474D5" w:rsidRDefault="00000000">
            <w:pPr>
              <w:spacing w:line="360" w:lineRule="auto"/>
              <w:jc w:val="both"/>
              <w:rPr>
                <w:sz w:val="24"/>
                <w:szCs w:val="24"/>
                <w:lang w:val="zh-CN"/>
              </w:rPr>
            </w:pPr>
            <w:r>
              <w:rPr>
                <w:b/>
                <w:bCs/>
                <w:sz w:val="24"/>
                <w:szCs w:val="24"/>
              </w:rPr>
              <w:t>1,5-Anhydroglucitol (µg/mL)</w:t>
            </w:r>
          </w:p>
        </w:tc>
        <w:tc>
          <w:tcPr>
            <w:tcW w:w="1843" w:type="dxa"/>
            <w:tcBorders>
              <w:top w:val="single" w:sz="4" w:space="0" w:color="auto"/>
              <w:bottom w:val="single" w:sz="4" w:space="0" w:color="auto"/>
            </w:tcBorders>
            <w:vAlign w:val="center"/>
          </w:tcPr>
          <w:p w14:paraId="1D0B76D4" w14:textId="77777777" w:rsidR="00B474D5" w:rsidRDefault="00B474D5">
            <w:pPr>
              <w:spacing w:line="360" w:lineRule="auto"/>
              <w:jc w:val="both"/>
              <w:rPr>
                <w:sz w:val="24"/>
                <w:szCs w:val="24"/>
                <w:lang w:val="zh-CN"/>
              </w:rPr>
            </w:pPr>
          </w:p>
        </w:tc>
        <w:tc>
          <w:tcPr>
            <w:tcW w:w="2268" w:type="dxa"/>
            <w:tcBorders>
              <w:top w:val="single" w:sz="4" w:space="0" w:color="auto"/>
              <w:bottom w:val="single" w:sz="4" w:space="0" w:color="auto"/>
            </w:tcBorders>
            <w:vAlign w:val="center"/>
          </w:tcPr>
          <w:p w14:paraId="5BDA6A6C" w14:textId="77777777" w:rsidR="00B474D5" w:rsidRDefault="00000000">
            <w:pPr>
              <w:spacing w:line="360" w:lineRule="auto"/>
              <w:jc w:val="both"/>
              <w:rPr>
                <w:sz w:val="24"/>
                <w:szCs w:val="24"/>
                <w:lang w:val="zh-CN"/>
              </w:rPr>
            </w:pPr>
            <w:r>
              <w:rPr>
                <w:sz w:val="24"/>
                <w:szCs w:val="24"/>
              </w:rPr>
              <w:t>7.89 (4.76)</w:t>
            </w:r>
          </w:p>
        </w:tc>
        <w:tc>
          <w:tcPr>
            <w:tcW w:w="1503" w:type="dxa"/>
            <w:tcBorders>
              <w:top w:val="single" w:sz="4" w:space="0" w:color="auto"/>
              <w:bottom w:val="single" w:sz="4" w:space="0" w:color="auto"/>
            </w:tcBorders>
            <w:vAlign w:val="center"/>
          </w:tcPr>
          <w:p w14:paraId="65318F0B" w14:textId="77777777" w:rsidR="00B474D5" w:rsidRDefault="00B474D5">
            <w:pPr>
              <w:spacing w:line="360" w:lineRule="auto"/>
              <w:jc w:val="both"/>
              <w:rPr>
                <w:sz w:val="24"/>
                <w:szCs w:val="24"/>
                <w:lang w:val="zh-CN"/>
              </w:rPr>
            </w:pPr>
          </w:p>
        </w:tc>
      </w:tr>
    </w:tbl>
    <w:p w14:paraId="19957ACC" w14:textId="77777777" w:rsidR="00B474D5" w:rsidRDefault="00B474D5">
      <w:pPr>
        <w:spacing w:line="360" w:lineRule="auto"/>
        <w:jc w:val="both"/>
        <w:rPr>
          <w:sz w:val="20"/>
          <w:szCs w:val="20"/>
          <w:lang w:val="zh-CN"/>
        </w:rPr>
      </w:pPr>
    </w:p>
    <w:p w14:paraId="3CF498A3" w14:textId="77777777" w:rsidR="00B474D5" w:rsidRDefault="00000000">
      <w:pPr>
        <w:spacing w:line="360" w:lineRule="auto"/>
        <w:ind w:left="142" w:firstLine="567"/>
        <w:jc w:val="both"/>
        <w:rPr>
          <w:sz w:val="20"/>
          <w:szCs w:val="20"/>
          <w:lang w:val="zh-CN"/>
        </w:rPr>
      </w:pPr>
      <w:r>
        <w:rPr>
          <w:sz w:val="20"/>
          <w:szCs w:val="20"/>
          <w:lang w:val="zh-CN"/>
        </w:rPr>
        <w:t>Most participants were resident doctors (PPDS) (90.21%), while 9.79% were general practitioners. The mean body mass index (BMI) was 29.97 ± 3.49 kg/m². Based on BMI classification, 58.05% of participants were categorized as Obesity I, 35.66% as Obesity II, and 6.29% as Obesity III.</w:t>
      </w:r>
    </w:p>
    <w:p w14:paraId="0E9085CD" w14:textId="77777777" w:rsidR="00B474D5" w:rsidRDefault="00000000">
      <w:pPr>
        <w:spacing w:line="360" w:lineRule="auto"/>
        <w:ind w:left="142" w:firstLine="567"/>
        <w:jc w:val="both"/>
        <w:rPr>
          <w:sz w:val="20"/>
          <w:szCs w:val="20"/>
          <w:lang w:val="zh-CN"/>
        </w:rPr>
      </w:pPr>
      <w:r>
        <w:rPr>
          <w:sz w:val="20"/>
          <w:szCs w:val="20"/>
          <w:lang w:val="zh-CN"/>
        </w:rPr>
        <w:t>Regarding family history, 44 participants (30.8%) reported a family history of diabetes, while 99 participants (69.2%) reported no family history. The mean waist circumference was 94.47 ± 10.42 cm in males and 99.97 ± 9.55 cm in females.</w:t>
      </w:r>
    </w:p>
    <w:p w14:paraId="5969C21E" w14:textId="77777777" w:rsidR="00B474D5" w:rsidRDefault="00000000">
      <w:pPr>
        <w:spacing w:line="360" w:lineRule="auto"/>
        <w:ind w:left="142" w:firstLine="567"/>
        <w:jc w:val="both"/>
        <w:rPr>
          <w:sz w:val="20"/>
          <w:szCs w:val="20"/>
          <w:lang w:val="zh-CN"/>
        </w:rPr>
      </w:pPr>
      <w:r>
        <w:rPr>
          <w:sz w:val="20"/>
          <w:szCs w:val="20"/>
          <w:lang w:val="zh-CN"/>
        </w:rPr>
        <w:t>The mean HbA1c level among participants was 5.08 ± 0.66%, while the mean plasma 1,5-Anhydroglucitol level was 7.89 ± 4.76 µg/mL.</w:t>
      </w:r>
    </w:p>
    <w:p w14:paraId="34B66257" w14:textId="77777777" w:rsidR="00B474D5" w:rsidRDefault="00B474D5">
      <w:pPr>
        <w:spacing w:line="360" w:lineRule="auto"/>
        <w:jc w:val="both"/>
        <w:rPr>
          <w:b/>
          <w:bCs/>
          <w:sz w:val="20"/>
          <w:szCs w:val="20"/>
          <w:lang w:val="zh-CN"/>
        </w:rPr>
      </w:pPr>
    </w:p>
    <w:p w14:paraId="53E7628B" w14:textId="77777777" w:rsidR="00B474D5" w:rsidRDefault="00000000">
      <w:pPr>
        <w:spacing w:line="360" w:lineRule="auto"/>
        <w:ind w:left="142"/>
        <w:jc w:val="both"/>
        <w:rPr>
          <w:b/>
          <w:bCs/>
          <w:sz w:val="20"/>
          <w:szCs w:val="20"/>
          <w:lang w:val="zh-CN"/>
        </w:rPr>
      </w:pPr>
      <w:r>
        <w:rPr>
          <w:b/>
          <w:bCs/>
          <w:sz w:val="20"/>
          <w:szCs w:val="20"/>
          <w:lang w:val="zh-CN"/>
        </w:rPr>
        <w:t>Distribution of Prediabetes Based on HbA1c</w:t>
      </w:r>
    </w:p>
    <w:p w14:paraId="15FCF359" w14:textId="77777777" w:rsidR="00B474D5" w:rsidRDefault="00000000">
      <w:pPr>
        <w:spacing w:line="360" w:lineRule="auto"/>
        <w:ind w:left="142" w:firstLine="284"/>
        <w:jc w:val="both"/>
        <w:rPr>
          <w:sz w:val="20"/>
          <w:szCs w:val="20"/>
          <w:lang w:val="zh-CN"/>
        </w:rPr>
      </w:pPr>
      <w:r>
        <w:rPr>
          <w:sz w:val="20"/>
          <w:szCs w:val="20"/>
          <w:lang w:val="zh-CN"/>
        </w:rPr>
        <w:t>HbA1c levels were measured in all participants. The frequency distribution of prediabetes based on HbA1c classification is shown in Table 2.</w:t>
      </w:r>
    </w:p>
    <w:p w14:paraId="141580F5" w14:textId="77777777" w:rsidR="00B474D5" w:rsidRDefault="00000000" w:rsidP="004D2D88">
      <w:pPr>
        <w:spacing w:line="360" w:lineRule="auto"/>
        <w:ind w:left="142"/>
        <w:rPr>
          <w:sz w:val="20"/>
          <w:szCs w:val="20"/>
          <w:lang w:val="zh-CN"/>
        </w:rPr>
      </w:pPr>
      <w:commentRangeStart w:id="2"/>
      <w:commentRangeStart w:id="3"/>
      <w:r>
        <w:rPr>
          <w:b/>
          <w:bCs/>
          <w:sz w:val="20"/>
          <w:szCs w:val="20"/>
          <w:lang w:val="zh-CN"/>
        </w:rPr>
        <w:t xml:space="preserve">Table 2. </w:t>
      </w:r>
      <w:r>
        <w:rPr>
          <w:sz w:val="20"/>
          <w:szCs w:val="20"/>
        </w:rPr>
        <w:t>Frequency Distribution of Prediabetes Based on HbA1c</w:t>
      </w:r>
      <w:commentRangeEnd w:id="2"/>
      <w:r>
        <w:rPr>
          <w:rStyle w:val="CommentReference"/>
          <w:sz w:val="20"/>
          <w:szCs w:val="20"/>
          <w:lang w:val="zh-CN"/>
        </w:rPr>
        <w:commentReference w:id="2"/>
      </w:r>
      <w:commentRangeEnd w:id="3"/>
      <w:r w:rsidR="004D2D88">
        <w:rPr>
          <w:rStyle w:val="CommentReference"/>
          <w:sz w:val="20"/>
          <w:szCs w:val="20"/>
          <w:lang w:val="zh-CN"/>
        </w:rPr>
        <w:commentReference w:id="3"/>
      </w:r>
    </w:p>
    <w:tbl>
      <w:tblPr>
        <w:tblStyle w:val="Style23"/>
        <w:tblW w:w="9000" w:type="dxa"/>
        <w:tblInd w:w="72" w:type="dxa"/>
        <w:tblLayout w:type="fixed"/>
        <w:tblLook w:val="04A0" w:firstRow="1" w:lastRow="0" w:firstColumn="1" w:lastColumn="0" w:noHBand="0" w:noVBand="1"/>
      </w:tblPr>
      <w:tblGrid>
        <w:gridCol w:w="3330"/>
        <w:gridCol w:w="4536"/>
        <w:gridCol w:w="1134"/>
      </w:tblGrid>
      <w:tr w:rsidR="00B474D5" w14:paraId="74F6CF1A" w14:textId="77777777">
        <w:trPr>
          <w:trHeight w:val="365"/>
        </w:trPr>
        <w:tc>
          <w:tcPr>
            <w:tcW w:w="3330" w:type="dxa"/>
            <w:tcBorders>
              <w:top w:val="single" w:sz="8" w:space="0" w:color="231F20"/>
              <w:left w:val="nil"/>
              <w:bottom w:val="single" w:sz="8" w:space="0" w:color="231F20"/>
              <w:right w:val="nil"/>
            </w:tcBorders>
            <w:tcMar>
              <w:top w:w="0" w:type="dxa"/>
              <w:left w:w="0" w:type="dxa"/>
              <w:bottom w:w="0" w:type="dxa"/>
              <w:right w:w="0" w:type="dxa"/>
            </w:tcMar>
            <w:vAlign w:val="center"/>
          </w:tcPr>
          <w:p w14:paraId="2F20AEAF" w14:textId="77777777" w:rsidR="00B474D5" w:rsidRDefault="00000000">
            <w:pPr>
              <w:spacing w:line="360" w:lineRule="auto"/>
              <w:ind w:left="226"/>
            </w:pPr>
            <w:r>
              <w:rPr>
                <w:b/>
                <w:bCs/>
              </w:rPr>
              <w:t>HbA1c Category</w:t>
            </w:r>
          </w:p>
        </w:tc>
        <w:tc>
          <w:tcPr>
            <w:tcW w:w="4536" w:type="dxa"/>
            <w:tcBorders>
              <w:top w:val="single" w:sz="8" w:space="0" w:color="231F20"/>
              <w:left w:val="nil"/>
              <w:bottom w:val="single" w:sz="8" w:space="0" w:color="231F20"/>
              <w:right w:val="nil"/>
            </w:tcBorders>
            <w:tcMar>
              <w:top w:w="0" w:type="dxa"/>
              <w:left w:w="0" w:type="dxa"/>
              <w:bottom w:w="0" w:type="dxa"/>
              <w:right w:w="0" w:type="dxa"/>
            </w:tcMar>
            <w:vAlign w:val="center"/>
          </w:tcPr>
          <w:p w14:paraId="13DA321D" w14:textId="77777777" w:rsidR="00B474D5" w:rsidRDefault="00000000">
            <w:pPr>
              <w:spacing w:line="360" w:lineRule="auto"/>
              <w:ind w:right="33"/>
              <w:jc w:val="center"/>
              <w:rPr>
                <w:b/>
              </w:rPr>
            </w:pPr>
            <w:r>
              <w:rPr>
                <w:b/>
                <w:bCs/>
              </w:rPr>
              <w:t>n</w:t>
            </w:r>
          </w:p>
        </w:tc>
        <w:tc>
          <w:tcPr>
            <w:tcW w:w="1134" w:type="dxa"/>
            <w:tcBorders>
              <w:top w:val="single" w:sz="8" w:space="0" w:color="231F20"/>
              <w:left w:val="nil"/>
              <w:bottom w:val="single" w:sz="8" w:space="0" w:color="231F20"/>
              <w:right w:val="nil"/>
            </w:tcBorders>
            <w:tcMar>
              <w:top w:w="0" w:type="dxa"/>
              <w:left w:w="0" w:type="dxa"/>
              <w:bottom w:w="0" w:type="dxa"/>
              <w:right w:w="0" w:type="dxa"/>
            </w:tcMar>
            <w:vAlign w:val="center"/>
          </w:tcPr>
          <w:p w14:paraId="34C14167" w14:textId="77777777" w:rsidR="00B474D5" w:rsidRDefault="00000000">
            <w:pPr>
              <w:spacing w:line="360" w:lineRule="auto"/>
              <w:rPr>
                <w:b/>
              </w:rPr>
            </w:pPr>
            <w:r>
              <w:rPr>
                <w:b/>
                <w:bCs/>
              </w:rPr>
              <w:t>%</w:t>
            </w:r>
          </w:p>
        </w:tc>
      </w:tr>
      <w:tr w:rsidR="00B474D5" w14:paraId="7BED4D73" w14:textId="77777777">
        <w:trPr>
          <w:trHeight w:val="337"/>
        </w:trPr>
        <w:tc>
          <w:tcPr>
            <w:tcW w:w="3330" w:type="dxa"/>
            <w:tcBorders>
              <w:top w:val="nil"/>
              <w:left w:val="nil"/>
              <w:bottom w:val="nil"/>
              <w:right w:val="nil"/>
            </w:tcBorders>
            <w:tcMar>
              <w:top w:w="0" w:type="dxa"/>
              <w:left w:w="0" w:type="dxa"/>
              <w:bottom w:w="0" w:type="dxa"/>
              <w:right w:w="0" w:type="dxa"/>
            </w:tcMar>
            <w:vAlign w:val="center"/>
          </w:tcPr>
          <w:p w14:paraId="3B740B9C" w14:textId="77777777" w:rsidR="00B474D5" w:rsidRDefault="00000000">
            <w:pPr>
              <w:spacing w:line="360" w:lineRule="auto"/>
              <w:ind w:left="201"/>
            </w:pPr>
            <w:r>
              <w:t>Non-Prediabetes</w:t>
            </w:r>
          </w:p>
        </w:tc>
        <w:tc>
          <w:tcPr>
            <w:tcW w:w="4536" w:type="dxa"/>
            <w:tcBorders>
              <w:top w:val="nil"/>
              <w:left w:val="nil"/>
              <w:bottom w:val="nil"/>
              <w:right w:val="nil"/>
            </w:tcBorders>
            <w:tcMar>
              <w:top w:w="0" w:type="dxa"/>
              <w:left w:w="0" w:type="dxa"/>
              <w:bottom w:w="0" w:type="dxa"/>
              <w:right w:w="0" w:type="dxa"/>
            </w:tcMar>
            <w:vAlign w:val="center"/>
          </w:tcPr>
          <w:p w14:paraId="6DEE408D" w14:textId="77777777" w:rsidR="00B474D5" w:rsidRDefault="00000000">
            <w:pPr>
              <w:spacing w:line="360" w:lineRule="auto"/>
              <w:ind w:left="24" w:right="33"/>
              <w:jc w:val="center"/>
            </w:pPr>
            <w:r>
              <w:t>123</w:t>
            </w:r>
          </w:p>
        </w:tc>
        <w:tc>
          <w:tcPr>
            <w:tcW w:w="1134" w:type="dxa"/>
            <w:tcBorders>
              <w:top w:val="nil"/>
              <w:left w:val="nil"/>
              <w:bottom w:val="nil"/>
              <w:right w:val="nil"/>
            </w:tcBorders>
            <w:tcMar>
              <w:top w:w="0" w:type="dxa"/>
              <w:left w:w="0" w:type="dxa"/>
              <w:bottom w:w="0" w:type="dxa"/>
              <w:right w:w="0" w:type="dxa"/>
            </w:tcMar>
            <w:vAlign w:val="center"/>
          </w:tcPr>
          <w:p w14:paraId="682F5C1A" w14:textId="77777777" w:rsidR="00B474D5" w:rsidRDefault="00000000">
            <w:pPr>
              <w:spacing w:line="360" w:lineRule="auto"/>
              <w:ind w:right="23"/>
            </w:pPr>
            <w:r>
              <w:t>86</w:t>
            </w:r>
          </w:p>
        </w:tc>
      </w:tr>
      <w:tr w:rsidR="00B474D5" w14:paraId="4A0B7857" w14:textId="77777777">
        <w:trPr>
          <w:trHeight w:val="342"/>
        </w:trPr>
        <w:tc>
          <w:tcPr>
            <w:tcW w:w="3330" w:type="dxa"/>
            <w:tcBorders>
              <w:bottom w:val="single" w:sz="4" w:space="0" w:color="auto"/>
            </w:tcBorders>
            <w:tcMar>
              <w:top w:w="0" w:type="dxa"/>
              <w:left w:w="0" w:type="dxa"/>
              <w:bottom w:w="0" w:type="dxa"/>
              <w:right w:w="0" w:type="dxa"/>
            </w:tcMar>
            <w:vAlign w:val="center"/>
          </w:tcPr>
          <w:p w14:paraId="59C12638" w14:textId="77777777" w:rsidR="00B474D5" w:rsidRDefault="00000000">
            <w:pPr>
              <w:spacing w:line="360" w:lineRule="auto"/>
              <w:ind w:left="201"/>
            </w:pPr>
            <w:r>
              <w:t>Prediabetes</w:t>
            </w:r>
          </w:p>
        </w:tc>
        <w:tc>
          <w:tcPr>
            <w:tcW w:w="4536" w:type="dxa"/>
            <w:tcBorders>
              <w:bottom w:val="single" w:sz="4" w:space="0" w:color="auto"/>
            </w:tcBorders>
            <w:tcMar>
              <w:top w:w="0" w:type="dxa"/>
              <w:left w:w="0" w:type="dxa"/>
              <w:bottom w:w="0" w:type="dxa"/>
              <w:right w:w="0" w:type="dxa"/>
            </w:tcMar>
            <w:vAlign w:val="center"/>
          </w:tcPr>
          <w:p w14:paraId="61E40C7B" w14:textId="77777777" w:rsidR="00B474D5" w:rsidRDefault="00000000">
            <w:pPr>
              <w:spacing w:line="360" w:lineRule="auto"/>
              <w:ind w:left="24" w:right="33"/>
              <w:jc w:val="center"/>
            </w:pPr>
            <w:r>
              <w:t>20</w:t>
            </w:r>
          </w:p>
        </w:tc>
        <w:tc>
          <w:tcPr>
            <w:tcW w:w="1134" w:type="dxa"/>
            <w:tcBorders>
              <w:bottom w:val="single" w:sz="4" w:space="0" w:color="auto"/>
            </w:tcBorders>
            <w:tcMar>
              <w:top w:w="0" w:type="dxa"/>
              <w:left w:w="0" w:type="dxa"/>
              <w:bottom w:w="0" w:type="dxa"/>
              <w:right w:w="0" w:type="dxa"/>
            </w:tcMar>
            <w:vAlign w:val="center"/>
          </w:tcPr>
          <w:p w14:paraId="04BFB83C" w14:textId="77777777" w:rsidR="00B474D5" w:rsidRDefault="00000000">
            <w:pPr>
              <w:spacing w:line="360" w:lineRule="auto"/>
            </w:pPr>
            <w:r>
              <w:t>14</w:t>
            </w:r>
          </w:p>
        </w:tc>
      </w:tr>
      <w:tr w:rsidR="00B474D5" w14:paraId="39BC699B" w14:textId="77777777">
        <w:trPr>
          <w:trHeight w:val="330"/>
        </w:trPr>
        <w:tc>
          <w:tcPr>
            <w:tcW w:w="3330" w:type="dxa"/>
            <w:tcBorders>
              <w:top w:val="single" w:sz="4" w:space="0" w:color="auto"/>
              <w:left w:val="nil"/>
              <w:bottom w:val="single" w:sz="8" w:space="0" w:color="231F20"/>
              <w:right w:val="nil"/>
            </w:tcBorders>
            <w:tcMar>
              <w:top w:w="0" w:type="dxa"/>
              <w:left w:w="0" w:type="dxa"/>
              <w:bottom w:w="0" w:type="dxa"/>
              <w:right w:w="0" w:type="dxa"/>
            </w:tcMar>
            <w:vAlign w:val="center"/>
          </w:tcPr>
          <w:p w14:paraId="35147155" w14:textId="77777777" w:rsidR="00B474D5" w:rsidRDefault="00000000">
            <w:pPr>
              <w:spacing w:line="360" w:lineRule="auto"/>
              <w:ind w:left="201"/>
            </w:pPr>
            <w:r>
              <w:rPr>
                <w:b/>
                <w:bCs/>
              </w:rPr>
              <w:t>Total</w:t>
            </w:r>
          </w:p>
        </w:tc>
        <w:tc>
          <w:tcPr>
            <w:tcW w:w="4536" w:type="dxa"/>
            <w:tcBorders>
              <w:top w:val="single" w:sz="4" w:space="0" w:color="auto"/>
              <w:left w:val="nil"/>
              <w:bottom w:val="single" w:sz="8" w:space="0" w:color="231F20"/>
              <w:right w:val="nil"/>
            </w:tcBorders>
            <w:tcMar>
              <w:top w:w="0" w:type="dxa"/>
              <w:left w:w="0" w:type="dxa"/>
              <w:bottom w:w="0" w:type="dxa"/>
              <w:right w:w="0" w:type="dxa"/>
            </w:tcMar>
            <w:vAlign w:val="center"/>
          </w:tcPr>
          <w:p w14:paraId="6C4C878B" w14:textId="77777777" w:rsidR="00B474D5" w:rsidRDefault="00000000">
            <w:pPr>
              <w:spacing w:line="360" w:lineRule="auto"/>
              <w:ind w:left="24" w:right="33"/>
              <w:jc w:val="center"/>
            </w:pPr>
            <w:r>
              <w:rPr>
                <w:b/>
                <w:bCs/>
              </w:rPr>
              <w:t>143</w:t>
            </w:r>
          </w:p>
        </w:tc>
        <w:tc>
          <w:tcPr>
            <w:tcW w:w="1134" w:type="dxa"/>
            <w:tcBorders>
              <w:top w:val="single" w:sz="4" w:space="0" w:color="auto"/>
              <w:left w:val="nil"/>
              <w:bottom w:val="single" w:sz="8" w:space="0" w:color="231F20"/>
              <w:right w:val="nil"/>
            </w:tcBorders>
            <w:tcMar>
              <w:top w:w="0" w:type="dxa"/>
              <w:left w:w="0" w:type="dxa"/>
              <w:bottom w:w="0" w:type="dxa"/>
              <w:right w:w="0" w:type="dxa"/>
            </w:tcMar>
            <w:vAlign w:val="center"/>
          </w:tcPr>
          <w:p w14:paraId="4EF8CC24" w14:textId="77777777" w:rsidR="00B474D5" w:rsidRDefault="00000000">
            <w:pPr>
              <w:spacing w:line="360" w:lineRule="auto"/>
            </w:pPr>
            <w:r>
              <w:rPr>
                <w:b/>
                <w:bCs/>
              </w:rPr>
              <w:t>100</w:t>
            </w:r>
          </w:p>
        </w:tc>
      </w:tr>
    </w:tbl>
    <w:p w14:paraId="30790E27" w14:textId="77777777" w:rsidR="00B474D5" w:rsidRDefault="00B474D5">
      <w:pPr>
        <w:spacing w:line="360" w:lineRule="auto"/>
        <w:ind w:left="142"/>
        <w:jc w:val="both"/>
        <w:rPr>
          <w:sz w:val="20"/>
          <w:szCs w:val="20"/>
          <w:lang w:val="zh-CN"/>
        </w:rPr>
      </w:pPr>
    </w:p>
    <w:p w14:paraId="70A5462E" w14:textId="77777777" w:rsidR="00B474D5" w:rsidRDefault="00000000">
      <w:pPr>
        <w:spacing w:line="360" w:lineRule="auto"/>
        <w:ind w:left="142" w:firstLine="567"/>
        <w:jc w:val="both"/>
        <w:rPr>
          <w:sz w:val="20"/>
          <w:szCs w:val="20"/>
          <w:lang w:val="zh-CN"/>
        </w:rPr>
      </w:pPr>
      <w:r>
        <w:rPr>
          <w:sz w:val="20"/>
          <w:szCs w:val="20"/>
          <w:lang w:val="zh-CN"/>
        </w:rPr>
        <w:t>Among the 143 participants, 20 individuals (14%) were classified as having prediabetes, while 123 individuals (86%) were categorized as non-prediabetic.</w:t>
      </w:r>
    </w:p>
    <w:p w14:paraId="0F82510B" w14:textId="77777777" w:rsidR="00B474D5" w:rsidRDefault="00000000">
      <w:pPr>
        <w:spacing w:line="360" w:lineRule="auto"/>
        <w:ind w:left="142"/>
        <w:jc w:val="both"/>
        <w:rPr>
          <w:b/>
          <w:bCs/>
          <w:sz w:val="20"/>
          <w:szCs w:val="20"/>
          <w:lang w:val="zh-CN"/>
        </w:rPr>
      </w:pPr>
      <w:r>
        <w:rPr>
          <w:b/>
          <w:bCs/>
          <w:sz w:val="20"/>
          <w:szCs w:val="20"/>
          <w:lang w:val="zh-CN"/>
        </w:rPr>
        <w:t>Distribution of Prediabetes Based on Plasma 1,5-Anhydroglucitol</w:t>
      </w:r>
    </w:p>
    <w:p w14:paraId="22A253BC" w14:textId="77777777" w:rsidR="00B474D5" w:rsidRDefault="00000000">
      <w:pPr>
        <w:spacing w:line="360" w:lineRule="auto"/>
        <w:ind w:left="142" w:firstLine="567"/>
        <w:jc w:val="both"/>
        <w:rPr>
          <w:sz w:val="20"/>
          <w:szCs w:val="20"/>
          <w:lang w:val="zh-CN"/>
        </w:rPr>
      </w:pPr>
      <w:r>
        <w:rPr>
          <w:sz w:val="20"/>
          <w:szCs w:val="20"/>
          <w:lang w:val="zh-CN"/>
        </w:rPr>
        <w:t>The frequency distribution of prediabetes based on plasma 1,5-Anhydroglucitol levels is presented in Table 3. Based on the 1,5-AG results, 49 participants (34.3%) were classified as having prediabetes, while 94 participants (65.7%) were classified as non-prediabetic.</w:t>
      </w:r>
    </w:p>
    <w:p w14:paraId="3899279D" w14:textId="77777777" w:rsidR="00B474D5" w:rsidRDefault="00000000" w:rsidP="00273AA5">
      <w:pPr>
        <w:spacing w:line="360" w:lineRule="auto"/>
        <w:ind w:left="142"/>
        <w:rPr>
          <w:sz w:val="20"/>
          <w:szCs w:val="20"/>
          <w:lang w:val="zh-CN"/>
        </w:rPr>
      </w:pPr>
      <w:commentRangeStart w:id="4"/>
      <w:r>
        <w:rPr>
          <w:b/>
          <w:bCs/>
          <w:sz w:val="20"/>
          <w:szCs w:val="20"/>
          <w:lang w:val="zh-CN"/>
        </w:rPr>
        <w:t xml:space="preserve">Table 3. </w:t>
      </w:r>
      <w:r>
        <w:rPr>
          <w:sz w:val="20"/>
          <w:szCs w:val="20"/>
        </w:rPr>
        <w:t>Frequency Distribution of Prediabetes Based on Plasma 1,5-Anhydroglucitol</w:t>
      </w:r>
      <w:commentRangeEnd w:id="4"/>
      <w:r>
        <w:rPr>
          <w:rStyle w:val="CommentReference"/>
          <w:sz w:val="20"/>
          <w:szCs w:val="20"/>
          <w:lang w:val="zh-CN"/>
        </w:rPr>
        <w:commentReference w:id="4"/>
      </w:r>
    </w:p>
    <w:tbl>
      <w:tblPr>
        <w:tblStyle w:val="Style23"/>
        <w:tblW w:w="9000" w:type="dxa"/>
        <w:tblInd w:w="72" w:type="dxa"/>
        <w:tblLayout w:type="fixed"/>
        <w:tblLook w:val="04A0" w:firstRow="1" w:lastRow="0" w:firstColumn="1" w:lastColumn="0" w:noHBand="0" w:noVBand="1"/>
      </w:tblPr>
      <w:tblGrid>
        <w:gridCol w:w="2480"/>
        <w:gridCol w:w="2551"/>
        <w:gridCol w:w="3969"/>
      </w:tblGrid>
      <w:tr w:rsidR="00B474D5" w14:paraId="6D1AFF0F" w14:textId="77777777">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0F5E14E7" w14:textId="77777777" w:rsidR="00B474D5" w:rsidRDefault="00000000">
            <w:pPr>
              <w:spacing w:line="360" w:lineRule="auto"/>
              <w:ind w:left="226"/>
            </w:pPr>
            <w:r>
              <w:rPr>
                <w:b/>
                <w:bCs/>
              </w:rPr>
              <w:t>1,5-AG Category</w:t>
            </w: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2754A7FA" w14:textId="77777777" w:rsidR="00B474D5" w:rsidRDefault="00000000">
            <w:pPr>
              <w:spacing w:line="360" w:lineRule="auto"/>
              <w:ind w:right="33"/>
              <w:jc w:val="center"/>
              <w:rPr>
                <w:b/>
              </w:rPr>
            </w:pPr>
            <w:r>
              <w:rPr>
                <w:b/>
                <w:bCs/>
              </w:rPr>
              <w:t>n</w:t>
            </w:r>
          </w:p>
        </w:tc>
        <w:tc>
          <w:tcPr>
            <w:tcW w:w="3969" w:type="dxa"/>
            <w:tcBorders>
              <w:top w:val="single" w:sz="4" w:space="0" w:color="auto"/>
              <w:left w:val="nil"/>
              <w:bottom w:val="single" w:sz="8" w:space="0" w:color="231F20"/>
              <w:right w:val="nil"/>
            </w:tcBorders>
            <w:tcMar>
              <w:top w:w="0" w:type="dxa"/>
              <w:left w:w="0" w:type="dxa"/>
              <w:bottom w:w="0" w:type="dxa"/>
              <w:right w:w="0" w:type="dxa"/>
            </w:tcMar>
            <w:vAlign w:val="center"/>
          </w:tcPr>
          <w:p w14:paraId="75BCF54A" w14:textId="77777777" w:rsidR="00B474D5" w:rsidRDefault="00000000">
            <w:pPr>
              <w:spacing w:line="360" w:lineRule="auto"/>
              <w:jc w:val="center"/>
              <w:rPr>
                <w:b/>
              </w:rPr>
            </w:pPr>
            <w:r>
              <w:rPr>
                <w:b/>
                <w:bCs/>
              </w:rPr>
              <w:t>%</w:t>
            </w:r>
          </w:p>
        </w:tc>
      </w:tr>
      <w:tr w:rsidR="00B474D5" w14:paraId="039D8F83" w14:textId="77777777">
        <w:trPr>
          <w:trHeight w:val="346"/>
        </w:trPr>
        <w:tc>
          <w:tcPr>
            <w:tcW w:w="2480" w:type="dxa"/>
            <w:tcBorders>
              <w:top w:val="nil"/>
              <w:left w:val="nil"/>
              <w:bottom w:val="nil"/>
              <w:right w:val="nil"/>
            </w:tcBorders>
            <w:tcMar>
              <w:top w:w="0" w:type="dxa"/>
              <w:left w:w="0" w:type="dxa"/>
              <w:bottom w:w="0" w:type="dxa"/>
              <w:right w:w="0" w:type="dxa"/>
            </w:tcMar>
            <w:vAlign w:val="center"/>
          </w:tcPr>
          <w:p w14:paraId="3FB7C0EF" w14:textId="77777777" w:rsidR="00B474D5" w:rsidRDefault="00000000">
            <w:pPr>
              <w:spacing w:line="360" w:lineRule="auto"/>
              <w:ind w:left="201"/>
            </w:pPr>
            <w:r>
              <w:t>Non-Prediabetes</w:t>
            </w:r>
          </w:p>
        </w:tc>
        <w:tc>
          <w:tcPr>
            <w:tcW w:w="2551" w:type="dxa"/>
            <w:tcBorders>
              <w:top w:val="nil"/>
              <w:left w:val="nil"/>
              <w:bottom w:val="nil"/>
              <w:right w:val="nil"/>
            </w:tcBorders>
            <w:tcMar>
              <w:top w:w="0" w:type="dxa"/>
              <w:left w:w="0" w:type="dxa"/>
              <w:bottom w:w="0" w:type="dxa"/>
              <w:right w:w="0" w:type="dxa"/>
            </w:tcMar>
            <w:vAlign w:val="center"/>
          </w:tcPr>
          <w:p w14:paraId="07716C9D" w14:textId="77777777" w:rsidR="00B474D5" w:rsidRDefault="00000000">
            <w:pPr>
              <w:spacing w:line="360" w:lineRule="auto"/>
              <w:ind w:left="24" w:right="33"/>
              <w:jc w:val="center"/>
            </w:pPr>
            <w:r>
              <w:t>94</w:t>
            </w:r>
          </w:p>
        </w:tc>
        <w:tc>
          <w:tcPr>
            <w:tcW w:w="3969" w:type="dxa"/>
            <w:tcBorders>
              <w:top w:val="nil"/>
              <w:left w:val="nil"/>
              <w:bottom w:val="nil"/>
              <w:right w:val="nil"/>
            </w:tcBorders>
            <w:tcMar>
              <w:top w:w="0" w:type="dxa"/>
              <w:left w:w="0" w:type="dxa"/>
              <w:bottom w:w="0" w:type="dxa"/>
              <w:right w:w="0" w:type="dxa"/>
            </w:tcMar>
            <w:vAlign w:val="center"/>
          </w:tcPr>
          <w:p w14:paraId="25608A12" w14:textId="77777777" w:rsidR="00B474D5" w:rsidRDefault="00000000">
            <w:pPr>
              <w:spacing w:line="360" w:lineRule="auto"/>
              <w:ind w:right="23"/>
              <w:jc w:val="center"/>
            </w:pPr>
            <w:r>
              <w:t>65.7</w:t>
            </w:r>
          </w:p>
        </w:tc>
      </w:tr>
      <w:tr w:rsidR="00B474D5" w14:paraId="6EFE16DC" w14:textId="77777777">
        <w:trPr>
          <w:trHeight w:val="351"/>
        </w:trPr>
        <w:tc>
          <w:tcPr>
            <w:tcW w:w="2480" w:type="dxa"/>
            <w:tcBorders>
              <w:bottom w:val="single" w:sz="4" w:space="0" w:color="auto"/>
            </w:tcBorders>
            <w:tcMar>
              <w:top w:w="0" w:type="dxa"/>
              <w:left w:w="0" w:type="dxa"/>
              <w:bottom w:w="0" w:type="dxa"/>
              <w:right w:w="0" w:type="dxa"/>
            </w:tcMar>
            <w:vAlign w:val="center"/>
          </w:tcPr>
          <w:p w14:paraId="4E974631" w14:textId="77777777" w:rsidR="00B474D5" w:rsidRDefault="00000000">
            <w:pPr>
              <w:spacing w:line="360" w:lineRule="auto"/>
              <w:ind w:left="201"/>
            </w:pPr>
            <w:r>
              <w:t>Prediabetes</w:t>
            </w:r>
          </w:p>
        </w:tc>
        <w:tc>
          <w:tcPr>
            <w:tcW w:w="2551" w:type="dxa"/>
            <w:tcBorders>
              <w:bottom w:val="single" w:sz="4" w:space="0" w:color="auto"/>
            </w:tcBorders>
            <w:tcMar>
              <w:top w:w="0" w:type="dxa"/>
              <w:left w:w="0" w:type="dxa"/>
              <w:bottom w:w="0" w:type="dxa"/>
              <w:right w:w="0" w:type="dxa"/>
            </w:tcMar>
            <w:vAlign w:val="center"/>
          </w:tcPr>
          <w:p w14:paraId="1C6CA915" w14:textId="77777777" w:rsidR="00B474D5" w:rsidRDefault="00000000">
            <w:pPr>
              <w:spacing w:line="360" w:lineRule="auto"/>
              <w:ind w:left="24" w:right="33"/>
              <w:jc w:val="center"/>
            </w:pPr>
            <w:r>
              <w:t>49</w:t>
            </w:r>
          </w:p>
        </w:tc>
        <w:tc>
          <w:tcPr>
            <w:tcW w:w="3969" w:type="dxa"/>
            <w:tcBorders>
              <w:bottom w:val="single" w:sz="4" w:space="0" w:color="auto"/>
            </w:tcBorders>
            <w:tcMar>
              <w:top w:w="0" w:type="dxa"/>
              <w:left w:w="0" w:type="dxa"/>
              <w:bottom w:w="0" w:type="dxa"/>
              <w:right w:w="0" w:type="dxa"/>
            </w:tcMar>
            <w:vAlign w:val="center"/>
          </w:tcPr>
          <w:p w14:paraId="0F9F57F5" w14:textId="77777777" w:rsidR="00B474D5" w:rsidRDefault="00000000">
            <w:pPr>
              <w:spacing w:line="360" w:lineRule="auto"/>
              <w:jc w:val="center"/>
            </w:pPr>
            <w:r>
              <w:t>34.3</w:t>
            </w:r>
          </w:p>
        </w:tc>
      </w:tr>
      <w:tr w:rsidR="00B474D5" w14:paraId="451B46A7" w14:textId="77777777">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24BFF35B" w14:textId="77777777" w:rsidR="00B474D5" w:rsidRDefault="00000000">
            <w:pPr>
              <w:spacing w:line="360" w:lineRule="auto"/>
              <w:ind w:left="201"/>
            </w:pPr>
            <w:r>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2E7A03B" w14:textId="77777777" w:rsidR="00B474D5" w:rsidRDefault="00000000">
            <w:pPr>
              <w:spacing w:line="360" w:lineRule="auto"/>
              <w:ind w:left="24" w:right="33"/>
              <w:jc w:val="center"/>
            </w:pPr>
            <w:r>
              <w:rPr>
                <w:b/>
                <w:bCs/>
              </w:rPr>
              <w:t>143</w:t>
            </w:r>
          </w:p>
        </w:tc>
        <w:tc>
          <w:tcPr>
            <w:tcW w:w="3969" w:type="dxa"/>
            <w:tcBorders>
              <w:top w:val="single" w:sz="4" w:space="0" w:color="auto"/>
              <w:left w:val="nil"/>
              <w:bottom w:val="single" w:sz="4" w:space="0" w:color="auto"/>
              <w:right w:val="nil"/>
            </w:tcBorders>
            <w:tcMar>
              <w:top w:w="0" w:type="dxa"/>
              <w:left w:w="0" w:type="dxa"/>
              <w:bottom w:w="0" w:type="dxa"/>
              <w:right w:w="0" w:type="dxa"/>
            </w:tcMar>
            <w:vAlign w:val="center"/>
          </w:tcPr>
          <w:p w14:paraId="3AFADDC9" w14:textId="77777777" w:rsidR="00B474D5" w:rsidRDefault="00000000">
            <w:pPr>
              <w:spacing w:line="360" w:lineRule="auto"/>
              <w:jc w:val="center"/>
            </w:pPr>
            <w:r>
              <w:rPr>
                <w:b/>
                <w:bCs/>
              </w:rPr>
              <w:t>100</w:t>
            </w:r>
          </w:p>
        </w:tc>
      </w:tr>
    </w:tbl>
    <w:p w14:paraId="6419D113" w14:textId="77777777" w:rsidR="00B474D5" w:rsidRDefault="00B474D5">
      <w:pPr>
        <w:spacing w:line="360" w:lineRule="auto"/>
        <w:ind w:left="142"/>
        <w:jc w:val="both"/>
        <w:rPr>
          <w:sz w:val="20"/>
          <w:szCs w:val="20"/>
          <w:lang w:val="zh-CN"/>
        </w:rPr>
      </w:pPr>
    </w:p>
    <w:p w14:paraId="4D76A8E2" w14:textId="77777777" w:rsidR="00B474D5" w:rsidRDefault="00000000">
      <w:pPr>
        <w:spacing w:line="360" w:lineRule="auto"/>
        <w:ind w:left="142"/>
        <w:jc w:val="both"/>
        <w:rPr>
          <w:b/>
          <w:bCs/>
          <w:sz w:val="20"/>
          <w:szCs w:val="20"/>
          <w:lang w:val="zh-CN"/>
        </w:rPr>
      </w:pPr>
      <w:r>
        <w:rPr>
          <w:b/>
          <w:bCs/>
          <w:sz w:val="20"/>
          <w:szCs w:val="20"/>
          <w:lang w:val="zh-CN"/>
        </w:rPr>
        <w:t>Diagnostic Performance of Plasma 1,5-Anhydroglucitol</w:t>
      </w:r>
    </w:p>
    <w:p w14:paraId="5C39BDEB" w14:textId="77777777" w:rsidR="00B474D5" w:rsidRDefault="00000000">
      <w:pPr>
        <w:spacing w:line="360" w:lineRule="auto"/>
        <w:ind w:left="142" w:firstLine="567"/>
        <w:jc w:val="both"/>
        <w:rPr>
          <w:sz w:val="20"/>
          <w:szCs w:val="20"/>
          <w:lang w:val="zh-CN"/>
        </w:rPr>
      </w:pPr>
      <w:r>
        <w:rPr>
          <w:sz w:val="20"/>
          <w:szCs w:val="20"/>
          <w:lang w:val="zh-CN"/>
        </w:rPr>
        <w:t>The diagnostic performance of plasma 1,5-Anhydroglucitol for detecting prediabetes was evaluated using HbA1c as the reference standard. The cross-tabulation results are presented in Table 4.</w:t>
      </w:r>
    </w:p>
    <w:p w14:paraId="45153C35" w14:textId="77777777" w:rsidR="00B474D5" w:rsidRDefault="00000000">
      <w:pPr>
        <w:spacing w:line="360" w:lineRule="auto"/>
        <w:ind w:left="142" w:firstLine="567"/>
        <w:jc w:val="both"/>
        <w:rPr>
          <w:sz w:val="20"/>
          <w:szCs w:val="20"/>
          <w:lang w:val="zh-CN"/>
        </w:rPr>
      </w:pPr>
      <w:r>
        <w:rPr>
          <w:sz w:val="20"/>
          <w:szCs w:val="20"/>
          <w:lang w:val="zh-CN"/>
        </w:rPr>
        <w:t>Among the 143 participants, 18 cases were identified as true positives, 31 as false positives, 2 as false negatives, and 92 as true negatives.</w:t>
      </w:r>
    </w:p>
    <w:p w14:paraId="7AC703B1" w14:textId="77777777" w:rsidR="00B474D5" w:rsidRDefault="00000000" w:rsidP="00273AA5">
      <w:pPr>
        <w:spacing w:line="360" w:lineRule="auto"/>
        <w:ind w:left="142"/>
        <w:rPr>
          <w:sz w:val="20"/>
          <w:szCs w:val="20"/>
          <w:lang w:val="zh-CN"/>
        </w:rPr>
      </w:pPr>
      <w:commentRangeStart w:id="5"/>
      <w:r>
        <w:rPr>
          <w:b/>
          <w:bCs/>
          <w:sz w:val="20"/>
          <w:szCs w:val="20"/>
          <w:lang w:val="zh-CN"/>
        </w:rPr>
        <w:t xml:space="preserve">Table. 4 </w:t>
      </w:r>
      <w:r>
        <w:rPr>
          <w:sz w:val="20"/>
          <w:szCs w:val="20"/>
        </w:rPr>
        <w:t>Diagnostic Performance of Plasma 1,5-Anhydroglucitol</w:t>
      </w:r>
      <w:commentRangeEnd w:id="5"/>
      <w:r>
        <w:rPr>
          <w:rStyle w:val="CommentReference"/>
          <w:sz w:val="20"/>
          <w:szCs w:val="20"/>
          <w:lang w:val="zh-CN"/>
        </w:rPr>
        <w:commentReference w:id="5"/>
      </w:r>
    </w:p>
    <w:tbl>
      <w:tblPr>
        <w:tblStyle w:val="Style23"/>
        <w:tblW w:w="9000" w:type="dxa"/>
        <w:tblInd w:w="72" w:type="dxa"/>
        <w:tblLayout w:type="fixed"/>
        <w:tblLook w:val="04A0" w:firstRow="1" w:lastRow="0" w:firstColumn="1" w:lastColumn="0" w:noHBand="0" w:noVBand="1"/>
      </w:tblPr>
      <w:tblGrid>
        <w:gridCol w:w="2480"/>
        <w:gridCol w:w="2551"/>
        <w:gridCol w:w="2977"/>
        <w:gridCol w:w="992"/>
      </w:tblGrid>
      <w:tr w:rsidR="00B474D5" w14:paraId="3930B6D3" w14:textId="77777777">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3B5295D7" w14:textId="77777777" w:rsidR="00B474D5" w:rsidRDefault="00B474D5">
            <w:pPr>
              <w:spacing w:line="360" w:lineRule="auto"/>
              <w:ind w:left="226"/>
              <w:jc w:val="center"/>
            </w:pP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6A4B1FE9" w14:textId="77777777" w:rsidR="00B474D5" w:rsidRDefault="00000000">
            <w:pPr>
              <w:spacing w:line="360" w:lineRule="auto"/>
              <w:ind w:right="33"/>
              <w:jc w:val="center"/>
              <w:rPr>
                <w:b/>
              </w:rPr>
            </w:pPr>
            <w:r>
              <w:rPr>
                <w:b/>
                <w:bCs/>
              </w:rPr>
              <w:t>HbA1c Prediabetes</w:t>
            </w:r>
          </w:p>
        </w:tc>
        <w:tc>
          <w:tcPr>
            <w:tcW w:w="2977" w:type="dxa"/>
            <w:tcBorders>
              <w:top w:val="single" w:sz="4" w:space="0" w:color="auto"/>
              <w:left w:val="nil"/>
              <w:bottom w:val="single" w:sz="8" w:space="0" w:color="231F20"/>
              <w:right w:val="nil"/>
            </w:tcBorders>
            <w:tcMar>
              <w:top w:w="0" w:type="dxa"/>
              <w:left w:w="0" w:type="dxa"/>
              <w:bottom w:w="0" w:type="dxa"/>
              <w:right w:w="0" w:type="dxa"/>
            </w:tcMar>
            <w:vAlign w:val="center"/>
          </w:tcPr>
          <w:p w14:paraId="5F14206F" w14:textId="77777777" w:rsidR="00B474D5" w:rsidRDefault="00000000">
            <w:pPr>
              <w:spacing w:line="360" w:lineRule="auto"/>
              <w:jc w:val="center"/>
              <w:rPr>
                <w:b/>
              </w:rPr>
            </w:pPr>
            <w:r>
              <w:rPr>
                <w:b/>
                <w:bCs/>
              </w:rPr>
              <w:t>HbA1c Non-Prediabetes</w:t>
            </w:r>
          </w:p>
        </w:tc>
        <w:tc>
          <w:tcPr>
            <w:tcW w:w="992" w:type="dxa"/>
            <w:tcBorders>
              <w:top w:val="single" w:sz="4" w:space="0" w:color="auto"/>
              <w:bottom w:val="single" w:sz="4" w:space="0" w:color="auto"/>
            </w:tcBorders>
            <w:vAlign w:val="center"/>
          </w:tcPr>
          <w:p w14:paraId="222D26A8" w14:textId="77777777" w:rsidR="00B474D5" w:rsidRDefault="00000000">
            <w:pPr>
              <w:spacing w:line="360" w:lineRule="auto"/>
              <w:jc w:val="center"/>
              <w:rPr>
                <w:b/>
              </w:rPr>
            </w:pPr>
            <w:r>
              <w:rPr>
                <w:b/>
                <w:bCs/>
              </w:rPr>
              <w:t>Total</w:t>
            </w:r>
          </w:p>
        </w:tc>
      </w:tr>
      <w:tr w:rsidR="00B474D5" w14:paraId="1247FDF9" w14:textId="77777777">
        <w:trPr>
          <w:trHeight w:val="346"/>
        </w:trPr>
        <w:tc>
          <w:tcPr>
            <w:tcW w:w="2480" w:type="dxa"/>
            <w:tcBorders>
              <w:top w:val="nil"/>
              <w:left w:val="nil"/>
              <w:bottom w:val="nil"/>
              <w:right w:val="nil"/>
            </w:tcBorders>
            <w:tcMar>
              <w:top w:w="0" w:type="dxa"/>
              <w:left w:w="0" w:type="dxa"/>
              <w:bottom w:w="0" w:type="dxa"/>
              <w:right w:w="0" w:type="dxa"/>
            </w:tcMar>
            <w:vAlign w:val="center"/>
          </w:tcPr>
          <w:p w14:paraId="1CE2948C" w14:textId="77777777" w:rsidR="00B474D5" w:rsidRDefault="00000000">
            <w:pPr>
              <w:spacing w:line="360" w:lineRule="auto"/>
              <w:ind w:left="201"/>
            </w:pPr>
            <w:r>
              <w:rPr>
                <w:b/>
                <w:bCs/>
              </w:rPr>
              <w:t>1,5-AG Prediabetes</w:t>
            </w:r>
          </w:p>
        </w:tc>
        <w:tc>
          <w:tcPr>
            <w:tcW w:w="2551" w:type="dxa"/>
            <w:tcBorders>
              <w:top w:val="nil"/>
              <w:left w:val="nil"/>
              <w:bottom w:val="nil"/>
              <w:right w:val="nil"/>
            </w:tcBorders>
            <w:tcMar>
              <w:top w:w="0" w:type="dxa"/>
              <w:left w:w="0" w:type="dxa"/>
              <w:bottom w:w="0" w:type="dxa"/>
              <w:right w:w="0" w:type="dxa"/>
            </w:tcMar>
            <w:vAlign w:val="center"/>
          </w:tcPr>
          <w:p w14:paraId="3B6974CF" w14:textId="77777777" w:rsidR="00B474D5" w:rsidRDefault="00000000">
            <w:pPr>
              <w:spacing w:line="360" w:lineRule="auto"/>
              <w:ind w:left="24" w:right="33"/>
              <w:jc w:val="center"/>
            </w:pPr>
            <w:r>
              <w:t>18 (TP)</w:t>
            </w:r>
          </w:p>
        </w:tc>
        <w:tc>
          <w:tcPr>
            <w:tcW w:w="2977" w:type="dxa"/>
            <w:tcBorders>
              <w:top w:val="nil"/>
              <w:left w:val="nil"/>
              <w:bottom w:val="nil"/>
              <w:right w:val="nil"/>
            </w:tcBorders>
            <w:tcMar>
              <w:top w:w="0" w:type="dxa"/>
              <w:left w:w="0" w:type="dxa"/>
              <w:bottom w:w="0" w:type="dxa"/>
              <w:right w:w="0" w:type="dxa"/>
            </w:tcMar>
            <w:vAlign w:val="center"/>
          </w:tcPr>
          <w:p w14:paraId="57B2FAA5" w14:textId="77777777" w:rsidR="00B474D5" w:rsidRDefault="00000000">
            <w:pPr>
              <w:spacing w:line="360" w:lineRule="auto"/>
              <w:ind w:right="23"/>
              <w:jc w:val="center"/>
            </w:pPr>
            <w:r>
              <w:t>31 (FP)</w:t>
            </w:r>
          </w:p>
        </w:tc>
        <w:tc>
          <w:tcPr>
            <w:tcW w:w="992" w:type="dxa"/>
            <w:tcBorders>
              <w:top w:val="single" w:sz="4" w:space="0" w:color="auto"/>
            </w:tcBorders>
            <w:vAlign w:val="center"/>
          </w:tcPr>
          <w:p w14:paraId="084676CB" w14:textId="77777777" w:rsidR="00B474D5" w:rsidRDefault="00000000">
            <w:pPr>
              <w:spacing w:line="360" w:lineRule="auto"/>
              <w:ind w:right="23"/>
              <w:jc w:val="center"/>
            </w:pPr>
            <w:r>
              <w:t>49</w:t>
            </w:r>
          </w:p>
        </w:tc>
      </w:tr>
      <w:tr w:rsidR="00B474D5" w14:paraId="7FFA45E0" w14:textId="77777777">
        <w:trPr>
          <w:trHeight w:val="351"/>
        </w:trPr>
        <w:tc>
          <w:tcPr>
            <w:tcW w:w="2480" w:type="dxa"/>
            <w:tcBorders>
              <w:bottom w:val="single" w:sz="4" w:space="0" w:color="auto"/>
            </w:tcBorders>
            <w:tcMar>
              <w:top w:w="0" w:type="dxa"/>
              <w:left w:w="0" w:type="dxa"/>
              <w:bottom w:w="0" w:type="dxa"/>
              <w:right w:w="0" w:type="dxa"/>
            </w:tcMar>
            <w:vAlign w:val="center"/>
          </w:tcPr>
          <w:p w14:paraId="6EE70415" w14:textId="77777777" w:rsidR="00B474D5" w:rsidRDefault="00000000">
            <w:pPr>
              <w:spacing w:line="360" w:lineRule="auto"/>
              <w:ind w:left="201"/>
            </w:pPr>
            <w:r>
              <w:rPr>
                <w:b/>
                <w:bCs/>
              </w:rPr>
              <w:t>1,5-AG Non-Prediabetes</w:t>
            </w:r>
          </w:p>
        </w:tc>
        <w:tc>
          <w:tcPr>
            <w:tcW w:w="2551" w:type="dxa"/>
            <w:tcBorders>
              <w:bottom w:val="single" w:sz="4" w:space="0" w:color="auto"/>
            </w:tcBorders>
            <w:tcMar>
              <w:top w:w="0" w:type="dxa"/>
              <w:left w:w="0" w:type="dxa"/>
              <w:bottom w:w="0" w:type="dxa"/>
              <w:right w:w="0" w:type="dxa"/>
            </w:tcMar>
            <w:vAlign w:val="center"/>
          </w:tcPr>
          <w:p w14:paraId="2F949689" w14:textId="77777777" w:rsidR="00B474D5" w:rsidRDefault="00000000">
            <w:pPr>
              <w:spacing w:line="360" w:lineRule="auto"/>
              <w:ind w:left="24" w:right="33"/>
              <w:jc w:val="center"/>
            </w:pPr>
            <w:r>
              <w:t>2 (FN)</w:t>
            </w:r>
          </w:p>
        </w:tc>
        <w:tc>
          <w:tcPr>
            <w:tcW w:w="2977" w:type="dxa"/>
            <w:tcBorders>
              <w:bottom w:val="single" w:sz="4" w:space="0" w:color="auto"/>
            </w:tcBorders>
            <w:tcMar>
              <w:top w:w="0" w:type="dxa"/>
              <w:left w:w="0" w:type="dxa"/>
              <w:bottom w:w="0" w:type="dxa"/>
              <w:right w:w="0" w:type="dxa"/>
            </w:tcMar>
            <w:vAlign w:val="center"/>
          </w:tcPr>
          <w:p w14:paraId="725FD7D0" w14:textId="77777777" w:rsidR="00B474D5" w:rsidRDefault="00000000">
            <w:pPr>
              <w:spacing w:line="360" w:lineRule="auto"/>
              <w:jc w:val="center"/>
            </w:pPr>
            <w:r>
              <w:t>92 (TN)</w:t>
            </w:r>
          </w:p>
        </w:tc>
        <w:tc>
          <w:tcPr>
            <w:tcW w:w="992" w:type="dxa"/>
            <w:tcBorders>
              <w:bottom w:val="single" w:sz="4" w:space="0" w:color="auto"/>
            </w:tcBorders>
            <w:vAlign w:val="center"/>
          </w:tcPr>
          <w:p w14:paraId="61E742CB" w14:textId="77777777" w:rsidR="00B474D5" w:rsidRDefault="00000000">
            <w:pPr>
              <w:spacing w:line="360" w:lineRule="auto"/>
              <w:jc w:val="center"/>
              <w:rPr>
                <w:rFonts w:eastAsia="Times New Roman"/>
              </w:rPr>
            </w:pPr>
            <w:r>
              <w:t>94</w:t>
            </w:r>
          </w:p>
        </w:tc>
      </w:tr>
      <w:tr w:rsidR="00B474D5" w14:paraId="34D58F6B" w14:textId="77777777">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3F57A44D" w14:textId="77777777" w:rsidR="00B474D5" w:rsidRDefault="00000000">
            <w:pPr>
              <w:spacing w:line="360" w:lineRule="auto"/>
              <w:ind w:left="201"/>
            </w:pPr>
            <w:r>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2046F69D" w14:textId="77777777" w:rsidR="00B474D5" w:rsidRDefault="00000000">
            <w:pPr>
              <w:spacing w:line="360" w:lineRule="auto"/>
              <w:ind w:left="24" w:right="33"/>
              <w:jc w:val="center"/>
            </w:pPr>
            <w:r>
              <w:t>20</w:t>
            </w:r>
          </w:p>
        </w:tc>
        <w:tc>
          <w:tcPr>
            <w:tcW w:w="2977" w:type="dxa"/>
            <w:tcBorders>
              <w:top w:val="single" w:sz="4" w:space="0" w:color="auto"/>
              <w:left w:val="nil"/>
              <w:bottom w:val="single" w:sz="4" w:space="0" w:color="auto"/>
              <w:right w:val="nil"/>
            </w:tcBorders>
            <w:tcMar>
              <w:top w:w="0" w:type="dxa"/>
              <w:left w:w="0" w:type="dxa"/>
              <w:bottom w:w="0" w:type="dxa"/>
              <w:right w:w="0" w:type="dxa"/>
            </w:tcMar>
            <w:vAlign w:val="center"/>
          </w:tcPr>
          <w:p w14:paraId="5D6FBA4D" w14:textId="77777777" w:rsidR="00B474D5" w:rsidRDefault="00000000">
            <w:pPr>
              <w:spacing w:line="360" w:lineRule="auto"/>
              <w:jc w:val="center"/>
            </w:pPr>
            <w:r>
              <w:t>123</w:t>
            </w:r>
          </w:p>
        </w:tc>
        <w:tc>
          <w:tcPr>
            <w:tcW w:w="992" w:type="dxa"/>
            <w:tcBorders>
              <w:top w:val="single" w:sz="4" w:space="0" w:color="auto"/>
              <w:bottom w:val="single" w:sz="4" w:space="0" w:color="auto"/>
            </w:tcBorders>
            <w:vAlign w:val="center"/>
          </w:tcPr>
          <w:p w14:paraId="224B10F0" w14:textId="77777777" w:rsidR="00B474D5" w:rsidRDefault="00000000">
            <w:pPr>
              <w:spacing w:line="360" w:lineRule="auto"/>
              <w:jc w:val="center"/>
              <w:rPr>
                <w:rFonts w:eastAsia="Times New Roman"/>
              </w:rPr>
            </w:pPr>
            <w:r>
              <w:t>143</w:t>
            </w:r>
          </w:p>
        </w:tc>
      </w:tr>
    </w:tbl>
    <w:p w14:paraId="1ED0E854" w14:textId="77777777" w:rsidR="00B474D5" w:rsidRDefault="00B474D5">
      <w:pPr>
        <w:spacing w:line="360" w:lineRule="auto"/>
        <w:ind w:left="142"/>
        <w:jc w:val="both"/>
        <w:rPr>
          <w:sz w:val="20"/>
          <w:szCs w:val="20"/>
          <w:lang w:val="zh-CN"/>
        </w:rPr>
      </w:pPr>
    </w:p>
    <w:p w14:paraId="2B415EDF" w14:textId="77777777" w:rsidR="00B474D5" w:rsidRDefault="00000000">
      <w:pPr>
        <w:spacing w:line="360" w:lineRule="auto"/>
        <w:ind w:left="142" w:firstLine="567"/>
        <w:jc w:val="both"/>
        <w:rPr>
          <w:sz w:val="20"/>
          <w:szCs w:val="20"/>
          <w:lang w:val="zh-CN"/>
        </w:rPr>
      </w:pPr>
      <w:r>
        <w:rPr>
          <w:sz w:val="20"/>
          <w:szCs w:val="20"/>
          <w:lang w:val="zh-CN"/>
        </w:rPr>
        <w:t>Based on these results, plasma 1,5-Anhydroglucitol demonstrated a sensitivity of 90.0%, specificity of 74.79%, positive predictive value (PPV) of 36.73%, and negative predictive value (NPV) of 97.87%.</w:t>
      </w:r>
    </w:p>
    <w:p w14:paraId="127C85A0" w14:textId="77777777" w:rsidR="00B474D5" w:rsidRDefault="00000000">
      <w:pPr>
        <w:spacing w:line="360" w:lineRule="auto"/>
        <w:ind w:left="142" w:right="180" w:firstLine="567"/>
        <w:jc w:val="both"/>
        <w:rPr>
          <w:sz w:val="20"/>
          <w:szCs w:val="20"/>
          <w:lang w:val="zh-CN"/>
        </w:rPr>
      </w:pPr>
      <w:r>
        <w:rPr>
          <w:sz w:val="20"/>
          <w:szCs w:val="20"/>
          <w:lang w:val="zh-CN"/>
        </w:rPr>
        <w:t xml:space="preserve">This study evaluated the diagnostic performance of plasma 1,5-Anhydroglucitol (1,5-AG) for detecting prediabetes in obese young adults. The results showed that plasma 1,5-AG demonstrated a sensitivity of 90.0%, specificity of 74.79%, positive predictive value of 36.73%, and negative predictive value of 97.87% when compared with HbA1c as the reference standard. These findings </w:t>
      </w:r>
      <w:r>
        <w:rPr>
          <w:sz w:val="20"/>
          <w:szCs w:val="20"/>
          <w:lang w:val="zh-CN"/>
        </w:rPr>
        <w:lastRenderedPageBreak/>
        <w:t>suggest that plasma 1,5-AG may be useful as a screening biomarker for identifying individuals at risk of prediabetes in this population.</w:t>
      </w:r>
    </w:p>
    <w:p w14:paraId="4E1F14B4" w14:textId="77777777" w:rsidR="00B474D5" w:rsidRDefault="00000000">
      <w:pPr>
        <w:spacing w:line="360" w:lineRule="auto"/>
        <w:ind w:left="142" w:right="180" w:firstLine="567"/>
        <w:jc w:val="both"/>
        <w:rPr>
          <w:sz w:val="20"/>
          <w:szCs w:val="20"/>
          <w:lang w:val="zh-CN"/>
        </w:rPr>
      </w:pPr>
      <w:r>
        <w:rPr>
          <w:sz w:val="20"/>
          <w:szCs w:val="20"/>
          <w:lang w:val="zh-CN"/>
        </w:rPr>
        <w:t>In this study, the proportion of male participants with obesity was slightly higher than that of females. Similar findings have been reported in previous studies indicating a higher prevalence of obesity among young adult males. However, other population-based studies have shown no significant difference between men and women, suggesting that variations in obesity prevalence may be influenced by demographic characteristics, lifestyle factors, and regional dietary patterns.¹¹–¹³</w:t>
      </w:r>
    </w:p>
    <w:p w14:paraId="196A2578" w14:textId="77777777" w:rsidR="00B474D5" w:rsidRDefault="00000000">
      <w:pPr>
        <w:spacing w:line="360" w:lineRule="auto"/>
        <w:ind w:left="142" w:right="180" w:firstLine="567"/>
        <w:jc w:val="both"/>
        <w:rPr>
          <w:sz w:val="20"/>
          <w:szCs w:val="20"/>
          <w:lang w:val="zh-CN"/>
        </w:rPr>
      </w:pPr>
      <w:r>
        <w:rPr>
          <w:sz w:val="20"/>
          <w:szCs w:val="20"/>
          <w:lang w:val="zh-CN"/>
        </w:rPr>
        <w:t>The mean age of participants was 30.4 years, indicating that metabolic abnormalities associated with obesity may develop early in adulthood. Previous studies have also reported similar age distributions among obese individuals with prediabetes. Reduced physical activity and lifestyle changes during adolescence and early adulthood are considered important contributing factors to the development of obesity and metabolic disorders.¹¹,¹</w:t>
      </w:r>
      <w:r>
        <w:rPr>
          <w:rFonts w:ascii="Cambria Math" w:hAnsi="Cambria Math" w:cs="Cambria Math"/>
          <w:sz w:val="20"/>
          <w:szCs w:val="20"/>
          <w:lang w:val="zh-CN"/>
        </w:rPr>
        <w:t>⁶</w:t>
      </w:r>
      <w:r>
        <w:rPr>
          <w:sz w:val="20"/>
          <w:szCs w:val="20"/>
          <w:lang w:val="zh-CN"/>
        </w:rPr>
        <w:t>,¹</w:t>
      </w:r>
      <w:r>
        <w:rPr>
          <w:rFonts w:ascii="Cambria Math" w:hAnsi="Cambria Math" w:cs="Cambria Math"/>
          <w:sz w:val="20"/>
          <w:szCs w:val="20"/>
          <w:lang w:val="zh-CN"/>
        </w:rPr>
        <w:t>⁷</w:t>
      </w:r>
    </w:p>
    <w:p w14:paraId="182C2B89" w14:textId="77777777" w:rsidR="00B474D5" w:rsidRDefault="00000000">
      <w:pPr>
        <w:spacing w:line="360" w:lineRule="auto"/>
        <w:ind w:left="142" w:right="180" w:firstLine="567"/>
        <w:jc w:val="both"/>
        <w:rPr>
          <w:sz w:val="20"/>
          <w:szCs w:val="20"/>
          <w:lang w:val="zh-CN"/>
        </w:rPr>
      </w:pPr>
      <w:r>
        <w:rPr>
          <w:sz w:val="20"/>
          <w:szCs w:val="20"/>
          <w:lang w:val="zh-CN"/>
        </w:rPr>
        <w:t>Obesity is strongly associated with insulin resistance and disturbances in glucose metabolism. Differences in fat distribution between men and women may partly explain variations in metabolic risk. Men tend to accumulate more visceral adipose tissue, which is strongly associated with insulin resistance and metabolic complications, whereas women generally have greater peripheral fat distribution, which is associated with lower cardiometabolic risk.¹</w:t>
      </w:r>
      <w:r>
        <w:rPr>
          <w:rFonts w:ascii="Cambria Math" w:hAnsi="Cambria Math" w:cs="Cambria Math"/>
          <w:sz w:val="20"/>
          <w:szCs w:val="20"/>
          <w:lang w:val="zh-CN"/>
        </w:rPr>
        <w:t>⁴</w:t>
      </w:r>
      <w:r>
        <w:rPr>
          <w:sz w:val="20"/>
          <w:szCs w:val="20"/>
          <w:lang w:val="zh-CN"/>
        </w:rPr>
        <w:t>,¹</w:t>
      </w:r>
      <w:r>
        <w:rPr>
          <w:rFonts w:ascii="Cambria Math" w:hAnsi="Cambria Math" w:cs="Cambria Math"/>
          <w:sz w:val="20"/>
          <w:szCs w:val="20"/>
          <w:lang w:val="zh-CN"/>
        </w:rPr>
        <w:t>⁵</w:t>
      </w:r>
    </w:p>
    <w:p w14:paraId="718EF06C" w14:textId="77777777" w:rsidR="00B474D5" w:rsidRDefault="00000000">
      <w:pPr>
        <w:spacing w:line="360" w:lineRule="auto"/>
        <w:ind w:left="142" w:right="180" w:firstLine="567"/>
        <w:jc w:val="both"/>
        <w:rPr>
          <w:sz w:val="20"/>
          <w:szCs w:val="20"/>
          <w:lang w:val="zh-CN"/>
        </w:rPr>
      </w:pPr>
      <w:r>
        <w:rPr>
          <w:sz w:val="20"/>
          <w:szCs w:val="20"/>
          <w:lang w:val="zh-CN"/>
        </w:rPr>
        <w:t>The mean body mass index in this study indicated that most participants were categorized as class I obesity. Although BMI is widely used to assess obesity, it does not differentiate between fat mass and lean mass. Therefore, waist circumference is often considered a more reliable indicator of central adiposity and cardiometabolic risk. In the present study, the mean waist circumference indicated the presence of central obesity in most participants, which is known to be associated with an increased risk of metabolic disorders, including prediabetes and type 2 diabetes.²</w:t>
      </w:r>
      <w:r>
        <w:rPr>
          <w:rFonts w:ascii="Cambria Math" w:hAnsi="Cambria Math" w:cs="Cambria Math"/>
          <w:sz w:val="20"/>
          <w:szCs w:val="20"/>
          <w:lang w:val="zh-CN"/>
        </w:rPr>
        <w:t>⁰</w:t>
      </w:r>
      <w:r>
        <w:rPr>
          <w:sz w:val="20"/>
          <w:szCs w:val="20"/>
          <w:lang w:val="zh-CN"/>
        </w:rPr>
        <w:t>,²¹</w:t>
      </w:r>
    </w:p>
    <w:p w14:paraId="13AA4E48" w14:textId="77777777" w:rsidR="00B474D5" w:rsidRDefault="00000000">
      <w:pPr>
        <w:spacing w:line="360" w:lineRule="auto"/>
        <w:ind w:left="142" w:right="180" w:firstLine="567"/>
        <w:jc w:val="both"/>
        <w:rPr>
          <w:sz w:val="20"/>
          <w:szCs w:val="20"/>
          <w:lang w:val="zh-CN"/>
        </w:rPr>
      </w:pPr>
      <w:r>
        <w:rPr>
          <w:sz w:val="20"/>
          <w:szCs w:val="20"/>
          <w:lang w:val="zh-CN"/>
        </w:rPr>
        <w:t>Family history of diabetes was reported in 30.8% of participants and was associated with the occurrence of prediabetes. Previous studies have shown that individuals with a family history of diabetes have a higher lifetime risk of developing glucose metabolism disorders due to the combined effects of genetic susceptibility and shared environmental factors.²²–²</w:t>
      </w:r>
      <w:r>
        <w:rPr>
          <w:rFonts w:ascii="Cambria Math" w:hAnsi="Cambria Math" w:cs="Cambria Math"/>
          <w:sz w:val="20"/>
          <w:szCs w:val="20"/>
          <w:lang w:val="zh-CN"/>
        </w:rPr>
        <w:t>⁵</w:t>
      </w:r>
    </w:p>
    <w:p w14:paraId="0789DB21" w14:textId="77777777" w:rsidR="00B474D5" w:rsidRDefault="00000000">
      <w:pPr>
        <w:spacing w:line="360" w:lineRule="auto"/>
        <w:ind w:left="142" w:right="180" w:firstLine="567"/>
        <w:jc w:val="both"/>
        <w:rPr>
          <w:sz w:val="20"/>
          <w:szCs w:val="20"/>
          <w:lang w:val="zh-CN"/>
        </w:rPr>
      </w:pPr>
      <w:r>
        <w:rPr>
          <w:sz w:val="20"/>
          <w:szCs w:val="20"/>
          <w:lang w:val="zh-CN"/>
        </w:rPr>
        <w:t>Based on HbA1c classification, 14% of participants in this study were identified as having prediabetes. This prevalence is lower than that reported in several previous studies conducted in other populations, which may reflect differences in study population characteristics, diagnostic criteria, and lifestyle factors.²</w:t>
      </w:r>
      <w:r>
        <w:rPr>
          <w:rFonts w:ascii="Cambria Math" w:hAnsi="Cambria Math" w:cs="Cambria Math"/>
          <w:sz w:val="20"/>
          <w:szCs w:val="20"/>
          <w:lang w:val="zh-CN"/>
        </w:rPr>
        <w:t>⁶</w:t>
      </w:r>
      <w:r>
        <w:rPr>
          <w:sz w:val="20"/>
          <w:szCs w:val="20"/>
          <w:lang w:val="zh-CN"/>
        </w:rPr>
        <w:t>,²</w:t>
      </w:r>
      <w:r>
        <w:rPr>
          <w:rFonts w:ascii="Cambria Math" w:hAnsi="Cambria Math" w:cs="Cambria Math"/>
          <w:sz w:val="20"/>
          <w:szCs w:val="20"/>
          <w:lang w:val="zh-CN"/>
        </w:rPr>
        <w:t>⁷</w:t>
      </w:r>
    </w:p>
    <w:p w14:paraId="4EA83297" w14:textId="77777777" w:rsidR="00B474D5" w:rsidRDefault="00000000">
      <w:pPr>
        <w:spacing w:line="360" w:lineRule="auto"/>
        <w:ind w:left="142" w:right="180" w:firstLine="567"/>
        <w:jc w:val="both"/>
        <w:rPr>
          <w:sz w:val="20"/>
          <w:szCs w:val="20"/>
          <w:lang w:val="zh-CN"/>
        </w:rPr>
      </w:pPr>
      <w:r>
        <w:rPr>
          <w:sz w:val="20"/>
          <w:szCs w:val="20"/>
          <w:lang w:val="zh-CN"/>
        </w:rPr>
        <w:t xml:space="preserve">The biological relationship between 1,5-AG and glycemic control is related to renal glucose handling. Under normal conditions, 1,5-AG is filtered and almost completely reabsorbed in the renal tubules. During episodes of hyperglycemia, increased glucose levels compete with 1,5-AG for </w:t>
      </w:r>
      <w:r>
        <w:rPr>
          <w:sz w:val="20"/>
          <w:szCs w:val="20"/>
          <w:lang w:val="zh-CN"/>
        </w:rPr>
        <w:lastRenderedPageBreak/>
        <w:t>reabsorption, resulting in increased urinary excretion and decreased plasma levels of 1,5-AG. This mechanism explains why reduced plasma 1,5-AG levels are often observed in individuals with impaired glucose metabolism.³</w:t>
      </w:r>
      <w:r>
        <w:rPr>
          <w:rFonts w:ascii="Cambria Math" w:hAnsi="Cambria Math" w:cs="Cambria Math"/>
          <w:sz w:val="20"/>
          <w:szCs w:val="20"/>
          <w:lang w:val="zh-CN"/>
        </w:rPr>
        <w:t>⁰</w:t>
      </w:r>
    </w:p>
    <w:p w14:paraId="25A9AE23" w14:textId="77777777" w:rsidR="00B474D5" w:rsidRDefault="00000000">
      <w:pPr>
        <w:spacing w:line="360" w:lineRule="auto"/>
        <w:ind w:left="142" w:right="180" w:firstLine="567"/>
        <w:jc w:val="both"/>
        <w:rPr>
          <w:sz w:val="20"/>
          <w:szCs w:val="20"/>
          <w:lang w:val="zh-CN"/>
        </w:rPr>
      </w:pPr>
      <w:r>
        <w:rPr>
          <w:sz w:val="20"/>
          <w:szCs w:val="20"/>
          <w:lang w:val="zh-CN"/>
        </w:rPr>
        <w:t xml:space="preserve">In the present study, plasma 1,5-AG demonstrated high sensitivity and a high negative predictive value for detecting prediabetes. Although the specificity observed was lower than that reported in some previous studies, these findings suggest that 1,5-AG may be particularly useful as a screening biomarker. Previous studies have also reported that reduced 1,5-AG levels are associated with impaired insulin sensitivity and pancreatic </w:t>
      </w:r>
      <w:r>
        <w:rPr>
          <w:rFonts w:ascii="Calibri" w:hAnsi="Calibri" w:cs="Calibri"/>
          <w:sz w:val="20"/>
          <w:szCs w:val="20"/>
          <w:lang w:val="zh-CN"/>
        </w:rPr>
        <w:t>β</w:t>
      </w:r>
      <w:r>
        <w:rPr>
          <w:sz w:val="20"/>
          <w:szCs w:val="20"/>
          <w:lang w:val="zh-CN"/>
        </w:rPr>
        <w:t>-cell dysfunction, supporting its potential role as an indicator of early glycemic abnormalities.</w:t>
      </w:r>
    </w:p>
    <w:p w14:paraId="798A420A" w14:textId="77777777" w:rsidR="00B474D5" w:rsidRDefault="00000000">
      <w:pPr>
        <w:spacing w:line="360" w:lineRule="auto"/>
        <w:ind w:left="142" w:right="180" w:firstLine="567"/>
        <w:jc w:val="both"/>
        <w:rPr>
          <w:sz w:val="20"/>
          <w:szCs w:val="20"/>
          <w:lang w:val="zh-CN"/>
        </w:rPr>
      </w:pPr>
      <w:r>
        <w:rPr>
          <w:sz w:val="20"/>
          <w:szCs w:val="20"/>
          <w:lang w:val="zh-CN"/>
        </w:rPr>
        <w:t>Despite these findings, several limitations should be acknowledged. This study was conducted in a single center with a relatively limited sample size. In addition, body composition was not assessed using more advanced methods such as bioimpedance analysis or dual-energy X-ray absorptiometry. Therefore, further studies with larger populations and more comprehensive metabolic assessments are needed to confirm the diagnostic role of plasma 1,5-AG in prediabetes screening.</w:t>
      </w:r>
    </w:p>
    <w:p w14:paraId="22CAC493" w14:textId="77777777" w:rsidR="00B474D5" w:rsidRDefault="00B474D5">
      <w:pPr>
        <w:spacing w:line="360" w:lineRule="auto"/>
        <w:ind w:right="180"/>
        <w:jc w:val="both"/>
        <w:rPr>
          <w:sz w:val="20"/>
          <w:szCs w:val="20"/>
          <w:lang w:val="zh-CN"/>
        </w:rPr>
      </w:pPr>
    </w:p>
    <w:p w14:paraId="5A51BF85" w14:textId="77777777" w:rsidR="00B474D5" w:rsidRDefault="00B474D5">
      <w:pPr>
        <w:spacing w:line="360" w:lineRule="auto"/>
        <w:rPr>
          <w:sz w:val="20"/>
          <w:szCs w:val="20"/>
        </w:rPr>
      </w:pPr>
    </w:p>
    <w:p w14:paraId="1CD141AF" w14:textId="77777777" w:rsidR="00B474D5" w:rsidRDefault="00000000">
      <w:pPr>
        <w:pStyle w:val="Heading1"/>
        <w:spacing w:line="360" w:lineRule="auto"/>
        <w:ind w:left="0"/>
      </w:pPr>
      <w:r>
        <w:rPr>
          <w:sz w:val="24"/>
          <w:szCs w:val="24"/>
        </w:rPr>
        <w:t>CONCLUSIONS AND SUGGESTIONS</w:t>
      </w:r>
    </w:p>
    <w:p w14:paraId="0D93E482" w14:textId="77777777" w:rsidR="00B474D5" w:rsidRDefault="00000000">
      <w:pPr>
        <w:spacing w:line="360" w:lineRule="auto"/>
        <w:ind w:firstLine="709"/>
        <w:jc w:val="both"/>
        <w:rPr>
          <w:rFonts w:ascii="Times New Roman" w:eastAsia="Times New Roman" w:hAnsi="Times New Roman" w:cs="Times New Roman"/>
          <w:sz w:val="24"/>
          <w:szCs w:val="24"/>
        </w:rPr>
      </w:pPr>
      <w:r>
        <w:rPr>
          <w:rFonts w:ascii="Times New Roman" w:hAnsi="Times New Roman" w:cs="Times New Roman"/>
          <w:sz w:val="24"/>
          <w:szCs w:val="24"/>
        </w:rPr>
        <w:t>This study demonstrated that plasma 1,5-Anhydroglucitol (1,5-AG) showed high sensitivity and a high negative predictive value for detecting prediabetes among obese young adults. When compared with HbA1c as the reference standard, plasma 1,5-AG demonstrated a sensitivity of 90.0%, specificity of 74.79%, positive predictive value of 36.73%, and negative predictive value of 97.87%. These findings suggest that plasma 1,5-AG may have potential utility as a screening biomarker for identifying individuals at risk of prediabetes in this population. However, due to its moderate specificity and low positive predictive value, plasma 1,5-AG should be interpreted alongside established glycemic markers. Further studies with larger populations are needed to confirm the diagnostic role of plasma 1,5-Anhydroglucitol in prediabetes detection.</w:t>
      </w:r>
    </w:p>
    <w:p w14:paraId="5CAC9AC1" w14:textId="77777777" w:rsidR="00B474D5" w:rsidRDefault="00B474D5">
      <w:pPr>
        <w:spacing w:line="360" w:lineRule="auto"/>
      </w:pPr>
    </w:p>
    <w:p w14:paraId="45AA481A" w14:textId="77777777" w:rsidR="00B474D5" w:rsidRDefault="00000000">
      <w:pPr>
        <w:pStyle w:val="Heading1"/>
        <w:spacing w:line="360" w:lineRule="auto"/>
      </w:pPr>
      <w:r>
        <w:rPr>
          <w:sz w:val="24"/>
          <w:szCs w:val="24"/>
        </w:rPr>
        <w:t>ACKNOWLEDGEMENT</w:t>
      </w:r>
    </w:p>
    <w:p w14:paraId="1083D49F" w14:textId="77777777" w:rsidR="00B474D5" w:rsidRDefault="00000000">
      <w:pPr>
        <w:spacing w:line="360" w:lineRule="auto"/>
        <w:ind w:right="-31"/>
        <w:jc w:val="both"/>
        <w:rPr>
          <w:sz w:val="24"/>
          <w:szCs w:val="24"/>
        </w:rPr>
      </w:pPr>
      <w:r>
        <w:rPr>
          <w:sz w:val="24"/>
          <w:szCs w:val="24"/>
        </w:rPr>
        <w:t xml:space="preserve">The authors would like to express their sincere gratitude to the staff of the Metabolic Endocrinology and Diabetes Division, Department of Internal Medicine, Faculty of Medicine, Universitas Andalas, and Dr. M. Djamil General Hospital, Padang, Indonesia, </w:t>
      </w:r>
      <w:r>
        <w:rPr>
          <w:sz w:val="24"/>
          <w:szCs w:val="24"/>
        </w:rPr>
        <w:lastRenderedPageBreak/>
        <w:t>for their valuable assistance during data collection and laboratory examinations. The authors also thank all participants who voluntarily took part in this study.</w:t>
      </w:r>
    </w:p>
    <w:p w14:paraId="02ED2DAB" w14:textId="77777777" w:rsidR="00B474D5" w:rsidRDefault="00000000">
      <w:pPr>
        <w:spacing w:line="360" w:lineRule="auto"/>
        <w:ind w:right="-31"/>
        <w:jc w:val="both"/>
        <w:rPr>
          <w:sz w:val="24"/>
          <w:szCs w:val="24"/>
        </w:rPr>
      </w:pPr>
      <w:r>
        <w:rPr>
          <w:sz w:val="24"/>
          <w:szCs w:val="24"/>
        </w:rPr>
        <w:t>Further multicenter studies with larger sample sizes and additional glycemic reference standards are recommended to validate the role of plasma 1,5-Anhydroglucitol as a screening biomarker for prediabetes.</w:t>
      </w:r>
    </w:p>
    <w:p w14:paraId="0C336BC5" w14:textId="77777777" w:rsidR="00B474D5" w:rsidRDefault="00B474D5">
      <w:pPr>
        <w:spacing w:line="360" w:lineRule="auto"/>
        <w:ind w:right="-31"/>
        <w:jc w:val="both"/>
        <w:rPr>
          <w:sz w:val="24"/>
          <w:szCs w:val="24"/>
        </w:rPr>
      </w:pPr>
    </w:p>
    <w:p w14:paraId="6A2147D0" w14:textId="77777777" w:rsidR="00B474D5" w:rsidRDefault="00000000">
      <w:pPr>
        <w:pStyle w:val="Heading1"/>
        <w:spacing w:line="360" w:lineRule="auto"/>
        <w:ind w:left="61"/>
      </w:pPr>
      <w:r>
        <w:rPr>
          <w:sz w:val="24"/>
          <w:szCs w:val="24"/>
        </w:rPr>
        <w:t>REFERENCES</w:t>
      </w:r>
    </w:p>
    <w:p w14:paraId="19CCE815"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Hostalek U. Global epidemiology of prediabetes—present and future perspectives. </w:t>
      </w:r>
      <w:r>
        <w:rPr>
          <w:rFonts w:ascii="Microsoft Tai Le" w:eastAsia="Times New Roman" w:hAnsi="Microsoft Tai Le" w:cs="Microsoft Tai Le"/>
          <w:bCs/>
          <w:i/>
          <w:iCs/>
          <w:sz w:val="24"/>
          <w:szCs w:val="24"/>
          <w:lang w:val="zh-CN"/>
        </w:rPr>
        <w:t>Clin Diabetes Endocrinol.</w:t>
      </w:r>
      <w:r>
        <w:rPr>
          <w:rFonts w:ascii="Microsoft Tai Le" w:eastAsia="Times New Roman" w:hAnsi="Microsoft Tai Le" w:cs="Microsoft Tai Le"/>
          <w:bCs/>
          <w:sz w:val="24"/>
          <w:szCs w:val="24"/>
          <w:lang w:val="zh-CN"/>
        </w:rPr>
        <w:t xml:space="preserve"> 2019;5:5.</w:t>
      </w:r>
    </w:p>
    <w:p w14:paraId="64F02839"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International Diabetes Federation. </w:t>
      </w:r>
      <w:r>
        <w:rPr>
          <w:rFonts w:ascii="Microsoft Tai Le" w:eastAsia="Times New Roman" w:hAnsi="Microsoft Tai Le" w:cs="Microsoft Tai Le"/>
          <w:bCs/>
          <w:i/>
          <w:iCs/>
          <w:sz w:val="24"/>
          <w:szCs w:val="24"/>
          <w:lang w:val="zh-CN"/>
        </w:rPr>
        <w:t>IDF Diabetes Atlas.</w:t>
      </w:r>
      <w:r>
        <w:rPr>
          <w:rFonts w:ascii="Microsoft Tai Le" w:eastAsia="Times New Roman" w:hAnsi="Microsoft Tai Le" w:cs="Microsoft Tai Le"/>
          <w:bCs/>
          <w:sz w:val="24"/>
          <w:szCs w:val="24"/>
          <w:lang w:val="zh-CN"/>
        </w:rPr>
        <w:t xml:space="preserve"> 7th ed. Brussels: International Diabetes Federation; 2015.</w:t>
      </w:r>
    </w:p>
    <w:p w14:paraId="6C43EE31"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Centers for Disease Control and Prevention. Prediabetes: Your chance to prevent type 2 diabetes. Atlanta: CDC; 2022.</w:t>
      </w:r>
    </w:p>
    <w:p w14:paraId="0515C5B1"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Kementerian Kesehatan Republik Indonesia. </w:t>
      </w:r>
      <w:r>
        <w:rPr>
          <w:rFonts w:ascii="Microsoft Tai Le" w:eastAsia="Times New Roman" w:hAnsi="Microsoft Tai Le" w:cs="Microsoft Tai Le"/>
          <w:bCs/>
          <w:i/>
          <w:iCs/>
          <w:sz w:val="24"/>
          <w:szCs w:val="24"/>
          <w:lang w:val="zh-CN"/>
        </w:rPr>
        <w:t>Riset Kesehatan Dasar (Riskesdas) 2018.</w:t>
      </w:r>
      <w:r>
        <w:rPr>
          <w:rFonts w:ascii="Microsoft Tai Le" w:eastAsia="Times New Roman" w:hAnsi="Microsoft Tai Le" w:cs="Microsoft Tai Le"/>
          <w:bCs/>
          <w:sz w:val="24"/>
          <w:szCs w:val="24"/>
          <w:lang w:val="zh-CN"/>
        </w:rPr>
        <w:t xml:space="preserve"> Jakarta: Kemenkes RI; 2019.</w:t>
      </w:r>
    </w:p>
    <w:p w14:paraId="2F4DBC64"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Andes LJ, Cheng YJ, Rolka DB, Gregg EW, Imperatore G. Prevalence of prediabetes among adolescents and young adults in the United States, 2005–2016. </w:t>
      </w:r>
      <w:r>
        <w:rPr>
          <w:rFonts w:ascii="Microsoft Tai Le" w:eastAsia="Times New Roman" w:hAnsi="Microsoft Tai Le" w:cs="Microsoft Tai Le"/>
          <w:bCs/>
          <w:i/>
          <w:iCs/>
          <w:sz w:val="24"/>
          <w:szCs w:val="24"/>
          <w:lang w:val="zh-CN"/>
        </w:rPr>
        <w:t>JAMA Pediatr.</w:t>
      </w:r>
      <w:r>
        <w:rPr>
          <w:rFonts w:ascii="Microsoft Tai Le" w:eastAsia="Times New Roman" w:hAnsi="Microsoft Tai Le" w:cs="Microsoft Tai Le"/>
          <w:bCs/>
          <w:sz w:val="24"/>
          <w:szCs w:val="24"/>
          <w:lang w:val="zh-CN"/>
        </w:rPr>
        <w:t xml:space="preserve"> 2019;173(11):e193498.</w:t>
      </w:r>
    </w:p>
    <w:p w14:paraId="54411ECB"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Echouffo-Tcheugui JB, Selvin E. Prediabetes and what it means: The epidemiological evidence. </w:t>
      </w:r>
      <w:r>
        <w:rPr>
          <w:rFonts w:ascii="Microsoft Tai Le" w:eastAsia="Times New Roman" w:hAnsi="Microsoft Tai Le" w:cs="Microsoft Tai Le"/>
          <w:bCs/>
          <w:i/>
          <w:iCs/>
          <w:sz w:val="24"/>
          <w:szCs w:val="24"/>
          <w:lang w:val="zh-CN"/>
        </w:rPr>
        <w:t>Annu Rev Public Health.</w:t>
      </w:r>
      <w:r>
        <w:rPr>
          <w:rFonts w:ascii="Microsoft Tai Le" w:eastAsia="Times New Roman" w:hAnsi="Microsoft Tai Le" w:cs="Microsoft Tai Le"/>
          <w:bCs/>
          <w:sz w:val="24"/>
          <w:szCs w:val="24"/>
          <w:lang w:val="zh-CN"/>
        </w:rPr>
        <w:t xml:space="preserve"> 2021;42:59–77.</w:t>
      </w:r>
    </w:p>
    <w:p w14:paraId="6147431C"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Sequeira IR, Poppitt SD. HbA1c as a marker of prediabetes: A reliable screening tool or not? </w:t>
      </w:r>
      <w:r>
        <w:rPr>
          <w:rFonts w:ascii="Microsoft Tai Le" w:eastAsia="Times New Roman" w:hAnsi="Microsoft Tai Le" w:cs="Microsoft Tai Le"/>
          <w:bCs/>
          <w:i/>
          <w:iCs/>
          <w:sz w:val="24"/>
          <w:szCs w:val="24"/>
          <w:lang w:val="zh-CN"/>
        </w:rPr>
        <w:t>Insights Nutr Metab.</w:t>
      </w:r>
      <w:r>
        <w:rPr>
          <w:rFonts w:ascii="Microsoft Tai Le" w:eastAsia="Times New Roman" w:hAnsi="Microsoft Tai Le" w:cs="Microsoft Tai Le"/>
          <w:bCs/>
          <w:sz w:val="24"/>
          <w:szCs w:val="24"/>
          <w:lang w:val="zh-CN"/>
        </w:rPr>
        <w:t xml:space="preserve"> 2017;1(1):21–29.</w:t>
      </w:r>
    </w:p>
    <w:p w14:paraId="05E6828F"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Dorcely B, Katz K, Jagannathan R, Chiang SS, Oluwadare B, Goldberg IJ, et al. Novel biomarkers for prediabetes, diabetes, and associated complications. </w:t>
      </w:r>
      <w:r>
        <w:rPr>
          <w:rFonts w:ascii="Microsoft Tai Le" w:eastAsia="Times New Roman" w:hAnsi="Microsoft Tai Le" w:cs="Microsoft Tai Le"/>
          <w:bCs/>
          <w:i/>
          <w:iCs/>
          <w:sz w:val="24"/>
          <w:szCs w:val="24"/>
          <w:lang w:val="zh-CN"/>
        </w:rPr>
        <w:t>Diabetes Metab Syndr Obes.</w:t>
      </w:r>
      <w:r>
        <w:rPr>
          <w:rFonts w:ascii="Microsoft Tai Le" w:eastAsia="Times New Roman" w:hAnsi="Microsoft Tai Le" w:cs="Microsoft Tai Le"/>
          <w:bCs/>
          <w:sz w:val="24"/>
          <w:szCs w:val="24"/>
          <w:lang w:val="zh-CN"/>
        </w:rPr>
        <w:t xml:space="preserve"> 2017;10:345–361.</w:t>
      </w:r>
    </w:p>
    <w:p w14:paraId="772B6550" w14:textId="77777777" w:rsidR="00B474D5" w:rsidRDefault="00000000">
      <w:pPr>
        <w:pStyle w:val="ListParagraph"/>
        <w:widowControl w:val="0"/>
        <w:numPr>
          <w:ilvl w:val="0"/>
          <w:numId w:val="3"/>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Selvin E, Rawlings AM, Grams M, Klein R, Steffes M, Coresh J. Association of 1,5-anhydroglucitol with diabetes and microvascular conditions. </w:t>
      </w:r>
      <w:r>
        <w:rPr>
          <w:rFonts w:ascii="Microsoft Tai Le" w:eastAsia="Times New Roman" w:hAnsi="Microsoft Tai Le" w:cs="Microsoft Tai Le"/>
          <w:bCs/>
          <w:i/>
          <w:iCs/>
          <w:sz w:val="24"/>
          <w:szCs w:val="24"/>
          <w:lang w:val="zh-CN"/>
        </w:rPr>
        <w:t>Clin Chem.</w:t>
      </w:r>
      <w:r>
        <w:rPr>
          <w:rFonts w:ascii="Microsoft Tai Le" w:eastAsia="Times New Roman" w:hAnsi="Microsoft Tai Le" w:cs="Microsoft Tai Le"/>
          <w:bCs/>
          <w:sz w:val="24"/>
          <w:szCs w:val="24"/>
          <w:lang w:val="zh-CN"/>
        </w:rPr>
        <w:t xml:space="preserve"> 2015;60(11):1409–1418.</w:t>
      </w:r>
    </w:p>
    <w:p w14:paraId="56DAA533"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Pramodkumar TA, Jayashri R, Gokulakrishnan K. Relationship of glycemic control </w:t>
      </w:r>
      <w:r>
        <w:rPr>
          <w:rFonts w:ascii="Microsoft Tai Le" w:eastAsia="Times New Roman" w:hAnsi="Microsoft Tai Le" w:cs="Microsoft Tai Le"/>
          <w:bCs/>
          <w:sz w:val="24"/>
          <w:szCs w:val="24"/>
          <w:lang w:val="zh-CN"/>
        </w:rPr>
        <w:lastRenderedPageBreak/>
        <w:t xml:space="preserve">markers—hemoglobin A1c and 1,5-anhydroglucitol among Asian Indians with different degrees of glucose intolerance. </w:t>
      </w:r>
      <w:r>
        <w:rPr>
          <w:rFonts w:ascii="Microsoft Tai Le" w:eastAsia="Times New Roman" w:hAnsi="Microsoft Tai Le" w:cs="Microsoft Tai Le"/>
          <w:bCs/>
          <w:i/>
          <w:iCs/>
          <w:sz w:val="24"/>
          <w:szCs w:val="24"/>
          <w:lang w:val="zh-CN"/>
        </w:rPr>
        <w:t>J Assoc Physicians India.</w:t>
      </w:r>
      <w:r>
        <w:rPr>
          <w:rFonts w:ascii="Microsoft Tai Le" w:eastAsia="Times New Roman" w:hAnsi="Microsoft Tai Le" w:cs="Microsoft Tai Le"/>
          <w:bCs/>
          <w:sz w:val="24"/>
          <w:szCs w:val="24"/>
          <w:lang w:val="zh-CN"/>
        </w:rPr>
        <w:t xml:space="preserve"> 2016;64(6):690–695.</w:t>
      </w:r>
    </w:p>
    <w:p w14:paraId="1D00682D"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Kitchlew R, Zeeshan A, Chachar K, Haider M, Saleem AR, Mirza MS, et al. Pre-diabetes: Frequency and associated risk factors. </w:t>
      </w:r>
      <w:r>
        <w:rPr>
          <w:rFonts w:ascii="Microsoft Tai Le" w:eastAsia="Times New Roman" w:hAnsi="Microsoft Tai Le" w:cs="Microsoft Tai Le"/>
          <w:bCs/>
          <w:i/>
          <w:iCs/>
          <w:sz w:val="24"/>
          <w:szCs w:val="24"/>
          <w:lang w:val="zh-CN"/>
        </w:rPr>
        <w:t>Pak J Med Health Sci.</w:t>
      </w:r>
      <w:r>
        <w:rPr>
          <w:rFonts w:ascii="Microsoft Tai Le" w:eastAsia="Times New Roman" w:hAnsi="Microsoft Tai Le" w:cs="Microsoft Tai Le"/>
          <w:bCs/>
          <w:sz w:val="24"/>
          <w:szCs w:val="24"/>
          <w:lang w:val="zh-CN"/>
        </w:rPr>
        <w:t xml:space="preserve"> 2017;11(4):1860–1866.</w:t>
      </w:r>
    </w:p>
    <w:p w14:paraId="33A9473D"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Peltzer K, Pengpid S, Samuels TA, Özcan NK, Mantilla C, Rahamefy OH, et al. Prevalence of overweight/obesity and its associated factors among university students from 22 countries. </w:t>
      </w:r>
      <w:r>
        <w:rPr>
          <w:rFonts w:ascii="Microsoft Tai Le" w:eastAsia="Times New Roman" w:hAnsi="Microsoft Tai Le" w:cs="Microsoft Tai Le"/>
          <w:bCs/>
          <w:i/>
          <w:iCs/>
          <w:sz w:val="24"/>
          <w:szCs w:val="24"/>
          <w:lang w:val="zh-CN"/>
        </w:rPr>
        <w:t>Int J Environ Res Public Health.</w:t>
      </w:r>
      <w:r>
        <w:rPr>
          <w:rFonts w:ascii="Microsoft Tai Le" w:eastAsia="Times New Roman" w:hAnsi="Microsoft Tai Le" w:cs="Microsoft Tai Le"/>
          <w:bCs/>
          <w:sz w:val="24"/>
          <w:szCs w:val="24"/>
          <w:lang w:val="zh-CN"/>
        </w:rPr>
        <w:t xml:space="preserve"> 2014;11(7):7425–7441.</w:t>
      </w:r>
    </w:p>
    <w:p w14:paraId="001EAE2E"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Kruszon-Moran D, Carroll MD, Fryar CD, Ogden CL. Trends in obesity among adults in the United States, 2005 to 2014. </w:t>
      </w:r>
      <w:r>
        <w:rPr>
          <w:rFonts w:ascii="Microsoft Tai Le" w:eastAsia="Times New Roman" w:hAnsi="Microsoft Tai Le" w:cs="Microsoft Tai Le"/>
          <w:bCs/>
          <w:i/>
          <w:iCs/>
          <w:sz w:val="24"/>
          <w:szCs w:val="24"/>
          <w:lang w:val="zh-CN"/>
        </w:rPr>
        <w:t>JAMA.</w:t>
      </w:r>
      <w:r>
        <w:rPr>
          <w:rFonts w:ascii="Microsoft Tai Le" w:eastAsia="Times New Roman" w:hAnsi="Microsoft Tai Le" w:cs="Microsoft Tai Le"/>
          <w:bCs/>
          <w:sz w:val="24"/>
          <w:szCs w:val="24"/>
          <w:lang w:val="zh-CN"/>
        </w:rPr>
        <w:t xml:space="preserve"> 2024;315(21):2284–2291.</w:t>
      </w:r>
    </w:p>
    <w:p w14:paraId="340CC4F9"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Muscogiuri G, Verde L, Vetrani C, Barrea L, Savastano S, Colao A. Obesity: A gender-related disease. </w:t>
      </w:r>
      <w:r>
        <w:rPr>
          <w:rFonts w:ascii="Microsoft Tai Le" w:eastAsia="Times New Roman" w:hAnsi="Microsoft Tai Le" w:cs="Microsoft Tai Le"/>
          <w:bCs/>
          <w:i/>
          <w:iCs/>
          <w:sz w:val="24"/>
          <w:szCs w:val="24"/>
          <w:lang w:val="zh-CN"/>
        </w:rPr>
        <w:t>J Endocrinol Invest.</w:t>
      </w:r>
      <w:r>
        <w:rPr>
          <w:rFonts w:ascii="Microsoft Tai Le" w:eastAsia="Times New Roman" w:hAnsi="Microsoft Tai Le" w:cs="Microsoft Tai Le"/>
          <w:bCs/>
          <w:sz w:val="24"/>
          <w:szCs w:val="24"/>
          <w:lang w:val="zh-CN"/>
        </w:rPr>
        <w:t xml:space="preserve"> 2023;46:1–10.</w:t>
      </w:r>
    </w:p>
    <w:p w14:paraId="68ED4904"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Tramunt B, Smati S, Grandgeorge N, Lenfant F, Arnal JF, Montagner A, et al. Sex differences in metabolic regulation and diabetes susceptibility. </w:t>
      </w:r>
      <w:r>
        <w:rPr>
          <w:rFonts w:ascii="Microsoft Tai Le" w:eastAsia="Times New Roman" w:hAnsi="Microsoft Tai Le" w:cs="Microsoft Tai Le"/>
          <w:bCs/>
          <w:i/>
          <w:iCs/>
          <w:sz w:val="24"/>
          <w:szCs w:val="24"/>
          <w:lang w:val="zh-CN"/>
        </w:rPr>
        <w:t>Diabetologia.</w:t>
      </w:r>
      <w:r>
        <w:rPr>
          <w:rFonts w:ascii="Microsoft Tai Le" w:eastAsia="Times New Roman" w:hAnsi="Microsoft Tai Le" w:cs="Microsoft Tai Le"/>
          <w:bCs/>
          <w:sz w:val="24"/>
          <w:szCs w:val="24"/>
          <w:lang w:val="zh-CN"/>
        </w:rPr>
        <w:t xml:space="preserve"> 2020;63:453–461.</w:t>
      </w:r>
    </w:p>
    <w:p w14:paraId="72170E65"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Decroli E, Aprilia D, Kam A, Rahmadi A. Body mass index and total testosterone level in obese male pre-diabetic patients: Correlation with homeostasis model assessment of insulin resistance. </w:t>
      </w:r>
      <w:r>
        <w:rPr>
          <w:rFonts w:ascii="Microsoft Tai Le" w:eastAsia="Times New Roman" w:hAnsi="Microsoft Tai Le" w:cs="Microsoft Tai Le"/>
          <w:bCs/>
          <w:i/>
          <w:iCs/>
          <w:sz w:val="24"/>
          <w:szCs w:val="24"/>
          <w:lang w:val="zh-CN"/>
        </w:rPr>
        <w:t>J Clin Transl Endocrinol.</w:t>
      </w:r>
      <w:r>
        <w:rPr>
          <w:rFonts w:ascii="Microsoft Tai Le" w:eastAsia="Times New Roman" w:hAnsi="Microsoft Tai Le" w:cs="Microsoft Tai Le"/>
          <w:bCs/>
          <w:sz w:val="24"/>
          <w:szCs w:val="24"/>
          <w:lang w:val="zh-CN"/>
        </w:rPr>
        <w:t xml:space="preserve"> 2024;13(1):427–430.</w:t>
      </w:r>
    </w:p>
    <w:p w14:paraId="799020C3"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Guthold R, Stevens GA, Riley LM, Bull FC. Global trends in insufficient physical activity among adolescents: A pooled analysis of 298 population-based surveys with 1.6 million participants. </w:t>
      </w:r>
      <w:r>
        <w:rPr>
          <w:rFonts w:ascii="Microsoft Tai Le" w:eastAsia="Times New Roman" w:hAnsi="Microsoft Tai Le" w:cs="Microsoft Tai Le"/>
          <w:bCs/>
          <w:i/>
          <w:iCs/>
          <w:sz w:val="24"/>
          <w:szCs w:val="24"/>
          <w:lang w:val="zh-CN"/>
        </w:rPr>
        <w:t>Lancet Child Adolesc Health.</w:t>
      </w:r>
      <w:r>
        <w:rPr>
          <w:rFonts w:ascii="Microsoft Tai Le" w:eastAsia="Times New Roman" w:hAnsi="Microsoft Tai Le" w:cs="Microsoft Tai Le"/>
          <w:bCs/>
          <w:sz w:val="24"/>
          <w:szCs w:val="24"/>
          <w:lang w:val="zh-CN"/>
        </w:rPr>
        <w:t xml:space="preserve"> 2020;4(1):23–35.</w:t>
      </w:r>
    </w:p>
    <w:p w14:paraId="2945E495"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D’Adamo E, Caprio S. Type 2 diabetes in youth: Epidemiology and pathophysiology. </w:t>
      </w:r>
      <w:r>
        <w:rPr>
          <w:rFonts w:ascii="Microsoft Tai Le" w:eastAsia="Times New Roman" w:hAnsi="Microsoft Tai Le" w:cs="Microsoft Tai Le"/>
          <w:bCs/>
          <w:i/>
          <w:iCs/>
          <w:sz w:val="24"/>
          <w:szCs w:val="24"/>
          <w:lang w:val="zh-CN"/>
        </w:rPr>
        <w:t>Diabetes Care.</w:t>
      </w:r>
      <w:r>
        <w:rPr>
          <w:rFonts w:ascii="Microsoft Tai Le" w:eastAsia="Times New Roman" w:hAnsi="Microsoft Tai Le" w:cs="Microsoft Tai Le"/>
          <w:bCs/>
          <w:sz w:val="24"/>
          <w:szCs w:val="24"/>
          <w:lang w:val="zh-CN"/>
        </w:rPr>
        <w:t xml:space="preserve"> 2011;34(Suppl 2):S161–S165.</w:t>
      </w:r>
    </w:p>
    <w:p w14:paraId="795EF8D3"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Weiss R, Dufour S, Taksali SE, Tamborlane WV, Petersen KF, Bonadonna RC, et al. Prediabetes in obese youth: A syndrome of impaired glucose tolerance, severe insulin resistance, and altered myocellular and abdominal fat partitioning. </w:t>
      </w:r>
      <w:r>
        <w:rPr>
          <w:rFonts w:ascii="Microsoft Tai Le" w:eastAsia="Times New Roman" w:hAnsi="Microsoft Tai Le" w:cs="Microsoft Tai Le"/>
          <w:bCs/>
          <w:i/>
          <w:iCs/>
          <w:sz w:val="24"/>
          <w:szCs w:val="24"/>
          <w:lang w:val="zh-CN"/>
        </w:rPr>
        <w:t>Lancet.</w:t>
      </w:r>
      <w:r>
        <w:rPr>
          <w:rFonts w:ascii="Microsoft Tai Le" w:eastAsia="Times New Roman" w:hAnsi="Microsoft Tai Le" w:cs="Microsoft Tai Le"/>
          <w:bCs/>
          <w:sz w:val="24"/>
          <w:szCs w:val="24"/>
          <w:lang w:val="zh-CN"/>
        </w:rPr>
        <w:t xml:space="preserve"> 2010;362(9388):951–957.</w:t>
      </w:r>
    </w:p>
    <w:p w14:paraId="4B7CA88B"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Bacong AM, Gibbs SL, Rosales AG, Frankland TB, Li J, Daida YG. Obesity disparities </w:t>
      </w:r>
      <w:r>
        <w:rPr>
          <w:rFonts w:ascii="Microsoft Tai Le" w:eastAsia="Times New Roman" w:hAnsi="Microsoft Tai Le" w:cs="Microsoft Tai Le"/>
          <w:bCs/>
          <w:sz w:val="24"/>
          <w:szCs w:val="24"/>
          <w:lang w:val="zh-CN"/>
        </w:rPr>
        <w:lastRenderedPageBreak/>
        <w:t xml:space="preserve">among adult single-race and multiracial Asian and Pacific Islander populations. </w:t>
      </w:r>
      <w:r>
        <w:rPr>
          <w:rFonts w:ascii="Microsoft Tai Le" w:eastAsia="Times New Roman" w:hAnsi="Microsoft Tai Le" w:cs="Microsoft Tai Le"/>
          <w:bCs/>
          <w:i/>
          <w:iCs/>
          <w:sz w:val="24"/>
          <w:szCs w:val="24"/>
          <w:lang w:val="zh-CN"/>
        </w:rPr>
        <w:t>JAMA Netw Open.</w:t>
      </w:r>
      <w:r>
        <w:rPr>
          <w:rFonts w:ascii="Microsoft Tai Le" w:eastAsia="Times New Roman" w:hAnsi="Microsoft Tai Le" w:cs="Microsoft Tai Le"/>
          <w:bCs/>
          <w:sz w:val="24"/>
          <w:szCs w:val="24"/>
          <w:lang w:val="zh-CN"/>
        </w:rPr>
        <w:t xml:space="preserve"> 2024;7(1):e241234.</w:t>
      </w:r>
    </w:p>
    <w:p w14:paraId="085AB9EF"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Zhen J, Liu S, Zhao G, Peng H, Samaranayake N, Xu A, et al. Association of waist circumference with haemoglobin A1c and its optimal cutoff for identifying prediabetes and diabetes risk in the Chinese population. </w:t>
      </w:r>
      <w:r>
        <w:rPr>
          <w:rFonts w:ascii="Microsoft Tai Le" w:eastAsia="Times New Roman" w:hAnsi="Microsoft Tai Le" w:cs="Microsoft Tai Le"/>
          <w:bCs/>
          <w:i/>
          <w:iCs/>
          <w:sz w:val="24"/>
          <w:szCs w:val="24"/>
          <w:lang w:val="zh-CN"/>
        </w:rPr>
        <w:t>Intern Emerg Med.</w:t>
      </w:r>
      <w:r>
        <w:rPr>
          <w:rFonts w:ascii="Microsoft Tai Le" w:eastAsia="Times New Roman" w:hAnsi="Microsoft Tai Le" w:cs="Microsoft Tai Le"/>
          <w:bCs/>
          <w:sz w:val="24"/>
          <w:szCs w:val="24"/>
          <w:lang w:val="zh-CN"/>
        </w:rPr>
        <w:t xml:space="preserve"> 2022;17(7):2039–2044.</w:t>
      </w:r>
    </w:p>
    <w:p w14:paraId="1B9BCCB5"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Salem KA, Bashaaib MO. Family history, consanguinity and other risk factors affecting the prevalence of prediabetes and undiagnosed diabetes mellitus in overweight and obese Yemeni adults. </w:t>
      </w:r>
      <w:r>
        <w:rPr>
          <w:rFonts w:ascii="Microsoft Tai Le" w:eastAsia="Times New Roman" w:hAnsi="Microsoft Tai Le" w:cs="Microsoft Tai Le"/>
          <w:bCs/>
          <w:i/>
          <w:iCs/>
          <w:sz w:val="24"/>
          <w:szCs w:val="24"/>
          <w:lang w:val="zh-CN"/>
        </w:rPr>
        <w:t>Diabetes Metab Syndr.</w:t>
      </w:r>
      <w:r>
        <w:rPr>
          <w:rFonts w:ascii="Microsoft Tai Le" w:eastAsia="Times New Roman" w:hAnsi="Microsoft Tai Le" w:cs="Microsoft Tai Le"/>
          <w:bCs/>
          <w:sz w:val="24"/>
          <w:szCs w:val="24"/>
          <w:lang w:val="zh-CN"/>
        </w:rPr>
        <w:t xml:space="preserve"> 2021;15(2):4853–4863.</w:t>
      </w:r>
    </w:p>
    <w:p w14:paraId="43090F26"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Ramezankhani A, Moeini ASH, Zadeh SST, Azizi F, Hadaegh F. Effect of family history of diabetes and obesity status on lifetime risk of type 2 diabetes in the Iranian population. </w:t>
      </w:r>
      <w:r>
        <w:rPr>
          <w:rFonts w:ascii="Microsoft Tai Le" w:eastAsia="Times New Roman" w:hAnsi="Microsoft Tai Le" w:cs="Microsoft Tai Le"/>
          <w:bCs/>
          <w:i/>
          <w:iCs/>
          <w:sz w:val="24"/>
          <w:szCs w:val="24"/>
          <w:lang w:val="zh-CN"/>
        </w:rPr>
        <w:t>Glob Health.</w:t>
      </w:r>
      <w:r>
        <w:rPr>
          <w:rFonts w:ascii="Microsoft Tai Le" w:eastAsia="Times New Roman" w:hAnsi="Microsoft Tai Le" w:cs="Microsoft Tai Le"/>
          <w:bCs/>
          <w:sz w:val="24"/>
          <w:szCs w:val="24"/>
          <w:lang w:val="zh-CN"/>
        </w:rPr>
        <w:t xml:space="preserve"> 2022;18:12.</w:t>
      </w:r>
    </w:p>
    <w:p w14:paraId="4D970503"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Chen CM, Yeh MC. The prevalence and determinants of impaired fasting glucose in the population of Taiwan. </w:t>
      </w:r>
      <w:r>
        <w:rPr>
          <w:rFonts w:ascii="Microsoft Tai Le" w:eastAsia="Times New Roman" w:hAnsi="Microsoft Tai Le" w:cs="Microsoft Tai Le"/>
          <w:bCs/>
          <w:i/>
          <w:iCs/>
          <w:sz w:val="24"/>
          <w:szCs w:val="24"/>
          <w:lang w:val="zh-CN"/>
        </w:rPr>
        <w:t>BMC Public Health.</w:t>
      </w:r>
      <w:r>
        <w:rPr>
          <w:rFonts w:ascii="Microsoft Tai Le" w:eastAsia="Times New Roman" w:hAnsi="Microsoft Tai Le" w:cs="Microsoft Tai Le"/>
          <w:bCs/>
          <w:sz w:val="24"/>
          <w:szCs w:val="24"/>
          <w:lang w:val="zh-CN"/>
        </w:rPr>
        <w:t xml:space="preserve"> 2013;13:1123.</w:t>
      </w:r>
    </w:p>
    <w:p w14:paraId="35A8269F"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Hsu WH, Tseng CW, Huang YT, Liang CC, Lee MY. Common risk factors in relatives and spouses of patients with type 2 diabetes in developing prediabetes. </w:t>
      </w:r>
      <w:r>
        <w:rPr>
          <w:rFonts w:ascii="Microsoft Tai Le" w:eastAsia="Times New Roman" w:hAnsi="Microsoft Tai Le" w:cs="Microsoft Tai Le"/>
          <w:bCs/>
          <w:i/>
          <w:iCs/>
          <w:sz w:val="24"/>
          <w:szCs w:val="24"/>
          <w:lang w:val="zh-CN"/>
        </w:rPr>
        <w:t>Diabetes Res Clin Pract.</w:t>
      </w:r>
      <w:r>
        <w:rPr>
          <w:rFonts w:ascii="Microsoft Tai Le" w:eastAsia="Times New Roman" w:hAnsi="Microsoft Tai Le" w:cs="Microsoft Tai Le"/>
          <w:bCs/>
          <w:sz w:val="24"/>
          <w:szCs w:val="24"/>
          <w:lang w:val="zh-CN"/>
        </w:rPr>
        <w:t xml:space="preserve"> 2021;178:108939.</w:t>
      </w:r>
    </w:p>
    <w:p w14:paraId="0EDE7622"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Kusuma IS, Syarif S. Predictors of prediabetes and undiagnosed diabetes mellitus based on HbA1c levels in Indonesia. </w:t>
      </w:r>
      <w:r>
        <w:rPr>
          <w:rFonts w:ascii="Microsoft Tai Le" w:eastAsia="Times New Roman" w:hAnsi="Microsoft Tai Le" w:cs="Microsoft Tai Le"/>
          <w:bCs/>
          <w:i/>
          <w:iCs/>
          <w:sz w:val="24"/>
          <w:szCs w:val="24"/>
          <w:lang w:val="zh-CN"/>
        </w:rPr>
        <w:t>J Prev Med Public Health.</w:t>
      </w:r>
      <w:r>
        <w:rPr>
          <w:rFonts w:ascii="Microsoft Tai Le" w:eastAsia="Times New Roman" w:hAnsi="Microsoft Tai Le" w:cs="Microsoft Tai Le"/>
          <w:bCs/>
          <w:sz w:val="24"/>
          <w:szCs w:val="24"/>
          <w:lang w:val="zh-CN"/>
        </w:rPr>
        <w:t xml:space="preserve"> 2023;56(4):185–197.</w:t>
      </w:r>
    </w:p>
    <w:p w14:paraId="0766BE10"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Park KS, Hwang SY. Lifestyle-related predictors affecting prediabetes and diabetes in young Korean adults aged 20–30 years. </w:t>
      </w:r>
      <w:r>
        <w:rPr>
          <w:rFonts w:ascii="Microsoft Tai Le" w:eastAsia="Times New Roman" w:hAnsi="Microsoft Tai Le" w:cs="Microsoft Tai Le"/>
          <w:bCs/>
          <w:i/>
          <w:iCs/>
          <w:sz w:val="24"/>
          <w:szCs w:val="24"/>
          <w:lang w:val="zh-CN"/>
        </w:rPr>
        <w:t>Diabetes Metab J.</w:t>
      </w:r>
      <w:r>
        <w:rPr>
          <w:rFonts w:ascii="Microsoft Tai Le" w:eastAsia="Times New Roman" w:hAnsi="Microsoft Tai Le" w:cs="Microsoft Tai Le"/>
          <w:bCs/>
          <w:sz w:val="24"/>
          <w:szCs w:val="24"/>
          <w:lang w:val="zh-CN"/>
        </w:rPr>
        <w:t xml:space="preserve"> 2018;42(3):204–212.</w:t>
      </w:r>
    </w:p>
    <w:p w14:paraId="0B9618C6"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Ohigashi M, Osugi K, Kusunoki Y, Washio K, Matsutani S, Tsunoda T, et al. Association of time-in-range with hemoglobin A1c and 1,5-anhydroglucitol levels. </w:t>
      </w:r>
      <w:r>
        <w:rPr>
          <w:rFonts w:ascii="Microsoft Tai Le" w:eastAsia="Times New Roman" w:hAnsi="Microsoft Tai Le" w:cs="Microsoft Tai Le"/>
          <w:bCs/>
          <w:i/>
          <w:iCs/>
          <w:sz w:val="24"/>
          <w:szCs w:val="24"/>
          <w:lang w:val="zh-CN"/>
        </w:rPr>
        <w:t>Diabetes Ther.</w:t>
      </w:r>
      <w:r>
        <w:rPr>
          <w:rFonts w:ascii="Microsoft Tai Le" w:eastAsia="Times New Roman" w:hAnsi="Microsoft Tai Le" w:cs="Microsoft Tai Le"/>
          <w:bCs/>
          <w:sz w:val="24"/>
          <w:szCs w:val="24"/>
          <w:lang w:val="zh-CN"/>
        </w:rPr>
        <w:t xml:space="preserve"> 2021;12(6):1641–1652.</w:t>
      </w:r>
    </w:p>
    <w:p w14:paraId="184116CF"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Malkan UY, Gunes G, Corakci A. Rational diagnosis of diabetes: Comparison of 1,5-anhydroglucitol with other glycemic markers. </w:t>
      </w:r>
      <w:r>
        <w:rPr>
          <w:rFonts w:ascii="Microsoft Tai Le" w:eastAsia="Times New Roman" w:hAnsi="Microsoft Tai Le" w:cs="Microsoft Tai Le"/>
          <w:bCs/>
          <w:i/>
          <w:iCs/>
          <w:sz w:val="24"/>
          <w:szCs w:val="24"/>
          <w:lang w:val="zh-CN"/>
        </w:rPr>
        <w:t>SpringerPlus.</w:t>
      </w:r>
      <w:r>
        <w:rPr>
          <w:rFonts w:ascii="Microsoft Tai Le" w:eastAsia="Times New Roman" w:hAnsi="Microsoft Tai Le" w:cs="Microsoft Tai Le"/>
          <w:bCs/>
          <w:sz w:val="24"/>
          <w:szCs w:val="24"/>
          <w:lang w:val="zh-CN"/>
        </w:rPr>
        <w:t xml:space="preserve"> 2015;4:618.</w:t>
      </w:r>
    </w:p>
    <w:p w14:paraId="3011F62F" w14:textId="77777777" w:rsidR="00B474D5" w:rsidRDefault="00000000">
      <w:pPr>
        <w:pStyle w:val="ListParagraph"/>
        <w:widowControl w:val="0"/>
        <w:numPr>
          <w:ilvl w:val="0"/>
          <w:numId w:val="3"/>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zh-CN"/>
        </w:rPr>
      </w:pPr>
      <w:r>
        <w:rPr>
          <w:rFonts w:ascii="Microsoft Tai Le" w:eastAsia="Times New Roman" w:hAnsi="Microsoft Tai Le" w:cs="Microsoft Tai Le"/>
          <w:bCs/>
          <w:sz w:val="24"/>
          <w:szCs w:val="24"/>
          <w:lang w:val="zh-CN"/>
        </w:rPr>
        <w:t xml:space="preserve">Amseer HS, Saleh BO, Essam N. The role of serum 1,5-anhydroglucitol, leptin and glycated albumin in prediction of type 2 prediabetes in overweight and normal </w:t>
      </w:r>
      <w:r>
        <w:rPr>
          <w:rFonts w:ascii="Microsoft Tai Le" w:eastAsia="Times New Roman" w:hAnsi="Microsoft Tai Le" w:cs="Microsoft Tai Le"/>
          <w:bCs/>
          <w:sz w:val="24"/>
          <w:szCs w:val="24"/>
          <w:lang w:val="zh-CN"/>
        </w:rPr>
        <w:lastRenderedPageBreak/>
        <w:t xml:space="preserve">weight individuals. </w:t>
      </w:r>
      <w:r>
        <w:rPr>
          <w:rFonts w:ascii="Microsoft Tai Le" w:eastAsia="Times New Roman" w:hAnsi="Microsoft Tai Le" w:cs="Microsoft Tai Le"/>
          <w:bCs/>
          <w:i/>
          <w:iCs/>
          <w:sz w:val="24"/>
          <w:szCs w:val="24"/>
          <w:lang w:val="zh-CN"/>
        </w:rPr>
        <w:t>Diabetes Metab Syndr.</w:t>
      </w:r>
      <w:r>
        <w:rPr>
          <w:rFonts w:ascii="Microsoft Tai Le" w:eastAsia="Times New Roman" w:hAnsi="Microsoft Tai Le" w:cs="Microsoft Tai Le"/>
          <w:bCs/>
          <w:sz w:val="24"/>
          <w:szCs w:val="24"/>
          <w:lang w:val="zh-CN"/>
        </w:rPr>
        <w:t xml:space="preserve"> 2023;94:1–5.</w:t>
      </w:r>
    </w:p>
    <w:sectPr w:rsidR="00B474D5">
      <w:headerReference w:type="default" r:id="rId13"/>
      <w:footerReference w:type="default" r:id="rId14"/>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y Nurahmi" w:date="2026-04-14T21:53:00Z" w:initials="">
    <w:p w14:paraId="7CCE5556" w14:textId="77777777" w:rsidR="00B474D5" w:rsidRDefault="004D2D88">
      <w:pPr>
        <w:pStyle w:val="CommentText"/>
      </w:pPr>
      <w:r>
        <w:rPr>
          <w:rStyle w:val="CommentReference"/>
        </w:rPr>
        <w:annotationRef/>
      </w:r>
      <w:r w:rsidR="00000000">
        <w:t>Replace with ADA 2025 or ADA 2026</w:t>
      </w:r>
    </w:p>
  </w:comment>
  <w:comment w:id="1" w:author="Emy Nurahmi" w:date="2026-04-14T21:51:00Z" w:initials="">
    <w:p w14:paraId="36010A1A" w14:textId="77777777" w:rsidR="00B474D5" w:rsidRDefault="004D2D88">
      <w:pPr>
        <w:pStyle w:val="CommentText"/>
      </w:pPr>
      <w:r>
        <w:rPr>
          <w:rStyle w:val="CommentReference"/>
        </w:rPr>
        <w:annotationRef/>
      </w:r>
      <w:r w:rsidR="00000000">
        <w:t>Table titles are aligned to the left side of the table.</w:t>
      </w:r>
    </w:p>
  </w:comment>
  <w:comment w:id="2" w:author="Emy Nurahmi" w:date="2026-04-14T21:51:00Z" w:initials="">
    <w:p w14:paraId="5BE27CFA" w14:textId="77777777" w:rsidR="00B474D5" w:rsidRDefault="004D2D88">
      <w:pPr>
        <w:pStyle w:val="CommentText"/>
      </w:pPr>
      <w:r>
        <w:rPr>
          <w:rStyle w:val="CommentReference"/>
        </w:rPr>
        <w:annotationRef/>
      </w:r>
      <w:r w:rsidR="00000000">
        <w:t>Table titles are aligned to the left side of the table.</w:t>
      </w:r>
    </w:p>
  </w:comment>
  <w:comment w:id="3" w:author="Hi" w:date="2026-04-18T10:20:00Z" w:initials="H">
    <w:p w14:paraId="6EA9CEEF" w14:textId="1E50D00D" w:rsidR="004D2D88" w:rsidRDefault="004D2D88">
      <w:pPr>
        <w:pStyle w:val="CommentText"/>
      </w:pPr>
      <w:r>
        <w:rPr>
          <w:rStyle w:val="CommentReference"/>
        </w:rPr>
        <w:annotationRef/>
      </w:r>
      <w:r>
        <w:t>reviced</w:t>
      </w:r>
    </w:p>
  </w:comment>
  <w:comment w:id="4" w:author="Emy Nurahmi" w:date="2026-04-14T21:52:00Z" w:initials="">
    <w:p w14:paraId="64273D05" w14:textId="77777777" w:rsidR="00B474D5" w:rsidRDefault="004D2D88">
      <w:pPr>
        <w:pStyle w:val="CommentText"/>
      </w:pPr>
      <w:r>
        <w:rPr>
          <w:rStyle w:val="CommentReference"/>
        </w:rPr>
        <w:annotationRef/>
      </w:r>
      <w:r w:rsidR="00000000">
        <w:t>Table titles are aligned to the left side of the table.</w:t>
      </w:r>
    </w:p>
  </w:comment>
  <w:comment w:id="5" w:author="Emy Nurahmi" w:date="2026-04-14T21:52:00Z" w:initials="">
    <w:p w14:paraId="0B8E5CFA" w14:textId="77777777" w:rsidR="00B474D5" w:rsidRDefault="004D2D88">
      <w:pPr>
        <w:pStyle w:val="CommentText"/>
      </w:pPr>
      <w:r>
        <w:rPr>
          <w:rStyle w:val="CommentReference"/>
        </w:rPr>
        <w:annotationRef/>
      </w:r>
      <w:r w:rsidR="00000000">
        <w:t>Table titles are aligned to the left side of the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CE5556" w15:done="0"/>
  <w15:commentEx w15:paraId="36010A1A" w15:done="0"/>
  <w15:commentEx w15:paraId="5BE27CFA" w15:done="0"/>
  <w15:commentEx w15:paraId="6EA9CEEF" w15:paraIdParent="5BE27CFA" w15:done="0"/>
  <w15:commentEx w15:paraId="64273D05" w15:done="0"/>
  <w15:commentEx w15:paraId="0B8E5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A05AF5" w16cex:dateUtc="2026-04-18T0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CE5556" w16cid:durableId="7CCE5556"/>
  <w16cid:commentId w16cid:paraId="36010A1A" w16cid:durableId="36010A1A"/>
  <w16cid:commentId w16cid:paraId="5BE27CFA" w16cid:durableId="5BE27CFA"/>
  <w16cid:commentId w16cid:paraId="6EA9CEEF" w16cid:durableId="6AA05AF5"/>
  <w16cid:commentId w16cid:paraId="64273D05" w16cid:durableId="64273D05"/>
  <w16cid:commentId w16cid:paraId="0B8E5CFA" w16cid:durableId="0B8E5C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0427" w14:textId="77777777" w:rsidR="00713460" w:rsidRDefault="00713460">
      <w:r>
        <w:separator/>
      </w:r>
    </w:p>
  </w:endnote>
  <w:endnote w:type="continuationSeparator" w:id="0">
    <w:p w14:paraId="0D0D4BB3" w14:textId="77777777" w:rsidR="00713460" w:rsidRDefault="0071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Tai Le">
    <w:panose1 w:val="020B0502040204020203"/>
    <w:charset w:val="00"/>
    <w:family w:val="swiss"/>
    <w:pitch w:val="variable"/>
    <w:sig w:usb0="00000003" w:usb1="00000000" w:usb2="40000000" w:usb3="00000000" w:csb0="00000001" w:csb1="00000000"/>
    <w:embedRegular r:id="rId1" w:fontKey="{3E0D4FBB-B6C0-4489-8E08-931767C3D4C5}"/>
    <w:embedBold r:id="rId2" w:fontKey="{549983C8-77E0-4405-80D3-19172E948C23}"/>
    <w:embedItalic r:id="rId3" w:fontKey="{19DACA89-7FB8-4723-BAE3-C747284668F8}"/>
    <w:embedBoldItalic r:id="rId4" w:fontKey="{946A479D-02F8-4DFB-AB81-45FE48F3EE87}"/>
  </w:font>
  <w:font w:name="Georgia">
    <w:panose1 w:val="02040502050405020303"/>
    <w:charset w:val="00"/>
    <w:family w:val="roman"/>
    <w:pitch w:val="variable"/>
    <w:sig w:usb0="00000287" w:usb1="00000000" w:usb2="00000000" w:usb3="00000000" w:csb0="0000009F" w:csb1="00000000"/>
    <w:embedRegular r:id="rId5" w:fontKey="{C988577F-FB82-4F80-9022-BDC3573C33F3}"/>
    <w:embedItalic r:id="rId6" w:fontKey="{783B6CE4-0357-405F-B613-EB639EA3A512}"/>
  </w:font>
  <w:font w:name="Calibri">
    <w:panose1 w:val="020F0502020204030204"/>
    <w:charset w:val="00"/>
    <w:family w:val="swiss"/>
    <w:pitch w:val="variable"/>
    <w:sig w:usb0="E4002EFF" w:usb1="C200247B" w:usb2="00000009" w:usb3="00000000" w:csb0="000001FF" w:csb1="00000000"/>
    <w:embedRegular r:id="rId7" w:fontKey="{3727A003-8CA6-4FD7-A43B-D2241331AB3B}"/>
    <w:embedItalic r:id="rId8" w:fontKey="{230EEDBB-A932-4BD7-AD3C-82291001E7C8}"/>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9" w:fontKey="{AC40C35F-A11D-4D8B-AD6D-04FEDD129207}"/>
    <w:embedItalic r:id="rId10" w:fontKey="{05678A93-1801-489E-AF69-9C76078693D1}"/>
  </w:font>
  <w:font w:name="Corsiva">
    <w:altName w:val="Calibri"/>
    <w:charset w:val="00"/>
    <w:family w:val="auto"/>
    <w:pitch w:val="default"/>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427D" w14:textId="77777777" w:rsidR="00B474D5" w:rsidRDefault="00000000">
    <w:pPr>
      <w:tabs>
        <w:tab w:val="center" w:pos="4513"/>
        <w:tab w:val="right" w:pos="9026"/>
      </w:tabs>
      <w:rPr>
        <w:color w:val="000000"/>
      </w:rPr>
    </w:pPr>
    <w:r>
      <w:rPr>
        <w:noProof/>
      </w:rPr>
      <w:drawing>
        <wp:anchor distT="0" distB="0" distL="114300" distR="114300" simplePos="0" relativeHeight="251659264" behindDoc="0" locked="0" layoutInCell="1" allowOverlap="1" wp14:anchorId="5F5724C5" wp14:editId="2D2A83F7">
          <wp:simplePos x="0" y="0"/>
          <wp:positionH relativeFrom="column">
            <wp:posOffset>3283585</wp:posOffset>
          </wp:positionH>
          <wp:positionV relativeFrom="paragraph">
            <wp:posOffset>-263525</wp:posOffset>
          </wp:positionV>
          <wp:extent cx="3171190" cy="38100"/>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
                  <a:srcRect/>
                  <a:stretch>
                    <a:fillRect/>
                  </a:stretch>
                </pic:blipFill>
                <pic:spPr>
                  <a:xfrm>
                    <a:off x="0" y="0"/>
                    <a:ext cx="3171429" cy="3809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2DD4" w14:textId="77777777" w:rsidR="00713460" w:rsidRDefault="00713460">
      <w:r>
        <w:separator/>
      </w:r>
    </w:p>
  </w:footnote>
  <w:footnote w:type="continuationSeparator" w:id="0">
    <w:p w14:paraId="40B6C8E9" w14:textId="77777777" w:rsidR="00713460" w:rsidRDefault="00713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2F3C" w14:textId="77777777" w:rsidR="00B474D5" w:rsidRDefault="00000000">
    <w:pPr>
      <w:ind w:right="50"/>
      <w:jc w:val="right"/>
      <w:rPr>
        <w:color w:val="000000"/>
        <w:sz w:val="20"/>
        <w:szCs w:val="20"/>
      </w:rPr>
    </w:pPr>
    <w:r>
      <w:rPr>
        <w:b/>
        <w:color w:val="000000"/>
        <w:sz w:val="20"/>
        <w:szCs w:val="20"/>
      </w:rPr>
      <w:t>*Font Microsoft Tai Le</w:t>
    </w:r>
  </w:p>
  <w:p w14:paraId="6D361E26" w14:textId="77777777" w:rsidR="00B474D5" w:rsidRDefault="00000000">
    <w:pPr>
      <w:spacing w:before="45"/>
      <w:ind w:right="50"/>
      <w:jc w:val="right"/>
      <w:rPr>
        <w:color w:val="000000"/>
        <w:sz w:val="20"/>
        <w:szCs w:val="20"/>
      </w:rPr>
    </w:pPr>
    <w:r>
      <w:rPr>
        <w:rFonts w:ascii="Corsiva" w:eastAsia="Corsiva" w:hAnsi="Corsiva" w:cs="Corsiva"/>
        <w:i/>
        <w:color w:val="000000"/>
        <w:sz w:val="20"/>
        <w:szCs w:val="20"/>
      </w:rPr>
      <w:t>Indonesian Journal of Clinical Pathology and Medical Laboratory</w:t>
    </w:r>
  </w:p>
  <w:tbl>
    <w:tblPr>
      <w:tblStyle w:val="Style24"/>
      <w:tblpPr w:leftFromText="45" w:rightFromText="45" w:vertAnchor="text"/>
      <w:tblW w:w="9026" w:type="dxa"/>
      <w:tblLayout w:type="fixed"/>
      <w:tblLook w:val="04A0" w:firstRow="1" w:lastRow="0" w:firstColumn="1" w:lastColumn="0" w:noHBand="0" w:noVBand="1"/>
    </w:tblPr>
    <w:tblGrid>
      <w:gridCol w:w="20"/>
      <w:gridCol w:w="9006"/>
    </w:tblGrid>
    <w:tr w:rsidR="00B474D5" w14:paraId="481ECD91" w14:textId="77777777">
      <w:trPr>
        <w:gridAfter w:val="1"/>
        <w:wAfter w:w="9006" w:type="dxa"/>
        <w:trHeight w:val="105"/>
      </w:trPr>
      <w:tc>
        <w:tcPr>
          <w:tcW w:w="6" w:type="dxa"/>
          <w:vAlign w:val="center"/>
        </w:tcPr>
        <w:p w14:paraId="502F7816" w14:textId="77777777" w:rsidR="00B474D5" w:rsidRDefault="00B474D5">
          <w:pPr>
            <w:tabs>
              <w:tab w:val="center" w:pos="4513"/>
              <w:tab w:val="right" w:pos="9026"/>
            </w:tabs>
            <w:rPr>
              <w:color w:val="000000"/>
            </w:rPr>
          </w:pPr>
        </w:p>
      </w:tc>
    </w:tr>
    <w:tr w:rsidR="00B474D5" w14:paraId="6A3E2357" w14:textId="77777777">
      <w:tc>
        <w:tcPr>
          <w:tcW w:w="6" w:type="dxa"/>
          <w:vAlign w:val="center"/>
        </w:tcPr>
        <w:p w14:paraId="60C10AE4" w14:textId="77777777" w:rsidR="00B474D5" w:rsidRDefault="00B474D5">
          <w:pPr>
            <w:widowControl/>
            <w:rPr>
              <w:rFonts w:ascii="Calibri" w:eastAsia="Calibri" w:hAnsi="Calibri" w:cs="Calibri"/>
              <w:sz w:val="20"/>
              <w:szCs w:val="20"/>
            </w:rPr>
          </w:pPr>
        </w:p>
      </w:tc>
      <w:tc>
        <w:tcPr>
          <w:tcW w:w="9020" w:type="dxa"/>
          <w:vAlign w:val="center"/>
        </w:tcPr>
        <w:p w14:paraId="68CBB726" w14:textId="77777777" w:rsidR="00B474D5"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3AACE6" wp14:editId="5707BFD5">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7" name="image2.gif"/>
                        <pic:cNvPicPr preferRelativeResize="0"/>
                      </pic:nvPicPr>
                      <pic:blipFill>
                        <a:blip r:embed="rId1"/>
                        <a:srcRect/>
                        <a:stretch>
                          <a:fillRect/>
                        </a:stretch>
                      </pic:blipFill>
                      <pic:spPr>
                        <a:xfrm>
                          <a:off x="0" y="0"/>
                          <a:ext cx="5731510" cy="36830"/>
                        </a:xfrm>
                        <a:prstGeom prst="rect">
                          <a:avLst/>
                        </a:prstGeom>
                      </pic:spPr>
                    </pic:pic>
                  </a:graphicData>
                </a:graphic>
              </wp:inline>
            </w:drawing>
          </w:r>
        </w:p>
      </w:tc>
    </w:tr>
  </w:tbl>
  <w:p w14:paraId="6CDEA814" w14:textId="77777777" w:rsidR="00B474D5" w:rsidRDefault="00B474D5">
    <w:pP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multilevel"/>
    <w:tmpl w:val="57CB5A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33A7861"/>
    <w:multiLevelType w:val="multilevel"/>
    <w:tmpl w:val="633A7861"/>
    <w:lvl w:ilvl="0">
      <w:start w:val="1"/>
      <w:numFmt w:val="bullet"/>
      <w:lvlText w:val=""/>
      <w:lvlJc w:val="left"/>
      <w:pPr>
        <w:ind w:left="862" w:hanging="360"/>
      </w:pPr>
      <w:rPr>
        <w:rFonts w:ascii="Symbol" w:hAnsi="Symbo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2" w15:restartNumberingAfterBreak="0">
    <w:nsid w:val="6F5F7127"/>
    <w:multiLevelType w:val="multilevel"/>
    <w:tmpl w:val="6F5F71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4257962">
    <w:abstractNumId w:val="2"/>
  </w:num>
  <w:num w:numId="2" w16cid:durableId="1339113279">
    <w:abstractNumId w:val="1"/>
  </w:num>
  <w:num w:numId="3" w16cid:durableId="5473764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
    <w15:presenceInfo w15:providerId="None" w15:userId="H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5D"/>
    <w:rsid w:val="000665BA"/>
    <w:rsid w:val="001274AB"/>
    <w:rsid w:val="00184C02"/>
    <w:rsid w:val="001907EF"/>
    <w:rsid w:val="00264D0C"/>
    <w:rsid w:val="00273AA5"/>
    <w:rsid w:val="00275E83"/>
    <w:rsid w:val="00335EC5"/>
    <w:rsid w:val="0045633A"/>
    <w:rsid w:val="004D2D88"/>
    <w:rsid w:val="005350E6"/>
    <w:rsid w:val="006033D1"/>
    <w:rsid w:val="00686C20"/>
    <w:rsid w:val="006A4149"/>
    <w:rsid w:val="00703103"/>
    <w:rsid w:val="00713460"/>
    <w:rsid w:val="00830500"/>
    <w:rsid w:val="00835AFB"/>
    <w:rsid w:val="00882D6B"/>
    <w:rsid w:val="00916713"/>
    <w:rsid w:val="009356F7"/>
    <w:rsid w:val="00937A27"/>
    <w:rsid w:val="009B205D"/>
    <w:rsid w:val="00A519A3"/>
    <w:rsid w:val="00A5722E"/>
    <w:rsid w:val="00A96AEF"/>
    <w:rsid w:val="00B10085"/>
    <w:rsid w:val="00B474D5"/>
    <w:rsid w:val="00B84F21"/>
    <w:rsid w:val="00BE28E7"/>
    <w:rsid w:val="00CA2E62"/>
    <w:rsid w:val="00CC5A3F"/>
    <w:rsid w:val="00D06F14"/>
    <w:rsid w:val="00D26AA8"/>
    <w:rsid w:val="00DA61A2"/>
    <w:rsid w:val="7F9F8313"/>
    <w:rsid w:val="DFF35F8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6656"/>
  <w15:docId w15:val="{DE0AD6E6-9F9F-4CFD-AF7F-BF6ABBC6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Tai Le" w:eastAsia="Microsoft Tai Le" w:hAnsi="Microsoft Tai Le" w:cs="Microsoft Tai Le"/>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 w:eastAsia="zh-CN"/>
    </w:rPr>
  </w:style>
  <w:style w:type="paragraph" w:styleId="Heading1">
    <w:name w:val="heading 1"/>
    <w:basedOn w:val="Normal"/>
    <w:next w:val="Normal"/>
    <w:link w:val="Heading1Char"/>
    <w:uiPriority w:val="9"/>
    <w:qFormat/>
    <w:pPr>
      <w:ind w:left="49"/>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Pr>
      <w:sz w:val="20"/>
      <w:szCs w:val="20"/>
    </w:rPr>
  </w:style>
  <w:style w:type="paragraph" w:styleId="CommentText">
    <w:name w:val="annotation text"/>
    <w:basedOn w:val="Normal"/>
    <w:link w:val="Comment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Microsoft Tai Le" w:eastAsia="Microsoft Tai Le" w:hAnsi="Microsoft Tai Le" w:cs="Microsoft Tai Le"/>
      <w:b/>
      <w:bCs/>
      <w:sz w:val="20"/>
      <w:szCs w:val="20"/>
      <w:lang w:val="en-US"/>
    </w:rPr>
  </w:style>
  <w:style w:type="character" w:customStyle="1" w:styleId="BodyTextChar">
    <w:name w:val="Body Text Char"/>
    <w:basedOn w:val="DefaultParagraphFont"/>
    <w:link w:val="BodyText"/>
    <w:uiPriority w:val="1"/>
    <w:rPr>
      <w:rFonts w:ascii="Microsoft Tai Le" w:eastAsia="Microsoft Tai Le" w:hAnsi="Microsoft Tai Le" w:cs="Microsoft Tai Le"/>
      <w:sz w:val="20"/>
      <w:szCs w:val="20"/>
      <w:lang w:val="en-US"/>
    </w:rPr>
  </w:style>
  <w:style w:type="paragraph" w:customStyle="1" w:styleId="TableParagraph">
    <w:name w:val="Table Paragraph"/>
    <w:basedOn w:val="Normal"/>
    <w:uiPriority w:val="1"/>
    <w:qFormat/>
  </w:style>
  <w:style w:type="character" w:customStyle="1" w:styleId="fontstyle01">
    <w:name w:val="fontstyle01"/>
    <w:rPr>
      <w:rFonts w:ascii="Times New Roman" w:hAnsi="Times New Roman" w:cs="Times New Roman" w:hint="default"/>
      <w:color w:val="000000"/>
      <w:sz w:val="24"/>
      <w:szCs w:val="24"/>
    </w:rPr>
  </w:style>
  <w:style w:type="character" w:customStyle="1" w:styleId="HeaderChar">
    <w:name w:val="Header Char"/>
    <w:basedOn w:val="DefaultParagraphFont"/>
    <w:link w:val="Header"/>
    <w:uiPriority w:val="99"/>
    <w:rPr>
      <w:rFonts w:ascii="Microsoft Tai Le" w:eastAsia="Microsoft Tai Le" w:hAnsi="Microsoft Tai Le" w:cs="Microsoft Tai Le"/>
      <w:lang w:val="en-US"/>
    </w:rPr>
  </w:style>
  <w:style w:type="character" w:customStyle="1" w:styleId="FooterChar">
    <w:name w:val="Footer Char"/>
    <w:basedOn w:val="DefaultParagraphFont"/>
    <w:link w:val="Footer"/>
    <w:uiPriority w:val="99"/>
    <w:rPr>
      <w:rFonts w:ascii="Microsoft Tai Le" w:eastAsia="Microsoft Tai Le" w:hAnsi="Microsoft Tai Le" w:cs="Microsoft Tai Le"/>
      <w:lang w:val="en-US"/>
    </w:rPr>
  </w:style>
  <w:style w:type="character" w:customStyle="1" w:styleId="agcmg">
    <w:name w:val="a_gcmg"/>
    <w:basedOn w:val="DefaultParagraphFont"/>
  </w:style>
  <w:style w:type="table" w:customStyle="1" w:styleId="Style22">
    <w:name w:val="_Style 22"/>
    <w:basedOn w:val="TableNormal"/>
    <w:tblPr>
      <w:tblCellMar>
        <w:left w:w="0" w:type="dxa"/>
        <w:right w:w="0" w:type="dxa"/>
      </w:tblCellMar>
    </w:tblPr>
  </w:style>
  <w:style w:type="table" w:customStyle="1" w:styleId="Style23">
    <w:name w:val="_Style 23"/>
    <w:basedOn w:val="TableNormal"/>
    <w:tblPr>
      <w:tblCellMar>
        <w:left w:w="115" w:type="dxa"/>
        <w:right w:w="115" w:type="dxa"/>
      </w:tblCellMar>
    </w:tblPr>
  </w:style>
  <w:style w:type="table" w:customStyle="1" w:styleId="Style24">
    <w:name w:val="_Style 24"/>
    <w:basedOn w:val="TableNormal"/>
    <w:tblPr>
      <w:tblCellMar>
        <w:left w:w="0" w:type="dxa"/>
        <w:right w:w="0" w:type="dxa"/>
      </w:tblCellMar>
    </w:tblPr>
  </w:style>
  <w:style w:type="paragraph" w:customStyle="1" w:styleId="Abstracttext">
    <w:name w:val="Abstract text"/>
    <w:basedOn w:val="Normal"/>
    <w:uiPriority w:val="99"/>
    <w:qFormat/>
    <w:pPr>
      <w:widowControl/>
      <w:spacing w:line="360" w:lineRule="auto"/>
      <w:ind w:firstLine="720"/>
    </w:pPr>
    <w:rPr>
      <w:rFonts w:ascii="Times New Roman" w:eastAsia="Calibri" w:hAnsi="Times New Roman" w:cs="Times New Roman"/>
      <w:i/>
      <w:sz w:val="24"/>
      <w:szCs w:val="24"/>
      <w:lang w:val="en-US" w:eastAsia="en-US"/>
    </w:rPr>
  </w:style>
  <w:style w:type="paragraph" w:styleId="ListParagraph">
    <w:name w:val="List Paragraph"/>
    <w:basedOn w:val="Normal"/>
    <w:uiPriority w:val="34"/>
    <w:qFormat/>
    <w:pPr>
      <w:widowControl/>
      <w:spacing w:after="200" w:line="276" w:lineRule="auto"/>
      <w:ind w:left="720"/>
      <w:contextualSpacing/>
    </w:pPr>
    <w:rPr>
      <w:rFonts w:asciiTheme="minorHAnsi" w:eastAsiaTheme="minorEastAsia" w:hAnsiTheme="minorHAnsi" w:cstheme="minorBidi"/>
      <w:lang w:val="en-US"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D2D88"/>
    <w:rPr>
      <w:b/>
      <w:bCs/>
      <w:sz w:val="20"/>
      <w:szCs w:val="20"/>
    </w:rPr>
  </w:style>
  <w:style w:type="character" w:customStyle="1" w:styleId="CommentTextChar">
    <w:name w:val="Comment Text Char"/>
    <w:basedOn w:val="DefaultParagraphFont"/>
    <w:link w:val="CommentText"/>
    <w:uiPriority w:val="99"/>
    <w:semiHidden/>
    <w:rsid w:val="004D2D88"/>
    <w:rPr>
      <w:sz w:val="22"/>
      <w:szCs w:val="22"/>
      <w:lang w:val="en" w:eastAsia="zh-CN"/>
    </w:rPr>
  </w:style>
  <w:style w:type="character" w:customStyle="1" w:styleId="CommentSubjectChar">
    <w:name w:val="Comment Subject Char"/>
    <w:basedOn w:val="CommentTextChar"/>
    <w:link w:val="CommentSubject"/>
    <w:uiPriority w:val="99"/>
    <w:semiHidden/>
    <w:rsid w:val="004D2D88"/>
    <w:rPr>
      <w:b/>
      <w:bCs/>
      <w:sz w:val="22"/>
      <w:szCs w:val="22"/>
      <w:lang w:val="e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lKqa/nLbpwYbSekpHMQ09AG0g==">CgMxLjA4AHIhMVlMMUU3N056dWdWOXAyVUFYR0RoV001RXc4cU9tbVho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13</Pages>
  <Words>3345</Words>
  <Characters>19070</Characters>
  <Application>Microsoft Office Word</Application>
  <DocSecurity>0</DocSecurity>
  <Lines>158</Lines>
  <Paragraphs>44</Paragraphs>
  <ScaleCrop>false</ScaleCrop>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Hemas Faatihah</dc:creator>
  <cp:lastModifiedBy>Hi</cp:lastModifiedBy>
  <cp:revision>4</cp:revision>
  <cp:lastPrinted>2026-03-26T15:43:00Z</cp:lastPrinted>
  <dcterms:created xsi:type="dcterms:W3CDTF">2026-04-01T18:19:00Z</dcterms:created>
  <dcterms:modified xsi:type="dcterms:W3CDTF">2026-04-18T02:22:00Z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578F04E5DCC0818D1358DD690A30A99B_42</vt:lpwstr>
  </property>
</Properties>
</file>