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2A947" w14:textId="77777777" w:rsidR="007C6521" w:rsidRPr="003E04BA" w:rsidRDefault="007C6521" w:rsidP="007C6521">
      <w:pPr>
        <w:spacing w:line="360" w:lineRule="auto"/>
        <w:jc w:val="center"/>
        <w:rPr>
          <w:b/>
          <w:sz w:val="28"/>
          <w:szCs w:val="28"/>
        </w:rPr>
      </w:pPr>
      <w:r w:rsidRPr="003E04BA">
        <w:rPr>
          <w:b/>
          <w:sz w:val="28"/>
          <w:szCs w:val="28"/>
        </w:rPr>
        <w:t>Diagnostic Accuracy of Plasma 1,5-Anhydroglucitol for Detecting Prediabetes in Obese Young Adults</w:t>
      </w:r>
    </w:p>
    <w:p w14:paraId="70D4E793" w14:textId="77777777" w:rsidR="007C6521" w:rsidRPr="003E04BA" w:rsidRDefault="007C6521" w:rsidP="007C6521">
      <w:pPr>
        <w:pBdr>
          <w:top w:val="nil"/>
          <w:left w:val="nil"/>
          <w:bottom w:val="nil"/>
          <w:right w:val="nil"/>
          <w:between w:val="nil"/>
        </w:pBdr>
        <w:spacing w:line="360" w:lineRule="auto"/>
        <w:rPr>
          <w:sz w:val="20"/>
          <w:szCs w:val="20"/>
        </w:rPr>
      </w:pPr>
      <w:r w:rsidRPr="003E04BA">
        <w:rPr>
          <w:sz w:val="16"/>
          <w:szCs w:val="16"/>
        </w:rPr>
        <w:t> </w:t>
      </w:r>
    </w:p>
    <w:p w14:paraId="32C4E9FD" w14:textId="77777777" w:rsidR="007C6521" w:rsidRPr="003E04BA" w:rsidRDefault="007C6521" w:rsidP="007C6521">
      <w:pPr>
        <w:spacing w:line="360" w:lineRule="auto"/>
        <w:ind w:left="56"/>
      </w:pPr>
      <w:r w:rsidRPr="003E04BA">
        <w:rPr>
          <w:b/>
          <w:sz w:val="24"/>
          <w:szCs w:val="24"/>
        </w:rPr>
        <w:t xml:space="preserve">ABSTRACT </w:t>
      </w:r>
    </w:p>
    <w:p w14:paraId="760099B2" w14:textId="77777777" w:rsidR="00C30F10" w:rsidRPr="00C30F10" w:rsidRDefault="00C30F10" w:rsidP="00C30F10">
      <w:pPr>
        <w:pBdr>
          <w:top w:val="nil"/>
          <w:left w:val="nil"/>
          <w:bottom w:val="nil"/>
          <w:right w:val="nil"/>
          <w:between w:val="nil"/>
        </w:pBdr>
        <w:spacing w:line="360" w:lineRule="auto"/>
        <w:jc w:val="both"/>
        <w:rPr>
          <w:sz w:val="24"/>
          <w:szCs w:val="24"/>
          <w:lang w:val="en-ID"/>
        </w:rPr>
      </w:pPr>
      <w:r w:rsidRPr="00C30F10">
        <w:rPr>
          <w:sz w:val="24"/>
          <w:szCs w:val="24"/>
          <w:lang w:val="en-ID"/>
        </w:rPr>
        <w:t xml:space="preserve">Prediabetes is a transitional metabolic condition characterized by blood glucose levels that are elevated above normal but do not yet meet the diagnostic criteria for diabetes mellitus. Identifying this condition at an early stage is particularly important among obese young adults, who are at a heightened risk of developing metabolic complications. Common diagnostic approaches, including fasting blood glucose, oral glucose tolerance test, and glycated </w:t>
      </w:r>
      <w:proofErr w:type="spellStart"/>
      <w:r w:rsidRPr="00C30F10">
        <w:rPr>
          <w:sz w:val="24"/>
          <w:szCs w:val="24"/>
          <w:lang w:val="en-ID"/>
        </w:rPr>
        <w:t>hemoglobin</w:t>
      </w:r>
      <w:proofErr w:type="spellEnd"/>
      <w:r w:rsidRPr="00C30F10">
        <w:rPr>
          <w:sz w:val="24"/>
          <w:szCs w:val="24"/>
          <w:lang w:val="en-ID"/>
        </w:rPr>
        <w:t xml:space="preserve"> (HbA1c), present several limitations related to physiological variability and reduced reliability in specific clinical situations. Consequently, there is a growing need for alternative biomarkers capable of detecting early disturbances in </w:t>
      </w:r>
      <w:proofErr w:type="spellStart"/>
      <w:r w:rsidRPr="00C30F10">
        <w:rPr>
          <w:sz w:val="24"/>
          <w:szCs w:val="24"/>
          <w:lang w:val="en-ID"/>
        </w:rPr>
        <w:t>glycemic</w:t>
      </w:r>
      <w:proofErr w:type="spellEnd"/>
      <w:r w:rsidRPr="00C30F10">
        <w:rPr>
          <w:sz w:val="24"/>
          <w:szCs w:val="24"/>
          <w:lang w:val="en-ID"/>
        </w:rPr>
        <w:t xml:space="preserve"> control.</w:t>
      </w:r>
    </w:p>
    <w:p w14:paraId="1015459E" w14:textId="77777777" w:rsidR="00C30F10" w:rsidRPr="00C30F10" w:rsidRDefault="00C30F10" w:rsidP="00C30F10">
      <w:pPr>
        <w:pBdr>
          <w:top w:val="nil"/>
          <w:left w:val="nil"/>
          <w:bottom w:val="nil"/>
          <w:right w:val="nil"/>
          <w:between w:val="nil"/>
        </w:pBdr>
        <w:spacing w:line="360" w:lineRule="auto"/>
        <w:jc w:val="both"/>
        <w:rPr>
          <w:sz w:val="24"/>
          <w:szCs w:val="24"/>
          <w:lang w:val="en-ID"/>
        </w:rPr>
      </w:pPr>
      <w:r w:rsidRPr="00C30F10">
        <w:rPr>
          <w:sz w:val="24"/>
          <w:szCs w:val="24"/>
          <w:lang w:val="en-ID"/>
        </w:rPr>
        <w:t xml:space="preserve">This study employed a diagnostic accuracy design conducted over six months at Dr. M. </w:t>
      </w:r>
      <w:proofErr w:type="spellStart"/>
      <w:r w:rsidRPr="00C30F10">
        <w:rPr>
          <w:sz w:val="24"/>
          <w:szCs w:val="24"/>
          <w:lang w:val="en-ID"/>
        </w:rPr>
        <w:t>Djamil</w:t>
      </w:r>
      <w:proofErr w:type="spellEnd"/>
      <w:r w:rsidRPr="00C30F10">
        <w:rPr>
          <w:sz w:val="24"/>
          <w:szCs w:val="24"/>
          <w:lang w:val="en-ID"/>
        </w:rPr>
        <w:t xml:space="preserve"> General Hospital, Padang, Indonesia. A total of 143 obese individuals aged 18–40 years were recruited through incidental sampling. Blood samples were collected to determine HbA1c and plasma 1,5-Anhydroglucitol (1,5-AG) levels, with HbA1c serving as the reference standard for classification. The diagnostic performance of 1,5-AG was assessed using sensitivity, specificity, and predictive values.</w:t>
      </w:r>
    </w:p>
    <w:p w14:paraId="1B1C6CEE" w14:textId="77777777" w:rsidR="00C30F10" w:rsidRPr="00C30F10" w:rsidRDefault="00C30F10" w:rsidP="00C30F10">
      <w:pPr>
        <w:pBdr>
          <w:top w:val="nil"/>
          <w:left w:val="nil"/>
          <w:bottom w:val="nil"/>
          <w:right w:val="nil"/>
          <w:between w:val="nil"/>
        </w:pBdr>
        <w:spacing w:line="360" w:lineRule="auto"/>
        <w:jc w:val="both"/>
        <w:rPr>
          <w:sz w:val="24"/>
          <w:szCs w:val="24"/>
          <w:lang w:val="en-ID"/>
        </w:rPr>
      </w:pPr>
      <w:r w:rsidRPr="00C30F10">
        <w:rPr>
          <w:sz w:val="24"/>
          <w:szCs w:val="24"/>
          <w:lang w:val="en-ID"/>
        </w:rPr>
        <w:t>Among the participants, 20 individuals (14.0%) were categorized as having prediabetes. Plasma 1,5-Anhydroglucitol demonstrated a sensitivity of 90.0%, specificity of 74.8%, positive predictive value of 36.7%, and negative predictive value of 97.9%.</w:t>
      </w:r>
    </w:p>
    <w:p w14:paraId="2C8BB895" w14:textId="77777777" w:rsidR="00C30F10" w:rsidRPr="00C30F10" w:rsidRDefault="00C30F10" w:rsidP="00C30F10">
      <w:pPr>
        <w:pBdr>
          <w:top w:val="nil"/>
          <w:left w:val="nil"/>
          <w:bottom w:val="nil"/>
          <w:right w:val="nil"/>
          <w:between w:val="nil"/>
        </w:pBdr>
        <w:spacing w:line="360" w:lineRule="auto"/>
        <w:jc w:val="both"/>
        <w:rPr>
          <w:sz w:val="24"/>
          <w:szCs w:val="24"/>
          <w:lang w:val="en-ID"/>
        </w:rPr>
      </w:pPr>
      <w:r w:rsidRPr="00C30F10">
        <w:rPr>
          <w:sz w:val="24"/>
          <w:szCs w:val="24"/>
          <w:lang w:val="en-ID"/>
        </w:rPr>
        <w:t xml:space="preserve">Overall, plasma 1,5-AG showed strong sensitivity and an excellent ability to exclude prediabetes, as reflected by its high negative predictive value. These findings indicate that 1,5-AG may serve as a useful complementary biomarker, particularly for screening purposes, although confirmation using established </w:t>
      </w:r>
      <w:proofErr w:type="spellStart"/>
      <w:r w:rsidRPr="00C30F10">
        <w:rPr>
          <w:sz w:val="24"/>
          <w:szCs w:val="24"/>
          <w:lang w:val="en-ID"/>
        </w:rPr>
        <w:t>glycemic</w:t>
      </w:r>
      <w:proofErr w:type="spellEnd"/>
      <w:r w:rsidRPr="00C30F10">
        <w:rPr>
          <w:sz w:val="24"/>
          <w:szCs w:val="24"/>
          <w:lang w:val="en-ID"/>
        </w:rPr>
        <w:t xml:space="preserve"> indicators remains necessary.</w:t>
      </w:r>
    </w:p>
    <w:p w14:paraId="6A6157B1" w14:textId="78F1D2C9" w:rsidR="007C6521" w:rsidRPr="00C30F10" w:rsidRDefault="007C6521" w:rsidP="00C30F10">
      <w:pPr>
        <w:pBdr>
          <w:top w:val="nil"/>
          <w:left w:val="nil"/>
          <w:bottom w:val="nil"/>
          <w:right w:val="nil"/>
          <w:between w:val="nil"/>
        </w:pBdr>
        <w:spacing w:line="360" w:lineRule="auto"/>
        <w:jc w:val="both"/>
        <w:rPr>
          <w:sz w:val="20"/>
          <w:szCs w:val="20"/>
        </w:rPr>
      </w:pPr>
      <w:r w:rsidRPr="003E04BA">
        <w:rPr>
          <w:sz w:val="24"/>
          <w:szCs w:val="24"/>
        </w:rPr>
        <w:t> </w:t>
      </w:r>
      <w:r w:rsidRPr="003E04BA">
        <w:rPr>
          <w:b/>
          <w:sz w:val="24"/>
          <w:szCs w:val="24"/>
        </w:rPr>
        <w:t xml:space="preserve">Keywords: </w:t>
      </w:r>
      <w:r w:rsidRPr="003E04BA">
        <w:rPr>
          <w:sz w:val="24"/>
          <w:szCs w:val="24"/>
        </w:rPr>
        <w:t>Prediabetic state; obesity; young adult; 1,5-Anhydroglucitol</w:t>
      </w:r>
    </w:p>
    <w:tbl>
      <w:tblPr>
        <w:tblpPr w:leftFromText="45" w:rightFromText="45" w:vertAnchor="text"/>
        <w:tblW w:w="9026" w:type="dxa"/>
        <w:tblLayout w:type="fixed"/>
        <w:tblLook w:val="0400" w:firstRow="0" w:lastRow="0" w:firstColumn="0" w:lastColumn="0" w:noHBand="0" w:noVBand="1"/>
      </w:tblPr>
      <w:tblGrid>
        <w:gridCol w:w="236"/>
        <w:gridCol w:w="8790"/>
      </w:tblGrid>
      <w:tr w:rsidR="007C6521" w:rsidRPr="003E04BA" w14:paraId="22084F0C" w14:textId="77777777" w:rsidTr="003B20F2">
        <w:trPr>
          <w:gridAfter w:val="1"/>
          <w:wAfter w:w="9006" w:type="dxa"/>
        </w:trPr>
        <w:tc>
          <w:tcPr>
            <w:tcW w:w="6" w:type="dxa"/>
            <w:vAlign w:val="center"/>
          </w:tcPr>
          <w:p w14:paraId="336E1AD6" w14:textId="77777777" w:rsidR="007C6521" w:rsidRPr="003E04BA" w:rsidRDefault="007C6521" w:rsidP="003B20F2">
            <w:pPr>
              <w:spacing w:line="360" w:lineRule="auto"/>
            </w:pPr>
          </w:p>
        </w:tc>
      </w:tr>
      <w:tr w:rsidR="007C6521" w:rsidRPr="003E04BA" w14:paraId="276DB02D" w14:textId="77777777" w:rsidTr="003B20F2">
        <w:tc>
          <w:tcPr>
            <w:tcW w:w="6" w:type="dxa"/>
            <w:vAlign w:val="center"/>
          </w:tcPr>
          <w:p w14:paraId="33CD47E4" w14:textId="77777777" w:rsidR="007C6521" w:rsidRPr="003E04BA" w:rsidRDefault="007C6521" w:rsidP="003B20F2">
            <w:pPr>
              <w:widowControl/>
              <w:spacing w:line="360" w:lineRule="auto"/>
              <w:rPr>
                <w:rFonts w:eastAsia="Calibri"/>
                <w:sz w:val="20"/>
                <w:szCs w:val="20"/>
              </w:rPr>
            </w:pPr>
          </w:p>
        </w:tc>
        <w:tc>
          <w:tcPr>
            <w:tcW w:w="9020" w:type="dxa"/>
            <w:vAlign w:val="center"/>
          </w:tcPr>
          <w:p w14:paraId="654BC912" w14:textId="77777777" w:rsidR="007C6521" w:rsidRPr="003E04BA" w:rsidRDefault="007C6521" w:rsidP="003B20F2">
            <w:pPr>
              <w:widowControl/>
              <w:spacing w:line="360" w:lineRule="auto"/>
              <w:rPr>
                <w:rFonts w:eastAsia="Times New Roman"/>
                <w:sz w:val="24"/>
                <w:szCs w:val="24"/>
              </w:rPr>
            </w:pPr>
            <w:r w:rsidRPr="003E04BA">
              <w:rPr>
                <w:rFonts w:eastAsia="Times New Roman"/>
                <w:noProof/>
                <w:sz w:val="24"/>
                <w:szCs w:val="24"/>
              </w:rPr>
              <w:drawing>
                <wp:inline distT="0" distB="0" distL="0" distR="0" wp14:anchorId="2C4F8351" wp14:editId="016D764C">
                  <wp:extent cx="5731510" cy="12065"/>
                  <wp:effectExtent l="0" t="0" r="0" b="0"/>
                  <wp:docPr id="6"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7"/>
                          <a:srcRect/>
                          <a:stretch>
                            <a:fillRect/>
                          </a:stretch>
                        </pic:blipFill>
                        <pic:spPr>
                          <a:xfrm>
                            <a:off x="0" y="0"/>
                            <a:ext cx="5731510" cy="12065"/>
                          </a:xfrm>
                          <a:prstGeom prst="rect">
                            <a:avLst/>
                          </a:prstGeom>
                          <a:ln/>
                        </pic:spPr>
                      </pic:pic>
                    </a:graphicData>
                  </a:graphic>
                </wp:inline>
              </w:drawing>
            </w:r>
          </w:p>
        </w:tc>
      </w:tr>
    </w:tbl>
    <w:p w14:paraId="169B5019" w14:textId="77777777" w:rsidR="007C6521" w:rsidRPr="003E04BA" w:rsidRDefault="007C6521" w:rsidP="007C6521">
      <w:pPr>
        <w:pStyle w:val="Heading1"/>
        <w:spacing w:line="360" w:lineRule="auto"/>
        <w:ind w:left="64"/>
      </w:pPr>
      <w:r w:rsidRPr="003E04BA">
        <w:rPr>
          <w:sz w:val="24"/>
          <w:szCs w:val="24"/>
        </w:rPr>
        <w:t>INTRODUCTION</w:t>
      </w:r>
    </w:p>
    <w:p w14:paraId="1A59A1CD" w14:textId="77777777" w:rsidR="00C30F10" w:rsidRPr="00C30F10" w:rsidRDefault="00C30F10" w:rsidP="00C30F10">
      <w:pPr>
        <w:spacing w:line="360" w:lineRule="auto"/>
        <w:jc w:val="both"/>
        <w:rPr>
          <w:lang w:val="en-ID"/>
        </w:rPr>
      </w:pPr>
      <w:r w:rsidRPr="00C30F10">
        <w:rPr>
          <w:lang w:val="en-ID"/>
        </w:rPr>
        <w:t>Prediabetes represents an intermediate state of glucose dysregulation in which circulating glucose levels exceed normal values but remain below the threshold required for a diagnosis of diabetes mellitus. The concept was formally introduced by the Department of Health and Human Services (DHHS) and the American Diabetes Association (ADA) in 2002, and continues to be refined in the most recent ADA Standards of Medical Care in Diabetes (2025). Currently, prediabetes poses a substantial global health challenge, affecting a large proportion of the population. It was estimated that approximately 314 million individuals were living with prediabetes in 2019, with projections indicating an increase to 418 million by 2025. Without timely intervention, around 4–9% of affected individuals may progress to diabetes each year.¹²</w:t>
      </w:r>
    </w:p>
    <w:p w14:paraId="7BA0EE57" w14:textId="77777777" w:rsidR="00C30F10" w:rsidRPr="00C30F10" w:rsidRDefault="00C30F10" w:rsidP="00C30F10">
      <w:pPr>
        <w:spacing w:line="360" w:lineRule="auto"/>
        <w:jc w:val="both"/>
        <w:rPr>
          <w:lang w:val="en-ID"/>
        </w:rPr>
      </w:pPr>
      <w:r w:rsidRPr="00C30F10">
        <w:rPr>
          <w:lang w:val="en-ID"/>
        </w:rPr>
        <w:t xml:space="preserve">In the United States, data from the </w:t>
      </w:r>
      <w:proofErr w:type="spellStart"/>
      <w:r w:rsidRPr="00C30F10">
        <w:rPr>
          <w:lang w:val="en-ID"/>
        </w:rPr>
        <w:t>Centers</w:t>
      </w:r>
      <w:proofErr w:type="spellEnd"/>
      <w:r w:rsidRPr="00C30F10">
        <w:rPr>
          <w:lang w:val="en-ID"/>
        </w:rPr>
        <w:t xml:space="preserve"> for Disease Control and Prevention (CDC) suggest that nearly one in three adults may have prediabetes, many of whom are unaware of their condition. A similar upward trend has been observed in Indonesia, where the prevalence reached 30.8% in 2018. Early identification of prediabetes is therefore crucial, especially in young adults, as early metabolic disturbances may contribute to long-term complications such as type 2 diabetes and cardiovascular disease.³–</w:t>
      </w:r>
      <w:r w:rsidRPr="00C30F10">
        <w:rPr>
          <w:rFonts w:ascii="Cambria Math" w:hAnsi="Cambria Math" w:cs="Cambria Math"/>
          <w:lang w:val="en-ID"/>
        </w:rPr>
        <w:t>⁶</w:t>
      </w:r>
    </w:p>
    <w:p w14:paraId="67E47AA3" w14:textId="77777777" w:rsidR="00C30F10" w:rsidRPr="00C30F10" w:rsidRDefault="00C30F10" w:rsidP="00C30F10">
      <w:pPr>
        <w:spacing w:line="360" w:lineRule="auto"/>
        <w:jc w:val="both"/>
        <w:rPr>
          <w:lang w:val="en-ID"/>
        </w:rPr>
      </w:pPr>
      <w:r w:rsidRPr="00C30F10">
        <w:rPr>
          <w:lang w:val="en-ID"/>
        </w:rPr>
        <w:t xml:space="preserve">Various diagnostic tools are currently used to detect prediabetes, including fasting blood glucose (FBG), oral glucose tolerance test (OGTT), and glycated </w:t>
      </w:r>
      <w:proofErr w:type="spellStart"/>
      <w:r w:rsidRPr="00C30F10">
        <w:rPr>
          <w:lang w:val="en-ID"/>
        </w:rPr>
        <w:t>hemoglobin</w:t>
      </w:r>
      <w:proofErr w:type="spellEnd"/>
      <w:r w:rsidRPr="00C30F10">
        <w:rPr>
          <w:lang w:val="en-ID"/>
        </w:rPr>
        <w:t xml:space="preserve"> (HbA1c). However, these methods are not without limitations. Measurements of FBG and OGTT can be influenced by transient physiological conditions such as stress, illness, or short-term dietary changes, potentially affecting their accuracy.²</w:t>
      </w:r>
      <w:r w:rsidRPr="00C30F10">
        <w:rPr>
          <w:rFonts w:ascii="Cambria Math" w:hAnsi="Cambria Math" w:cs="Cambria Math"/>
          <w:lang w:val="en-ID"/>
        </w:rPr>
        <w:t>⁷</w:t>
      </w:r>
      <w:r w:rsidRPr="00C30F10">
        <w:rPr>
          <w:lang w:val="en-ID"/>
        </w:rPr>
        <w:t xml:space="preserve"> Meanwhile, HbA1c may yield less reliable results in certain clinical settings, including </w:t>
      </w:r>
      <w:proofErr w:type="spellStart"/>
      <w:r w:rsidRPr="00C30F10">
        <w:rPr>
          <w:lang w:val="en-ID"/>
        </w:rPr>
        <w:t>anemia</w:t>
      </w:r>
      <w:proofErr w:type="spellEnd"/>
      <w:r w:rsidRPr="00C30F10">
        <w:rPr>
          <w:lang w:val="en-ID"/>
        </w:rPr>
        <w:t xml:space="preserve">, renal disorders, and hemoglobinopathies, which can lead to misclassification of </w:t>
      </w:r>
      <w:proofErr w:type="spellStart"/>
      <w:r w:rsidRPr="00C30F10">
        <w:rPr>
          <w:lang w:val="en-ID"/>
        </w:rPr>
        <w:t>glycemic</w:t>
      </w:r>
      <w:proofErr w:type="spellEnd"/>
      <w:r w:rsidRPr="00C30F10">
        <w:rPr>
          <w:lang w:val="en-ID"/>
        </w:rPr>
        <w:t xml:space="preserve"> status. These limitations highlight the need for more reliable biomarkers to assess early disturbances in glucose metabolism.¹</w:t>
      </w:r>
      <w:r w:rsidRPr="00C30F10">
        <w:rPr>
          <w:rFonts w:ascii="Cambria Math" w:hAnsi="Cambria Math" w:cs="Cambria Math"/>
          <w:lang w:val="en-ID"/>
        </w:rPr>
        <w:t>⁷</w:t>
      </w:r>
    </w:p>
    <w:p w14:paraId="4341A2F2" w14:textId="77777777" w:rsidR="00C30F10" w:rsidRPr="00C30F10" w:rsidRDefault="00C30F10" w:rsidP="00C30F10">
      <w:pPr>
        <w:spacing w:line="360" w:lineRule="auto"/>
        <w:jc w:val="both"/>
        <w:rPr>
          <w:lang w:val="en-ID"/>
        </w:rPr>
      </w:pPr>
      <w:r w:rsidRPr="00C30F10">
        <w:rPr>
          <w:lang w:val="en-ID"/>
        </w:rPr>
        <w:t xml:space="preserve">One biomarker that has gained attention in recent years is 1,5-Anhydroglucitol (1,5-AG). This marker reflects short-term fluctuations in </w:t>
      </w:r>
      <w:proofErr w:type="spellStart"/>
      <w:r w:rsidRPr="00C30F10">
        <w:rPr>
          <w:lang w:val="en-ID"/>
        </w:rPr>
        <w:t>glycemic</w:t>
      </w:r>
      <w:proofErr w:type="spellEnd"/>
      <w:r w:rsidRPr="00C30F10">
        <w:rPr>
          <w:lang w:val="en-ID"/>
        </w:rPr>
        <w:t xml:space="preserve"> levels and has been reported to be more responsive than HbA1c in detecting postprandial </w:t>
      </w:r>
      <w:proofErr w:type="spellStart"/>
      <w:r w:rsidRPr="00C30F10">
        <w:rPr>
          <w:lang w:val="en-ID"/>
        </w:rPr>
        <w:t>hyperglycemia</w:t>
      </w:r>
      <w:proofErr w:type="spellEnd"/>
      <w:r w:rsidRPr="00C30F10">
        <w:rPr>
          <w:lang w:val="en-ID"/>
        </w:rPr>
        <w:t xml:space="preserve">. Due to its relative stability and ease of measurement, 1,5-AG has been proposed as a potential indicator of early </w:t>
      </w:r>
      <w:proofErr w:type="spellStart"/>
      <w:r w:rsidRPr="00C30F10">
        <w:rPr>
          <w:lang w:val="en-ID"/>
        </w:rPr>
        <w:t>glycemic</w:t>
      </w:r>
      <w:proofErr w:type="spellEnd"/>
      <w:r w:rsidRPr="00C30F10">
        <w:rPr>
          <w:lang w:val="en-ID"/>
        </w:rPr>
        <w:t xml:space="preserve"> abnormalities, including prediabetes.</w:t>
      </w:r>
      <w:r w:rsidRPr="00C30F10">
        <w:rPr>
          <w:rFonts w:ascii="Cambria Math" w:hAnsi="Cambria Math" w:cs="Cambria Math"/>
          <w:lang w:val="en-ID"/>
        </w:rPr>
        <w:t>⁸</w:t>
      </w:r>
      <w:r w:rsidRPr="00C30F10">
        <w:rPr>
          <w:lang w:val="en-ID"/>
        </w:rPr>
        <w:t>–¹</w:t>
      </w:r>
      <w:r w:rsidRPr="00C30F10">
        <w:rPr>
          <w:rFonts w:ascii="Cambria Math" w:hAnsi="Cambria Math" w:cs="Cambria Math"/>
          <w:lang w:val="en-ID"/>
        </w:rPr>
        <w:t>⁰</w:t>
      </w:r>
      <w:r w:rsidRPr="00C30F10">
        <w:rPr>
          <w:lang w:val="en-ID"/>
        </w:rPr>
        <w:t xml:space="preserve"> Previous studies have shown that circulating levels </w:t>
      </w:r>
      <w:r w:rsidRPr="00C30F10">
        <w:rPr>
          <w:lang w:val="en-ID"/>
        </w:rPr>
        <w:lastRenderedPageBreak/>
        <w:t xml:space="preserve">of 1,5-AG decrease as glucose excursions increase, supporting its role as a complementary marker of early </w:t>
      </w:r>
      <w:proofErr w:type="spellStart"/>
      <w:r w:rsidRPr="00C30F10">
        <w:rPr>
          <w:lang w:val="en-ID"/>
        </w:rPr>
        <w:t>glycemic</w:t>
      </w:r>
      <w:proofErr w:type="spellEnd"/>
      <w:r w:rsidRPr="00C30F10">
        <w:rPr>
          <w:lang w:val="en-ID"/>
        </w:rPr>
        <w:t xml:space="preserve"> dysregulation, although its routine clinical application remains limited.</w:t>
      </w:r>
    </w:p>
    <w:p w14:paraId="217788A2" w14:textId="7E778172" w:rsidR="007C6521" w:rsidRPr="00C30F10" w:rsidRDefault="00C30F10" w:rsidP="00C30F10">
      <w:pPr>
        <w:spacing w:line="360" w:lineRule="auto"/>
        <w:jc w:val="both"/>
        <w:rPr>
          <w:lang w:val="en-ID"/>
        </w:rPr>
      </w:pPr>
      <w:r w:rsidRPr="00C30F10">
        <w:rPr>
          <w:lang w:val="en-ID"/>
        </w:rPr>
        <w:t>Based on these considerations, this study aimed to assess the diagnostic accuracy of plasma 1,5-Anhydroglucitol (1,5-AG) in identifying prediabetes among obese young adults. By comparing its performance with HbA1c as the reference standard, this study seeks to further clarify the potential utility of 1,5-AG as an additional biomarker for early detection in high-risk populations.</w:t>
      </w:r>
    </w:p>
    <w:p w14:paraId="01C16EC5" w14:textId="77777777" w:rsidR="007C6521" w:rsidRPr="000E6232" w:rsidRDefault="007C6521" w:rsidP="007C6521">
      <w:pPr>
        <w:rPr>
          <w:lang w:val="en-ID"/>
        </w:rPr>
      </w:pPr>
    </w:p>
    <w:p w14:paraId="74C32CB7" w14:textId="77777777" w:rsidR="007C6521" w:rsidRPr="000E6232" w:rsidRDefault="007C6521" w:rsidP="007C6521">
      <w:pPr>
        <w:pStyle w:val="Heading1"/>
        <w:spacing w:line="360" w:lineRule="auto"/>
        <w:rPr>
          <w:sz w:val="24"/>
          <w:szCs w:val="24"/>
        </w:rPr>
      </w:pPr>
      <w:r w:rsidRPr="000E6232">
        <w:rPr>
          <w:sz w:val="24"/>
          <w:szCs w:val="24"/>
        </w:rPr>
        <w:t>METHODS</w:t>
      </w:r>
    </w:p>
    <w:p w14:paraId="7E976EAD" w14:textId="77777777" w:rsidR="007C6521" w:rsidRPr="00C30F10" w:rsidRDefault="007C6521" w:rsidP="007C6521">
      <w:pPr>
        <w:rPr>
          <w:b/>
          <w:bCs/>
          <w:lang w:val="en-ID"/>
        </w:rPr>
      </w:pPr>
      <w:r w:rsidRPr="00C30F10">
        <w:rPr>
          <w:b/>
          <w:bCs/>
          <w:lang w:val="en-ID"/>
        </w:rPr>
        <w:t>Study Design and Setting</w:t>
      </w:r>
    </w:p>
    <w:p w14:paraId="127DDFE8" w14:textId="77777777" w:rsidR="007C6521" w:rsidRPr="00C30F10" w:rsidRDefault="007C6521" w:rsidP="007C6521">
      <w:pPr>
        <w:rPr>
          <w:lang w:val="en-ID"/>
        </w:rPr>
      </w:pPr>
      <w:r w:rsidRPr="00C30F10">
        <w:rPr>
          <w:lang w:val="en-ID"/>
        </w:rPr>
        <w:t xml:space="preserve">This diagnostic accuracy study was conducted over a six-month period at Dr. M. </w:t>
      </w:r>
      <w:proofErr w:type="spellStart"/>
      <w:r w:rsidRPr="00C30F10">
        <w:rPr>
          <w:lang w:val="en-ID"/>
        </w:rPr>
        <w:t>Djamil</w:t>
      </w:r>
      <w:proofErr w:type="spellEnd"/>
      <w:r w:rsidRPr="00C30F10">
        <w:rPr>
          <w:lang w:val="en-ID"/>
        </w:rPr>
        <w:t xml:space="preserve"> General Hospital, Padang, Indonesia. The study aimed to evaluate the diagnostic performance of plasma 1,5-Anhydroglucitol (1,5-AG) for detecting prediabetes among obese young adults.</w:t>
      </w:r>
    </w:p>
    <w:p w14:paraId="020380E8" w14:textId="77777777" w:rsidR="007C6521" w:rsidRPr="00C30F10" w:rsidRDefault="007C6521" w:rsidP="007C6521">
      <w:pPr>
        <w:rPr>
          <w:lang w:val="en-ID"/>
        </w:rPr>
      </w:pPr>
    </w:p>
    <w:p w14:paraId="5B74EB8B" w14:textId="77777777" w:rsidR="007C6521" w:rsidRPr="00C30F10" w:rsidRDefault="007C6521" w:rsidP="007C6521">
      <w:pPr>
        <w:rPr>
          <w:b/>
          <w:bCs/>
          <w:lang w:val="en-ID"/>
        </w:rPr>
      </w:pPr>
      <w:r w:rsidRPr="00C30F10">
        <w:rPr>
          <w:b/>
          <w:bCs/>
          <w:lang w:val="en-ID"/>
        </w:rPr>
        <w:t>Participants</w:t>
      </w:r>
    </w:p>
    <w:p w14:paraId="2F7D143B" w14:textId="77777777" w:rsidR="007C6521" w:rsidRPr="00C30F10" w:rsidRDefault="007C6521" w:rsidP="007C6521">
      <w:pPr>
        <w:jc w:val="both"/>
        <w:rPr>
          <w:lang w:val="en-ID"/>
        </w:rPr>
      </w:pPr>
      <w:r w:rsidRPr="00C30F10">
        <w:t>The study included obese adults aged 18–40 years who visited the Internal Medicine outpatient clinic throughout the study period.</w:t>
      </w:r>
      <w:r w:rsidRPr="00C30F10">
        <w:rPr>
          <w:lang w:val="en-ID"/>
        </w:rPr>
        <w:t xml:space="preserve"> Participants were recruited using incidental sampling.</w:t>
      </w:r>
    </w:p>
    <w:p w14:paraId="6C7DF904" w14:textId="77777777" w:rsidR="007C6521" w:rsidRPr="00C30F10" w:rsidRDefault="007C6521" w:rsidP="007C6521">
      <w:pPr>
        <w:jc w:val="both"/>
        <w:rPr>
          <w:lang w:val="en-ID"/>
        </w:rPr>
      </w:pPr>
      <w:r w:rsidRPr="00C30F10">
        <w:t>Participants were eligible if they were between 18 and 40 years of age, had a body mass index (BMI) above 25 kg/m², and provided consent to take part in the study.</w:t>
      </w:r>
      <w:r w:rsidRPr="00C30F10">
        <w:rPr>
          <w:lang w:val="en-ID"/>
        </w:rPr>
        <w:t xml:space="preserve"> The age range of 18–40 years was selected to represent young adults, a population increasingly affected by obesity-related metabolic disorders and at risk of early-onset </w:t>
      </w:r>
      <w:proofErr w:type="spellStart"/>
      <w:r w:rsidRPr="00C30F10">
        <w:rPr>
          <w:lang w:val="en-ID"/>
        </w:rPr>
        <w:t>dysglycemia</w:t>
      </w:r>
      <w:proofErr w:type="spellEnd"/>
      <w:r w:rsidRPr="00C30F10">
        <w:rPr>
          <w:lang w:val="en-ID"/>
        </w:rPr>
        <w:t>. Exclusion criteria included a prior history of prediabetes or diabetes mellitus, kidney disorders, the use of sodium-glucose cotransporter-2 (SGLT2) inhibitors or corticosteroids, and erythrocyte abnormalities.</w:t>
      </w:r>
    </w:p>
    <w:p w14:paraId="37C709A3" w14:textId="77777777" w:rsidR="007C6521" w:rsidRPr="00C30F10" w:rsidRDefault="007C6521" w:rsidP="007C6521">
      <w:pPr>
        <w:jc w:val="both"/>
        <w:rPr>
          <w:lang w:val="en-ID"/>
        </w:rPr>
      </w:pPr>
      <w:r w:rsidRPr="00C30F10">
        <w:rPr>
          <w:lang w:val="en-ID"/>
        </w:rPr>
        <w:t>Baseline characteristics were recorded, comprising demographic and clinical variables such as age, sex, family history of diabetes, waist circumference, body weight, height, and body mass index.</w:t>
      </w:r>
    </w:p>
    <w:p w14:paraId="69C97D5E" w14:textId="77777777" w:rsidR="007C6521" w:rsidRPr="00C30F10" w:rsidRDefault="007C6521" w:rsidP="007C6521">
      <w:pPr>
        <w:jc w:val="both"/>
        <w:rPr>
          <w:lang w:val="en-ID"/>
        </w:rPr>
      </w:pPr>
    </w:p>
    <w:p w14:paraId="71DB601A" w14:textId="77777777" w:rsidR="007C6521" w:rsidRPr="00C30F10" w:rsidRDefault="007C6521" w:rsidP="007C6521">
      <w:pPr>
        <w:jc w:val="both"/>
        <w:rPr>
          <w:lang w:val="en-ID"/>
        </w:rPr>
      </w:pPr>
    </w:p>
    <w:p w14:paraId="0802C74D" w14:textId="77777777" w:rsidR="007C6521" w:rsidRPr="00C30F10" w:rsidRDefault="007C6521" w:rsidP="007C6521">
      <w:pPr>
        <w:jc w:val="both"/>
        <w:rPr>
          <w:b/>
          <w:bCs/>
          <w:lang w:val="en-ID"/>
        </w:rPr>
      </w:pPr>
      <w:r w:rsidRPr="00C30F10">
        <w:rPr>
          <w:b/>
          <w:bCs/>
          <w:lang w:val="en-ID"/>
        </w:rPr>
        <w:t>Data Collection and Laboratory Examination</w:t>
      </w:r>
    </w:p>
    <w:p w14:paraId="6DA48034" w14:textId="77777777" w:rsidR="007C6521" w:rsidRPr="00C30F10" w:rsidRDefault="007C6521" w:rsidP="007C6521">
      <w:pPr>
        <w:jc w:val="both"/>
        <w:rPr>
          <w:lang w:val="en-ID"/>
        </w:rPr>
      </w:pPr>
      <w:r w:rsidRPr="00C30F10">
        <w:rPr>
          <w:lang w:val="en-ID"/>
        </w:rPr>
        <w:t xml:space="preserve">Venous blood samples (6 mL) were obtained from each participant for the measurement of glycated </w:t>
      </w:r>
      <w:proofErr w:type="spellStart"/>
      <w:r w:rsidRPr="00C30F10">
        <w:rPr>
          <w:lang w:val="en-ID"/>
        </w:rPr>
        <w:t>hemoglobin</w:t>
      </w:r>
      <w:proofErr w:type="spellEnd"/>
      <w:r w:rsidRPr="00C30F10">
        <w:rPr>
          <w:lang w:val="en-ID"/>
        </w:rPr>
        <w:t xml:space="preserve"> (HbA1c) and plasma 1,5-Anhydroglucitol (1,5-AG) levels. These measurements were used to assess the </w:t>
      </w:r>
      <w:proofErr w:type="spellStart"/>
      <w:r w:rsidRPr="00C30F10">
        <w:rPr>
          <w:lang w:val="en-ID"/>
        </w:rPr>
        <w:t>glycemic</w:t>
      </w:r>
      <w:proofErr w:type="spellEnd"/>
      <w:r w:rsidRPr="00C30F10">
        <w:rPr>
          <w:lang w:val="en-ID"/>
        </w:rPr>
        <w:t xml:space="preserve"> status of the participants.</w:t>
      </w:r>
    </w:p>
    <w:p w14:paraId="5AD743AC" w14:textId="77777777" w:rsidR="007C6521" w:rsidRPr="00C30F10" w:rsidRDefault="007C6521" w:rsidP="007C6521">
      <w:pPr>
        <w:jc w:val="both"/>
        <w:rPr>
          <w:lang w:val="en-ID"/>
        </w:rPr>
      </w:pPr>
      <w:r w:rsidRPr="00C30F10">
        <w:t xml:space="preserve">All laboratory examinations were performed at the Clinical Pathology Laboratory of Dr. M. </w:t>
      </w:r>
      <w:proofErr w:type="spellStart"/>
      <w:r w:rsidRPr="00C30F10">
        <w:t>Djamil</w:t>
      </w:r>
      <w:proofErr w:type="spellEnd"/>
      <w:r w:rsidRPr="00C30F10">
        <w:t xml:space="preserve"> General Hospital, Padang. HbA1c was measured using a standardized NGSP-certified laboratory method, while plasma 1,5-Anhydroglucitol levels were measured using a commercially available enzymatic assay kit, following the manufacturer’s instructions. All samples were analyzed under standardized laboratory conditions, with acceptable intra- and inter-assay variability according to laboratory quality control standards.</w:t>
      </w:r>
    </w:p>
    <w:p w14:paraId="0F4C1632" w14:textId="77777777" w:rsidR="007C6521" w:rsidRPr="00C30F10" w:rsidRDefault="007C6521" w:rsidP="007C6521">
      <w:pPr>
        <w:jc w:val="both"/>
        <w:rPr>
          <w:lang w:val="en-ID"/>
        </w:rPr>
      </w:pPr>
    </w:p>
    <w:p w14:paraId="74FC478A" w14:textId="77777777" w:rsidR="007C6521" w:rsidRPr="00C30F10" w:rsidRDefault="007C6521" w:rsidP="007C6521">
      <w:pPr>
        <w:jc w:val="both"/>
        <w:rPr>
          <w:b/>
          <w:bCs/>
          <w:lang w:val="en-ID"/>
        </w:rPr>
      </w:pPr>
      <w:r w:rsidRPr="00C30F10">
        <w:rPr>
          <w:b/>
          <w:bCs/>
          <w:lang w:val="en-ID"/>
        </w:rPr>
        <w:lastRenderedPageBreak/>
        <w:t>Reference Standard and Diagnostic Analysis</w:t>
      </w:r>
    </w:p>
    <w:p w14:paraId="0D516F00" w14:textId="77777777" w:rsidR="007C6521" w:rsidRPr="00C30F10" w:rsidRDefault="007C6521" w:rsidP="007C6521">
      <w:pPr>
        <w:jc w:val="both"/>
        <w:rPr>
          <w:lang w:val="en-ID"/>
        </w:rPr>
      </w:pPr>
      <w:r w:rsidRPr="00C30F10">
        <w:rPr>
          <w:lang w:val="en-ID"/>
        </w:rPr>
        <w:t>HbA1c was used as the reference standard for the classification of prediabetes, due to its widespread clinical acceptance, despite recognized limitations in certain clinical conditions. Descriptive analysis was performed to summarize the baseline characteristics of the participants.</w:t>
      </w:r>
    </w:p>
    <w:p w14:paraId="3E12FF29" w14:textId="77777777" w:rsidR="001434A0" w:rsidRPr="00C30F10" w:rsidRDefault="001434A0" w:rsidP="001434A0">
      <w:pPr>
        <w:jc w:val="both"/>
        <w:rPr>
          <w:lang w:val="en-ID"/>
        </w:rPr>
      </w:pPr>
      <w:r w:rsidRPr="00C30F10">
        <w:rPr>
          <w:lang w:val="en-ID"/>
        </w:rPr>
        <w:t>The diagnostic accuracy of plasma 1,5-Anhydroglucitol was assessed by determining sensitivity, specificity, and both positive and negative predictive values (PPV and NPV) based on a 2 × 2 contingency table comparing 1,5-AG measurements with HbA1c-based classification.</w:t>
      </w:r>
    </w:p>
    <w:p w14:paraId="34991A5C" w14:textId="77777777" w:rsidR="007C6521" w:rsidRPr="000E6232" w:rsidRDefault="007C6521" w:rsidP="007C6521">
      <w:pPr>
        <w:jc w:val="both"/>
        <w:rPr>
          <w:lang w:val="en-ID"/>
        </w:rPr>
      </w:pPr>
    </w:p>
    <w:p w14:paraId="7094F830" w14:textId="77777777" w:rsidR="007C6521" w:rsidRPr="000E6232" w:rsidRDefault="007C6521" w:rsidP="007C6521">
      <w:pPr>
        <w:jc w:val="both"/>
        <w:rPr>
          <w:b/>
          <w:bCs/>
          <w:lang w:val="en-ID"/>
        </w:rPr>
      </w:pPr>
      <w:r w:rsidRPr="000E6232">
        <w:rPr>
          <w:b/>
          <w:bCs/>
          <w:lang w:val="en-ID"/>
        </w:rPr>
        <w:t>Ethical Considerations</w:t>
      </w:r>
    </w:p>
    <w:p w14:paraId="1E022F31" w14:textId="12790B2E" w:rsidR="007C6521" w:rsidRPr="000E6232" w:rsidRDefault="007C6521" w:rsidP="007C6521">
      <w:pPr>
        <w:jc w:val="both"/>
        <w:rPr>
          <w:lang w:val="en-ID"/>
        </w:rPr>
      </w:pPr>
      <w:r w:rsidRPr="000E6232">
        <w:rPr>
          <w:lang w:val="en-ID"/>
        </w:rPr>
        <w:t xml:space="preserve">This study was approved by an institutional health research ethics committee (Approval No. DP.04.03/D.XVI.XI/622/2023). </w:t>
      </w:r>
      <w:r w:rsidR="00E014F1">
        <w:rPr>
          <w:lang w:val="en-ID"/>
        </w:rPr>
        <w:t>A</w:t>
      </w:r>
      <w:proofErr w:type="spellStart"/>
      <w:r w:rsidR="00E014F1" w:rsidRPr="00E014F1">
        <w:t>ll</w:t>
      </w:r>
      <w:proofErr w:type="spellEnd"/>
      <w:r w:rsidR="00E014F1" w:rsidRPr="00E014F1">
        <w:t xml:space="preserve"> participants were fully informed about the study and provided written informed consent before enrollment. Participation was voluntary, and all study-related expenses were borne by the researchers.</w:t>
      </w:r>
    </w:p>
    <w:p w14:paraId="54D9380D" w14:textId="77777777" w:rsidR="007C6521" w:rsidRPr="000E6232" w:rsidRDefault="007C6521" w:rsidP="007C6521">
      <w:pPr>
        <w:jc w:val="both"/>
      </w:pPr>
    </w:p>
    <w:p w14:paraId="2C482EFA" w14:textId="77777777" w:rsidR="007C6521" w:rsidRPr="000E6232" w:rsidRDefault="007C6521" w:rsidP="007C6521"/>
    <w:p w14:paraId="683F0802" w14:textId="77777777" w:rsidR="007C6521" w:rsidRPr="000E6232" w:rsidRDefault="007C6521" w:rsidP="007C6521">
      <w:pPr>
        <w:pStyle w:val="Heading1"/>
        <w:spacing w:line="360" w:lineRule="auto"/>
        <w:ind w:firstLine="142"/>
        <w:rPr>
          <w:sz w:val="24"/>
          <w:szCs w:val="24"/>
        </w:rPr>
      </w:pPr>
      <w:r w:rsidRPr="000E6232">
        <w:rPr>
          <w:sz w:val="24"/>
          <w:szCs w:val="24"/>
        </w:rPr>
        <w:t>RESULTS AND DISCUSSION</w:t>
      </w:r>
    </w:p>
    <w:p w14:paraId="552310BD" w14:textId="77777777" w:rsidR="007C6521" w:rsidRPr="000E6232" w:rsidRDefault="007C6521" w:rsidP="007C6521">
      <w:pPr>
        <w:spacing w:line="360" w:lineRule="auto"/>
        <w:ind w:left="142"/>
        <w:jc w:val="both"/>
        <w:rPr>
          <w:b/>
          <w:bCs/>
          <w:sz w:val="20"/>
          <w:szCs w:val="20"/>
          <w:lang w:val="en-ID"/>
        </w:rPr>
      </w:pPr>
      <w:r w:rsidRPr="000E6232">
        <w:rPr>
          <w:b/>
          <w:bCs/>
          <w:sz w:val="20"/>
          <w:szCs w:val="20"/>
          <w:lang w:val="en-ID"/>
        </w:rPr>
        <w:t>Baseline Characteristics of the Study Population</w:t>
      </w:r>
    </w:p>
    <w:p w14:paraId="3D45FE99" w14:textId="12B9887A" w:rsidR="007C6521" w:rsidRPr="000E6232" w:rsidRDefault="007C6521" w:rsidP="007C6521">
      <w:pPr>
        <w:spacing w:line="360" w:lineRule="auto"/>
        <w:ind w:left="142"/>
        <w:jc w:val="both"/>
        <w:rPr>
          <w:b/>
          <w:bCs/>
          <w:sz w:val="20"/>
          <w:szCs w:val="20"/>
          <w:lang w:val="en-ID"/>
        </w:rPr>
      </w:pPr>
      <w:r w:rsidRPr="000E6232">
        <w:rPr>
          <w:sz w:val="20"/>
          <w:szCs w:val="20"/>
        </w:rPr>
        <w:t xml:space="preserve">A total of 143 obese young adults were included in this study. </w:t>
      </w:r>
      <w:r w:rsidR="008B18C2" w:rsidRPr="000E6232">
        <w:rPr>
          <w:sz w:val="20"/>
          <w:szCs w:val="20"/>
        </w:rPr>
        <w:t>The participants’ baseline demographic and clinical profiles are summarized in Table 1.</w:t>
      </w:r>
      <w:r w:rsidRPr="000E6232">
        <w:rPr>
          <w:sz w:val="20"/>
          <w:szCs w:val="20"/>
        </w:rPr>
        <w:t xml:space="preserve"> Overall, the study population consisted predominantly of young adults with obesity, most of whom demonstrated central adiposity based on waist circumference measurements.</w:t>
      </w:r>
    </w:p>
    <w:p w14:paraId="4145088D" w14:textId="77777777" w:rsidR="007C6521" w:rsidRPr="000E6232" w:rsidRDefault="007C6521" w:rsidP="007C6521">
      <w:pPr>
        <w:spacing w:line="360" w:lineRule="auto"/>
        <w:ind w:firstLine="142"/>
        <w:rPr>
          <w:b/>
          <w:bCs/>
          <w:sz w:val="20"/>
          <w:szCs w:val="20"/>
          <w:lang w:val="en-ID"/>
        </w:rPr>
      </w:pPr>
      <w:r w:rsidRPr="000E6232">
        <w:rPr>
          <w:b/>
          <w:bCs/>
          <w:sz w:val="20"/>
          <w:szCs w:val="20"/>
          <w:lang w:val="en-ID"/>
        </w:rPr>
        <w:t xml:space="preserve">Table 1. </w:t>
      </w:r>
      <w:r w:rsidRPr="000E6232">
        <w:rPr>
          <w:sz w:val="20"/>
          <w:szCs w:val="20"/>
          <w:lang w:val="en-ID"/>
        </w:rPr>
        <w:t xml:space="preserve"> </w:t>
      </w:r>
      <w:r w:rsidRPr="000E6232">
        <w:rPr>
          <w:sz w:val="20"/>
          <w:szCs w:val="20"/>
        </w:rPr>
        <w:t>Baseline Characteristics of the Study Population</w:t>
      </w:r>
    </w:p>
    <w:tbl>
      <w:tblPr>
        <w:tblStyle w:val="TableGrid"/>
        <w:tblW w:w="0" w:type="auto"/>
        <w:tblInd w:w="142"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1843"/>
        <w:gridCol w:w="2268"/>
        <w:gridCol w:w="1503"/>
      </w:tblGrid>
      <w:tr w:rsidR="007C6521" w:rsidRPr="000E6232" w14:paraId="2995B512" w14:textId="77777777" w:rsidTr="003B20F2">
        <w:tc>
          <w:tcPr>
            <w:tcW w:w="3260" w:type="dxa"/>
            <w:tcBorders>
              <w:top w:val="single" w:sz="4" w:space="0" w:color="auto"/>
              <w:bottom w:val="single" w:sz="4" w:space="0" w:color="auto"/>
            </w:tcBorders>
            <w:vAlign w:val="center"/>
          </w:tcPr>
          <w:p w14:paraId="1065E251" w14:textId="77777777" w:rsidR="007C6521" w:rsidRPr="000E6232" w:rsidRDefault="007C6521" w:rsidP="003B20F2">
            <w:pPr>
              <w:spacing w:line="360" w:lineRule="auto"/>
              <w:jc w:val="both"/>
              <w:rPr>
                <w:sz w:val="24"/>
                <w:szCs w:val="24"/>
                <w:lang w:val="en-ID"/>
              </w:rPr>
            </w:pPr>
            <w:r w:rsidRPr="000E6232">
              <w:rPr>
                <w:b/>
                <w:bCs/>
                <w:sz w:val="24"/>
                <w:szCs w:val="24"/>
              </w:rPr>
              <w:t>Characteristics</w:t>
            </w:r>
          </w:p>
        </w:tc>
        <w:tc>
          <w:tcPr>
            <w:tcW w:w="1843" w:type="dxa"/>
            <w:tcBorders>
              <w:top w:val="single" w:sz="4" w:space="0" w:color="auto"/>
              <w:bottom w:val="single" w:sz="4" w:space="0" w:color="auto"/>
            </w:tcBorders>
            <w:vAlign w:val="center"/>
          </w:tcPr>
          <w:p w14:paraId="2FA7EFC7" w14:textId="77777777" w:rsidR="007C6521" w:rsidRPr="000E6232" w:rsidRDefault="007C6521" w:rsidP="003B20F2">
            <w:pPr>
              <w:spacing w:line="360" w:lineRule="auto"/>
              <w:jc w:val="both"/>
              <w:rPr>
                <w:sz w:val="24"/>
                <w:szCs w:val="24"/>
                <w:lang w:val="en-ID"/>
              </w:rPr>
            </w:pPr>
            <w:r w:rsidRPr="000E6232">
              <w:rPr>
                <w:b/>
                <w:bCs/>
                <w:sz w:val="24"/>
                <w:szCs w:val="24"/>
              </w:rPr>
              <w:t>n (%)</w:t>
            </w:r>
          </w:p>
        </w:tc>
        <w:tc>
          <w:tcPr>
            <w:tcW w:w="2268" w:type="dxa"/>
            <w:tcBorders>
              <w:top w:val="single" w:sz="4" w:space="0" w:color="auto"/>
              <w:bottom w:val="single" w:sz="4" w:space="0" w:color="auto"/>
            </w:tcBorders>
            <w:vAlign w:val="center"/>
          </w:tcPr>
          <w:p w14:paraId="58A68187" w14:textId="77777777" w:rsidR="007C6521" w:rsidRPr="000E6232" w:rsidRDefault="007C6521" w:rsidP="003B20F2">
            <w:pPr>
              <w:spacing w:line="360" w:lineRule="auto"/>
              <w:jc w:val="both"/>
              <w:rPr>
                <w:sz w:val="24"/>
                <w:szCs w:val="24"/>
                <w:lang w:val="en-ID"/>
              </w:rPr>
            </w:pPr>
            <w:r w:rsidRPr="000E6232">
              <w:rPr>
                <w:b/>
                <w:bCs/>
                <w:sz w:val="24"/>
                <w:szCs w:val="24"/>
              </w:rPr>
              <w:t>Mean (SD)</w:t>
            </w:r>
          </w:p>
        </w:tc>
        <w:tc>
          <w:tcPr>
            <w:tcW w:w="1503" w:type="dxa"/>
            <w:tcBorders>
              <w:top w:val="single" w:sz="4" w:space="0" w:color="auto"/>
              <w:bottom w:val="single" w:sz="4" w:space="0" w:color="auto"/>
            </w:tcBorders>
            <w:vAlign w:val="center"/>
          </w:tcPr>
          <w:p w14:paraId="06C408E4" w14:textId="77777777" w:rsidR="007C6521" w:rsidRPr="000E6232" w:rsidRDefault="007C6521" w:rsidP="003B20F2">
            <w:pPr>
              <w:spacing w:line="360" w:lineRule="auto"/>
              <w:jc w:val="both"/>
              <w:rPr>
                <w:sz w:val="24"/>
                <w:szCs w:val="24"/>
                <w:lang w:val="en-ID"/>
              </w:rPr>
            </w:pPr>
            <w:r w:rsidRPr="000E6232">
              <w:rPr>
                <w:b/>
                <w:bCs/>
                <w:sz w:val="24"/>
                <w:szCs w:val="24"/>
              </w:rPr>
              <w:t>p</w:t>
            </w:r>
          </w:p>
        </w:tc>
      </w:tr>
      <w:tr w:rsidR="007C6521" w:rsidRPr="000E6232" w14:paraId="5413007F" w14:textId="77777777" w:rsidTr="003B20F2">
        <w:tc>
          <w:tcPr>
            <w:tcW w:w="3260" w:type="dxa"/>
            <w:tcBorders>
              <w:top w:val="single" w:sz="4" w:space="0" w:color="auto"/>
              <w:bottom w:val="single" w:sz="4" w:space="0" w:color="auto"/>
            </w:tcBorders>
            <w:vAlign w:val="center"/>
          </w:tcPr>
          <w:p w14:paraId="6F504DC0" w14:textId="77777777" w:rsidR="007C6521" w:rsidRPr="000E6232" w:rsidRDefault="007C6521" w:rsidP="003B20F2">
            <w:pPr>
              <w:spacing w:line="360" w:lineRule="auto"/>
              <w:jc w:val="both"/>
              <w:rPr>
                <w:sz w:val="24"/>
                <w:szCs w:val="24"/>
                <w:lang w:val="en-ID"/>
              </w:rPr>
            </w:pPr>
            <w:r w:rsidRPr="000E6232">
              <w:rPr>
                <w:b/>
                <w:bCs/>
                <w:sz w:val="24"/>
                <w:szCs w:val="24"/>
              </w:rPr>
              <w:t>Gender</w:t>
            </w:r>
          </w:p>
        </w:tc>
        <w:tc>
          <w:tcPr>
            <w:tcW w:w="1843" w:type="dxa"/>
            <w:tcBorders>
              <w:top w:val="single" w:sz="4" w:space="0" w:color="auto"/>
              <w:bottom w:val="single" w:sz="4" w:space="0" w:color="auto"/>
            </w:tcBorders>
            <w:vAlign w:val="center"/>
          </w:tcPr>
          <w:p w14:paraId="76C3B343" w14:textId="77777777" w:rsidR="007C6521" w:rsidRPr="000E6232" w:rsidRDefault="007C6521" w:rsidP="003B20F2">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4CC0FC90" w14:textId="77777777" w:rsidR="007C6521" w:rsidRPr="000E6232" w:rsidRDefault="007C6521" w:rsidP="003B20F2">
            <w:pPr>
              <w:spacing w:line="360" w:lineRule="auto"/>
              <w:jc w:val="both"/>
              <w:rPr>
                <w:sz w:val="24"/>
                <w:szCs w:val="24"/>
                <w:lang w:val="en-ID"/>
              </w:rPr>
            </w:pPr>
          </w:p>
        </w:tc>
        <w:tc>
          <w:tcPr>
            <w:tcW w:w="1503" w:type="dxa"/>
            <w:tcBorders>
              <w:top w:val="single" w:sz="4" w:space="0" w:color="auto"/>
              <w:bottom w:val="single" w:sz="4" w:space="0" w:color="auto"/>
            </w:tcBorders>
            <w:vAlign w:val="center"/>
          </w:tcPr>
          <w:p w14:paraId="22A5F775" w14:textId="77777777" w:rsidR="007C6521" w:rsidRPr="000E6232" w:rsidRDefault="007C6521" w:rsidP="003B20F2">
            <w:pPr>
              <w:spacing w:line="360" w:lineRule="auto"/>
              <w:jc w:val="both"/>
              <w:rPr>
                <w:sz w:val="24"/>
                <w:szCs w:val="24"/>
                <w:lang w:val="en-ID"/>
              </w:rPr>
            </w:pPr>
            <w:r w:rsidRPr="000E6232">
              <w:rPr>
                <w:sz w:val="24"/>
                <w:szCs w:val="24"/>
              </w:rPr>
              <w:t>0.656</w:t>
            </w:r>
          </w:p>
        </w:tc>
      </w:tr>
      <w:tr w:rsidR="007C6521" w:rsidRPr="000E6232" w14:paraId="24A0207F" w14:textId="77777777" w:rsidTr="003B20F2">
        <w:tc>
          <w:tcPr>
            <w:tcW w:w="3260" w:type="dxa"/>
            <w:tcBorders>
              <w:top w:val="single" w:sz="4" w:space="0" w:color="auto"/>
            </w:tcBorders>
            <w:vAlign w:val="center"/>
          </w:tcPr>
          <w:p w14:paraId="7806DC6E" w14:textId="77777777" w:rsidR="007C6521" w:rsidRPr="000E6232" w:rsidRDefault="007C6521" w:rsidP="003B20F2">
            <w:pPr>
              <w:spacing w:line="360" w:lineRule="auto"/>
              <w:jc w:val="both"/>
              <w:rPr>
                <w:sz w:val="24"/>
                <w:szCs w:val="24"/>
                <w:lang w:val="en-ID"/>
              </w:rPr>
            </w:pPr>
            <w:r w:rsidRPr="000E6232">
              <w:rPr>
                <w:sz w:val="24"/>
                <w:szCs w:val="24"/>
              </w:rPr>
              <w:t>Male</w:t>
            </w:r>
          </w:p>
        </w:tc>
        <w:tc>
          <w:tcPr>
            <w:tcW w:w="1843" w:type="dxa"/>
            <w:tcBorders>
              <w:top w:val="single" w:sz="4" w:space="0" w:color="auto"/>
            </w:tcBorders>
            <w:vAlign w:val="center"/>
          </w:tcPr>
          <w:p w14:paraId="3A434F10" w14:textId="77777777" w:rsidR="007C6521" w:rsidRPr="000E6232" w:rsidRDefault="007C6521" w:rsidP="003B20F2">
            <w:pPr>
              <w:spacing w:line="360" w:lineRule="auto"/>
              <w:jc w:val="both"/>
              <w:rPr>
                <w:sz w:val="24"/>
                <w:szCs w:val="24"/>
                <w:lang w:val="en-ID"/>
              </w:rPr>
            </w:pPr>
            <w:r w:rsidRPr="000E6232">
              <w:rPr>
                <w:sz w:val="24"/>
                <w:szCs w:val="24"/>
              </w:rPr>
              <w:t>79 (55.2)</w:t>
            </w:r>
          </w:p>
        </w:tc>
        <w:tc>
          <w:tcPr>
            <w:tcW w:w="2268" w:type="dxa"/>
            <w:tcBorders>
              <w:top w:val="single" w:sz="4" w:space="0" w:color="auto"/>
            </w:tcBorders>
            <w:vAlign w:val="center"/>
          </w:tcPr>
          <w:p w14:paraId="433CF041" w14:textId="77777777" w:rsidR="007C6521" w:rsidRPr="000E6232" w:rsidRDefault="007C6521" w:rsidP="003B20F2">
            <w:pPr>
              <w:spacing w:line="360" w:lineRule="auto"/>
              <w:jc w:val="both"/>
              <w:rPr>
                <w:sz w:val="24"/>
                <w:szCs w:val="24"/>
                <w:lang w:val="en-ID"/>
              </w:rPr>
            </w:pPr>
          </w:p>
        </w:tc>
        <w:tc>
          <w:tcPr>
            <w:tcW w:w="1503" w:type="dxa"/>
            <w:tcBorders>
              <w:top w:val="single" w:sz="4" w:space="0" w:color="auto"/>
            </w:tcBorders>
            <w:vAlign w:val="center"/>
          </w:tcPr>
          <w:p w14:paraId="13D9C67B" w14:textId="77777777" w:rsidR="007C6521" w:rsidRPr="000E6232" w:rsidRDefault="007C6521" w:rsidP="003B20F2">
            <w:pPr>
              <w:spacing w:line="360" w:lineRule="auto"/>
              <w:jc w:val="both"/>
              <w:rPr>
                <w:sz w:val="24"/>
                <w:szCs w:val="24"/>
                <w:lang w:val="en-ID"/>
              </w:rPr>
            </w:pPr>
          </w:p>
        </w:tc>
      </w:tr>
      <w:tr w:rsidR="007C6521" w:rsidRPr="000E6232" w14:paraId="5D5C0090" w14:textId="77777777" w:rsidTr="003B20F2">
        <w:tc>
          <w:tcPr>
            <w:tcW w:w="3260" w:type="dxa"/>
            <w:tcBorders>
              <w:bottom w:val="single" w:sz="4" w:space="0" w:color="auto"/>
            </w:tcBorders>
            <w:vAlign w:val="center"/>
          </w:tcPr>
          <w:p w14:paraId="2E0B6A60" w14:textId="77777777" w:rsidR="007C6521" w:rsidRPr="000E6232" w:rsidRDefault="007C6521" w:rsidP="003B20F2">
            <w:pPr>
              <w:spacing w:line="360" w:lineRule="auto"/>
              <w:jc w:val="both"/>
              <w:rPr>
                <w:sz w:val="24"/>
                <w:szCs w:val="24"/>
                <w:lang w:val="en-ID"/>
              </w:rPr>
            </w:pPr>
            <w:r w:rsidRPr="000E6232">
              <w:rPr>
                <w:sz w:val="24"/>
                <w:szCs w:val="24"/>
              </w:rPr>
              <w:t>Female</w:t>
            </w:r>
          </w:p>
        </w:tc>
        <w:tc>
          <w:tcPr>
            <w:tcW w:w="1843" w:type="dxa"/>
            <w:tcBorders>
              <w:bottom w:val="single" w:sz="4" w:space="0" w:color="auto"/>
            </w:tcBorders>
            <w:vAlign w:val="center"/>
          </w:tcPr>
          <w:p w14:paraId="06FCAE3C" w14:textId="77777777" w:rsidR="007C6521" w:rsidRPr="000E6232" w:rsidRDefault="007C6521" w:rsidP="003B20F2">
            <w:pPr>
              <w:spacing w:line="360" w:lineRule="auto"/>
              <w:jc w:val="both"/>
              <w:rPr>
                <w:sz w:val="24"/>
                <w:szCs w:val="24"/>
                <w:lang w:val="en-ID"/>
              </w:rPr>
            </w:pPr>
            <w:r w:rsidRPr="000E6232">
              <w:rPr>
                <w:sz w:val="24"/>
                <w:szCs w:val="24"/>
              </w:rPr>
              <w:t>64 (44.8)</w:t>
            </w:r>
          </w:p>
        </w:tc>
        <w:tc>
          <w:tcPr>
            <w:tcW w:w="2268" w:type="dxa"/>
            <w:tcBorders>
              <w:bottom w:val="single" w:sz="4" w:space="0" w:color="auto"/>
            </w:tcBorders>
            <w:vAlign w:val="center"/>
          </w:tcPr>
          <w:p w14:paraId="26B4E09B" w14:textId="77777777" w:rsidR="007C6521" w:rsidRPr="000E6232" w:rsidRDefault="007C6521" w:rsidP="003B20F2">
            <w:pPr>
              <w:spacing w:line="360" w:lineRule="auto"/>
              <w:jc w:val="both"/>
              <w:rPr>
                <w:sz w:val="24"/>
                <w:szCs w:val="24"/>
                <w:lang w:val="en-ID"/>
              </w:rPr>
            </w:pPr>
          </w:p>
        </w:tc>
        <w:tc>
          <w:tcPr>
            <w:tcW w:w="1503" w:type="dxa"/>
            <w:tcBorders>
              <w:bottom w:val="single" w:sz="4" w:space="0" w:color="auto"/>
            </w:tcBorders>
            <w:vAlign w:val="center"/>
          </w:tcPr>
          <w:p w14:paraId="0419659E" w14:textId="77777777" w:rsidR="007C6521" w:rsidRPr="000E6232" w:rsidRDefault="007C6521" w:rsidP="003B20F2">
            <w:pPr>
              <w:spacing w:line="360" w:lineRule="auto"/>
              <w:jc w:val="both"/>
              <w:rPr>
                <w:sz w:val="24"/>
                <w:szCs w:val="24"/>
                <w:lang w:val="en-ID"/>
              </w:rPr>
            </w:pPr>
          </w:p>
        </w:tc>
      </w:tr>
      <w:tr w:rsidR="007C6521" w:rsidRPr="000E6232" w14:paraId="1AB2A1FF" w14:textId="77777777" w:rsidTr="003B20F2">
        <w:tc>
          <w:tcPr>
            <w:tcW w:w="3260" w:type="dxa"/>
            <w:tcBorders>
              <w:top w:val="single" w:sz="4" w:space="0" w:color="auto"/>
              <w:bottom w:val="single" w:sz="4" w:space="0" w:color="auto"/>
            </w:tcBorders>
            <w:vAlign w:val="center"/>
          </w:tcPr>
          <w:p w14:paraId="2D8E8DEC" w14:textId="77777777" w:rsidR="007C6521" w:rsidRPr="000E6232" w:rsidRDefault="007C6521" w:rsidP="003B20F2">
            <w:pPr>
              <w:spacing w:line="360" w:lineRule="auto"/>
              <w:jc w:val="both"/>
              <w:rPr>
                <w:sz w:val="24"/>
                <w:szCs w:val="24"/>
                <w:lang w:val="en-ID"/>
              </w:rPr>
            </w:pPr>
            <w:r w:rsidRPr="000E6232">
              <w:rPr>
                <w:b/>
                <w:bCs/>
                <w:sz w:val="24"/>
                <w:szCs w:val="24"/>
              </w:rPr>
              <w:t>Age (years)</w:t>
            </w:r>
          </w:p>
        </w:tc>
        <w:tc>
          <w:tcPr>
            <w:tcW w:w="1843" w:type="dxa"/>
            <w:tcBorders>
              <w:top w:val="single" w:sz="4" w:space="0" w:color="auto"/>
              <w:bottom w:val="single" w:sz="4" w:space="0" w:color="auto"/>
            </w:tcBorders>
            <w:vAlign w:val="center"/>
          </w:tcPr>
          <w:p w14:paraId="50E76901" w14:textId="77777777" w:rsidR="007C6521" w:rsidRPr="000E6232" w:rsidRDefault="007C6521" w:rsidP="003B20F2">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58B43623" w14:textId="77777777" w:rsidR="007C6521" w:rsidRPr="000E6232" w:rsidRDefault="007C6521" w:rsidP="003B20F2">
            <w:pPr>
              <w:spacing w:line="360" w:lineRule="auto"/>
              <w:jc w:val="both"/>
              <w:rPr>
                <w:sz w:val="24"/>
                <w:szCs w:val="24"/>
                <w:lang w:val="en-ID"/>
              </w:rPr>
            </w:pPr>
            <w:r w:rsidRPr="000E6232">
              <w:rPr>
                <w:sz w:val="24"/>
                <w:szCs w:val="24"/>
              </w:rPr>
              <w:t>30.4 (3.88)</w:t>
            </w:r>
          </w:p>
        </w:tc>
        <w:tc>
          <w:tcPr>
            <w:tcW w:w="1503" w:type="dxa"/>
            <w:tcBorders>
              <w:top w:val="single" w:sz="4" w:space="0" w:color="auto"/>
              <w:bottom w:val="single" w:sz="4" w:space="0" w:color="auto"/>
            </w:tcBorders>
            <w:vAlign w:val="center"/>
          </w:tcPr>
          <w:p w14:paraId="148DB056" w14:textId="77777777" w:rsidR="007C6521" w:rsidRPr="000E6232" w:rsidRDefault="007C6521" w:rsidP="003B20F2">
            <w:pPr>
              <w:spacing w:line="360" w:lineRule="auto"/>
              <w:jc w:val="both"/>
              <w:rPr>
                <w:sz w:val="24"/>
                <w:szCs w:val="24"/>
                <w:lang w:val="en-ID"/>
              </w:rPr>
            </w:pPr>
            <w:r w:rsidRPr="000E6232">
              <w:rPr>
                <w:sz w:val="24"/>
                <w:szCs w:val="24"/>
              </w:rPr>
              <w:t>0.007</w:t>
            </w:r>
          </w:p>
        </w:tc>
      </w:tr>
      <w:tr w:rsidR="007C6521" w:rsidRPr="000E6232" w14:paraId="6A08FACB" w14:textId="77777777" w:rsidTr="003B20F2">
        <w:tc>
          <w:tcPr>
            <w:tcW w:w="3260" w:type="dxa"/>
            <w:tcBorders>
              <w:top w:val="single" w:sz="4" w:space="0" w:color="auto"/>
            </w:tcBorders>
            <w:vAlign w:val="center"/>
          </w:tcPr>
          <w:p w14:paraId="51FD6371" w14:textId="77777777" w:rsidR="007C6521" w:rsidRPr="000E6232" w:rsidRDefault="007C6521" w:rsidP="003B20F2">
            <w:pPr>
              <w:spacing w:line="360" w:lineRule="auto"/>
              <w:jc w:val="both"/>
              <w:rPr>
                <w:sz w:val="24"/>
                <w:szCs w:val="24"/>
                <w:lang w:val="en-ID"/>
              </w:rPr>
            </w:pPr>
            <w:r w:rsidRPr="000E6232">
              <w:rPr>
                <w:sz w:val="24"/>
                <w:szCs w:val="24"/>
              </w:rPr>
              <w:t>18–24</w:t>
            </w:r>
          </w:p>
        </w:tc>
        <w:tc>
          <w:tcPr>
            <w:tcW w:w="1843" w:type="dxa"/>
            <w:tcBorders>
              <w:top w:val="single" w:sz="4" w:space="0" w:color="auto"/>
            </w:tcBorders>
            <w:vAlign w:val="center"/>
          </w:tcPr>
          <w:p w14:paraId="00DCBB8C" w14:textId="77777777" w:rsidR="007C6521" w:rsidRPr="000E6232" w:rsidRDefault="007C6521" w:rsidP="003B20F2">
            <w:pPr>
              <w:spacing w:line="360" w:lineRule="auto"/>
              <w:jc w:val="both"/>
              <w:rPr>
                <w:sz w:val="24"/>
                <w:szCs w:val="24"/>
                <w:lang w:val="en-ID"/>
              </w:rPr>
            </w:pPr>
            <w:r w:rsidRPr="000E6232">
              <w:rPr>
                <w:sz w:val="24"/>
                <w:szCs w:val="24"/>
              </w:rPr>
              <w:t>12 (8.39)</w:t>
            </w:r>
          </w:p>
        </w:tc>
        <w:tc>
          <w:tcPr>
            <w:tcW w:w="2268" w:type="dxa"/>
            <w:tcBorders>
              <w:top w:val="single" w:sz="4" w:space="0" w:color="auto"/>
            </w:tcBorders>
            <w:vAlign w:val="center"/>
          </w:tcPr>
          <w:p w14:paraId="2F13A701" w14:textId="77777777" w:rsidR="007C6521" w:rsidRPr="000E6232" w:rsidRDefault="007C6521" w:rsidP="003B20F2">
            <w:pPr>
              <w:spacing w:line="360" w:lineRule="auto"/>
              <w:jc w:val="both"/>
              <w:rPr>
                <w:sz w:val="24"/>
                <w:szCs w:val="24"/>
                <w:lang w:val="en-ID"/>
              </w:rPr>
            </w:pPr>
          </w:p>
        </w:tc>
        <w:tc>
          <w:tcPr>
            <w:tcW w:w="1503" w:type="dxa"/>
            <w:tcBorders>
              <w:top w:val="single" w:sz="4" w:space="0" w:color="auto"/>
            </w:tcBorders>
            <w:vAlign w:val="center"/>
          </w:tcPr>
          <w:p w14:paraId="1FFA8D3C" w14:textId="77777777" w:rsidR="007C6521" w:rsidRPr="000E6232" w:rsidRDefault="007C6521" w:rsidP="003B20F2">
            <w:pPr>
              <w:spacing w:line="360" w:lineRule="auto"/>
              <w:jc w:val="both"/>
              <w:rPr>
                <w:sz w:val="24"/>
                <w:szCs w:val="24"/>
                <w:lang w:val="en-ID"/>
              </w:rPr>
            </w:pPr>
          </w:p>
        </w:tc>
      </w:tr>
      <w:tr w:rsidR="007C6521" w:rsidRPr="000E6232" w14:paraId="0F83DC91" w14:textId="77777777" w:rsidTr="003B20F2">
        <w:tc>
          <w:tcPr>
            <w:tcW w:w="3260" w:type="dxa"/>
            <w:vAlign w:val="center"/>
          </w:tcPr>
          <w:p w14:paraId="758A2495" w14:textId="77777777" w:rsidR="007C6521" w:rsidRPr="000E6232" w:rsidRDefault="007C6521" w:rsidP="003B20F2">
            <w:pPr>
              <w:spacing w:line="360" w:lineRule="auto"/>
              <w:jc w:val="both"/>
              <w:rPr>
                <w:sz w:val="24"/>
                <w:szCs w:val="24"/>
                <w:lang w:val="en-ID"/>
              </w:rPr>
            </w:pPr>
            <w:r w:rsidRPr="000E6232">
              <w:rPr>
                <w:sz w:val="24"/>
                <w:szCs w:val="24"/>
              </w:rPr>
              <w:t>25–29</w:t>
            </w:r>
          </w:p>
        </w:tc>
        <w:tc>
          <w:tcPr>
            <w:tcW w:w="1843" w:type="dxa"/>
            <w:vAlign w:val="center"/>
          </w:tcPr>
          <w:p w14:paraId="4FAA60C3" w14:textId="77777777" w:rsidR="007C6521" w:rsidRPr="000E6232" w:rsidRDefault="007C6521" w:rsidP="003B20F2">
            <w:pPr>
              <w:spacing w:line="360" w:lineRule="auto"/>
              <w:jc w:val="both"/>
              <w:rPr>
                <w:sz w:val="24"/>
                <w:szCs w:val="24"/>
                <w:lang w:val="en-ID"/>
              </w:rPr>
            </w:pPr>
            <w:r w:rsidRPr="000E6232">
              <w:rPr>
                <w:sz w:val="24"/>
                <w:szCs w:val="24"/>
              </w:rPr>
              <w:t>29 (20.28)</w:t>
            </w:r>
          </w:p>
        </w:tc>
        <w:tc>
          <w:tcPr>
            <w:tcW w:w="2268" w:type="dxa"/>
            <w:vAlign w:val="center"/>
          </w:tcPr>
          <w:p w14:paraId="564F03C3" w14:textId="77777777" w:rsidR="007C6521" w:rsidRPr="000E6232" w:rsidRDefault="007C6521" w:rsidP="003B20F2">
            <w:pPr>
              <w:spacing w:line="360" w:lineRule="auto"/>
              <w:jc w:val="both"/>
              <w:rPr>
                <w:sz w:val="24"/>
                <w:szCs w:val="24"/>
                <w:lang w:val="en-ID"/>
              </w:rPr>
            </w:pPr>
          </w:p>
        </w:tc>
        <w:tc>
          <w:tcPr>
            <w:tcW w:w="1503" w:type="dxa"/>
            <w:vAlign w:val="center"/>
          </w:tcPr>
          <w:p w14:paraId="30503166" w14:textId="77777777" w:rsidR="007C6521" w:rsidRPr="000E6232" w:rsidRDefault="007C6521" w:rsidP="003B20F2">
            <w:pPr>
              <w:spacing w:line="360" w:lineRule="auto"/>
              <w:jc w:val="both"/>
              <w:rPr>
                <w:sz w:val="24"/>
                <w:szCs w:val="24"/>
                <w:lang w:val="en-ID"/>
              </w:rPr>
            </w:pPr>
          </w:p>
        </w:tc>
      </w:tr>
      <w:tr w:rsidR="007C6521" w:rsidRPr="000E6232" w14:paraId="5A43CA25" w14:textId="77777777" w:rsidTr="003B20F2">
        <w:tc>
          <w:tcPr>
            <w:tcW w:w="3260" w:type="dxa"/>
            <w:vAlign w:val="center"/>
          </w:tcPr>
          <w:p w14:paraId="50B1573B" w14:textId="77777777" w:rsidR="007C6521" w:rsidRPr="000E6232" w:rsidRDefault="007C6521" w:rsidP="003B20F2">
            <w:pPr>
              <w:spacing w:line="360" w:lineRule="auto"/>
              <w:jc w:val="both"/>
              <w:rPr>
                <w:sz w:val="24"/>
                <w:szCs w:val="24"/>
                <w:lang w:val="en-ID"/>
              </w:rPr>
            </w:pPr>
            <w:r w:rsidRPr="000E6232">
              <w:rPr>
                <w:sz w:val="24"/>
                <w:szCs w:val="24"/>
              </w:rPr>
              <w:t>30–34</w:t>
            </w:r>
          </w:p>
        </w:tc>
        <w:tc>
          <w:tcPr>
            <w:tcW w:w="1843" w:type="dxa"/>
            <w:vAlign w:val="center"/>
          </w:tcPr>
          <w:p w14:paraId="3E6C40E2" w14:textId="77777777" w:rsidR="007C6521" w:rsidRPr="000E6232" w:rsidRDefault="007C6521" w:rsidP="003B20F2">
            <w:pPr>
              <w:spacing w:line="360" w:lineRule="auto"/>
              <w:jc w:val="both"/>
              <w:rPr>
                <w:sz w:val="24"/>
                <w:szCs w:val="24"/>
                <w:lang w:val="en-ID"/>
              </w:rPr>
            </w:pPr>
            <w:r w:rsidRPr="000E6232">
              <w:rPr>
                <w:sz w:val="24"/>
                <w:szCs w:val="24"/>
              </w:rPr>
              <w:t>86 (60.14)</w:t>
            </w:r>
          </w:p>
        </w:tc>
        <w:tc>
          <w:tcPr>
            <w:tcW w:w="2268" w:type="dxa"/>
            <w:vAlign w:val="center"/>
          </w:tcPr>
          <w:p w14:paraId="5A01FEC2" w14:textId="77777777" w:rsidR="007C6521" w:rsidRPr="000E6232" w:rsidRDefault="007C6521" w:rsidP="003B20F2">
            <w:pPr>
              <w:spacing w:line="360" w:lineRule="auto"/>
              <w:jc w:val="both"/>
              <w:rPr>
                <w:sz w:val="24"/>
                <w:szCs w:val="24"/>
                <w:lang w:val="en-ID"/>
              </w:rPr>
            </w:pPr>
          </w:p>
        </w:tc>
        <w:tc>
          <w:tcPr>
            <w:tcW w:w="1503" w:type="dxa"/>
            <w:vAlign w:val="center"/>
          </w:tcPr>
          <w:p w14:paraId="19973E75" w14:textId="77777777" w:rsidR="007C6521" w:rsidRPr="000E6232" w:rsidRDefault="007C6521" w:rsidP="003B20F2">
            <w:pPr>
              <w:spacing w:line="360" w:lineRule="auto"/>
              <w:jc w:val="both"/>
              <w:rPr>
                <w:sz w:val="24"/>
                <w:szCs w:val="24"/>
                <w:lang w:val="en-ID"/>
              </w:rPr>
            </w:pPr>
          </w:p>
        </w:tc>
      </w:tr>
      <w:tr w:rsidR="007C6521" w:rsidRPr="000E6232" w14:paraId="743C2EF5" w14:textId="77777777" w:rsidTr="003B20F2">
        <w:tc>
          <w:tcPr>
            <w:tcW w:w="3260" w:type="dxa"/>
            <w:tcBorders>
              <w:bottom w:val="single" w:sz="4" w:space="0" w:color="auto"/>
            </w:tcBorders>
            <w:vAlign w:val="center"/>
          </w:tcPr>
          <w:p w14:paraId="75AEDDC2" w14:textId="77777777" w:rsidR="007C6521" w:rsidRPr="000E6232" w:rsidRDefault="007C6521" w:rsidP="003B20F2">
            <w:pPr>
              <w:spacing w:line="360" w:lineRule="auto"/>
              <w:jc w:val="both"/>
              <w:rPr>
                <w:sz w:val="24"/>
                <w:szCs w:val="24"/>
                <w:lang w:val="en-ID"/>
              </w:rPr>
            </w:pPr>
            <w:r w:rsidRPr="000E6232">
              <w:rPr>
                <w:sz w:val="24"/>
                <w:szCs w:val="24"/>
              </w:rPr>
              <w:t>35–40</w:t>
            </w:r>
          </w:p>
        </w:tc>
        <w:tc>
          <w:tcPr>
            <w:tcW w:w="1843" w:type="dxa"/>
            <w:tcBorders>
              <w:bottom w:val="single" w:sz="4" w:space="0" w:color="auto"/>
            </w:tcBorders>
            <w:vAlign w:val="center"/>
          </w:tcPr>
          <w:p w14:paraId="507E4008" w14:textId="77777777" w:rsidR="007C6521" w:rsidRPr="000E6232" w:rsidRDefault="007C6521" w:rsidP="003B20F2">
            <w:pPr>
              <w:spacing w:line="360" w:lineRule="auto"/>
              <w:jc w:val="both"/>
              <w:rPr>
                <w:sz w:val="24"/>
                <w:szCs w:val="24"/>
                <w:lang w:val="en-ID"/>
              </w:rPr>
            </w:pPr>
            <w:r w:rsidRPr="000E6232">
              <w:rPr>
                <w:sz w:val="24"/>
                <w:szCs w:val="24"/>
              </w:rPr>
              <w:t>16 (11.19)</w:t>
            </w:r>
          </w:p>
        </w:tc>
        <w:tc>
          <w:tcPr>
            <w:tcW w:w="2268" w:type="dxa"/>
            <w:tcBorders>
              <w:bottom w:val="single" w:sz="4" w:space="0" w:color="auto"/>
            </w:tcBorders>
            <w:vAlign w:val="center"/>
          </w:tcPr>
          <w:p w14:paraId="166B43C2" w14:textId="77777777" w:rsidR="007C6521" w:rsidRPr="000E6232" w:rsidRDefault="007C6521" w:rsidP="003B20F2">
            <w:pPr>
              <w:spacing w:line="360" w:lineRule="auto"/>
              <w:jc w:val="both"/>
              <w:rPr>
                <w:sz w:val="24"/>
                <w:szCs w:val="24"/>
                <w:lang w:val="en-ID"/>
              </w:rPr>
            </w:pPr>
          </w:p>
        </w:tc>
        <w:tc>
          <w:tcPr>
            <w:tcW w:w="1503" w:type="dxa"/>
            <w:tcBorders>
              <w:bottom w:val="single" w:sz="4" w:space="0" w:color="auto"/>
            </w:tcBorders>
            <w:vAlign w:val="center"/>
          </w:tcPr>
          <w:p w14:paraId="2C131C94" w14:textId="77777777" w:rsidR="007C6521" w:rsidRPr="000E6232" w:rsidRDefault="007C6521" w:rsidP="003B20F2">
            <w:pPr>
              <w:spacing w:line="360" w:lineRule="auto"/>
              <w:jc w:val="both"/>
              <w:rPr>
                <w:sz w:val="24"/>
                <w:szCs w:val="24"/>
                <w:lang w:val="en-ID"/>
              </w:rPr>
            </w:pPr>
          </w:p>
        </w:tc>
      </w:tr>
      <w:tr w:rsidR="007C6521" w:rsidRPr="000E6232" w14:paraId="14935B4E" w14:textId="77777777" w:rsidTr="003B20F2">
        <w:tc>
          <w:tcPr>
            <w:tcW w:w="3260" w:type="dxa"/>
            <w:tcBorders>
              <w:top w:val="single" w:sz="4" w:space="0" w:color="auto"/>
              <w:bottom w:val="single" w:sz="4" w:space="0" w:color="auto"/>
            </w:tcBorders>
            <w:vAlign w:val="center"/>
          </w:tcPr>
          <w:p w14:paraId="43E25B00" w14:textId="77777777" w:rsidR="007C6521" w:rsidRPr="000E6232" w:rsidRDefault="007C6521" w:rsidP="003B20F2">
            <w:pPr>
              <w:spacing w:line="360" w:lineRule="auto"/>
              <w:jc w:val="both"/>
              <w:rPr>
                <w:sz w:val="24"/>
                <w:szCs w:val="24"/>
                <w:lang w:val="en-ID"/>
              </w:rPr>
            </w:pPr>
            <w:r w:rsidRPr="000E6232">
              <w:rPr>
                <w:b/>
                <w:bCs/>
                <w:sz w:val="24"/>
                <w:szCs w:val="24"/>
              </w:rPr>
              <w:t>Occupation</w:t>
            </w:r>
          </w:p>
        </w:tc>
        <w:tc>
          <w:tcPr>
            <w:tcW w:w="1843" w:type="dxa"/>
            <w:tcBorders>
              <w:top w:val="single" w:sz="4" w:space="0" w:color="auto"/>
              <w:bottom w:val="single" w:sz="4" w:space="0" w:color="auto"/>
            </w:tcBorders>
            <w:vAlign w:val="center"/>
          </w:tcPr>
          <w:p w14:paraId="5DC9DB5A" w14:textId="77777777" w:rsidR="007C6521" w:rsidRPr="000E6232" w:rsidRDefault="007C6521" w:rsidP="003B20F2">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23F0E90F" w14:textId="77777777" w:rsidR="007C6521" w:rsidRPr="000E6232" w:rsidRDefault="007C6521" w:rsidP="003B20F2">
            <w:pPr>
              <w:spacing w:line="360" w:lineRule="auto"/>
              <w:jc w:val="both"/>
              <w:rPr>
                <w:sz w:val="24"/>
                <w:szCs w:val="24"/>
                <w:lang w:val="en-ID"/>
              </w:rPr>
            </w:pPr>
          </w:p>
        </w:tc>
        <w:tc>
          <w:tcPr>
            <w:tcW w:w="1503" w:type="dxa"/>
            <w:tcBorders>
              <w:top w:val="single" w:sz="4" w:space="0" w:color="auto"/>
              <w:bottom w:val="single" w:sz="4" w:space="0" w:color="auto"/>
            </w:tcBorders>
            <w:vAlign w:val="center"/>
          </w:tcPr>
          <w:p w14:paraId="6C29A45C" w14:textId="77777777" w:rsidR="007C6521" w:rsidRPr="000E6232" w:rsidRDefault="007C6521" w:rsidP="003B20F2">
            <w:pPr>
              <w:spacing w:line="360" w:lineRule="auto"/>
              <w:jc w:val="both"/>
              <w:rPr>
                <w:sz w:val="24"/>
                <w:szCs w:val="24"/>
                <w:lang w:val="en-ID"/>
              </w:rPr>
            </w:pPr>
            <w:r w:rsidRPr="000E6232">
              <w:rPr>
                <w:sz w:val="24"/>
                <w:szCs w:val="24"/>
              </w:rPr>
              <w:t>0.021</w:t>
            </w:r>
          </w:p>
        </w:tc>
      </w:tr>
      <w:tr w:rsidR="007C6521" w:rsidRPr="000E6232" w14:paraId="7D75DBCF" w14:textId="77777777" w:rsidTr="003B20F2">
        <w:tc>
          <w:tcPr>
            <w:tcW w:w="3260" w:type="dxa"/>
            <w:tcBorders>
              <w:top w:val="single" w:sz="4" w:space="0" w:color="auto"/>
            </w:tcBorders>
            <w:vAlign w:val="center"/>
          </w:tcPr>
          <w:p w14:paraId="742278CE" w14:textId="77777777" w:rsidR="007C6521" w:rsidRPr="000E6232" w:rsidRDefault="007C6521" w:rsidP="003B20F2">
            <w:pPr>
              <w:spacing w:line="360" w:lineRule="auto"/>
              <w:jc w:val="both"/>
              <w:rPr>
                <w:sz w:val="24"/>
                <w:szCs w:val="24"/>
                <w:lang w:val="en-ID"/>
              </w:rPr>
            </w:pPr>
            <w:r w:rsidRPr="000E6232">
              <w:rPr>
                <w:sz w:val="24"/>
                <w:szCs w:val="24"/>
              </w:rPr>
              <w:t>Resident Doctor (PPDS)</w:t>
            </w:r>
          </w:p>
        </w:tc>
        <w:tc>
          <w:tcPr>
            <w:tcW w:w="1843" w:type="dxa"/>
            <w:tcBorders>
              <w:top w:val="single" w:sz="4" w:space="0" w:color="auto"/>
            </w:tcBorders>
            <w:vAlign w:val="center"/>
          </w:tcPr>
          <w:p w14:paraId="69815CE3" w14:textId="77777777" w:rsidR="007C6521" w:rsidRPr="000E6232" w:rsidRDefault="007C6521" w:rsidP="003B20F2">
            <w:pPr>
              <w:spacing w:line="360" w:lineRule="auto"/>
              <w:jc w:val="both"/>
              <w:rPr>
                <w:sz w:val="24"/>
                <w:szCs w:val="24"/>
                <w:lang w:val="en-ID"/>
              </w:rPr>
            </w:pPr>
            <w:r w:rsidRPr="000E6232">
              <w:rPr>
                <w:sz w:val="24"/>
                <w:szCs w:val="24"/>
              </w:rPr>
              <w:t>129 (90.21)</w:t>
            </w:r>
          </w:p>
        </w:tc>
        <w:tc>
          <w:tcPr>
            <w:tcW w:w="2268" w:type="dxa"/>
            <w:tcBorders>
              <w:top w:val="single" w:sz="4" w:space="0" w:color="auto"/>
            </w:tcBorders>
            <w:vAlign w:val="center"/>
          </w:tcPr>
          <w:p w14:paraId="22D55997" w14:textId="77777777" w:rsidR="007C6521" w:rsidRPr="000E6232" w:rsidRDefault="007C6521" w:rsidP="003B20F2">
            <w:pPr>
              <w:spacing w:line="360" w:lineRule="auto"/>
              <w:jc w:val="both"/>
              <w:rPr>
                <w:sz w:val="24"/>
                <w:szCs w:val="24"/>
                <w:lang w:val="en-ID"/>
              </w:rPr>
            </w:pPr>
          </w:p>
        </w:tc>
        <w:tc>
          <w:tcPr>
            <w:tcW w:w="1503" w:type="dxa"/>
            <w:tcBorders>
              <w:top w:val="single" w:sz="4" w:space="0" w:color="auto"/>
            </w:tcBorders>
            <w:vAlign w:val="center"/>
          </w:tcPr>
          <w:p w14:paraId="6DDAC99F" w14:textId="77777777" w:rsidR="007C6521" w:rsidRPr="000E6232" w:rsidRDefault="007C6521" w:rsidP="003B20F2">
            <w:pPr>
              <w:spacing w:line="360" w:lineRule="auto"/>
              <w:jc w:val="both"/>
              <w:rPr>
                <w:sz w:val="24"/>
                <w:szCs w:val="24"/>
                <w:lang w:val="en-ID"/>
              </w:rPr>
            </w:pPr>
          </w:p>
        </w:tc>
      </w:tr>
      <w:tr w:rsidR="007C6521" w:rsidRPr="000E6232" w14:paraId="06C84BB1" w14:textId="77777777" w:rsidTr="003B20F2">
        <w:tc>
          <w:tcPr>
            <w:tcW w:w="3260" w:type="dxa"/>
            <w:tcBorders>
              <w:bottom w:val="single" w:sz="4" w:space="0" w:color="auto"/>
            </w:tcBorders>
            <w:vAlign w:val="center"/>
          </w:tcPr>
          <w:p w14:paraId="2D7E8890" w14:textId="77777777" w:rsidR="007C6521" w:rsidRPr="000E6232" w:rsidRDefault="007C6521" w:rsidP="003B20F2">
            <w:pPr>
              <w:spacing w:line="360" w:lineRule="auto"/>
              <w:jc w:val="both"/>
              <w:rPr>
                <w:sz w:val="24"/>
                <w:szCs w:val="24"/>
                <w:lang w:val="en-ID"/>
              </w:rPr>
            </w:pPr>
            <w:r w:rsidRPr="000E6232">
              <w:rPr>
                <w:sz w:val="24"/>
                <w:szCs w:val="24"/>
              </w:rPr>
              <w:t>General Practitioner</w:t>
            </w:r>
          </w:p>
        </w:tc>
        <w:tc>
          <w:tcPr>
            <w:tcW w:w="1843" w:type="dxa"/>
            <w:tcBorders>
              <w:bottom w:val="single" w:sz="4" w:space="0" w:color="auto"/>
            </w:tcBorders>
            <w:vAlign w:val="center"/>
          </w:tcPr>
          <w:p w14:paraId="6A49D999" w14:textId="77777777" w:rsidR="007C6521" w:rsidRPr="000E6232" w:rsidRDefault="007C6521" w:rsidP="003B20F2">
            <w:pPr>
              <w:spacing w:line="360" w:lineRule="auto"/>
              <w:jc w:val="both"/>
              <w:rPr>
                <w:sz w:val="24"/>
                <w:szCs w:val="24"/>
                <w:lang w:val="en-ID"/>
              </w:rPr>
            </w:pPr>
            <w:r w:rsidRPr="000E6232">
              <w:rPr>
                <w:sz w:val="24"/>
                <w:szCs w:val="24"/>
              </w:rPr>
              <w:t>14 (9.79)</w:t>
            </w:r>
          </w:p>
        </w:tc>
        <w:tc>
          <w:tcPr>
            <w:tcW w:w="2268" w:type="dxa"/>
            <w:tcBorders>
              <w:bottom w:val="single" w:sz="4" w:space="0" w:color="auto"/>
            </w:tcBorders>
            <w:vAlign w:val="center"/>
          </w:tcPr>
          <w:p w14:paraId="2E2DA1E4" w14:textId="77777777" w:rsidR="007C6521" w:rsidRPr="000E6232" w:rsidRDefault="007C6521" w:rsidP="003B20F2">
            <w:pPr>
              <w:spacing w:line="360" w:lineRule="auto"/>
              <w:jc w:val="both"/>
              <w:rPr>
                <w:sz w:val="24"/>
                <w:szCs w:val="24"/>
                <w:lang w:val="en-ID"/>
              </w:rPr>
            </w:pPr>
          </w:p>
        </w:tc>
        <w:tc>
          <w:tcPr>
            <w:tcW w:w="1503" w:type="dxa"/>
            <w:tcBorders>
              <w:bottom w:val="single" w:sz="4" w:space="0" w:color="auto"/>
            </w:tcBorders>
            <w:vAlign w:val="center"/>
          </w:tcPr>
          <w:p w14:paraId="27A88378" w14:textId="77777777" w:rsidR="007C6521" w:rsidRPr="000E6232" w:rsidRDefault="007C6521" w:rsidP="003B20F2">
            <w:pPr>
              <w:spacing w:line="360" w:lineRule="auto"/>
              <w:jc w:val="both"/>
              <w:rPr>
                <w:sz w:val="24"/>
                <w:szCs w:val="24"/>
                <w:lang w:val="en-ID"/>
              </w:rPr>
            </w:pPr>
          </w:p>
        </w:tc>
      </w:tr>
      <w:tr w:rsidR="007C6521" w:rsidRPr="000E6232" w14:paraId="206E8599" w14:textId="77777777" w:rsidTr="003B20F2">
        <w:tc>
          <w:tcPr>
            <w:tcW w:w="3260" w:type="dxa"/>
            <w:tcBorders>
              <w:top w:val="single" w:sz="4" w:space="0" w:color="auto"/>
              <w:bottom w:val="single" w:sz="4" w:space="0" w:color="auto"/>
            </w:tcBorders>
            <w:vAlign w:val="center"/>
          </w:tcPr>
          <w:p w14:paraId="4D0C8883" w14:textId="77777777" w:rsidR="007C6521" w:rsidRPr="000E6232" w:rsidRDefault="007C6521" w:rsidP="003B20F2">
            <w:pPr>
              <w:spacing w:line="360" w:lineRule="auto"/>
              <w:jc w:val="both"/>
              <w:rPr>
                <w:sz w:val="24"/>
                <w:szCs w:val="24"/>
                <w:lang w:val="en-ID"/>
              </w:rPr>
            </w:pPr>
            <w:r w:rsidRPr="000E6232">
              <w:rPr>
                <w:b/>
                <w:bCs/>
                <w:sz w:val="24"/>
                <w:szCs w:val="24"/>
              </w:rPr>
              <w:lastRenderedPageBreak/>
              <w:t>Body Mass Index (kg/m²)</w:t>
            </w:r>
          </w:p>
        </w:tc>
        <w:tc>
          <w:tcPr>
            <w:tcW w:w="1843" w:type="dxa"/>
            <w:tcBorders>
              <w:top w:val="single" w:sz="4" w:space="0" w:color="auto"/>
              <w:bottom w:val="single" w:sz="4" w:space="0" w:color="auto"/>
            </w:tcBorders>
            <w:vAlign w:val="center"/>
          </w:tcPr>
          <w:p w14:paraId="74DDE0CE" w14:textId="77777777" w:rsidR="007C6521" w:rsidRPr="000E6232" w:rsidRDefault="007C6521" w:rsidP="003B20F2">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7F062928" w14:textId="77777777" w:rsidR="007C6521" w:rsidRPr="000E6232" w:rsidRDefault="007C6521" w:rsidP="003B20F2">
            <w:pPr>
              <w:spacing w:line="360" w:lineRule="auto"/>
              <w:jc w:val="both"/>
              <w:rPr>
                <w:sz w:val="24"/>
                <w:szCs w:val="24"/>
                <w:lang w:val="en-ID"/>
              </w:rPr>
            </w:pPr>
            <w:r w:rsidRPr="000E6232">
              <w:rPr>
                <w:sz w:val="24"/>
                <w:szCs w:val="24"/>
              </w:rPr>
              <w:t>29.97 (3.49)</w:t>
            </w:r>
          </w:p>
        </w:tc>
        <w:tc>
          <w:tcPr>
            <w:tcW w:w="1503" w:type="dxa"/>
            <w:tcBorders>
              <w:top w:val="single" w:sz="4" w:space="0" w:color="auto"/>
              <w:bottom w:val="single" w:sz="4" w:space="0" w:color="auto"/>
            </w:tcBorders>
            <w:vAlign w:val="center"/>
          </w:tcPr>
          <w:p w14:paraId="2A65DA25" w14:textId="77777777" w:rsidR="007C6521" w:rsidRPr="000E6232" w:rsidRDefault="007C6521" w:rsidP="003B20F2">
            <w:pPr>
              <w:spacing w:line="360" w:lineRule="auto"/>
              <w:jc w:val="both"/>
              <w:rPr>
                <w:sz w:val="24"/>
                <w:szCs w:val="24"/>
                <w:lang w:val="en-ID"/>
              </w:rPr>
            </w:pPr>
            <w:r w:rsidRPr="000E6232">
              <w:rPr>
                <w:sz w:val="24"/>
                <w:szCs w:val="24"/>
              </w:rPr>
              <w:t>0.949</w:t>
            </w:r>
          </w:p>
        </w:tc>
      </w:tr>
      <w:tr w:rsidR="007C6521" w:rsidRPr="000E6232" w14:paraId="778134BD" w14:textId="77777777" w:rsidTr="003B20F2">
        <w:tc>
          <w:tcPr>
            <w:tcW w:w="3260" w:type="dxa"/>
            <w:tcBorders>
              <w:top w:val="single" w:sz="4" w:space="0" w:color="auto"/>
            </w:tcBorders>
            <w:vAlign w:val="center"/>
          </w:tcPr>
          <w:p w14:paraId="4B081559" w14:textId="1170F420" w:rsidR="007C6521" w:rsidRPr="000E6232" w:rsidRDefault="001434A0" w:rsidP="003B20F2">
            <w:pPr>
              <w:spacing w:line="360" w:lineRule="auto"/>
              <w:jc w:val="both"/>
              <w:rPr>
                <w:sz w:val="24"/>
                <w:szCs w:val="24"/>
                <w:lang w:val="en-ID"/>
              </w:rPr>
            </w:pPr>
            <w:r>
              <w:rPr>
                <w:sz w:val="24"/>
                <w:szCs w:val="24"/>
              </w:rPr>
              <w:t>0</w:t>
            </w:r>
            <w:r w:rsidR="007C6521" w:rsidRPr="000E6232">
              <w:rPr>
                <w:sz w:val="24"/>
                <w:szCs w:val="24"/>
              </w:rPr>
              <w:t>besity I (25–29.9)</w:t>
            </w:r>
          </w:p>
        </w:tc>
        <w:tc>
          <w:tcPr>
            <w:tcW w:w="1843" w:type="dxa"/>
            <w:tcBorders>
              <w:top w:val="single" w:sz="4" w:space="0" w:color="auto"/>
            </w:tcBorders>
            <w:vAlign w:val="center"/>
          </w:tcPr>
          <w:p w14:paraId="1027DE36" w14:textId="77777777" w:rsidR="007C6521" w:rsidRPr="000E6232" w:rsidRDefault="007C6521" w:rsidP="003B20F2">
            <w:pPr>
              <w:spacing w:line="360" w:lineRule="auto"/>
              <w:jc w:val="both"/>
              <w:rPr>
                <w:sz w:val="24"/>
                <w:szCs w:val="24"/>
                <w:lang w:val="en-ID"/>
              </w:rPr>
            </w:pPr>
            <w:r w:rsidRPr="000E6232">
              <w:rPr>
                <w:sz w:val="24"/>
                <w:szCs w:val="24"/>
              </w:rPr>
              <w:t>83 (58.05)</w:t>
            </w:r>
          </w:p>
        </w:tc>
        <w:tc>
          <w:tcPr>
            <w:tcW w:w="2268" w:type="dxa"/>
            <w:tcBorders>
              <w:top w:val="single" w:sz="4" w:space="0" w:color="auto"/>
            </w:tcBorders>
            <w:vAlign w:val="center"/>
          </w:tcPr>
          <w:p w14:paraId="64848027" w14:textId="77777777" w:rsidR="007C6521" w:rsidRPr="000E6232" w:rsidRDefault="007C6521" w:rsidP="003B20F2">
            <w:pPr>
              <w:spacing w:line="360" w:lineRule="auto"/>
              <w:jc w:val="both"/>
              <w:rPr>
                <w:sz w:val="24"/>
                <w:szCs w:val="24"/>
                <w:lang w:val="en-ID"/>
              </w:rPr>
            </w:pPr>
          </w:p>
        </w:tc>
        <w:tc>
          <w:tcPr>
            <w:tcW w:w="1503" w:type="dxa"/>
            <w:tcBorders>
              <w:top w:val="single" w:sz="4" w:space="0" w:color="auto"/>
            </w:tcBorders>
            <w:vAlign w:val="center"/>
          </w:tcPr>
          <w:p w14:paraId="4A353D65" w14:textId="77777777" w:rsidR="007C6521" w:rsidRPr="000E6232" w:rsidRDefault="007C6521" w:rsidP="003B20F2">
            <w:pPr>
              <w:spacing w:line="360" w:lineRule="auto"/>
              <w:jc w:val="both"/>
              <w:rPr>
                <w:sz w:val="24"/>
                <w:szCs w:val="24"/>
                <w:lang w:val="en-ID"/>
              </w:rPr>
            </w:pPr>
          </w:p>
        </w:tc>
      </w:tr>
      <w:tr w:rsidR="007C6521" w:rsidRPr="000E6232" w14:paraId="4E4EF232" w14:textId="77777777" w:rsidTr="003B20F2">
        <w:tc>
          <w:tcPr>
            <w:tcW w:w="3260" w:type="dxa"/>
            <w:vAlign w:val="center"/>
          </w:tcPr>
          <w:p w14:paraId="32D129D3" w14:textId="2E5DE87C" w:rsidR="007C6521" w:rsidRPr="000E6232" w:rsidRDefault="001434A0" w:rsidP="003B20F2">
            <w:pPr>
              <w:spacing w:line="360" w:lineRule="auto"/>
              <w:jc w:val="both"/>
              <w:rPr>
                <w:sz w:val="24"/>
                <w:szCs w:val="24"/>
                <w:lang w:val="en-ID"/>
              </w:rPr>
            </w:pPr>
            <w:r>
              <w:rPr>
                <w:sz w:val="24"/>
                <w:szCs w:val="24"/>
              </w:rPr>
              <w:t>0</w:t>
            </w:r>
            <w:r w:rsidR="007C6521" w:rsidRPr="000E6232">
              <w:rPr>
                <w:sz w:val="24"/>
                <w:szCs w:val="24"/>
              </w:rPr>
              <w:t>besity II (30–34.9)</w:t>
            </w:r>
          </w:p>
        </w:tc>
        <w:tc>
          <w:tcPr>
            <w:tcW w:w="1843" w:type="dxa"/>
            <w:vAlign w:val="center"/>
          </w:tcPr>
          <w:p w14:paraId="1D3E6489" w14:textId="77777777" w:rsidR="007C6521" w:rsidRPr="000E6232" w:rsidRDefault="007C6521" w:rsidP="003B20F2">
            <w:pPr>
              <w:spacing w:line="360" w:lineRule="auto"/>
              <w:jc w:val="both"/>
              <w:rPr>
                <w:sz w:val="24"/>
                <w:szCs w:val="24"/>
                <w:lang w:val="en-ID"/>
              </w:rPr>
            </w:pPr>
            <w:r w:rsidRPr="000E6232">
              <w:rPr>
                <w:sz w:val="24"/>
                <w:szCs w:val="24"/>
              </w:rPr>
              <w:t>51 (35.66)</w:t>
            </w:r>
          </w:p>
        </w:tc>
        <w:tc>
          <w:tcPr>
            <w:tcW w:w="2268" w:type="dxa"/>
            <w:vAlign w:val="center"/>
          </w:tcPr>
          <w:p w14:paraId="7DA3B049" w14:textId="77777777" w:rsidR="007C6521" w:rsidRPr="000E6232" w:rsidRDefault="007C6521" w:rsidP="003B20F2">
            <w:pPr>
              <w:spacing w:line="360" w:lineRule="auto"/>
              <w:jc w:val="both"/>
              <w:rPr>
                <w:sz w:val="24"/>
                <w:szCs w:val="24"/>
                <w:lang w:val="en-ID"/>
              </w:rPr>
            </w:pPr>
          </w:p>
        </w:tc>
        <w:tc>
          <w:tcPr>
            <w:tcW w:w="1503" w:type="dxa"/>
            <w:vAlign w:val="center"/>
          </w:tcPr>
          <w:p w14:paraId="0BAEDC88" w14:textId="77777777" w:rsidR="007C6521" w:rsidRPr="000E6232" w:rsidRDefault="007C6521" w:rsidP="003B20F2">
            <w:pPr>
              <w:spacing w:line="360" w:lineRule="auto"/>
              <w:jc w:val="both"/>
              <w:rPr>
                <w:sz w:val="24"/>
                <w:szCs w:val="24"/>
                <w:lang w:val="en-ID"/>
              </w:rPr>
            </w:pPr>
          </w:p>
        </w:tc>
      </w:tr>
      <w:tr w:rsidR="007C6521" w:rsidRPr="000E6232" w14:paraId="6E768491" w14:textId="77777777" w:rsidTr="003B20F2">
        <w:tc>
          <w:tcPr>
            <w:tcW w:w="3260" w:type="dxa"/>
            <w:tcBorders>
              <w:bottom w:val="single" w:sz="4" w:space="0" w:color="auto"/>
            </w:tcBorders>
            <w:vAlign w:val="center"/>
          </w:tcPr>
          <w:p w14:paraId="45AE491F" w14:textId="7261661C" w:rsidR="007C6521" w:rsidRPr="000E6232" w:rsidRDefault="001434A0" w:rsidP="003B20F2">
            <w:pPr>
              <w:spacing w:line="360" w:lineRule="auto"/>
              <w:jc w:val="both"/>
              <w:rPr>
                <w:sz w:val="24"/>
                <w:szCs w:val="24"/>
                <w:lang w:val="en-ID"/>
              </w:rPr>
            </w:pPr>
            <w:r>
              <w:rPr>
                <w:sz w:val="24"/>
                <w:szCs w:val="24"/>
              </w:rPr>
              <w:t>0</w:t>
            </w:r>
            <w:r w:rsidR="007C6521" w:rsidRPr="000E6232">
              <w:rPr>
                <w:sz w:val="24"/>
                <w:szCs w:val="24"/>
              </w:rPr>
              <w:t>besity III (</w:t>
            </w:r>
            <w:r w:rsidR="007C6521" w:rsidRPr="000E6232">
              <w:rPr>
                <w:rFonts w:ascii="Cambria Math" w:hAnsi="Cambria Math" w:cs="Cambria Math"/>
                <w:sz w:val="24"/>
                <w:szCs w:val="24"/>
              </w:rPr>
              <w:t>≥</w:t>
            </w:r>
            <w:r w:rsidR="007C6521" w:rsidRPr="000E6232">
              <w:rPr>
                <w:sz w:val="24"/>
                <w:szCs w:val="24"/>
              </w:rPr>
              <w:t>35)</w:t>
            </w:r>
          </w:p>
        </w:tc>
        <w:tc>
          <w:tcPr>
            <w:tcW w:w="1843" w:type="dxa"/>
            <w:tcBorders>
              <w:bottom w:val="single" w:sz="4" w:space="0" w:color="auto"/>
            </w:tcBorders>
            <w:vAlign w:val="center"/>
          </w:tcPr>
          <w:p w14:paraId="4A3805C0" w14:textId="77777777" w:rsidR="007C6521" w:rsidRPr="000E6232" w:rsidRDefault="007C6521" w:rsidP="003B20F2">
            <w:pPr>
              <w:spacing w:line="360" w:lineRule="auto"/>
              <w:jc w:val="both"/>
              <w:rPr>
                <w:sz w:val="24"/>
                <w:szCs w:val="24"/>
                <w:lang w:val="en-ID"/>
              </w:rPr>
            </w:pPr>
            <w:r w:rsidRPr="000E6232">
              <w:rPr>
                <w:sz w:val="24"/>
                <w:szCs w:val="24"/>
              </w:rPr>
              <w:t>9 (6.29)</w:t>
            </w:r>
          </w:p>
        </w:tc>
        <w:tc>
          <w:tcPr>
            <w:tcW w:w="2268" w:type="dxa"/>
            <w:tcBorders>
              <w:bottom w:val="single" w:sz="4" w:space="0" w:color="auto"/>
            </w:tcBorders>
            <w:vAlign w:val="center"/>
          </w:tcPr>
          <w:p w14:paraId="62416845" w14:textId="77777777" w:rsidR="007C6521" w:rsidRPr="000E6232" w:rsidRDefault="007C6521" w:rsidP="003B20F2">
            <w:pPr>
              <w:spacing w:line="360" w:lineRule="auto"/>
              <w:jc w:val="both"/>
              <w:rPr>
                <w:sz w:val="24"/>
                <w:szCs w:val="24"/>
                <w:lang w:val="en-ID"/>
              </w:rPr>
            </w:pPr>
          </w:p>
        </w:tc>
        <w:tc>
          <w:tcPr>
            <w:tcW w:w="1503" w:type="dxa"/>
            <w:tcBorders>
              <w:bottom w:val="single" w:sz="4" w:space="0" w:color="auto"/>
            </w:tcBorders>
            <w:vAlign w:val="center"/>
          </w:tcPr>
          <w:p w14:paraId="024A10E3" w14:textId="77777777" w:rsidR="007C6521" w:rsidRPr="000E6232" w:rsidRDefault="007C6521" w:rsidP="003B20F2">
            <w:pPr>
              <w:spacing w:line="360" w:lineRule="auto"/>
              <w:jc w:val="both"/>
              <w:rPr>
                <w:sz w:val="24"/>
                <w:szCs w:val="24"/>
                <w:lang w:val="en-ID"/>
              </w:rPr>
            </w:pPr>
          </w:p>
        </w:tc>
      </w:tr>
      <w:tr w:rsidR="007C6521" w:rsidRPr="000E6232" w14:paraId="7E453693" w14:textId="77777777" w:rsidTr="003B20F2">
        <w:tc>
          <w:tcPr>
            <w:tcW w:w="3260" w:type="dxa"/>
            <w:tcBorders>
              <w:top w:val="single" w:sz="4" w:space="0" w:color="auto"/>
              <w:bottom w:val="single" w:sz="4" w:space="0" w:color="auto"/>
            </w:tcBorders>
            <w:vAlign w:val="center"/>
          </w:tcPr>
          <w:p w14:paraId="53C8A00B" w14:textId="77777777" w:rsidR="007C6521" w:rsidRPr="000E6232" w:rsidRDefault="007C6521" w:rsidP="003B20F2">
            <w:pPr>
              <w:spacing w:line="360" w:lineRule="auto"/>
              <w:jc w:val="both"/>
              <w:rPr>
                <w:sz w:val="24"/>
                <w:szCs w:val="24"/>
                <w:lang w:val="en-ID"/>
              </w:rPr>
            </w:pPr>
            <w:r w:rsidRPr="000E6232">
              <w:rPr>
                <w:b/>
                <w:bCs/>
                <w:sz w:val="24"/>
                <w:szCs w:val="24"/>
              </w:rPr>
              <w:t>Family History of Diabetes</w:t>
            </w:r>
          </w:p>
        </w:tc>
        <w:tc>
          <w:tcPr>
            <w:tcW w:w="1843" w:type="dxa"/>
            <w:tcBorders>
              <w:top w:val="single" w:sz="4" w:space="0" w:color="auto"/>
              <w:bottom w:val="single" w:sz="4" w:space="0" w:color="auto"/>
            </w:tcBorders>
            <w:vAlign w:val="center"/>
          </w:tcPr>
          <w:p w14:paraId="52B0B005" w14:textId="77777777" w:rsidR="007C6521" w:rsidRPr="000E6232" w:rsidRDefault="007C6521" w:rsidP="003B20F2">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5F5D8A7A" w14:textId="77777777" w:rsidR="007C6521" w:rsidRPr="000E6232" w:rsidRDefault="007C6521" w:rsidP="003B20F2">
            <w:pPr>
              <w:spacing w:line="360" w:lineRule="auto"/>
              <w:jc w:val="both"/>
              <w:rPr>
                <w:sz w:val="24"/>
                <w:szCs w:val="24"/>
                <w:lang w:val="en-ID"/>
              </w:rPr>
            </w:pPr>
          </w:p>
        </w:tc>
        <w:tc>
          <w:tcPr>
            <w:tcW w:w="1503" w:type="dxa"/>
            <w:tcBorders>
              <w:top w:val="single" w:sz="4" w:space="0" w:color="auto"/>
              <w:bottom w:val="single" w:sz="4" w:space="0" w:color="auto"/>
            </w:tcBorders>
            <w:vAlign w:val="center"/>
          </w:tcPr>
          <w:p w14:paraId="22966248" w14:textId="77777777" w:rsidR="007C6521" w:rsidRPr="000E6232" w:rsidRDefault="007C6521" w:rsidP="003B20F2">
            <w:pPr>
              <w:spacing w:line="360" w:lineRule="auto"/>
              <w:jc w:val="both"/>
              <w:rPr>
                <w:sz w:val="24"/>
                <w:szCs w:val="24"/>
                <w:lang w:val="en-ID"/>
              </w:rPr>
            </w:pPr>
            <w:r w:rsidRPr="000E6232">
              <w:rPr>
                <w:sz w:val="24"/>
                <w:szCs w:val="24"/>
              </w:rPr>
              <w:t>0.033</w:t>
            </w:r>
          </w:p>
        </w:tc>
      </w:tr>
      <w:tr w:rsidR="007C6521" w:rsidRPr="000E6232" w14:paraId="03100E8C" w14:textId="77777777" w:rsidTr="003B20F2">
        <w:tc>
          <w:tcPr>
            <w:tcW w:w="3260" w:type="dxa"/>
            <w:tcBorders>
              <w:top w:val="single" w:sz="4" w:space="0" w:color="auto"/>
            </w:tcBorders>
            <w:vAlign w:val="center"/>
          </w:tcPr>
          <w:p w14:paraId="404B9E1D" w14:textId="77777777" w:rsidR="007C6521" w:rsidRPr="000E6232" w:rsidRDefault="007C6521" w:rsidP="003B20F2">
            <w:pPr>
              <w:spacing w:line="360" w:lineRule="auto"/>
              <w:jc w:val="both"/>
              <w:rPr>
                <w:sz w:val="24"/>
                <w:szCs w:val="24"/>
                <w:lang w:val="en-ID"/>
              </w:rPr>
            </w:pPr>
            <w:r w:rsidRPr="000E6232">
              <w:rPr>
                <w:sz w:val="24"/>
                <w:szCs w:val="24"/>
              </w:rPr>
              <w:t>Yes</w:t>
            </w:r>
          </w:p>
        </w:tc>
        <w:tc>
          <w:tcPr>
            <w:tcW w:w="1843" w:type="dxa"/>
            <w:tcBorders>
              <w:top w:val="single" w:sz="4" w:space="0" w:color="auto"/>
            </w:tcBorders>
            <w:vAlign w:val="center"/>
          </w:tcPr>
          <w:p w14:paraId="2FFD89FD" w14:textId="77777777" w:rsidR="007C6521" w:rsidRPr="000E6232" w:rsidRDefault="007C6521" w:rsidP="003B20F2">
            <w:pPr>
              <w:spacing w:line="360" w:lineRule="auto"/>
              <w:jc w:val="both"/>
              <w:rPr>
                <w:sz w:val="24"/>
                <w:szCs w:val="24"/>
                <w:lang w:val="en-ID"/>
              </w:rPr>
            </w:pPr>
            <w:r w:rsidRPr="000E6232">
              <w:rPr>
                <w:sz w:val="24"/>
                <w:szCs w:val="24"/>
              </w:rPr>
              <w:t>44 (30.8)</w:t>
            </w:r>
          </w:p>
        </w:tc>
        <w:tc>
          <w:tcPr>
            <w:tcW w:w="2268" w:type="dxa"/>
            <w:tcBorders>
              <w:top w:val="single" w:sz="4" w:space="0" w:color="auto"/>
            </w:tcBorders>
            <w:vAlign w:val="center"/>
          </w:tcPr>
          <w:p w14:paraId="2CA38561" w14:textId="77777777" w:rsidR="007C6521" w:rsidRPr="000E6232" w:rsidRDefault="007C6521" w:rsidP="003B20F2">
            <w:pPr>
              <w:spacing w:line="360" w:lineRule="auto"/>
              <w:jc w:val="both"/>
              <w:rPr>
                <w:sz w:val="24"/>
                <w:szCs w:val="24"/>
                <w:lang w:val="en-ID"/>
              </w:rPr>
            </w:pPr>
          </w:p>
        </w:tc>
        <w:tc>
          <w:tcPr>
            <w:tcW w:w="1503" w:type="dxa"/>
            <w:tcBorders>
              <w:top w:val="single" w:sz="4" w:space="0" w:color="auto"/>
            </w:tcBorders>
            <w:vAlign w:val="center"/>
          </w:tcPr>
          <w:p w14:paraId="1840A53F" w14:textId="77777777" w:rsidR="007C6521" w:rsidRPr="000E6232" w:rsidRDefault="007C6521" w:rsidP="003B20F2">
            <w:pPr>
              <w:spacing w:line="360" w:lineRule="auto"/>
              <w:jc w:val="both"/>
              <w:rPr>
                <w:sz w:val="24"/>
                <w:szCs w:val="24"/>
                <w:lang w:val="en-ID"/>
              </w:rPr>
            </w:pPr>
          </w:p>
        </w:tc>
      </w:tr>
      <w:tr w:rsidR="007C6521" w:rsidRPr="000E6232" w14:paraId="273D3C0D" w14:textId="77777777" w:rsidTr="003B20F2">
        <w:tc>
          <w:tcPr>
            <w:tcW w:w="3260" w:type="dxa"/>
            <w:tcBorders>
              <w:bottom w:val="single" w:sz="4" w:space="0" w:color="auto"/>
            </w:tcBorders>
            <w:vAlign w:val="center"/>
          </w:tcPr>
          <w:p w14:paraId="1A0ACE3A" w14:textId="77777777" w:rsidR="007C6521" w:rsidRPr="000E6232" w:rsidRDefault="007C6521" w:rsidP="003B20F2">
            <w:pPr>
              <w:spacing w:line="360" w:lineRule="auto"/>
              <w:jc w:val="both"/>
              <w:rPr>
                <w:sz w:val="24"/>
                <w:szCs w:val="24"/>
                <w:lang w:val="en-ID"/>
              </w:rPr>
            </w:pPr>
            <w:r w:rsidRPr="000E6232">
              <w:rPr>
                <w:sz w:val="24"/>
                <w:szCs w:val="24"/>
              </w:rPr>
              <w:t>No</w:t>
            </w:r>
          </w:p>
        </w:tc>
        <w:tc>
          <w:tcPr>
            <w:tcW w:w="1843" w:type="dxa"/>
            <w:tcBorders>
              <w:bottom w:val="single" w:sz="4" w:space="0" w:color="auto"/>
            </w:tcBorders>
            <w:vAlign w:val="center"/>
          </w:tcPr>
          <w:p w14:paraId="2B9657D9" w14:textId="77777777" w:rsidR="007C6521" w:rsidRPr="000E6232" w:rsidRDefault="007C6521" w:rsidP="003B20F2">
            <w:pPr>
              <w:spacing w:line="360" w:lineRule="auto"/>
              <w:jc w:val="both"/>
              <w:rPr>
                <w:sz w:val="24"/>
                <w:szCs w:val="24"/>
                <w:lang w:val="en-ID"/>
              </w:rPr>
            </w:pPr>
            <w:r w:rsidRPr="000E6232">
              <w:rPr>
                <w:sz w:val="24"/>
                <w:szCs w:val="24"/>
              </w:rPr>
              <w:t>99 (69.2)</w:t>
            </w:r>
          </w:p>
        </w:tc>
        <w:tc>
          <w:tcPr>
            <w:tcW w:w="2268" w:type="dxa"/>
            <w:tcBorders>
              <w:bottom w:val="single" w:sz="4" w:space="0" w:color="auto"/>
            </w:tcBorders>
            <w:vAlign w:val="center"/>
          </w:tcPr>
          <w:p w14:paraId="41B4E2F8" w14:textId="77777777" w:rsidR="007C6521" w:rsidRPr="000E6232" w:rsidRDefault="007C6521" w:rsidP="003B20F2">
            <w:pPr>
              <w:spacing w:line="360" w:lineRule="auto"/>
              <w:jc w:val="both"/>
              <w:rPr>
                <w:sz w:val="24"/>
                <w:szCs w:val="24"/>
                <w:lang w:val="en-ID"/>
              </w:rPr>
            </w:pPr>
          </w:p>
        </w:tc>
        <w:tc>
          <w:tcPr>
            <w:tcW w:w="1503" w:type="dxa"/>
            <w:tcBorders>
              <w:bottom w:val="single" w:sz="4" w:space="0" w:color="auto"/>
            </w:tcBorders>
            <w:vAlign w:val="center"/>
          </w:tcPr>
          <w:p w14:paraId="53741457" w14:textId="77777777" w:rsidR="007C6521" w:rsidRPr="000E6232" w:rsidRDefault="007C6521" w:rsidP="003B20F2">
            <w:pPr>
              <w:spacing w:line="360" w:lineRule="auto"/>
              <w:jc w:val="both"/>
              <w:rPr>
                <w:sz w:val="24"/>
                <w:szCs w:val="24"/>
                <w:lang w:val="en-ID"/>
              </w:rPr>
            </w:pPr>
          </w:p>
        </w:tc>
      </w:tr>
      <w:tr w:rsidR="007C6521" w:rsidRPr="000E6232" w14:paraId="214710D1" w14:textId="77777777" w:rsidTr="003B20F2">
        <w:tc>
          <w:tcPr>
            <w:tcW w:w="3260" w:type="dxa"/>
            <w:tcBorders>
              <w:top w:val="single" w:sz="4" w:space="0" w:color="auto"/>
              <w:bottom w:val="single" w:sz="4" w:space="0" w:color="auto"/>
            </w:tcBorders>
            <w:vAlign w:val="center"/>
          </w:tcPr>
          <w:p w14:paraId="73358E85" w14:textId="77777777" w:rsidR="007C6521" w:rsidRPr="000E6232" w:rsidRDefault="007C6521" w:rsidP="003B20F2">
            <w:pPr>
              <w:spacing w:line="360" w:lineRule="auto"/>
              <w:jc w:val="both"/>
              <w:rPr>
                <w:sz w:val="24"/>
                <w:szCs w:val="24"/>
                <w:lang w:val="en-ID"/>
              </w:rPr>
            </w:pPr>
            <w:r w:rsidRPr="000E6232">
              <w:rPr>
                <w:b/>
                <w:bCs/>
                <w:sz w:val="24"/>
                <w:szCs w:val="24"/>
              </w:rPr>
              <w:t>Waist Circumference</w:t>
            </w:r>
          </w:p>
        </w:tc>
        <w:tc>
          <w:tcPr>
            <w:tcW w:w="1843" w:type="dxa"/>
            <w:tcBorders>
              <w:top w:val="single" w:sz="4" w:space="0" w:color="auto"/>
              <w:bottom w:val="single" w:sz="4" w:space="0" w:color="auto"/>
            </w:tcBorders>
            <w:vAlign w:val="center"/>
          </w:tcPr>
          <w:p w14:paraId="68A96F50" w14:textId="77777777" w:rsidR="007C6521" w:rsidRPr="000E6232" w:rsidRDefault="007C6521" w:rsidP="003B20F2">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47203896" w14:textId="77777777" w:rsidR="007C6521" w:rsidRPr="000E6232" w:rsidRDefault="007C6521" w:rsidP="003B20F2">
            <w:pPr>
              <w:spacing w:line="360" w:lineRule="auto"/>
              <w:jc w:val="both"/>
              <w:rPr>
                <w:sz w:val="24"/>
                <w:szCs w:val="24"/>
                <w:lang w:val="en-ID"/>
              </w:rPr>
            </w:pPr>
          </w:p>
        </w:tc>
        <w:tc>
          <w:tcPr>
            <w:tcW w:w="1503" w:type="dxa"/>
            <w:tcBorders>
              <w:top w:val="single" w:sz="4" w:space="0" w:color="auto"/>
              <w:bottom w:val="single" w:sz="4" w:space="0" w:color="auto"/>
            </w:tcBorders>
            <w:vAlign w:val="center"/>
          </w:tcPr>
          <w:p w14:paraId="3A27BB3E" w14:textId="77777777" w:rsidR="007C6521" w:rsidRPr="000E6232" w:rsidRDefault="007C6521" w:rsidP="003B20F2">
            <w:pPr>
              <w:spacing w:line="360" w:lineRule="auto"/>
              <w:jc w:val="both"/>
              <w:rPr>
                <w:sz w:val="24"/>
                <w:szCs w:val="24"/>
                <w:lang w:val="en-ID"/>
              </w:rPr>
            </w:pPr>
            <w:r w:rsidRPr="000E6232">
              <w:rPr>
                <w:sz w:val="24"/>
                <w:szCs w:val="24"/>
              </w:rPr>
              <w:t>0.615</w:t>
            </w:r>
          </w:p>
        </w:tc>
      </w:tr>
      <w:tr w:rsidR="007C6521" w:rsidRPr="000E6232" w14:paraId="07024B49" w14:textId="77777777" w:rsidTr="003B20F2">
        <w:tc>
          <w:tcPr>
            <w:tcW w:w="3260" w:type="dxa"/>
            <w:tcBorders>
              <w:top w:val="single" w:sz="4" w:space="0" w:color="auto"/>
            </w:tcBorders>
            <w:vAlign w:val="center"/>
          </w:tcPr>
          <w:p w14:paraId="3E5CECDB" w14:textId="77777777" w:rsidR="007C6521" w:rsidRPr="000E6232" w:rsidRDefault="007C6521" w:rsidP="003B20F2">
            <w:pPr>
              <w:spacing w:line="360" w:lineRule="auto"/>
              <w:jc w:val="both"/>
              <w:rPr>
                <w:sz w:val="24"/>
                <w:szCs w:val="24"/>
                <w:lang w:val="en-ID"/>
              </w:rPr>
            </w:pPr>
            <w:r w:rsidRPr="000E6232">
              <w:rPr>
                <w:sz w:val="24"/>
                <w:szCs w:val="24"/>
              </w:rPr>
              <w:t>Male</w:t>
            </w:r>
          </w:p>
        </w:tc>
        <w:tc>
          <w:tcPr>
            <w:tcW w:w="1843" w:type="dxa"/>
            <w:tcBorders>
              <w:top w:val="single" w:sz="4" w:space="0" w:color="auto"/>
            </w:tcBorders>
            <w:vAlign w:val="center"/>
          </w:tcPr>
          <w:p w14:paraId="0DF7599D" w14:textId="77777777" w:rsidR="007C6521" w:rsidRPr="000E6232" w:rsidRDefault="007C6521" w:rsidP="003B20F2">
            <w:pPr>
              <w:spacing w:line="360" w:lineRule="auto"/>
              <w:jc w:val="both"/>
              <w:rPr>
                <w:sz w:val="24"/>
                <w:szCs w:val="24"/>
                <w:lang w:val="en-ID"/>
              </w:rPr>
            </w:pPr>
          </w:p>
        </w:tc>
        <w:tc>
          <w:tcPr>
            <w:tcW w:w="2268" w:type="dxa"/>
            <w:tcBorders>
              <w:top w:val="single" w:sz="4" w:space="0" w:color="auto"/>
            </w:tcBorders>
            <w:vAlign w:val="center"/>
          </w:tcPr>
          <w:p w14:paraId="65359D85" w14:textId="77777777" w:rsidR="007C6521" w:rsidRPr="000E6232" w:rsidRDefault="007C6521" w:rsidP="003B20F2">
            <w:pPr>
              <w:spacing w:line="360" w:lineRule="auto"/>
              <w:jc w:val="both"/>
              <w:rPr>
                <w:sz w:val="24"/>
                <w:szCs w:val="24"/>
                <w:lang w:val="en-ID"/>
              </w:rPr>
            </w:pPr>
            <w:r w:rsidRPr="000E6232">
              <w:rPr>
                <w:sz w:val="24"/>
                <w:szCs w:val="24"/>
              </w:rPr>
              <w:t>94.47 (10.42)</w:t>
            </w:r>
          </w:p>
        </w:tc>
        <w:tc>
          <w:tcPr>
            <w:tcW w:w="1503" w:type="dxa"/>
            <w:tcBorders>
              <w:top w:val="single" w:sz="4" w:space="0" w:color="auto"/>
            </w:tcBorders>
            <w:vAlign w:val="center"/>
          </w:tcPr>
          <w:p w14:paraId="54E8EE14" w14:textId="77777777" w:rsidR="007C6521" w:rsidRPr="000E6232" w:rsidRDefault="007C6521" w:rsidP="003B20F2">
            <w:pPr>
              <w:spacing w:line="360" w:lineRule="auto"/>
              <w:jc w:val="both"/>
              <w:rPr>
                <w:sz w:val="24"/>
                <w:szCs w:val="24"/>
                <w:lang w:val="en-ID"/>
              </w:rPr>
            </w:pPr>
          </w:p>
        </w:tc>
      </w:tr>
      <w:tr w:rsidR="007C6521" w:rsidRPr="000E6232" w14:paraId="1C1E848E" w14:textId="77777777" w:rsidTr="003B20F2">
        <w:tc>
          <w:tcPr>
            <w:tcW w:w="3260" w:type="dxa"/>
            <w:vAlign w:val="center"/>
          </w:tcPr>
          <w:p w14:paraId="7E0EF713" w14:textId="77777777" w:rsidR="007C6521" w:rsidRPr="000E6232" w:rsidRDefault="007C6521" w:rsidP="003B20F2">
            <w:pPr>
              <w:spacing w:line="360" w:lineRule="auto"/>
              <w:jc w:val="both"/>
              <w:rPr>
                <w:sz w:val="24"/>
                <w:szCs w:val="24"/>
                <w:lang w:val="en-ID"/>
              </w:rPr>
            </w:pPr>
            <w:r w:rsidRPr="000E6232">
              <w:rPr>
                <w:sz w:val="24"/>
                <w:szCs w:val="24"/>
              </w:rPr>
              <w:t>&gt;90 cm</w:t>
            </w:r>
          </w:p>
        </w:tc>
        <w:tc>
          <w:tcPr>
            <w:tcW w:w="1843" w:type="dxa"/>
            <w:vAlign w:val="center"/>
          </w:tcPr>
          <w:p w14:paraId="1F297FA7" w14:textId="77777777" w:rsidR="007C6521" w:rsidRPr="000E6232" w:rsidRDefault="007C6521" w:rsidP="003B20F2">
            <w:pPr>
              <w:spacing w:line="360" w:lineRule="auto"/>
              <w:jc w:val="both"/>
              <w:rPr>
                <w:sz w:val="24"/>
                <w:szCs w:val="24"/>
                <w:lang w:val="en-ID"/>
              </w:rPr>
            </w:pPr>
            <w:r w:rsidRPr="000E6232">
              <w:rPr>
                <w:sz w:val="24"/>
                <w:szCs w:val="24"/>
              </w:rPr>
              <w:t>73 (92.41)</w:t>
            </w:r>
          </w:p>
        </w:tc>
        <w:tc>
          <w:tcPr>
            <w:tcW w:w="2268" w:type="dxa"/>
            <w:vAlign w:val="center"/>
          </w:tcPr>
          <w:p w14:paraId="1612E4F0" w14:textId="77777777" w:rsidR="007C6521" w:rsidRPr="000E6232" w:rsidRDefault="007C6521" w:rsidP="003B20F2">
            <w:pPr>
              <w:spacing w:line="360" w:lineRule="auto"/>
              <w:jc w:val="both"/>
              <w:rPr>
                <w:sz w:val="24"/>
                <w:szCs w:val="24"/>
                <w:lang w:val="en-ID"/>
              </w:rPr>
            </w:pPr>
          </w:p>
        </w:tc>
        <w:tc>
          <w:tcPr>
            <w:tcW w:w="1503" w:type="dxa"/>
            <w:vAlign w:val="center"/>
          </w:tcPr>
          <w:p w14:paraId="6DE598A9" w14:textId="77777777" w:rsidR="007C6521" w:rsidRPr="000E6232" w:rsidRDefault="007C6521" w:rsidP="003B20F2">
            <w:pPr>
              <w:spacing w:line="360" w:lineRule="auto"/>
              <w:jc w:val="both"/>
              <w:rPr>
                <w:sz w:val="24"/>
                <w:szCs w:val="24"/>
                <w:lang w:val="en-ID"/>
              </w:rPr>
            </w:pPr>
          </w:p>
        </w:tc>
      </w:tr>
      <w:tr w:rsidR="007C6521" w:rsidRPr="000E6232" w14:paraId="0039D3D1" w14:textId="77777777" w:rsidTr="003B20F2">
        <w:tc>
          <w:tcPr>
            <w:tcW w:w="3260" w:type="dxa"/>
            <w:vAlign w:val="center"/>
          </w:tcPr>
          <w:p w14:paraId="59D00A7C" w14:textId="77777777" w:rsidR="007C6521" w:rsidRPr="000E6232" w:rsidRDefault="007C6521" w:rsidP="003B20F2">
            <w:pPr>
              <w:spacing w:line="360" w:lineRule="auto"/>
              <w:jc w:val="both"/>
              <w:rPr>
                <w:sz w:val="24"/>
                <w:szCs w:val="24"/>
                <w:lang w:val="en-ID"/>
              </w:rPr>
            </w:pPr>
            <w:r w:rsidRPr="000E6232">
              <w:rPr>
                <w:rFonts w:ascii="Cambria Math" w:hAnsi="Cambria Math" w:cs="Cambria Math"/>
                <w:sz w:val="24"/>
                <w:szCs w:val="24"/>
              </w:rPr>
              <w:t>≤</w:t>
            </w:r>
            <w:r w:rsidRPr="000E6232">
              <w:rPr>
                <w:sz w:val="24"/>
                <w:szCs w:val="24"/>
              </w:rPr>
              <w:t>90 cm</w:t>
            </w:r>
          </w:p>
        </w:tc>
        <w:tc>
          <w:tcPr>
            <w:tcW w:w="1843" w:type="dxa"/>
            <w:vAlign w:val="center"/>
          </w:tcPr>
          <w:p w14:paraId="1D2F1B27" w14:textId="77777777" w:rsidR="007C6521" w:rsidRPr="000E6232" w:rsidRDefault="007C6521" w:rsidP="003B20F2">
            <w:pPr>
              <w:spacing w:line="360" w:lineRule="auto"/>
              <w:jc w:val="both"/>
              <w:rPr>
                <w:sz w:val="24"/>
                <w:szCs w:val="24"/>
                <w:lang w:val="en-ID"/>
              </w:rPr>
            </w:pPr>
            <w:r w:rsidRPr="000E6232">
              <w:rPr>
                <w:sz w:val="24"/>
                <w:szCs w:val="24"/>
              </w:rPr>
              <w:t>6 (7.59)</w:t>
            </w:r>
          </w:p>
        </w:tc>
        <w:tc>
          <w:tcPr>
            <w:tcW w:w="2268" w:type="dxa"/>
            <w:vAlign w:val="center"/>
          </w:tcPr>
          <w:p w14:paraId="3331746C" w14:textId="77777777" w:rsidR="007C6521" w:rsidRPr="000E6232" w:rsidRDefault="007C6521" w:rsidP="003B20F2">
            <w:pPr>
              <w:spacing w:line="360" w:lineRule="auto"/>
              <w:jc w:val="both"/>
              <w:rPr>
                <w:sz w:val="24"/>
                <w:szCs w:val="24"/>
                <w:lang w:val="en-ID"/>
              </w:rPr>
            </w:pPr>
          </w:p>
        </w:tc>
        <w:tc>
          <w:tcPr>
            <w:tcW w:w="1503" w:type="dxa"/>
            <w:vAlign w:val="center"/>
          </w:tcPr>
          <w:p w14:paraId="0B4C1121" w14:textId="77777777" w:rsidR="007C6521" w:rsidRPr="000E6232" w:rsidRDefault="007C6521" w:rsidP="003B20F2">
            <w:pPr>
              <w:spacing w:line="360" w:lineRule="auto"/>
              <w:jc w:val="both"/>
              <w:rPr>
                <w:sz w:val="24"/>
                <w:szCs w:val="24"/>
                <w:lang w:val="en-ID"/>
              </w:rPr>
            </w:pPr>
          </w:p>
        </w:tc>
      </w:tr>
      <w:tr w:rsidR="007C6521" w:rsidRPr="000E6232" w14:paraId="19555080" w14:textId="77777777" w:rsidTr="003B20F2">
        <w:tc>
          <w:tcPr>
            <w:tcW w:w="3260" w:type="dxa"/>
            <w:vAlign w:val="center"/>
          </w:tcPr>
          <w:p w14:paraId="457FAE93" w14:textId="77777777" w:rsidR="007C6521" w:rsidRPr="000E6232" w:rsidRDefault="007C6521" w:rsidP="003B20F2">
            <w:pPr>
              <w:spacing w:line="360" w:lineRule="auto"/>
              <w:jc w:val="both"/>
              <w:rPr>
                <w:sz w:val="24"/>
                <w:szCs w:val="24"/>
                <w:lang w:val="en-ID"/>
              </w:rPr>
            </w:pPr>
            <w:r w:rsidRPr="000E6232">
              <w:rPr>
                <w:sz w:val="24"/>
                <w:szCs w:val="24"/>
              </w:rPr>
              <w:t>Female</w:t>
            </w:r>
          </w:p>
        </w:tc>
        <w:tc>
          <w:tcPr>
            <w:tcW w:w="1843" w:type="dxa"/>
            <w:vAlign w:val="center"/>
          </w:tcPr>
          <w:p w14:paraId="4E591957" w14:textId="77777777" w:rsidR="007C6521" w:rsidRPr="000E6232" w:rsidRDefault="007C6521" w:rsidP="003B20F2">
            <w:pPr>
              <w:spacing w:line="360" w:lineRule="auto"/>
              <w:jc w:val="both"/>
              <w:rPr>
                <w:sz w:val="24"/>
                <w:szCs w:val="24"/>
                <w:lang w:val="en-ID"/>
              </w:rPr>
            </w:pPr>
          </w:p>
        </w:tc>
        <w:tc>
          <w:tcPr>
            <w:tcW w:w="2268" w:type="dxa"/>
            <w:vAlign w:val="center"/>
          </w:tcPr>
          <w:p w14:paraId="4B2E01F6" w14:textId="77777777" w:rsidR="007C6521" w:rsidRPr="000E6232" w:rsidRDefault="007C6521" w:rsidP="003B20F2">
            <w:pPr>
              <w:spacing w:line="360" w:lineRule="auto"/>
              <w:jc w:val="both"/>
              <w:rPr>
                <w:sz w:val="24"/>
                <w:szCs w:val="24"/>
                <w:lang w:val="en-ID"/>
              </w:rPr>
            </w:pPr>
            <w:r w:rsidRPr="000E6232">
              <w:rPr>
                <w:sz w:val="24"/>
                <w:szCs w:val="24"/>
              </w:rPr>
              <w:t>99.97 (9.55)</w:t>
            </w:r>
          </w:p>
        </w:tc>
        <w:tc>
          <w:tcPr>
            <w:tcW w:w="1503" w:type="dxa"/>
            <w:vAlign w:val="center"/>
          </w:tcPr>
          <w:p w14:paraId="3F0E0EA9" w14:textId="77777777" w:rsidR="007C6521" w:rsidRPr="000E6232" w:rsidRDefault="007C6521" w:rsidP="003B20F2">
            <w:pPr>
              <w:spacing w:line="360" w:lineRule="auto"/>
              <w:jc w:val="both"/>
              <w:rPr>
                <w:sz w:val="24"/>
                <w:szCs w:val="24"/>
                <w:lang w:val="en-ID"/>
              </w:rPr>
            </w:pPr>
          </w:p>
        </w:tc>
      </w:tr>
      <w:tr w:rsidR="007C6521" w:rsidRPr="000E6232" w14:paraId="48B459EC" w14:textId="77777777" w:rsidTr="003B20F2">
        <w:tc>
          <w:tcPr>
            <w:tcW w:w="3260" w:type="dxa"/>
            <w:vAlign w:val="center"/>
          </w:tcPr>
          <w:p w14:paraId="78FDEF93" w14:textId="77777777" w:rsidR="007C6521" w:rsidRPr="000E6232" w:rsidRDefault="007C6521" w:rsidP="003B20F2">
            <w:pPr>
              <w:spacing w:line="360" w:lineRule="auto"/>
              <w:jc w:val="both"/>
              <w:rPr>
                <w:sz w:val="24"/>
                <w:szCs w:val="24"/>
                <w:lang w:val="en-ID"/>
              </w:rPr>
            </w:pPr>
            <w:r w:rsidRPr="000E6232">
              <w:rPr>
                <w:sz w:val="24"/>
                <w:szCs w:val="24"/>
              </w:rPr>
              <w:t>&gt;80 cm</w:t>
            </w:r>
          </w:p>
        </w:tc>
        <w:tc>
          <w:tcPr>
            <w:tcW w:w="1843" w:type="dxa"/>
            <w:vAlign w:val="center"/>
          </w:tcPr>
          <w:p w14:paraId="40DCD9A2" w14:textId="77777777" w:rsidR="007C6521" w:rsidRPr="000E6232" w:rsidRDefault="007C6521" w:rsidP="003B20F2">
            <w:pPr>
              <w:spacing w:line="360" w:lineRule="auto"/>
              <w:jc w:val="both"/>
              <w:rPr>
                <w:sz w:val="24"/>
                <w:szCs w:val="24"/>
                <w:lang w:val="en-ID"/>
              </w:rPr>
            </w:pPr>
            <w:r w:rsidRPr="000E6232">
              <w:rPr>
                <w:sz w:val="24"/>
                <w:szCs w:val="24"/>
              </w:rPr>
              <w:t>62 (96.88)</w:t>
            </w:r>
          </w:p>
        </w:tc>
        <w:tc>
          <w:tcPr>
            <w:tcW w:w="2268" w:type="dxa"/>
            <w:vAlign w:val="center"/>
          </w:tcPr>
          <w:p w14:paraId="7395DFCF" w14:textId="77777777" w:rsidR="007C6521" w:rsidRPr="000E6232" w:rsidRDefault="007C6521" w:rsidP="003B20F2">
            <w:pPr>
              <w:spacing w:line="360" w:lineRule="auto"/>
              <w:jc w:val="both"/>
              <w:rPr>
                <w:sz w:val="24"/>
                <w:szCs w:val="24"/>
                <w:lang w:val="en-ID"/>
              </w:rPr>
            </w:pPr>
          </w:p>
        </w:tc>
        <w:tc>
          <w:tcPr>
            <w:tcW w:w="1503" w:type="dxa"/>
            <w:vAlign w:val="center"/>
          </w:tcPr>
          <w:p w14:paraId="57B7FEBC" w14:textId="77777777" w:rsidR="007C6521" w:rsidRPr="000E6232" w:rsidRDefault="007C6521" w:rsidP="003B20F2">
            <w:pPr>
              <w:spacing w:line="360" w:lineRule="auto"/>
              <w:jc w:val="both"/>
              <w:rPr>
                <w:sz w:val="24"/>
                <w:szCs w:val="24"/>
                <w:lang w:val="en-ID"/>
              </w:rPr>
            </w:pPr>
          </w:p>
        </w:tc>
      </w:tr>
      <w:tr w:rsidR="007C6521" w:rsidRPr="000E6232" w14:paraId="407A3C31" w14:textId="77777777" w:rsidTr="003B20F2">
        <w:tc>
          <w:tcPr>
            <w:tcW w:w="3260" w:type="dxa"/>
            <w:tcBorders>
              <w:bottom w:val="single" w:sz="4" w:space="0" w:color="auto"/>
            </w:tcBorders>
            <w:vAlign w:val="center"/>
          </w:tcPr>
          <w:p w14:paraId="49EA9497" w14:textId="77777777" w:rsidR="007C6521" w:rsidRPr="000E6232" w:rsidRDefault="007C6521" w:rsidP="003B20F2">
            <w:pPr>
              <w:spacing w:line="360" w:lineRule="auto"/>
              <w:jc w:val="both"/>
              <w:rPr>
                <w:sz w:val="24"/>
                <w:szCs w:val="24"/>
                <w:lang w:val="en-ID"/>
              </w:rPr>
            </w:pPr>
            <w:r w:rsidRPr="000E6232">
              <w:rPr>
                <w:rFonts w:ascii="Cambria Math" w:hAnsi="Cambria Math" w:cs="Cambria Math"/>
                <w:sz w:val="24"/>
                <w:szCs w:val="24"/>
              </w:rPr>
              <w:t>≤</w:t>
            </w:r>
            <w:r w:rsidRPr="000E6232">
              <w:rPr>
                <w:sz w:val="24"/>
                <w:szCs w:val="24"/>
              </w:rPr>
              <w:t>80 cm</w:t>
            </w:r>
          </w:p>
        </w:tc>
        <w:tc>
          <w:tcPr>
            <w:tcW w:w="1843" w:type="dxa"/>
            <w:tcBorders>
              <w:bottom w:val="single" w:sz="4" w:space="0" w:color="auto"/>
            </w:tcBorders>
            <w:vAlign w:val="center"/>
          </w:tcPr>
          <w:p w14:paraId="4753473C" w14:textId="77777777" w:rsidR="007C6521" w:rsidRPr="000E6232" w:rsidRDefault="007C6521" w:rsidP="003B20F2">
            <w:pPr>
              <w:spacing w:line="360" w:lineRule="auto"/>
              <w:jc w:val="both"/>
              <w:rPr>
                <w:sz w:val="24"/>
                <w:szCs w:val="24"/>
                <w:lang w:val="en-ID"/>
              </w:rPr>
            </w:pPr>
            <w:r w:rsidRPr="000E6232">
              <w:rPr>
                <w:sz w:val="24"/>
                <w:szCs w:val="24"/>
              </w:rPr>
              <w:t>2 (3.12)</w:t>
            </w:r>
          </w:p>
        </w:tc>
        <w:tc>
          <w:tcPr>
            <w:tcW w:w="2268" w:type="dxa"/>
            <w:tcBorders>
              <w:bottom w:val="single" w:sz="4" w:space="0" w:color="auto"/>
            </w:tcBorders>
            <w:vAlign w:val="center"/>
          </w:tcPr>
          <w:p w14:paraId="60E0B597" w14:textId="77777777" w:rsidR="007C6521" w:rsidRPr="000E6232" w:rsidRDefault="007C6521" w:rsidP="003B20F2">
            <w:pPr>
              <w:spacing w:line="360" w:lineRule="auto"/>
              <w:jc w:val="both"/>
              <w:rPr>
                <w:sz w:val="24"/>
                <w:szCs w:val="24"/>
                <w:lang w:val="en-ID"/>
              </w:rPr>
            </w:pPr>
          </w:p>
        </w:tc>
        <w:tc>
          <w:tcPr>
            <w:tcW w:w="1503" w:type="dxa"/>
            <w:tcBorders>
              <w:bottom w:val="single" w:sz="4" w:space="0" w:color="auto"/>
            </w:tcBorders>
            <w:vAlign w:val="center"/>
          </w:tcPr>
          <w:p w14:paraId="27A3582B" w14:textId="77777777" w:rsidR="007C6521" w:rsidRPr="000E6232" w:rsidRDefault="007C6521" w:rsidP="003B20F2">
            <w:pPr>
              <w:spacing w:line="360" w:lineRule="auto"/>
              <w:jc w:val="both"/>
              <w:rPr>
                <w:sz w:val="24"/>
                <w:szCs w:val="24"/>
                <w:lang w:val="en-ID"/>
              </w:rPr>
            </w:pPr>
          </w:p>
        </w:tc>
      </w:tr>
      <w:tr w:rsidR="007C6521" w:rsidRPr="000E6232" w14:paraId="398BB779" w14:textId="77777777" w:rsidTr="003B20F2">
        <w:tc>
          <w:tcPr>
            <w:tcW w:w="3260" w:type="dxa"/>
            <w:tcBorders>
              <w:top w:val="single" w:sz="4" w:space="0" w:color="auto"/>
              <w:bottom w:val="single" w:sz="4" w:space="0" w:color="auto"/>
            </w:tcBorders>
            <w:vAlign w:val="center"/>
          </w:tcPr>
          <w:p w14:paraId="2C640416" w14:textId="77777777" w:rsidR="007C6521" w:rsidRPr="000E6232" w:rsidRDefault="007C6521" w:rsidP="003B20F2">
            <w:pPr>
              <w:spacing w:line="360" w:lineRule="auto"/>
              <w:jc w:val="both"/>
              <w:rPr>
                <w:sz w:val="24"/>
                <w:szCs w:val="24"/>
                <w:lang w:val="en-ID"/>
              </w:rPr>
            </w:pPr>
            <w:r w:rsidRPr="000E6232">
              <w:rPr>
                <w:b/>
                <w:bCs/>
                <w:sz w:val="24"/>
                <w:szCs w:val="24"/>
              </w:rPr>
              <w:t>Hemoglobin A1c (%)</w:t>
            </w:r>
          </w:p>
        </w:tc>
        <w:tc>
          <w:tcPr>
            <w:tcW w:w="1843" w:type="dxa"/>
            <w:tcBorders>
              <w:top w:val="single" w:sz="4" w:space="0" w:color="auto"/>
              <w:bottom w:val="single" w:sz="4" w:space="0" w:color="auto"/>
            </w:tcBorders>
            <w:vAlign w:val="center"/>
          </w:tcPr>
          <w:p w14:paraId="13FD8322" w14:textId="77777777" w:rsidR="007C6521" w:rsidRPr="000E6232" w:rsidRDefault="007C6521" w:rsidP="003B20F2">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7F9C593C" w14:textId="77777777" w:rsidR="007C6521" w:rsidRPr="000E6232" w:rsidRDefault="007C6521" w:rsidP="003B20F2">
            <w:pPr>
              <w:spacing w:line="360" w:lineRule="auto"/>
              <w:jc w:val="both"/>
              <w:rPr>
                <w:sz w:val="24"/>
                <w:szCs w:val="24"/>
                <w:lang w:val="en-ID"/>
              </w:rPr>
            </w:pPr>
            <w:r w:rsidRPr="000E6232">
              <w:rPr>
                <w:sz w:val="24"/>
                <w:szCs w:val="24"/>
              </w:rPr>
              <w:t>5.08 (0.66)</w:t>
            </w:r>
          </w:p>
        </w:tc>
        <w:tc>
          <w:tcPr>
            <w:tcW w:w="1503" w:type="dxa"/>
            <w:tcBorders>
              <w:top w:val="single" w:sz="4" w:space="0" w:color="auto"/>
              <w:bottom w:val="single" w:sz="4" w:space="0" w:color="auto"/>
            </w:tcBorders>
            <w:vAlign w:val="center"/>
          </w:tcPr>
          <w:p w14:paraId="2C18413E" w14:textId="77777777" w:rsidR="007C6521" w:rsidRPr="000E6232" w:rsidRDefault="007C6521" w:rsidP="003B20F2">
            <w:pPr>
              <w:spacing w:line="360" w:lineRule="auto"/>
              <w:jc w:val="both"/>
              <w:rPr>
                <w:sz w:val="24"/>
                <w:szCs w:val="24"/>
                <w:lang w:val="en-ID"/>
              </w:rPr>
            </w:pPr>
          </w:p>
        </w:tc>
      </w:tr>
      <w:tr w:rsidR="007C6521" w:rsidRPr="000E6232" w14:paraId="7B39C473" w14:textId="77777777" w:rsidTr="003B20F2">
        <w:tc>
          <w:tcPr>
            <w:tcW w:w="3260" w:type="dxa"/>
            <w:tcBorders>
              <w:top w:val="single" w:sz="4" w:space="0" w:color="auto"/>
              <w:bottom w:val="single" w:sz="4" w:space="0" w:color="auto"/>
            </w:tcBorders>
            <w:vAlign w:val="center"/>
          </w:tcPr>
          <w:p w14:paraId="400A6F87" w14:textId="77777777" w:rsidR="007C6521" w:rsidRPr="000E6232" w:rsidRDefault="007C6521" w:rsidP="003B20F2">
            <w:pPr>
              <w:spacing w:line="360" w:lineRule="auto"/>
              <w:jc w:val="both"/>
              <w:rPr>
                <w:sz w:val="24"/>
                <w:szCs w:val="24"/>
                <w:lang w:val="en-ID"/>
              </w:rPr>
            </w:pPr>
            <w:r w:rsidRPr="000E6232">
              <w:rPr>
                <w:b/>
                <w:bCs/>
                <w:sz w:val="24"/>
                <w:szCs w:val="24"/>
              </w:rPr>
              <w:t>1,5-Anhydroglucitol (µg/mL)</w:t>
            </w:r>
          </w:p>
        </w:tc>
        <w:tc>
          <w:tcPr>
            <w:tcW w:w="1843" w:type="dxa"/>
            <w:tcBorders>
              <w:top w:val="single" w:sz="4" w:space="0" w:color="auto"/>
              <w:bottom w:val="single" w:sz="4" w:space="0" w:color="auto"/>
            </w:tcBorders>
            <w:vAlign w:val="center"/>
          </w:tcPr>
          <w:p w14:paraId="6B656E53" w14:textId="77777777" w:rsidR="007C6521" w:rsidRPr="000E6232" w:rsidRDefault="007C6521" w:rsidP="003B20F2">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2D464FA7" w14:textId="77777777" w:rsidR="007C6521" w:rsidRPr="000E6232" w:rsidRDefault="007C6521" w:rsidP="003B20F2">
            <w:pPr>
              <w:spacing w:line="360" w:lineRule="auto"/>
              <w:jc w:val="both"/>
              <w:rPr>
                <w:sz w:val="24"/>
                <w:szCs w:val="24"/>
                <w:lang w:val="en-ID"/>
              </w:rPr>
            </w:pPr>
            <w:r w:rsidRPr="000E6232">
              <w:rPr>
                <w:sz w:val="24"/>
                <w:szCs w:val="24"/>
              </w:rPr>
              <w:t>7.89 (4.76)</w:t>
            </w:r>
          </w:p>
        </w:tc>
        <w:tc>
          <w:tcPr>
            <w:tcW w:w="1503" w:type="dxa"/>
            <w:tcBorders>
              <w:top w:val="single" w:sz="4" w:space="0" w:color="auto"/>
              <w:bottom w:val="single" w:sz="4" w:space="0" w:color="auto"/>
            </w:tcBorders>
            <w:vAlign w:val="center"/>
          </w:tcPr>
          <w:p w14:paraId="7D6A89EA" w14:textId="77777777" w:rsidR="007C6521" w:rsidRPr="000E6232" w:rsidRDefault="007C6521" w:rsidP="003B20F2">
            <w:pPr>
              <w:spacing w:line="360" w:lineRule="auto"/>
              <w:jc w:val="both"/>
              <w:rPr>
                <w:sz w:val="24"/>
                <w:szCs w:val="24"/>
                <w:lang w:val="en-ID"/>
              </w:rPr>
            </w:pPr>
          </w:p>
        </w:tc>
      </w:tr>
    </w:tbl>
    <w:p w14:paraId="72326616" w14:textId="77777777" w:rsidR="007C6521" w:rsidRPr="000E6232" w:rsidRDefault="007C6521" w:rsidP="007C6521">
      <w:pPr>
        <w:spacing w:line="360" w:lineRule="auto"/>
        <w:jc w:val="both"/>
        <w:rPr>
          <w:b/>
          <w:bCs/>
          <w:sz w:val="20"/>
          <w:szCs w:val="20"/>
          <w:lang w:val="en-ID"/>
        </w:rPr>
      </w:pPr>
    </w:p>
    <w:p w14:paraId="12835301" w14:textId="77777777" w:rsidR="007C6521" w:rsidRPr="000E6232" w:rsidRDefault="007C6521" w:rsidP="007C6521">
      <w:pPr>
        <w:spacing w:line="360" w:lineRule="auto"/>
        <w:ind w:left="142"/>
        <w:jc w:val="both"/>
        <w:rPr>
          <w:b/>
          <w:bCs/>
          <w:sz w:val="20"/>
          <w:szCs w:val="20"/>
          <w:lang w:val="en-ID"/>
        </w:rPr>
      </w:pPr>
      <w:r w:rsidRPr="000E6232">
        <w:rPr>
          <w:b/>
          <w:bCs/>
          <w:sz w:val="20"/>
          <w:szCs w:val="20"/>
          <w:lang w:val="en-ID"/>
        </w:rPr>
        <w:t>Distribution of Prediabetes Based on HbA1c</w:t>
      </w:r>
    </w:p>
    <w:p w14:paraId="53140E53" w14:textId="77777777" w:rsidR="007C6521" w:rsidRPr="000E6232" w:rsidRDefault="007C6521" w:rsidP="007C6521">
      <w:pPr>
        <w:spacing w:line="360" w:lineRule="auto"/>
        <w:ind w:left="142" w:firstLine="284"/>
        <w:jc w:val="both"/>
        <w:rPr>
          <w:sz w:val="20"/>
          <w:szCs w:val="20"/>
          <w:lang w:val="en-ID"/>
        </w:rPr>
      </w:pPr>
      <w:r w:rsidRPr="000E6232">
        <w:rPr>
          <w:sz w:val="20"/>
          <w:szCs w:val="20"/>
          <w:lang w:val="en-ID"/>
        </w:rPr>
        <w:t>HbA1c levels were measured in all participants. The frequency distribution of prediabetes based on HbA1c classification is shown in Table 2.</w:t>
      </w:r>
    </w:p>
    <w:p w14:paraId="43767280" w14:textId="77777777" w:rsidR="007C6521" w:rsidRPr="000E6232" w:rsidRDefault="007C6521" w:rsidP="007C6521">
      <w:pPr>
        <w:spacing w:line="360" w:lineRule="auto"/>
        <w:ind w:left="142"/>
        <w:rPr>
          <w:sz w:val="20"/>
          <w:szCs w:val="20"/>
          <w:lang w:val="en-ID"/>
        </w:rPr>
      </w:pPr>
      <w:r w:rsidRPr="000E6232">
        <w:rPr>
          <w:b/>
          <w:bCs/>
          <w:sz w:val="20"/>
          <w:szCs w:val="20"/>
          <w:lang w:val="en-ID"/>
        </w:rPr>
        <w:t xml:space="preserve">Table 2. </w:t>
      </w:r>
      <w:r w:rsidRPr="000E6232">
        <w:rPr>
          <w:sz w:val="20"/>
          <w:szCs w:val="20"/>
        </w:rPr>
        <w:t>Frequency Distribution of Prediabetes Based on HbA1c</w:t>
      </w:r>
    </w:p>
    <w:tbl>
      <w:tblPr>
        <w:tblW w:w="9000" w:type="dxa"/>
        <w:tblInd w:w="72" w:type="dxa"/>
        <w:tblLayout w:type="fixed"/>
        <w:tblLook w:val="0400" w:firstRow="0" w:lastRow="0" w:firstColumn="0" w:lastColumn="0" w:noHBand="0" w:noVBand="1"/>
      </w:tblPr>
      <w:tblGrid>
        <w:gridCol w:w="3330"/>
        <w:gridCol w:w="4536"/>
        <w:gridCol w:w="1134"/>
      </w:tblGrid>
      <w:tr w:rsidR="007C6521" w:rsidRPr="000E6232" w14:paraId="0887AB36" w14:textId="77777777" w:rsidTr="003B20F2">
        <w:trPr>
          <w:trHeight w:val="365"/>
        </w:trPr>
        <w:tc>
          <w:tcPr>
            <w:tcW w:w="3330" w:type="dxa"/>
            <w:tcBorders>
              <w:top w:val="single" w:sz="8" w:space="0" w:color="231F20"/>
              <w:left w:val="nil"/>
              <w:bottom w:val="single" w:sz="8" w:space="0" w:color="231F20"/>
              <w:right w:val="nil"/>
            </w:tcBorders>
            <w:tcMar>
              <w:top w:w="0" w:type="dxa"/>
              <w:left w:w="0" w:type="dxa"/>
              <w:bottom w:w="0" w:type="dxa"/>
              <w:right w:w="0" w:type="dxa"/>
            </w:tcMar>
            <w:vAlign w:val="center"/>
          </w:tcPr>
          <w:p w14:paraId="32136501" w14:textId="77777777" w:rsidR="007C6521" w:rsidRPr="000E6232" w:rsidRDefault="007C6521" w:rsidP="003B20F2">
            <w:pPr>
              <w:pBdr>
                <w:top w:val="nil"/>
                <w:left w:val="nil"/>
                <w:bottom w:val="nil"/>
                <w:right w:val="nil"/>
                <w:between w:val="nil"/>
              </w:pBdr>
              <w:spacing w:line="360" w:lineRule="auto"/>
              <w:ind w:left="226"/>
            </w:pPr>
            <w:r w:rsidRPr="000E6232">
              <w:rPr>
                <w:b/>
                <w:bCs/>
              </w:rPr>
              <w:t>HbA1c Category</w:t>
            </w:r>
          </w:p>
        </w:tc>
        <w:tc>
          <w:tcPr>
            <w:tcW w:w="4536" w:type="dxa"/>
            <w:tcBorders>
              <w:top w:val="single" w:sz="8" w:space="0" w:color="231F20"/>
              <w:left w:val="nil"/>
              <w:bottom w:val="single" w:sz="8" w:space="0" w:color="231F20"/>
              <w:right w:val="nil"/>
            </w:tcBorders>
            <w:tcMar>
              <w:top w:w="0" w:type="dxa"/>
              <w:left w:w="0" w:type="dxa"/>
              <w:bottom w:w="0" w:type="dxa"/>
              <w:right w:w="0" w:type="dxa"/>
            </w:tcMar>
            <w:vAlign w:val="center"/>
          </w:tcPr>
          <w:p w14:paraId="2D169C4C" w14:textId="77777777" w:rsidR="007C6521" w:rsidRPr="000E6232" w:rsidRDefault="007C6521" w:rsidP="003B20F2">
            <w:pPr>
              <w:pBdr>
                <w:top w:val="nil"/>
                <w:left w:val="nil"/>
                <w:bottom w:val="nil"/>
                <w:right w:val="nil"/>
                <w:between w:val="nil"/>
              </w:pBdr>
              <w:spacing w:line="360" w:lineRule="auto"/>
              <w:ind w:right="33"/>
              <w:jc w:val="center"/>
              <w:rPr>
                <w:b/>
              </w:rPr>
            </w:pPr>
            <w:r w:rsidRPr="000E6232">
              <w:rPr>
                <w:b/>
                <w:bCs/>
              </w:rPr>
              <w:t>n</w:t>
            </w:r>
          </w:p>
        </w:tc>
        <w:tc>
          <w:tcPr>
            <w:tcW w:w="1134" w:type="dxa"/>
            <w:tcBorders>
              <w:top w:val="single" w:sz="8" w:space="0" w:color="231F20"/>
              <w:left w:val="nil"/>
              <w:bottom w:val="single" w:sz="8" w:space="0" w:color="231F20"/>
              <w:right w:val="nil"/>
            </w:tcBorders>
            <w:tcMar>
              <w:top w:w="0" w:type="dxa"/>
              <w:left w:w="0" w:type="dxa"/>
              <w:bottom w:w="0" w:type="dxa"/>
              <w:right w:w="0" w:type="dxa"/>
            </w:tcMar>
            <w:vAlign w:val="center"/>
          </w:tcPr>
          <w:p w14:paraId="5776EDA5" w14:textId="77777777" w:rsidR="007C6521" w:rsidRPr="000E6232" w:rsidRDefault="007C6521" w:rsidP="003B20F2">
            <w:pPr>
              <w:pBdr>
                <w:top w:val="nil"/>
                <w:left w:val="nil"/>
                <w:bottom w:val="nil"/>
                <w:right w:val="nil"/>
                <w:between w:val="nil"/>
              </w:pBdr>
              <w:spacing w:line="360" w:lineRule="auto"/>
              <w:rPr>
                <w:b/>
              </w:rPr>
            </w:pPr>
            <w:r w:rsidRPr="000E6232">
              <w:rPr>
                <w:b/>
                <w:bCs/>
              </w:rPr>
              <w:t>%</w:t>
            </w:r>
          </w:p>
        </w:tc>
      </w:tr>
      <w:tr w:rsidR="007C6521" w:rsidRPr="000E6232" w14:paraId="5F6B2B4E" w14:textId="77777777" w:rsidTr="003B20F2">
        <w:trPr>
          <w:trHeight w:val="337"/>
        </w:trPr>
        <w:tc>
          <w:tcPr>
            <w:tcW w:w="3330" w:type="dxa"/>
            <w:tcBorders>
              <w:top w:val="nil"/>
              <w:left w:val="nil"/>
              <w:bottom w:val="nil"/>
              <w:right w:val="nil"/>
            </w:tcBorders>
            <w:tcMar>
              <w:top w:w="0" w:type="dxa"/>
              <w:left w:w="0" w:type="dxa"/>
              <w:bottom w:w="0" w:type="dxa"/>
              <w:right w:w="0" w:type="dxa"/>
            </w:tcMar>
            <w:vAlign w:val="center"/>
          </w:tcPr>
          <w:p w14:paraId="57BFE90B" w14:textId="77777777" w:rsidR="007C6521" w:rsidRPr="000E6232" w:rsidRDefault="007C6521" w:rsidP="003B20F2">
            <w:pPr>
              <w:pBdr>
                <w:top w:val="nil"/>
                <w:left w:val="nil"/>
                <w:bottom w:val="nil"/>
                <w:right w:val="nil"/>
                <w:between w:val="nil"/>
              </w:pBdr>
              <w:spacing w:line="360" w:lineRule="auto"/>
              <w:ind w:left="201"/>
            </w:pPr>
            <w:r w:rsidRPr="000E6232">
              <w:t>Non-Prediabetes</w:t>
            </w:r>
          </w:p>
        </w:tc>
        <w:tc>
          <w:tcPr>
            <w:tcW w:w="4536" w:type="dxa"/>
            <w:tcBorders>
              <w:top w:val="nil"/>
              <w:left w:val="nil"/>
              <w:bottom w:val="nil"/>
              <w:right w:val="nil"/>
            </w:tcBorders>
            <w:tcMar>
              <w:top w:w="0" w:type="dxa"/>
              <w:left w:w="0" w:type="dxa"/>
              <w:bottom w:w="0" w:type="dxa"/>
              <w:right w:w="0" w:type="dxa"/>
            </w:tcMar>
            <w:vAlign w:val="center"/>
          </w:tcPr>
          <w:p w14:paraId="785C2E33" w14:textId="77777777" w:rsidR="007C6521" w:rsidRPr="000E6232" w:rsidRDefault="007C6521" w:rsidP="003B20F2">
            <w:pPr>
              <w:pBdr>
                <w:top w:val="nil"/>
                <w:left w:val="nil"/>
                <w:bottom w:val="nil"/>
                <w:right w:val="nil"/>
                <w:between w:val="nil"/>
              </w:pBdr>
              <w:spacing w:line="360" w:lineRule="auto"/>
              <w:ind w:left="24" w:right="33"/>
              <w:jc w:val="center"/>
            </w:pPr>
            <w:r w:rsidRPr="000E6232">
              <w:t>123</w:t>
            </w:r>
          </w:p>
        </w:tc>
        <w:tc>
          <w:tcPr>
            <w:tcW w:w="1134" w:type="dxa"/>
            <w:tcBorders>
              <w:top w:val="nil"/>
              <w:left w:val="nil"/>
              <w:bottom w:val="nil"/>
              <w:right w:val="nil"/>
            </w:tcBorders>
            <w:tcMar>
              <w:top w:w="0" w:type="dxa"/>
              <w:left w:w="0" w:type="dxa"/>
              <w:bottom w:w="0" w:type="dxa"/>
              <w:right w:w="0" w:type="dxa"/>
            </w:tcMar>
            <w:vAlign w:val="center"/>
          </w:tcPr>
          <w:p w14:paraId="03654741" w14:textId="77777777" w:rsidR="007C6521" w:rsidRPr="000E6232" w:rsidRDefault="007C6521" w:rsidP="003B20F2">
            <w:pPr>
              <w:pBdr>
                <w:top w:val="nil"/>
                <w:left w:val="nil"/>
                <w:bottom w:val="nil"/>
                <w:right w:val="nil"/>
                <w:between w:val="nil"/>
              </w:pBdr>
              <w:spacing w:line="360" w:lineRule="auto"/>
              <w:ind w:right="23"/>
            </w:pPr>
            <w:r w:rsidRPr="000E6232">
              <w:t>86</w:t>
            </w:r>
          </w:p>
        </w:tc>
      </w:tr>
      <w:tr w:rsidR="007C6521" w:rsidRPr="000E6232" w14:paraId="15B12BD3" w14:textId="77777777" w:rsidTr="003B20F2">
        <w:trPr>
          <w:trHeight w:val="342"/>
        </w:trPr>
        <w:tc>
          <w:tcPr>
            <w:tcW w:w="3330" w:type="dxa"/>
            <w:tcBorders>
              <w:bottom w:val="single" w:sz="4" w:space="0" w:color="auto"/>
            </w:tcBorders>
            <w:tcMar>
              <w:top w:w="0" w:type="dxa"/>
              <w:left w:w="0" w:type="dxa"/>
              <w:bottom w:w="0" w:type="dxa"/>
              <w:right w:w="0" w:type="dxa"/>
            </w:tcMar>
            <w:vAlign w:val="center"/>
          </w:tcPr>
          <w:p w14:paraId="2D692CFF" w14:textId="77777777" w:rsidR="007C6521" w:rsidRPr="000E6232" w:rsidRDefault="007C6521" w:rsidP="003B20F2">
            <w:pPr>
              <w:pBdr>
                <w:top w:val="nil"/>
                <w:left w:val="nil"/>
                <w:bottom w:val="nil"/>
                <w:right w:val="nil"/>
                <w:between w:val="nil"/>
              </w:pBdr>
              <w:spacing w:line="360" w:lineRule="auto"/>
              <w:ind w:left="201"/>
            </w:pPr>
            <w:r w:rsidRPr="000E6232">
              <w:t>Prediabetes</w:t>
            </w:r>
          </w:p>
        </w:tc>
        <w:tc>
          <w:tcPr>
            <w:tcW w:w="4536" w:type="dxa"/>
            <w:tcBorders>
              <w:bottom w:val="single" w:sz="4" w:space="0" w:color="auto"/>
            </w:tcBorders>
            <w:tcMar>
              <w:top w:w="0" w:type="dxa"/>
              <w:left w:w="0" w:type="dxa"/>
              <w:bottom w:w="0" w:type="dxa"/>
              <w:right w:w="0" w:type="dxa"/>
            </w:tcMar>
            <w:vAlign w:val="center"/>
          </w:tcPr>
          <w:p w14:paraId="36F00E6D" w14:textId="77777777" w:rsidR="007C6521" w:rsidRPr="000E6232" w:rsidRDefault="007C6521" w:rsidP="003B20F2">
            <w:pPr>
              <w:pBdr>
                <w:top w:val="nil"/>
                <w:left w:val="nil"/>
                <w:bottom w:val="nil"/>
                <w:right w:val="nil"/>
                <w:between w:val="nil"/>
              </w:pBdr>
              <w:spacing w:line="360" w:lineRule="auto"/>
              <w:ind w:left="24" w:right="33"/>
              <w:jc w:val="center"/>
            </w:pPr>
            <w:r w:rsidRPr="000E6232">
              <w:t>20</w:t>
            </w:r>
          </w:p>
        </w:tc>
        <w:tc>
          <w:tcPr>
            <w:tcW w:w="1134" w:type="dxa"/>
            <w:tcBorders>
              <w:bottom w:val="single" w:sz="4" w:space="0" w:color="auto"/>
            </w:tcBorders>
            <w:tcMar>
              <w:top w:w="0" w:type="dxa"/>
              <w:left w:w="0" w:type="dxa"/>
              <w:bottom w:w="0" w:type="dxa"/>
              <w:right w:w="0" w:type="dxa"/>
            </w:tcMar>
            <w:vAlign w:val="center"/>
          </w:tcPr>
          <w:p w14:paraId="326632A1" w14:textId="77777777" w:rsidR="007C6521" w:rsidRPr="000E6232" w:rsidRDefault="007C6521" w:rsidP="003B20F2">
            <w:pPr>
              <w:pBdr>
                <w:top w:val="nil"/>
                <w:left w:val="nil"/>
                <w:bottom w:val="nil"/>
                <w:right w:val="nil"/>
                <w:between w:val="nil"/>
              </w:pBdr>
              <w:spacing w:line="360" w:lineRule="auto"/>
            </w:pPr>
            <w:r w:rsidRPr="000E6232">
              <w:t>14</w:t>
            </w:r>
          </w:p>
        </w:tc>
      </w:tr>
      <w:tr w:rsidR="007C6521" w:rsidRPr="000E6232" w14:paraId="46E4E42D" w14:textId="77777777" w:rsidTr="003B20F2">
        <w:trPr>
          <w:trHeight w:val="330"/>
        </w:trPr>
        <w:tc>
          <w:tcPr>
            <w:tcW w:w="3330" w:type="dxa"/>
            <w:tcBorders>
              <w:top w:val="single" w:sz="4" w:space="0" w:color="auto"/>
              <w:left w:val="nil"/>
              <w:bottom w:val="single" w:sz="8" w:space="0" w:color="231F20"/>
              <w:right w:val="nil"/>
            </w:tcBorders>
            <w:tcMar>
              <w:top w:w="0" w:type="dxa"/>
              <w:left w:w="0" w:type="dxa"/>
              <w:bottom w:w="0" w:type="dxa"/>
              <w:right w:w="0" w:type="dxa"/>
            </w:tcMar>
            <w:vAlign w:val="center"/>
          </w:tcPr>
          <w:p w14:paraId="48EAEF41" w14:textId="77777777" w:rsidR="007C6521" w:rsidRPr="000E6232" w:rsidRDefault="007C6521" w:rsidP="003B20F2">
            <w:pPr>
              <w:pBdr>
                <w:top w:val="nil"/>
                <w:left w:val="nil"/>
                <w:bottom w:val="nil"/>
                <w:right w:val="nil"/>
                <w:between w:val="nil"/>
              </w:pBdr>
              <w:spacing w:line="360" w:lineRule="auto"/>
              <w:ind w:left="201"/>
            </w:pPr>
            <w:r w:rsidRPr="000E6232">
              <w:rPr>
                <w:b/>
                <w:bCs/>
              </w:rPr>
              <w:t>Total</w:t>
            </w:r>
          </w:p>
        </w:tc>
        <w:tc>
          <w:tcPr>
            <w:tcW w:w="4536" w:type="dxa"/>
            <w:tcBorders>
              <w:top w:val="single" w:sz="4" w:space="0" w:color="auto"/>
              <w:left w:val="nil"/>
              <w:bottom w:val="single" w:sz="8" w:space="0" w:color="231F20"/>
              <w:right w:val="nil"/>
            </w:tcBorders>
            <w:tcMar>
              <w:top w:w="0" w:type="dxa"/>
              <w:left w:w="0" w:type="dxa"/>
              <w:bottom w:w="0" w:type="dxa"/>
              <w:right w:w="0" w:type="dxa"/>
            </w:tcMar>
            <w:vAlign w:val="center"/>
          </w:tcPr>
          <w:p w14:paraId="77E973E4" w14:textId="77777777" w:rsidR="007C6521" w:rsidRPr="000E6232" w:rsidRDefault="007C6521" w:rsidP="003B20F2">
            <w:pPr>
              <w:pBdr>
                <w:top w:val="nil"/>
                <w:left w:val="nil"/>
                <w:bottom w:val="nil"/>
                <w:right w:val="nil"/>
                <w:between w:val="nil"/>
              </w:pBdr>
              <w:spacing w:line="360" w:lineRule="auto"/>
              <w:ind w:left="24" w:right="33"/>
              <w:jc w:val="center"/>
            </w:pPr>
            <w:r w:rsidRPr="000E6232">
              <w:rPr>
                <w:b/>
                <w:bCs/>
              </w:rPr>
              <w:t>143</w:t>
            </w:r>
          </w:p>
        </w:tc>
        <w:tc>
          <w:tcPr>
            <w:tcW w:w="1134" w:type="dxa"/>
            <w:tcBorders>
              <w:top w:val="single" w:sz="4" w:space="0" w:color="auto"/>
              <w:left w:val="nil"/>
              <w:bottom w:val="single" w:sz="8" w:space="0" w:color="231F20"/>
              <w:right w:val="nil"/>
            </w:tcBorders>
            <w:tcMar>
              <w:top w:w="0" w:type="dxa"/>
              <w:left w:w="0" w:type="dxa"/>
              <w:bottom w:w="0" w:type="dxa"/>
              <w:right w:w="0" w:type="dxa"/>
            </w:tcMar>
            <w:vAlign w:val="center"/>
          </w:tcPr>
          <w:p w14:paraId="520FE584" w14:textId="77777777" w:rsidR="007C6521" w:rsidRPr="000E6232" w:rsidRDefault="007C6521" w:rsidP="003B20F2">
            <w:pPr>
              <w:pBdr>
                <w:top w:val="nil"/>
                <w:left w:val="nil"/>
                <w:bottom w:val="nil"/>
                <w:right w:val="nil"/>
                <w:between w:val="nil"/>
              </w:pBdr>
              <w:spacing w:line="360" w:lineRule="auto"/>
            </w:pPr>
            <w:r w:rsidRPr="000E6232">
              <w:rPr>
                <w:b/>
                <w:bCs/>
              </w:rPr>
              <w:t>100</w:t>
            </w:r>
          </w:p>
        </w:tc>
      </w:tr>
    </w:tbl>
    <w:p w14:paraId="5612696A" w14:textId="77777777" w:rsidR="007C6521" w:rsidRPr="000E6232" w:rsidRDefault="007C6521" w:rsidP="007C6521">
      <w:pPr>
        <w:spacing w:line="360" w:lineRule="auto"/>
        <w:ind w:left="142"/>
        <w:jc w:val="both"/>
        <w:rPr>
          <w:sz w:val="20"/>
          <w:szCs w:val="20"/>
          <w:lang w:val="en-ID"/>
        </w:rPr>
      </w:pPr>
    </w:p>
    <w:p w14:paraId="1B62E3E6" w14:textId="77777777" w:rsidR="007C6521" w:rsidRPr="000E6232" w:rsidRDefault="007C6521" w:rsidP="007C6521">
      <w:pPr>
        <w:spacing w:line="360" w:lineRule="auto"/>
        <w:ind w:left="142"/>
        <w:jc w:val="both"/>
        <w:rPr>
          <w:sz w:val="20"/>
          <w:szCs w:val="20"/>
        </w:rPr>
      </w:pPr>
      <w:r w:rsidRPr="000E6232">
        <w:rPr>
          <w:sz w:val="20"/>
          <w:szCs w:val="20"/>
        </w:rPr>
        <w:t>Among the 143 participants, 20 individuals (14.0%) were classified as having prediabetes.</w:t>
      </w:r>
    </w:p>
    <w:p w14:paraId="3BCDA09B" w14:textId="77777777" w:rsidR="007C6521" w:rsidRPr="000E6232" w:rsidRDefault="007C6521" w:rsidP="007C6521">
      <w:pPr>
        <w:spacing w:line="360" w:lineRule="auto"/>
        <w:ind w:left="142"/>
        <w:jc w:val="both"/>
        <w:rPr>
          <w:b/>
          <w:bCs/>
          <w:sz w:val="20"/>
          <w:szCs w:val="20"/>
          <w:lang w:val="en-ID"/>
        </w:rPr>
      </w:pPr>
      <w:r w:rsidRPr="000E6232">
        <w:rPr>
          <w:b/>
          <w:bCs/>
          <w:sz w:val="20"/>
          <w:szCs w:val="20"/>
          <w:lang w:val="en-ID"/>
        </w:rPr>
        <w:t>Distribution of Prediabetes Based on Plasma 1,5-Anhydroglucitol</w:t>
      </w:r>
    </w:p>
    <w:p w14:paraId="5A974109" w14:textId="77777777" w:rsidR="007C6521" w:rsidRPr="000E6232" w:rsidRDefault="007C6521" w:rsidP="007C6521">
      <w:pPr>
        <w:spacing w:line="360" w:lineRule="auto"/>
        <w:ind w:left="567"/>
        <w:rPr>
          <w:sz w:val="20"/>
          <w:szCs w:val="20"/>
        </w:rPr>
      </w:pPr>
      <w:r w:rsidRPr="000E6232">
        <w:rPr>
          <w:sz w:val="20"/>
          <w:szCs w:val="20"/>
        </w:rPr>
        <w:t>The frequency distribution based on plasma 1,5-Anhydroglucitol levels is presented in Table 3.</w:t>
      </w:r>
    </w:p>
    <w:p w14:paraId="77A6D13B" w14:textId="77777777" w:rsidR="007C6521" w:rsidRPr="000E6232" w:rsidRDefault="007C6521" w:rsidP="007C6521">
      <w:pPr>
        <w:spacing w:line="360" w:lineRule="auto"/>
        <w:ind w:left="142"/>
        <w:rPr>
          <w:sz w:val="20"/>
          <w:szCs w:val="20"/>
          <w:lang w:val="en-ID"/>
        </w:rPr>
      </w:pPr>
      <w:r w:rsidRPr="000E6232">
        <w:rPr>
          <w:b/>
          <w:bCs/>
          <w:sz w:val="20"/>
          <w:szCs w:val="20"/>
          <w:lang w:val="en-ID"/>
        </w:rPr>
        <w:t xml:space="preserve">Table 3. </w:t>
      </w:r>
      <w:r w:rsidRPr="000E6232">
        <w:rPr>
          <w:sz w:val="20"/>
          <w:szCs w:val="20"/>
        </w:rPr>
        <w:t>Frequency Distribution of Prediabetes Based on Plasma 1,5-Anhydroglucitol</w:t>
      </w:r>
    </w:p>
    <w:tbl>
      <w:tblPr>
        <w:tblW w:w="9000" w:type="dxa"/>
        <w:tblInd w:w="72" w:type="dxa"/>
        <w:tblLayout w:type="fixed"/>
        <w:tblLook w:val="0400" w:firstRow="0" w:lastRow="0" w:firstColumn="0" w:lastColumn="0" w:noHBand="0" w:noVBand="1"/>
      </w:tblPr>
      <w:tblGrid>
        <w:gridCol w:w="2480"/>
        <w:gridCol w:w="2551"/>
        <w:gridCol w:w="3969"/>
      </w:tblGrid>
      <w:tr w:rsidR="007C6521" w:rsidRPr="000E6232" w14:paraId="707281FB" w14:textId="77777777" w:rsidTr="003B20F2">
        <w:trPr>
          <w:trHeight w:val="375"/>
        </w:trPr>
        <w:tc>
          <w:tcPr>
            <w:tcW w:w="2480" w:type="dxa"/>
            <w:tcBorders>
              <w:top w:val="single" w:sz="8" w:space="0" w:color="231F20"/>
              <w:left w:val="nil"/>
              <w:bottom w:val="single" w:sz="8" w:space="0" w:color="231F20"/>
              <w:right w:val="nil"/>
            </w:tcBorders>
            <w:tcMar>
              <w:top w:w="0" w:type="dxa"/>
              <w:left w:w="0" w:type="dxa"/>
              <w:bottom w:w="0" w:type="dxa"/>
              <w:right w:w="0" w:type="dxa"/>
            </w:tcMar>
            <w:vAlign w:val="center"/>
          </w:tcPr>
          <w:p w14:paraId="55B5B1E7" w14:textId="77777777" w:rsidR="007C6521" w:rsidRPr="000E6232" w:rsidRDefault="007C6521" w:rsidP="003B20F2">
            <w:pPr>
              <w:pBdr>
                <w:top w:val="nil"/>
                <w:left w:val="nil"/>
                <w:bottom w:val="nil"/>
                <w:right w:val="nil"/>
                <w:between w:val="nil"/>
              </w:pBdr>
              <w:spacing w:line="360" w:lineRule="auto"/>
              <w:ind w:left="226"/>
            </w:pPr>
            <w:r w:rsidRPr="000E6232">
              <w:rPr>
                <w:b/>
                <w:bCs/>
              </w:rPr>
              <w:lastRenderedPageBreak/>
              <w:t>1,5-AG Category</w:t>
            </w:r>
          </w:p>
        </w:tc>
        <w:tc>
          <w:tcPr>
            <w:tcW w:w="2551" w:type="dxa"/>
            <w:tcBorders>
              <w:top w:val="single" w:sz="8" w:space="0" w:color="231F20"/>
              <w:left w:val="nil"/>
              <w:bottom w:val="single" w:sz="8" w:space="0" w:color="231F20"/>
              <w:right w:val="nil"/>
            </w:tcBorders>
            <w:tcMar>
              <w:top w:w="0" w:type="dxa"/>
              <w:left w:w="0" w:type="dxa"/>
              <w:bottom w:w="0" w:type="dxa"/>
              <w:right w:w="0" w:type="dxa"/>
            </w:tcMar>
            <w:vAlign w:val="center"/>
          </w:tcPr>
          <w:p w14:paraId="3676D34B" w14:textId="77777777" w:rsidR="007C6521" w:rsidRPr="000E6232" w:rsidRDefault="007C6521" w:rsidP="003B20F2">
            <w:pPr>
              <w:pBdr>
                <w:top w:val="nil"/>
                <w:left w:val="nil"/>
                <w:bottom w:val="nil"/>
                <w:right w:val="nil"/>
                <w:between w:val="nil"/>
              </w:pBdr>
              <w:spacing w:line="360" w:lineRule="auto"/>
              <w:ind w:right="33"/>
              <w:jc w:val="center"/>
              <w:rPr>
                <w:b/>
              </w:rPr>
            </w:pPr>
            <w:r w:rsidRPr="000E6232">
              <w:rPr>
                <w:b/>
                <w:bCs/>
              </w:rPr>
              <w:t>n</w:t>
            </w:r>
          </w:p>
        </w:tc>
        <w:tc>
          <w:tcPr>
            <w:tcW w:w="3969" w:type="dxa"/>
            <w:tcBorders>
              <w:top w:val="single" w:sz="4" w:space="0" w:color="auto"/>
              <w:left w:val="nil"/>
              <w:bottom w:val="single" w:sz="8" w:space="0" w:color="231F20"/>
              <w:right w:val="nil"/>
            </w:tcBorders>
            <w:tcMar>
              <w:top w:w="0" w:type="dxa"/>
              <w:left w:w="0" w:type="dxa"/>
              <w:bottom w:w="0" w:type="dxa"/>
              <w:right w:w="0" w:type="dxa"/>
            </w:tcMar>
            <w:vAlign w:val="center"/>
          </w:tcPr>
          <w:p w14:paraId="0794BF10" w14:textId="77777777" w:rsidR="007C6521" w:rsidRPr="000E6232" w:rsidRDefault="007C6521" w:rsidP="003B20F2">
            <w:pPr>
              <w:pBdr>
                <w:top w:val="nil"/>
                <w:left w:val="nil"/>
                <w:bottom w:val="nil"/>
                <w:right w:val="nil"/>
                <w:between w:val="nil"/>
              </w:pBdr>
              <w:spacing w:line="360" w:lineRule="auto"/>
              <w:jc w:val="center"/>
              <w:rPr>
                <w:b/>
              </w:rPr>
            </w:pPr>
            <w:r w:rsidRPr="000E6232">
              <w:rPr>
                <w:b/>
                <w:bCs/>
              </w:rPr>
              <w:t>%</w:t>
            </w:r>
          </w:p>
        </w:tc>
      </w:tr>
      <w:tr w:rsidR="007C6521" w:rsidRPr="000E6232" w14:paraId="705D30CE" w14:textId="77777777" w:rsidTr="003B20F2">
        <w:trPr>
          <w:trHeight w:val="346"/>
        </w:trPr>
        <w:tc>
          <w:tcPr>
            <w:tcW w:w="2480" w:type="dxa"/>
            <w:tcBorders>
              <w:top w:val="nil"/>
              <w:left w:val="nil"/>
              <w:bottom w:val="nil"/>
              <w:right w:val="nil"/>
            </w:tcBorders>
            <w:tcMar>
              <w:top w:w="0" w:type="dxa"/>
              <w:left w:w="0" w:type="dxa"/>
              <w:bottom w:w="0" w:type="dxa"/>
              <w:right w:w="0" w:type="dxa"/>
            </w:tcMar>
            <w:vAlign w:val="center"/>
          </w:tcPr>
          <w:p w14:paraId="73F16AB9" w14:textId="77777777" w:rsidR="007C6521" w:rsidRPr="000E6232" w:rsidRDefault="007C6521" w:rsidP="003B20F2">
            <w:pPr>
              <w:pBdr>
                <w:top w:val="nil"/>
                <w:left w:val="nil"/>
                <w:bottom w:val="nil"/>
                <w:right w:val="nil"/>
                <w:between w:val="nil"/>
              </w:pBdr>
              <w:spacing w:line="360" w:lineRule="auto"/>
              <w:ind w:left="201"/>
            </w:pPr>
            <w:r w:rsidRPr="000E6232">
              <w:t>Non-Prediabetes</w:t>
            </w:r>
          </w:p>
        </w:tc>
        <w:tc>
          <w:tcPr>
            <w:tcW w:w="2551" w:type="dxa"/>
            <w:tcBorders>
              <w:top w:val="nil"/>
              <w:left w:val="nil"/>
              <w:bottom w:val="nil"/>
              <w:right w:val="nil"/>
            </w:tcBorders>
            <w:tcMar>
              <w:top w:w="0" w:type="dxa"/>
              <w:left w:w="0" w:type="dxa"/>
              <w:bottom w:w="0" w:type="dxa"/>
              <w:right w:w="0" w:type="dxa"/>
            </w:tcMar>
            <w:vAlign w:val="center"/>
          </w:tcPr>
          <w:p w14:paraId="0F9834D2" w14:textId="77777777" w:rsidR="007C6521" w:rsidRPr="000E6232" w:rsidRDefault="007C6521" w:rsidP="003B20F2">
            <w:pPr>
              <w:pBdr>
                <w:top w:val="nil"/>
                <w:left w:val="nil"/>
                <w:bottom w:val="nil"/>
                <w:right w:val="nil"/>
                <w:between w:val="nil"/>
              </w:pBdr>
              <w:spacing w:line="360" w:lineRule="auto"/>
              <w:ind w:left="24" w:right="33"/>
              <w:jc w:val="center"/>
            </w:pPr>
            <w:r w:rsidRPr="000E6232">
              <w:t>94</w:t>
            </w:r>
          </w:p>
        </w:tc>
        <w:tc>
          <w:tcPr>
            <w:tcW w:w="3969" w:type="dxa"/>
            <w:tcBorders>
              <w:top w:val="nil"/>
              <w:left w:val="nil"/>
              <w:bottom w:val="nil"/>
              <w:right w:val="nil"/>
            </w:tcBorders>
            <w:tcMar>
              <w:top w:w="0" w:type="dxa"/>
              <w:left w:w="0" w:type="dxa"/>
              <w:bottom w:w="0" w:type="dxa"/>
              <w:right w:w="0" w:type="dxa"/>
            </w:tcMar>
            <w:vAlign w:val="center"/>
          </w:tcPr>
          <w:p w14:paraId="5D2F0845" w14:textId="77777777" w:rsidR="007C6521" w:rsidRPr="000E6232" w:rsidRDefault="007C6521" w:rsidP="003B20F2">
            <w:pPr>
              <w:pBdr>
                <w:top w:val="nil"/>
                <w:left w:val="nil"/>
                <w:bottom w:val="nil"/>
                <w:right w:val="nil"/>
                <w:between w:val="nil"/>
              </w:pBdr>
              <w:spacing w:line="360" w:lineRule="auto"/>
              <w:ind w:right="23"/>
              <w:jc w:val="center"/>
            </w:pPr>
            <w:r w:rsidRPr="000E6232">
              <w:t>65.7</w:t>
            </w:r>
          </w:p>
        </w:tc>
      </w:tr>
      <w:tr w:rsidR="007C6521" w:rsidRPr="000E6232" w14:paraId="530DC4B4" w14:textId="77777777" w:rsidTr="003B20F2">
        <w:trPr>
          <w:trHeight w:val="351"/>
        </w:trPr>
        <w:tc>
          <w:tcPr>
            <w:tcW w:w="2480" w:type="dxa"/>
            <w:tcBorders>
              <w:bottom w:val="single" w:sz="4" w:space="0" w:color="auto"/>
            </w:tcBorders>
            <w:tcMar>
              <w:top w:w="0" w:type="dxa"/>
              <w:left w:w="0" w:type="dxa"/>
              <w:bottom w:w="0" w:type="dxa"/>
              <w:right w:w="0" w:type="dxa"/>
            </w:tcMar>
            <w:vAlign w:val="center"/>
          </w:tcPr>
          <w:p w14:paraId="422644B3" w14:textId="77777777" w:rsidR="007C6521" w:rsidRPr="000E6232" w:rsidRDefault="007C6521" w:rsidP="003B20F2">
            <w:pPr>
              <w:pBdr>
                <w:top w:val="nil"/>
                <w:left w:val="nil"/>
                <w:bottom w:val="nil"/>
                <w:right w:val="nil"/>
                <w:between w:val="nil"/>
              </w:pBdr>
              <w:spacing w:line="360" w:lineRule="auto"/>
              <w:ind w:left="201"/>
            </w:pPr>
            <w:r w:rsidRPr="000E6232">
              <w:t>Prediabetes</w:t>
            </w:r>
          </w:p>
        </w:tc>
        <w:tc>
          <w:tcPr>
            <w:tcW w:w="2551" w:type="dxa"/>
            <w:tcBorders>
              <w:bottom w:val="single" w:sz="4" w:space="0" w:color="auto"/>
            </w:tcBorders>
            <w:tcMar>
              <w:top w:w="0" w:type="dxa"/>
              <w:left w:w="0" w:type="dxa"/>
              <w:bottom w:w="0" w:type="dxa"/>
              <w:right w:w="0" w:type="dxa"/>
            </w:tcMar>
            <w:vAlign w:val="center"/>
          </w:tcPr>
          <w:p w14:paraId="5126563A" w14:textId="77777777" w:rsidR="007C6521" w:rsidRPr="000E6232" w:rsidRDefault="007C6521" w:rsidP="003B20F2">
            <w:pPr>
              <w:pBdr>
                <w:top w:val="nil"/>
                <w:left w:val="nil"/>
                <w:bottom w:val="nil"/>
                <w:right w:val="nil"/>
                <w:between w:val="nil"/>
              </w:pBdr>
              <w:spacing w:line="360" w:lineRule="auto"/>
              <w:ind w:left="24" w:right="33"/>
              <w:jc w:val="center"/>
            </w:pPr>
            <w:r w:rsidRPr="000E6232">
              <w:t>49</w:t>
            </w:r>
          </w:p>
        </w:tc>
        <w:tc>
          <w:tcPr>
            <w:tcW w:w="3969" w:type="dxa"/>
            <w:tcBorders>
              <w:bottom w:val="single" w:sz="4" w:space="0" w:color="auto"/>
            </w:tcBorders>
            <w:tcMar>
              <w:top w:w="0" w:type="dxa"/>
              <w:left w:w="0" w:type="dxa"/>
              <w:bottom w:w="0" w:type="dxa"/>
              <w:right w:w="0" w:type="dxa"/>
            </w:tcMar>
            <w:vAlign w:val="center"/>
          </w:tcPr>
          <w:p w14:paraId="46C6C8AF" w14:textId="77777777" w:rsidR="007C6521" w:rsidRPr="000E6232" w:rsidRDefault="007C6521" w:rsidP="003B20F2">
            <w:pPr>
              <w:pBdr>
                <w:top w:val="nil"/>
                <w:left w:val="nil"/>
                <w:bottom w:val="nil"/>
                <w:right w:val="nil"/>
                <w:between w:val="nil"/>
              </w:pBdr>
              <w:spacing w:line="360" w:lineRule="auto"/>
              <w:jc w:val="center"/>
            </w:pPr>
            <w:r w:rsidRPr="000E6232">
              <w:t>34.3</w:t>
            </w:r>
          </w:p>
        </w:tc>
      </w:tr>
      <w:tr w:rsidR="007C6521" w:rsidRPr="000E6232" w14:paraId="3D1A47FE" w14:textId="77777777" w:rsidTr="003B20F2">
        <w:trPr>
          <w:trHeight w:val="339"/>
        </w:trPr>
        <w:tc>
          <w:tcPr>
            <w:tcW w:w="2480" w:type="dxa"/>
            <w:tcBorders>
              <w:top w:val="single" w:sz="4" w:space="0" w:color="auto"/>
              <w:left w:val="nil"/>
              <w:bottom w:val="single" w:sz="8" w:space="0" w:color="231F20"/>
              <w:right w:val="nil"/>
            </w:tcBorders>
            <w:tcMar>
              <w:top w:w="0" w:type="dxa"/>
              <w:left w:w="0" w:type="dxa"/>
              <w:bottom w:w="0" w:type="dxa"/>
              <w:right w:w="0" w:type="dxa"/>
            </w:tcMar>
            <w:vAlign w:val="center"/>
          </w:tcPr>
          <w:p w14:paraId="52401324" w14:textId="77777777" w:rsidR="007C6521" w:rsidRPr="000E6232" w:rsidRDefault="007C6521" w:rsidP="003B20F2">
            <w:pPr>
              <w:pBdr>
                <w:top w:val="nil"/>
                <w:left w:val="nil"/>
                <w:bottom w:val="nil"/>
                <w:right w:val="nil"/>
                <w:between w:val="nil"/>
              </w:pBdr>
              <w:spacing w:line="360" w:lineRule="auto"/>
              <w:ind w:left="201"/>
            </w:pPr>
            <w:r w:rsidRPr="000E6232">
              <w:rPr>
                <w:b/>
                <w:bCs/>
              </w:rPr>
              <w:t>Total</w:t>
            </w:r>
          </w:p>
        </w:tc>
        <w:tc>
          <w:tcPr>
            <w:tcW w:w="2551" w:type="dxa"/>
            <w:tcBorders>
              <w:top w:val="single" w:sz="4" w:space="0" w:color="auto"/>
              <w:left w:val="nil"/>
              <w:bottom w:val="single" w:sz="8" w:space="0" w:color="231F20"/>
              <w:right w:val="nil"/>
            </w:tcBorders>
            <w:tcMar>
              <w:top w:w="0" w:type="dxa"/>
              <w:left w:w="0" w:type="dxa"/>
              <w:bottom w:w="0" w:type="dxa"/>
              <w:right w:w="0" w:type="dxa"/>
            </w:tcMar>
            <w:vAlign w:val="center"/>
          </w:tcPr>
          <w:p w14:paraId="7F2B3F8A" w14:textId="77777777" w:rsidR="007C6521" w:rsidRPr="000E6232" w:rsidRDefault="007C6521" w:rsidP="003B20F2">
            <w:pPr>
              <w:pBdr>
                <w:top w:val="nil"/>
                <w:left w:val="nil"/>
                <w:bottom w:val="nil"/>
                <w:right w:val="nil"/>
                <w:between w:val="nil"/>
              </w:pBdr>
              <w:spacing w:line="360" w:lineRule="auto"/>
              <w:ind w:left="24" w:right="33"/>
              <w:jc w:val="center"/>
            </w:pPr>
            <w:r w:rsidRPr="000E6232">
              <w:rPr>
                <w:b/>
                <w:bCs/>
              </w:rPr>
              <w:t>143</w:t>
            </w:r>
          </w:p>
        </w:tc>
        <w:tc>
          <w:tcPr>
            <w:tcW w:w="3969" w:type="dxa"/>
            <w:tcBorders>
              <w:top w:val="single" w:sz="4" w:space="0" w:color="auto"/>
              <w:left w:val="nil"/>
              <w:bottom w:val="single" w:sz="4" w:space="0" w:color="auto"/>
              <w:right w:val="nil"/>
            </w:tcBorders>
            <w:tcMar>
              <w:top w:w="0" w:type="dxa"/>
              <w:left w:w="0" w:type="dxa"/>
              <w:bottom w:w="0" w:type="dxa"/>
              <w:right w:w="0" w:type="dxa"/>
            </w:tcMar>
            <w:vAlign w:val="center"/>
          </w:tcPr>
          <w:p w14:paraId="39318DD0" w14:textId="77777777" w:rsidR="007C6521" w:rsidRPr="000E6232" w:rsidRDefault="007C6521" w:rsidP="003B20F2">
            <w:pPr>
              <w:pBdr>
                <w:top w:val="nil"/>
                <w:left w:val="nil"/>
                <w:bottom w:val="nil"/>
                <w:right w:val="nil"/>
                <w:between w:val="nil"/>
              </w:pBdr>
              <w:spacing w:line="360" w:lineRule="auto"/>
              <w:jc w:val="center"/>
            </w:pPr>
            <w:r w:rsidRPr="000E6232">
              <w:rPr>
                <w:b/>
                <w:bCs/>
              </w:rPr>
              <w:t>100</w:t>
            </w:r>
          </w:p>
        </w:tc>
      </w:tr>
    </w:tbl>
    <w:p w14:paraId="3448B68A" w14:textId="77777777" w:rsidR="007C6521" w:rsidRPr="000E6232" w:rsidRDefault="007C6521" w:rsidP="007C6521">
      <w:pPr>
        <w:spacing w:line="360" w:lineRule="auto"/>
        <w:ind w:left="142"/>
        <w:jc w:val="both"/>
        <w:rPr>
          <w:sz w:val="20"/>
          <w:szCs w:val="20"/>
          <w:lang w:val="en-ID"/>
        </w:rPr>
      </w:pPr>
    </w:p>
    <w:p w14:paraId="648F88BF" w14:textId="77777777" w:rsidR="007C6521" w:rsidRPr="000E6232" w:rsidRDefault="007C6521" w:rsidP="007C6521">
      <w:pPr>
        <w:spacing w:line="360" w:lineRule="auto"/>
        <w:ind w:left="142"/>
        <w:jc w:val="both"/>
        <w:rPr>
          <w:b/>
          <w:bCs/>
          <w:sz w:val="20"/>
          <w:szCs w:val="20"/>
          <w:lang w:val="en-ID"/>
        </w:rPr>
      </w:pPr>
      <w:r w:rsidRPr="000E6232">
        <w:rPr>
          <w:b/>
          <w:bCs/>
          <w:sz w:val="20"/>
          <w:szCs w:val="20"/>
          <w:lang w:val="en-ID"/>
        </w:rPr>
        <w:t>Diagnostic Performance of Plasma 1,5-Anhydroglucitol</w:t>
      </w:r>
    </w:p>
    <w:p w14:paraId="717E0590" w14:textId="77777777" w:rsidR="007C6521" w:rsidRPr="000E6232" w:rsidRDefault="007C6521" w:rsidP="007C6521">
      <w:pPr>
        <w:spacing w:line="360" w:lineRule="auto"/>
        <w:ind w:left="142" w:firstLine="567"/>
        <w:jc w:val="both"/>
        <w:rPr>
          <w:sz w:val="20"/>
          <w:szCs w:val="20"/>
          <w:lang w:val="en-ID"/>
        </w:rPr>
      </w:pPr>
      <w:r w:rsidRPr="000E6232">
        <w:rPr>
          <w:sz w:val="20"/>
          <w:szCs w:val="20"/>
          <w:lang w:val="en-ID"/>
        </w:rPr>
        <w:t>The diagnostic performance of plasma 1,5-Anhydroglucitol for detecting prediabetes was evaluated using HbA1c as the reference standard. The cross-tabulation results are presented in Table 4.</w:t>
      </w:r>
    </w:p>
    <w:p w14:paraId="377407F1" w14:textId="77777777" w:rsidR="00AA445A" w:rsidRDefault="00AA445A" w:rsidP="007C6521">
      <w:pPr>
        <w:spacing w:line="360" w:lineRule="auto"/>
        <w:ind w:left="142"/>
        <w:rPr>
          <w:sz w:val="20"/>
          <w:szCs w:val="20"/>
        </w:rPr>
      </w:pPr>
      <w:r w:rsidRPr="00AA445A">
        <w:rPr>
          <w:sz w:val="20"/>
          <w:szCs w:val="20"/>
        </w:rPr>
        <w:t>Out of the 143 participants, 18 were classified as true positives, 31 as false positives, 2 as false negatives, and 92 as true negatives.</w:t>
      </w:r>
    </w:p>
    <w:p w14:paraId="789ED275" w14:textId="0B89905D" w:rsidR="007C6521" w:rsidRPr="000E6232" w:rsidRDefault="007C6521" w:rsidP="007C6521">
      <w:pPr>
        <w:spacing w:line="360" w:lineRule="auto"/>
        <w:ind w:left="142"/>
        <w:rPr>
          <w:sz w:val="20"/>
          <w:szCs w:val="20"/>
          <w:lang w:val="en-ID"/>
        </w:rPr>
      </w:pPr>
      <w:r w:rsidRPr="000E6232">
        <w:rPr>
          <w:b/>
          <w:bCs/>
          <w:sz w:val="20"/>
          <w:szCs w:val="20"/>
        </w:rPr>
        <w:t xml:space="preserve">Table 4. </w:t>
      </w:r>
      <w:r w:rsidRPr="000E6232">
        <w:rPr>
          <w:sz w:val="20"/>
          <w:szCs w:val="20"/>
        </w:rPr>
        <w:t>Diagnostic Performance of Plasma 1,5-Anhydroglucitol</w:t>
      </w:r>
    </w:p>
    <w:tbl>
      <w:tblPr>
        <w:tblW w:w="9000" w:type="dxa"/>
        <w:tblInd w:w="72" w:type="dxa"/>
        <w:tblLayout w:type="fixed"/>
        <w:tblLook w:val="0400" w:firstRow="0" w:lastRow="0" w:firstColumn="0" w:lastColumn="0" w:noHBand="0" w:noVBand="1"/>
      </w:tblPr>
      <w:tblGrid>
        <w:gridCol w:w="2480"/>
        <w:gridCol w:w="2551"/>
        <w:gridCol w:w="2977"/>
        <w:gridCol w:w="992"/>
      </w:tblGrid>
      <w:tr w:rsidR="007C6521" w:rsidRPr="000E6232" w14:paraId="5ABC7612" w14:textId="77777777" w:rsidTr="003B20F2">
        <w:trPr>
          <w:trHeight w:val="375"/>
        </w:trPr>
        <w:tc>
          <w:tcPr>
            <w:tcW w:w="2480" w:type="dxa"/>
            <w:tcBorders>
              <w:top w:val="single" w:sz="8" w:space="0" w:color="231F20"/>
              <w:left w:val="nil"/>
              <w:bottom w:val="single" w:sz="8" w:space="0" w:color="231F20"/>
              <w:right w:val="nil"/>
            </w:tcBorders>
            <w:tcMar>
              <w:top w:w="0" w:type="dxa"/>
              <w:left w:w="0" w:type="dxa"/>
              <w:bottom w:w="0" w:type="dxa"/>
              <w:right w:w="0" w:type="dxa"/>
            </w:tcMar>
            <w:vAlign w:val="center"/>
          </w:tcPr>
          <w:p w14:paraId="7FFCC3F1" w14:textId="77777777" w:rsidR="007C6521" w:rsidRPr="000E6232" w:rsidRDefault="007C6521" w:rsidP="003B20F2">
            <w:pPr>
              <w:pBdr>
                <w:top w:val="nil"/>
                <w:left w:val="nil"/>
                <w:bottom w:val="nil"/>
                <w:right w:val="nil"/>
                <w:between w:val="nil"/>
              </w:pBdr>
              <w:spacing w:line="360" w:lineRule="auto"/>
              <w:ind w:left="226"/>
              <w:jc w:val="center"/>
            </w:pPr>
          </w:p>
        </w:tc>
        <w:tc>
          <w:tcPr>
            <w:tcW w:w="2551" w:type="dxa"/>
            <w:tcBorders>
              <w:top w:val="single" w:sz="8" w:space="0" w:color="231F20"/>
              <w:left w:val="nil"/>
              <w:bottom w:val="single" w:sz="8" w:space="0" w:color="231F20"/>
              <w:right w:val="nil"/>
            </w:tcBorders>
            <w:tcMar>
              <w:top w:w="0" w:type="dxa"/>
              <w:left w:w="0" w:type="dxa"/>
              <w:bottom w:w="0" w:type="dxa"/>
              <w:right w:w="0" w:type="dxa"/>
            </w:tcMar>
            <w:vAlign w:val="center"/>
          </w:tcPr>
          <w:p w14:paraId="1EF5F50E" w14:textId="77777777" w:rsidR="007C6521" w:rsidRPr="000E6232" w:rsidRDefault="007C6521" w:rsidP="003B20F2">
            <w:pPr>
              <w:pBdr>
                <w:top w:val="nil"/>
                <w:left w:val="nil"/>
                <w:bottom w:val="nil"/>
                <w:right w:val="nil"/>
                <w:between w:val="nil"/>
              </w:pBdr>
              <w:spacing w:line="360" w:lineRule="auto"/>
              <w:ind w:right="33"/>
              <w:jc w:val="center"/>
              <w:rPr>
                <w:b/>
              </w:rPr>
            </w:pPr>
            <w:r w:rsidRPr="000E6232">
              <w:rPr>
                <w:b/>
                <w:bCs/>
              </w:rPr>
              <w:t>HbA1c Prediabetes</w:t>
            </w:r>
          </w:p>
        </w:tc>
        <w:tc>
          <w:tcPr>
            <w:tcW w:w="2977" w:type="dxa"/>
            <w:tcBorders>
              <w:top w:val="single" w:sz="4" w:space="0" w:color="auto"/>
              <w:left w:val="nil"/>
              <w:bottom w:val="single" w:sz="8" w:space="0" w:color="231F20"/>
              <w:right w:val="nil"/>
            </w:tcBorders>
            <w:tcMar>
              <w:top w:w="0" w:type="dxa"/>
              <w:left w:w="0" w:type="dxa"/>
              <w:bottom w:w="0" w:type="dxa"/>
              <w:right w:w="0" w:type="dxa"/>
            </w:tcMar>
            <w:vAlign w:val="center"/>
          </w:tcPr>
          <w:p w14:paraId="5CC6E157" w14:textId="77777777" w:rsidR="007C6521" w:rsidRPr="000E6232" w:rsidRDefault="007C6521" w:rsidP="003B20F2">
            <w:pPr>
              <w:pBdr>
                <w:top w:val="nil"/>
                <w:left w:val="nil"/>
                <w:bottom w:val="nil"/>
                <w:right w:val="nil"/>
                <w:between w:val="nil"/>
              </w:pBdr>
              <w:spacing w:line="360" w:lineRule="auto"/>
              <w:jc w:val="center"/>
              <w:rPr>
                <w:b/>
              </w:rPr>
            </w:pPr>
            <w:r w:rsidRPr="000E6232">
              <w:rPr>
                <w:b/>
                <w:bCs/>
              </w:rPr>
              <w:t>HbA1c Non-Prediabetes</w:t>
            </w:r>
          </w:p>
        </w:tc>
        <w:tc>
          <w:tcPr>
            <w:tcW w:w="992" w:type="dxa"/>
            <w:tcBorders>
              <w:top w:val="single" w:sz="4" w:space="0" w:color="auto"/>
              <w:bottom w:val="single" w:sz="4" w:space="0" w:color="auto"/>
            </w:tcBorders>
            <w:vAlign w:val="center"/>
          </w:tcPr>
          <w:p w14:paraId="54BFBCD7" w14:textId="77777777" w:rsidR="007C6521" w:rsidRPr="000E6232" w:rsidRDefault="007C6521" w:rsidP="003B20F2">
            <w:pPr>
              <w:pBdr>
                <w:top w:val="nil"/>
                <w:left w:val="nil"/>
                <w:bottom w:val="nil"/>
                <w:right w:val="nil"/>
                <w:between w:val="nil"/>
              </w:pBdr>
              <w:spacing w:line="360" w:lineRule="auto"/>
              <w:jc w:val="center"/>
              <w:rPr>
                <w:b/>
              </w:rPr>
            </w:pPr>
            <w:r w:rsidRPr="000E6232">
              <w:rPr>
                <w:b/>
                <w:bCs/>
              </w:rPr>
              <w:t>Total</w:t>
            </w:r>
          </w:p>
        </w:tc>
      </w:tr>
      <w:tr w:rsidR="007C6521" w:rsidRPr="000E6232" w14:paraId="0FD8CDEC" w14:textId="77777777" w:rsidTr="003B20F2">
        <w:trPr>
          <w:trHeight w:val="346"/>
        </w:trPr>
        <w:tc>
          <w:tcPr>
            <w:tcW w:w="2480" w:type="dxa"/>
            <w:tcBorders>
              <w:top w:val="nil"/>
              <w:left w:val="nil"/>
              <w:bottom w:val="nil"/>
              <w:right w:val="nil"/>
            </w:tcBorders>
            <w:tcMar>
              <w:top w:w="0" w:type="dxa"/>
              <w:left w:w="0" w:type="dxa"/>
              <w:bottom w:w="0" w:type="dxa"/>
              <w:right w:w="0" w:type="dxa"/>
            </w:tcMar>
            <w:vAlign w:val="center"/>
          </w:tcPr>
          <w:p w14:paraId="0B0A74F2" w14:textId="77777777" w:rsidR="007C6521" w:rsidRPr="000E6232" w:rsidRDefault="007C6521" w:rsidP="003B20F2">
            <w:pPr>
              <w:pBdr>
                <w:top w:val="nil"/>
                <w:left w:val="nil"/>
                <w:bottom w:val="nil"/>
                <w:right w:val="nil"/>
                <w:between w:val="nil"/>
              </w:pBdr>
              <w:spacing w:line="360" w:lineRule="auto"/>
              <w:ind w:left="201"/>
            </w:pPr>
            <w:r w:rsidRPr="000E6232">
              <w:rPr>
                <w:b/>
                <w:bCs/>
              </w:rPr>
              <w:t>1,5-AG Prediabetes</w:t>
            </w:r>
          </w:p>
        </w:tc>
        <w:tc>
          <w:tcPr>
            <w:tcW w:w="2551" w:type="dxa"/>
            <w:tcBorders>
              <w:top w:val="nil"/>
              <w:left w:val="nil"/>
              <w:bottom w:val="nil"/>
              <w:right w:val="nil"/>
            </w:tcBorders>
            <w:tcMar>
              <w:top w:w="0" w:type="dxa"/>
              <w:left w:w="0" w:type="dxa"/>
              <w:bottom w:w="0" w:type="dxa"/>
              <w:right w:w="0" w:type="dxa"/>
            </w:tcMar>
            <w:vAlign w:val="center"/>
          </w:tcPr>
          <w:p w14:paraId="2B352AAD" w14:textId="77777777" w:rsidR="007C6521" w:rsidRPr="000E6232" w:rsidRDefault="007C6521" w:rsidP="003B20F2">
            <w:pPr>
              <w:pBdr>
                <w:top w:val="nil"/>
                <w:left w:val="nil"/>
                <w:bottom w:val="nil"/>
                <w:right w:val="nil"/>
                <w:between w:val="nil"/>
              </w:pBdr>
              <w:spacing w:line="360" w:lineRule="auto"/>
              <w:ind w:left="24" w:right="33"/>
              <w:jc w:val="center"/>
            </w:pPr>
            <w:r w:rsidRPr="000E6232">
              <w:t>18 (TP)</w:t>
            </w:r>
          </w:p>
        </w:tc>
        <w:tc>
          <w:tcPr>
            <w:tcW w:w="2977" w:type="dxa"/>
            <w:tcBorders>
              <w:top w:val="nil"/>
              <w:left w:val="nil"/>
              <w:bottom w:val="nil"/>
              <w:right w:val="nil"/>
            </w:tcBorders>
            <w:tcMar>
              <w:top w:w="0" w:type="dxa"/>
              <w:left w:w="0" w:type="dxa"/>
              <w:bottom w:w="0" w:type="dxa"/>
              <w:right w:w="0" w:type="dxa"/>
            </w:tcMar>
            <w:vAlign w:val="center"/>
          </w:tcPr>
          <w:p w14:paraId="31B3029E" w14:textId="77777777" w:rsidR="007C6521" w:rsidRPr="000E6232" w:rsidRDefault="007C6521" w:rsidP="003B20F2">
            <w:pPr>
              <w:pBdr>
                <w:top w:val="nil"/>
                <w:left w:val="nil"/>
                <w:bottom w:val="nil"/>
                <w:right w:val="nil"/>
                <w:between w:val="nil"/>
              </w:pBdr>
              <w:spacing w:line="360" w:lineRule="auto"/>
              <w:ind w:right="23"/>
              <w:jc w:val="center"/>
            </w:pPr>
            <w:r w:rsidRPr="000E6232">
              <w:t>31 (FP)</w:t>
            </w:r>
          </w:p>
        </w:tc>
        <w:tc>
          <w:tcPr>
            <w:tcW w:w="992" w:type="dxa"/>
            <w:tcBorders>
              <w:top w:val="single" w:sz="4" w:space="0" w:color="auto"/>
            </w:tcBorders>
            <w:vAlign w:val="center"/>
          </w:tcPr>
          <w:p w14:paraId="3B784416" w14:textId="77777777" w:rsidR="007C6521" w:rsidRPr="000E6232" w:rsidRDefault="007C6521" w:rsidP="003B20F2">
            <w:pPr>
              <w:pBdr>
                <w:top w:val="nil"/>
                <w:left w:val="nil"/>
                <w:bottom w:val="nil"/>
                <w:right w:val="nil"/>
                <w:between w:val="nil"/>
              </w:pBdr>
              <w:spacing w:line="360" w:lineRule="auto"/>
              <w:ind w:right="23"/>
              <w:jc w:val="center"/>
            </w:pPr>
            <w:r w:rsidRPr="000E6232">
              <w:t>49</w:t>
            </w:r>
          </w:p>
        </w:tc>
      </w:tr>
      <w:tr w:rsidR="007C6521" w:rsidRPr="000E6232" w14:paraId="75587D12" w14:textId="77777777" w:rsidTr="003B20F2">
        <w:trPr>
          <w:trHeight w:val="351"/>
        </w:trPr>
        <w:tc>
          <w:tcPr>
            <w:tcW w:w="2480" w:type="dxa"/>
            <w:tcBorders>
              <w:bottom w:val="single" w:sz="4" w:space="0" w:color="auto"/>
            </w:tcBorders>
            <w:tcMar>
              <w:top w:w="0" w:type="dxa"/>
              <w:left w:w="0" w:type="dxa"/>
              <w:bottom w:w="0" w:type="dxa"/>
              <w:right w:w="0" w:type="dxa"/>
            </w:tcMar>
            <w:vAlign w:val="center"/>
          </w:tcPr>
          <w:p w14:paraId="0B60869E" w14:textId="77777777" w:rsidR="007C6521" w:rsidRPr="000E6232" w:rsidRDefault="007C6521" w:rsidP="003B20F2">
            <w:pPr>
              <w:pBdr>
                <w:top w:val="nil"/>
                <w:left w:val="nil"/>
                <w:bottom w:val="nil"/>
                <w:right w:val="nil"/>
                <w:between w:val="nil"/>
              </w:pBdr>
              <w:spacing w:line="360" w:lineRule="auto"/>
              <w:ind w:left="201"/>
            </w:pPr>
            <w:r w:rsidRPr="000E6232">
              <w:rPr>
                <w:b/>
                <w:bCs/>
              </w:rPr>
              <w:t>1,5-AG Non-Prediabetes</w:t>
            </w:r>
          </w:p>
        </w:tc>
        <w:tc>
          <w:tcPr>
            <w:tcW w:w="2551" w:type="dxa"/>
            <w:tcBorders>
              <w:bottom w:val="single" w:sz="4" w:space="0" w:color="auto"/>
            </w:tcBorders>
            <w:tcMar>
              <w:top w:w="0" w:type="dxa"/>
              <w:left w:w="0" w:type="dxa"/>
              <w:bottom w:w="0" w:type="dxa"/>
              <w:right w:w="0" w:type="dxa"/>
            </w:tcMar>
            <w:vAlign w:val="center"/>
          </w:tcPr>
          <w:p w14:paraId="11191180" w14:textId="77777777" w:rsidR="007C6521" w:rsidRPr="000E6232" w:rsidRDefault="007C6521" w:rsidP="003B20F2">
            <w:pPr>
              <w:pBdr>
                <w:top w:val="nil"/>
                <w:left w:val="nil"/>
                <w:bottom w:val="nil"/>
                <w:right w:val="nil"/>
                <w:between w:val="nil"/>
              </w:pBdr>
              <w:spacing w:line="360" w:lineRule="auto"/>
              <w:ind w:left="24" w:right="33"/>
              <w:jc w:val="center"/>
            </w:pPr>
            <w:r w:rsidRPr="000E6232">
              <w:t>2 (FN)</w:t>
            </w:r>
          </w:p>
        </w:tc>
        <w:tc>
          <w:tcPr>
            <w:tcW w:w="2977" w:type="dxa"/>
            <w:tcBorders>
              <w:bottom w:val="single" w:sz="4" w:space="0" w:color="auto"/>
            </w:tcBorders>
            <w:tcMar>
              <w:top w:w="0" w:type="dxa"/>
              <w:left w:w="0" w:type="dxa"/>
              <w:bottom w:w="0" w:type="dxa"/>
              <w:right w:w="0" w:type="dxa"/>
            </w:tcMar>
            <w:vAlign w:val="center"/>
          </w:tcPr>
          <w:p w14:paraId="09C11486" w14:textId="77777777" w:rsidR="007C6521" w:rsidRPr="000E6232" w:rsidRDefault="007C6521" w:rsidP="003B20F2">
            <w:pPr>
              <w:pBdr>
                <w:top w:val="nil"/>
                <w:left w:val="nil"/>
                <w:bottom w:val="nil"/>
                <w:right w:val="nil"/>
                <w:between w:val="nil"/>
              </w:pBdr>
              <w:spacing w:line="360" w:lineRule="auto"/>
              <w:jc w:val="center"/>
            </w:pPr>
            <w:r w:rsidRPr="000E6232">
              <w:t>92 (TN)</w:t>
            </w:r>
          </w:p>
        </w:tc>
        <w:tc>
          <w:tcPr>
            <w:tcW w:w="992" w:type="dxa"/>
            <w:tcBorders>
              <w:bottom w:val="single" w:sz="4" w:space="0" w:color="auto"/>
            </w:tcBorders>
            <w:vAlign w:val="center"/>
          </w:tcPr>
          <w:p w14:paraId="4F3D14EC" w14:textId="77777777" w:rsidR="007C6521" w:rsidRPr="000E6232" w:rsidRDefault="007C6521" w:rsidP="003B20F2">
            <w:pPr>
              <w:pBdr>
                <w:top w:val="nil"/>
                <w:left w:val="nil"/>
                <w:bottom w:val="nil"/>
                <w:right w:val="nil"/>
                <w:between w:val="nil"/>
              </w:pBdr>
              <w:spacing w:line="360" w:lineRule="auto"/>
              <w:jc w:val="center"/>
              <w:rPr>
                <w:rFonts w:eastAsia="Times New Roman"/>
              </w:rPr>
            </w:pPr>
            <w:r w:rsidRPr="000E6232">
              <w:t>94</w:t>
            </w:r>
          </w:p>
        </w:tc>
      </w:tr>
      <w:tr w:rsidR="007C6521" w:rsidRPr="000E6232" w14:paraId="7A8BEA5E" w14:textId="77777777" w:rsidTr="003B20F2">
        <w:trPr>
          <w:trHeight w:val="339"/>
        </w:trPr>
        <w:tc>
          <w:tcPr>
            <w:tcW w:w="2480" w:type="dxa"/>
            <w:tcBorders>
              <w:top w:val="single" w:sz="4" w:space="0" w:color="auto"/>
              <w:left w:val="nil"/>
              <w:bottom w:val="single" w:sz="8" w:space="0" w:color="231F20"/>
              <w:right w:val="nil"/>
            </w:tcBorders>
            <w:tcMar>
              <w:top w:w="0" w:type="dxa"/>
              <w:left w:w="0" w:type="dxa"/>
              <w:bottom w:w="0" w:type="dxa"/>
              <w:right w:w="0" w:type="dxa"/>
            </w:tcMar>
            <w:vAlign w:val="center"/>
          </w:tcPr>
          <w:p w14:paraId="5EC3057C" w14:textId="77777777" w:rsidR="007C6521" w:rsidRPr="000E6232" w:rsidRDefault="007C6521" w:rsidP="003B20F2">
            <w:pPr>
              <w:pBdr>
                <w:top w:val="nil"/>
                <w:left w:val="nil"/>
                <w:bottom w:val="nil"/>
                <w:right w:val="nil"/>
                <w:between w:val="nil"/>
              </w:pBdr>
              <w:spacing w:line="360" w:lineRule="auto"/>
              <w:ind w:left="201"/>
            </w:pPr>
            <w:r w:rsidRPr="000E6232">
              <w:rPr>
                <w:b/>
                <w:bCs/>
              </w:rPr>
              <w:t>Total</w:t>
            </w:r>
          </w:p>
        </w:tc>
        <w:tc>
          <w:tcPr>
            <w:tcW w:w="2551" w:type="dxa"/>
            <w:tcBorders>
              <w:top w:val="single" w:sz="4" w:space="0" w:color="auto"/>
              <w:left w:val="nil"/>
              <w:bottom w:val="single" w:sz="8" w:space="0" w:color="231F20"/>
              <w:right w:val="nil"/>
            </w:tcBorders>
            <w:tcMar>
              <w:top w:w="0" w:type="dxa"/>
              <w:left w:w="0" w:type="dxa"/>
              <w:bottom w:w="0" w:type="dxa"/>
              <w:right w:w="0" w:type="dxa"/>
            </w:tcMar>
            <w:vAlign w:val="center"/>
          </w:tcPr>
          <w:p w14:paraId="7AB66040" w14:textId="77777777" w:rsidR="007C6521" w:rsidRPr="000E6232" w:rsidRDefault="007C6521" w:rsidP="003B20F2">
            <w:pPr>
              <w:pBdr>
                <w:top w:val="nil"/>
                <w:left w:val="nil"/>
                <w:bottom w:val="nil"/>
                <w:right w:val="nil"/>
                <w:between w:val="nil"/>
              </w:pBdr>
              <w:spacing w:line="360" w:lineRule="auto"/>
              <w:ind w:left="24" w:right="33"/>
              <w:jc w:val="center"/>
            </w:pPr>
            <w:r w:rsidRPr="000E6232">
              <w:t>20</w:t>
            </w:r>
          </w:p>
        </w:tc>
        <w:tc>
          <w:tcPr>
            <w:tcW w:w="2977" w:type="dxa"/>
            <w:tcBorders>
              <w:top w:val="single" w:sz="4" w:space="0" w:color="auto"/>
              <w:left w:val="nil"/>
              <w:bottom w:val="single" w:sz="4" w:space="0" w:color="auto"/>
              <w:right w:val="nil"/>
            </w:tcBorders>
            <w:tcMar>
              <w:top w:w="0" w:type="dxa"/>
              <w:left w:w="0" w:type="dxa"/>
              <w:bottom w:w="0" w:type="dxa"/>
              <w:right w:w="0" w:type="dxa"/>
            </w:tcMar>
            <w:vAlign w:val="center"/>
          </w:tcPr>
          <w:p w14:paraId="41978145" w14:textId="77777777" w:rsidR="007C6521" w:rsidRPr="000E6232" w:rsidRDefault="007C6521" w:rsidP="003B20F2">
            <w:pPr>
              <w:pBdr>
                <w:top w:val="nil"/>
                <w:left w:val="nil"/>
                <w:bottom w:val="nil"/>
                <w:right w:val="nil"/>
                <w:between w:val="nil"/>
              </w:pBdr>
              <w:spacing w:line="360" w:lineRule="auto"/>
              <w:jc w:val="center"/>
            </w:pPr>
            <w:r w:rsidRPr="000E6232">
              <w:t>123</w:t>
            </w:r>
          </w:p>
        </w:tc>
        <w:tc>
          <w:tcPr>
            <w:tcW w:w="992" w:type="dxa"/>
            <w:tcBorders>
              <w:top w:val="single" w:sz="4" w:space="0" w:color="auto"/>
              <w:bottom w:val="single" w:sz="4" w:space="0" w:color="auto"/>
            </w:tcBorders>
            <w:vAlign w:val="center"/>
          </w:tcPr>
          <w:p w14:paraId="6C46FE05" w14:textId="77777777" w:rsidR="007C6521" w:rsidRPr="000E6232" w:rsidRDefault="007C6521" w:rsidP="003B20F2">
            <w:pPr>
              <w:pBdr>
                <w:top w:val="nil"/>
                <w:left w:val="nil"/>
                <w:bottom w:val="nil"/>
                <w:right w:val="nil"/>
                <w:between w:val="nil"/>
              </w:pBdr>
              <w:spacing w:line="360" w:lineRule="auto"/>
              <w:jc w:val="center"/>
              <w:rPr>
                <w:rFonts w:eastAsia="Times New Roman"/>
              </w:rPr>
            </w:pPr>
            <w:r w:rsidRPr="000E6232">
              <w:t>143</w:t>
            </w:r>
          </w:p>
        </w:tc>
      </w:tr>
    </w:tbl>
    <w:p w14:paraId="64AB0F5C" w14:textId="77777777" w:rsidR="007C6521" w:rsidRPr="000E6232" w:rsidRDefault="007C6521" w:rsidP="007C6521">
      <w:pPr>
        <w:spacing w:line="360" w:lineRule="auto"/>
        <w:ind w:left="142"/>
        <w:jc w:val="both"/>
        <w:rPr>
          <w:sz w:val="20"/>
          <w:szCs w:val="20"/>
          <w:lang w:val="en-ID"/>
        </w:rPr>
      </w:pPr>
    </w:p>
    <w:p w14:paraId="2A79DFB6" w14:textId="77777777" w:rsidR="00C30F10" w:rsidRPr="00C30F10" w:rsidRDefault="00C30F10" w:rsidP="00AA445A">
      <w:pPr>
        <w:pBdr>
          <w:top w:val="nil"/>
          <w:left w:val="nil"/>
          <w:bottom w:val="nil"/>
          <w:right w:val="nil"/>
          <w:between w:val="nil"/>
        </w:pBdr>
        <w:spacing w:line="360" w:lineRule="auto"/>
        <w:ind w:firstLine="709"/>
        <w:jc w:val="both"/>
        <w:rPr>
          <w:sz w:val="20"/>
          <w:szCs w:val="20"/>
          <w:lang w:val="en-ID"/>
        </w:rPr>
      </w:pPr>
      <w:r w:rsidRPr="00C30F10">
        <w:rPr>
          <w:sz w:val="20"/>
          <w:szCs w:val="20"/>
          <w:lang w:val="en-ID"/>
        </w:rPr>
        <w:t xml:space="preserve">The findings of this study indicate that plasma 1,5-Anhydroglucitol demonstrates strong diagnostic potential for identifying prediabetes, particularly due to its high sensitivity and excellent negative predictive value. These results suggest that this biomarker is especially useful in ruling out prediabetes among obese young adults, as individuals with normal 1,5-AG levels are unlikely to have impaired </w:t>
      </w:r>
      <w:proofErr w:type="spellStart"/>
      <w:r w:rsidRPr="00C30F10">
        <w:rPr>
          <w:sz w:val="20"/>
          <w:szCs w:val="20"/>
          <w:lang w:val="en-ID"/>
        </w:rPr>
        <w:t>glycemic</w:t>
      </w:r>
      <w:proofErr w:type="spellEnd"/>
      <w:r w:rsidRPr="00C30F10">
        <w:rPr>
          <w:sz w:val="20"/>
          <w:szCs w:val="20"/>
          <w:lang w:val="en-ID"/>
        </w:rPr>
        <w:t xml:space="preserve"> status. However, the relatively low positive predictive value observed indicates that a considerable proportion of individuals identified as positive may not truly have prediabetes, thereby limiting its use as a standalone diagnostic tool.</w:t>
      </w:r>
    </w:p>
    <w:p w14:paraId="20880E6E" w14:textId="77777777" w:rsidR="00C30F10" w:rsidRPr="00C30F10" w:rsidRDefault="00C30F10" w:rsidP="00AA445A">
      <w:pPr>
        <w:pBdr>
          <w:top w:val="nil"/>
          <w:left w:val="nil"/>
          <w:bottom w:val="nil"/>
          <w:right w:val="nil"/>
          <w:between w:val="nil"/>
        </w:pBdr>
        <w:spacing w:line="360" w:lineRule="auto"/>
        <w:ind w:firstLine="709"/>
        <w:jc w:val="both"/>
        <w:rPr>
          <w:sz w:val="20"/>
          <w:szCs w:val="20"/>
          <w:lang w:val="en-ID"/>
        </w:rPr>
      </w:pPr>
      <w:r w:rsidRPr="00C30F10">
        <w:rPr>
          <w:sz w:val="20"/>
          <w:szCs w:val="20"/>
          <w:lang w:val="en-ID"/>
        </w:rPr>
        <w:t>From a clinical standpoint, the implementation of plasma 1,5-AG testing may still face certain challenges. The availability of this assay is not yet universal across healthcare facilities, and the associated costs are generally higher compared to commonly used markers such as HbA1c. These factors may restrict its application in routine clinical practice. Therefore, despite its promising performance, 1,5-AG is currently more appropriately positioned as an adjunctive biomarker rather than a primary diagnostic method.</w:t>
      </w:r>
    </w:p>
    <w:p w14:paraId="1E9E461D" w14:textId="77777777" w:rsidR="00C30F10" w:rsidRPr="00C30F10" w:rsidRDefault="00C30F10" w:rsidP="00AA445A">
      <w:pPr>
        <w:pBdr>
          <w:top w:val="nil"/>
          <w:left w:val="nil"/>
          <w:bottom w:val="nil"/>
          <w:right w:val="nil"/>
          <w:between w:val="nil"/>
        </w:pBdr>
        <w:spacing w:line="360" w:lineRule="auto"/>
        <w:ind w:firstLine="709"/>
        <w:jc w:val="both"/>
        <w:rPr>
          <w:sz w:val="20"/>
          <w:szCs w:val="20"/>
          <w:lang w:val="en-ID"/>
        </w:rPr>
      </w:pPr>
      <w:r w:rsidRPr="00C30F10">
        <w:rPr>
          <w:sz w:val="20"/>
          <w:szCs w:val="20"/>
          <w:lang w:val="en-ID"/>
        </w:rPr>
        <w:t xml:space="preserve">In this study, the proportion of male participants slightly exceeded that of females. This pattern is consistent with several previous reports that have observed a higher prevalence of obesity among young adult males. Nevertheless, other studies have demonstrated comparable prevalence rates </w:t>
      </w:r>
      <w:r w:rsidRPr="00C30F10">
        <w:rPr>
          <w:sz w:val="20"/>
          <w:szCs w:val="20"/>
          <w:lang w:val="en-ID"/>
        </w:rPr>
        <w:lastRenderedPageBreak/>
        <w:t xml:space="preserve">between sexes, suggesting that differences in obesity patterns may be influenced by demographic characteristics, lifestyle </w:t>
      </w:r>
      <w:proofErr w:type="spellStart"/>
      <w:r w:rsidRPr="00C30F10">
        <w:rPr>
          <w:sz w:val="20"/>
          <w:szCs w:val="20"/>
          <w:lang w:val="en-ID"/>
        </w:rPr>
        <w:t>behaviors</w:t>
      </w:r>
      <w:proofErr w:type="spellEnd"/>
      <w:r w:rsidRPr="00C30F10">
        <w:rPr>
          <w:sz w:val="20"/>
          <w:szCs w:val="20"/>
          <w:lang w:val="en-ID"/>
        </w:rPr>
        <w:t>, and environmental factors.¹¹–¹³</w:t>
      </w:r>
    </w:p>
    <w:p w14:paraId="38F48A32" w14:textId="77777777" w:rsidR="00C30F10" w:rsidRPr="00C30F10" w:rsidRDefault="00C30F10" w:rsidP="00AA445A">
      <w:pPr>
        <w:pBdr>
          <w:top w:val="nil"/>
          <w:left w:val="nil"/>
          <w:bottom w:val="nil"/>
          <w:right w:val="nil"/>
          <w:between w:val="nil"/>
        </w:pBdr>
        <w:spacing w:line="360" w:lineRule="auto"/>
        <w:ind w:firstLine="709"/>
        <w:jc w:val="both"/>
        <w:rPr>
          <w:sz w:val="20"/>
          <w:szCs w:val="20"/>
          <w:lang w:val="en-ID"/>
        </w:rPr>
      </w:pPr>
      <w:r w:rsidRPr="00C30F10">
        <w:rPr>
          <w:sz w:val="20"/>
          <w:szCs w:val="20"/>
          <w:lang w:val="en-ID"/>
        </w:rPr>
        <w:t>The mean age of participants in this study was 30.4 years, indicating that metabolic disturbances related to obesity may emerge relatively early in adulthood. This observation aligns with earlier findings highlighting the increasing occurrence of prediabetes among younger populations. Reduced levels of physical activity and changes in dietary habits during adolescence and early adulthood are often implicated as contributing factors to this trend.¹¹,¹</w:t>
      </w:r>
      <w:r w:rsidRPr="00C30F10">
        <w:rPr>
          <w:rFonts w:ascii="Cambria Math" w:hAnsi="Cambria Math" w:cs="Cambria Math"/>
          <w:sz w:val="20"/>
          <w:szCs w:val="20"/>
          <w:lang w:val="en-ID"/>
        </w:rPr>
        <w:t>⁶</w:t>
      </w:r>
      <w:r w:rsidRPr="00C30F10">
        <w:rPr>
          <w:sz w:val="20"/>
          <w:szCs w:val="20"/>
          <w:lang w:val="en-ID"/>
        </w:rPr>
        <w:t>,¹</w:t>
      </w:r>
      <w:r w:rsidRPr="00C30F10">
        <w:rPr>
          <w:rFonts w:ascii="Cambria Math" w:hAnsi="Cambria Math" w:cs="Cambria Math"/>
          <w:sz w:val="20"/>
          <w:szCs w:val="20"/>
          <w:lang w:val="en-ID"/>
        </w:rPr>
        <w:t>⁷</w:t>
      </w:r>
    </w:p>
    <w:p w14:paraId="18667AD4" w14:textId="333E1B90" w:rsidR="00C30F10" w:rsidRPr="00C30F10" w:rsidRDefault="00C30F10" w:rsidP="00AA445A">
      <w:pPr>
        <w:pBdr>
          <w:top w:val="nil"/>
          <w:left w:val="nil"/>
          <w:bottom w:val="nil"/>
          <w:right w:val="nil"/>
          <w:between w:val="nil"/>
        </w:pBdr>
        <w:spacing w:line="360" w:lineRule="auto"/>
        <w:ind w:firstLine="709"/>
        <w:jc w:val="both"/>
        <w:rPr>
          <w:sz w:val="20"/>
          <w:szCs w:val="20"/>
          <w:lang w:val="en-ID"/>
        </w:rPr>
      </w:pPr>
      <w:r w:rsidRPr="00C30F10">
        <w:rPr>
          <w:sz w:val="20"/>
          <w:szCs w:val="20"/>
          <w:lang w:val="en-ID"/>
        </w:rPr>
        <w:t xml:space="preserve">Obesity plays a critical role in the development of insulin resistance and impaired glucose metabolism. Differences in fat distribution between males and females may contribute to variations in metabolic risk. </w:t>
      </w:r>
      <w:r w:rsidR="003B2CF9" w:rsidRPr="003B2CF9">
        <w:rPr>
          <w:sz w:val="20"/>
          <w:szCs w:val="20"/>
        </w:rPr>
        <w:t>The accumulation of visceral fat, more frequently observed in males, is closely linked to insulin resistance and unfavorable metabolic outcomes, whereas peripheral fat distribution is generally associated with a lower metabolic risk</w:t>
      </w:r>
      <w:r w:rsidRPr="00C30F10">
        <w:rPr>
          <w:sz w:val="20"/>
          <w:szCs w:val="20"/>
          <w:lang w:val="en-ID"/>
        </w:rPr>
        <w:t>, more frequently observed in females, tends to be linked with a relatively lower cardiometabolic risk.¹</w:t>
      </w:r>
      <w:r w:rsidRPr="00C30F10">
        <w:rPr>
          <w:rFonts w:ascii="Cambria Math" w:hAnsi="Cambria Math" w:cs="Cambria Math"/>
          <w:sz w:val="20"/>
          <w:szCs w:val="20"/>
          <w:lang w:val="en-ID"/>
        </w:rPr>
        <w:t>⁴</w:t>
      </w:r>
      <w:r w:rsidRPr="00C30F10">
        <w:rPr>
          <w:sz w:val="20"/>
          <w:szCs w:val="20"/>
          <w:lang w:val="en-ID"/>
        </w:rPr>
        <w:t>,¹</w:t>
      </w:r>
      <w:r w:rsidRPr="00C30F10">
        <w:rPr>
          <w:rFonts w:ascii="Cambria Math" w:hAnsi="Cambria Math" w:cs="Cambria Math"/>
          <w:sz w:val="20"/>
          <w:szCs w:val="20"/>
          <w:lang w:val="en-ID"/>
        </w:rPr>
        <w:t>⁵</w:t>
      </w:r>
    </w:p>
    <w:p w14:paraId="2E82E89D" w14:textId="28594EE0" w:rsidR="00C30F10" w:rsidRPr="00C30F10" w:rsidRDefault="003B2CF9" w:rsidP="00AA445A">
      <w:pPr>
        <w:pBdr>
          <w:top w:val="nil"/>
          <w:left w:val="nil"/>
          <w:bottom w:val="nil"/>
          <w:right w:val="nil"/>
          <w:between w:val="nil"/>
        </w:pBdr>
        <w:spacing w:line="360" w:lineRule="auto"/>
        <w:ind w:firstLine="709"/>
        <w:jc w:val="both"/>
        <w:rPr>
          <w:sz w:val="20"/>
          <w:szCs w:val="20"/>
          <w:lang w:val="en-ID"/>
        </w:rPr>
      </w:pPr>
      <w:r w:rsidRPr="003B2CF9">
        <w:rPr>
          <w:sz w:val="20"/>
          <w:szCs w:val="20"/>
        </w:rPr>
        <w:t>The mean body mass index of the participants suggested that the majority were classified as having class I obesity.</w:t>
      </w:r>
      <w:r>
        <w:rPr>
          <w:sz w:val="20"/>
          <w:szCs w:val="20"/>
        </w:rPr>
        <w:t xml:space="preserve"> </w:t>
      </w:r>
      <w:r w:rsidR="00C30F10" w:rsidRPr="00C30F10">
        <w:rPr>
          <w:sz w:val="20"/>
          <w:szCs w:val="20"/>
          <w:lang w:val="en-ID"/>
        </w:rPr>
        <w:t>Although BMI is widely used as a measure of obesity, it does not distinguish between fat mass and lean body mass. As a result, waist circumference is often considered a more informative indicator of central adiposity and cardiometabolic risk. In this study, the mean waist circumference values suggested that the majority of participants exhibited central obesity, which is known to be associated with an increased likelihood of developing metabolic disorders, including prediabetes and type 2 diabetes.²</w:t>
      </w:r>
      <w:r w:rsidR="00C30F10" w:rsidRPr="00C30F10">
        <w:rPr>
          <w:rFonts w:ascii="Cambria Math" w:hAnsi="Cambria Math" w:cs="Cambria Math"/>
          <w:sz w:val="20"/>
          <w:szCs w:val="20"/>
          <w:lang w:val="en-ID"/>
        </w:rPr>
        <w:t>⁰</w:t>
      </w:r>
      <w:r w:rsidR="00C30F10" w:rsidRPr="00C30F10">
        <w:rPr>
          <w:sz w:val="20"/>
          <w:szCs w:val="20"/>
          <w:lang w:val="en-ID"/>
        </w:rPr>
        <w:t>,²¹</w:t>
      </w:r>
    </w:p>
    <w:p w14:paraId="6F22A174" w14:textId="77777777" w:rsidR="00C30F10" w:rsidRPr="00C30F10" w:rsidRDefault="00C30F10" w:rsidP="00AA445A">
      <w:pPr>
        <w:pBdr>
          <w:top w:val="nil"/>
          <w:left w:val="nil"/>
          <w:bottom w:val="nil"/>
          <w:right w:val="nil"/>
          <w:between w:val="nil"/>
        </w:pBdr>
        <w:spacing w:line="360" w:lineRule="auto"/>
        <w:ind w:firstLine="709"/>
        <w:jc w:val="both"/>
        <w:rPr>
          <w:sz w:val="20"/>
          <w:szCs w:val="20"/>
          <w:lang w:val="en-ID"/>
        </w:rPr>
      </w:pPr>
      <w:r w:rsidRPr="00C30F10">
        <w:rPr>
          <w:sz w:val="20"/>
          <w:szCs w:val="20"/>
          <w:lang w:val="en-ID"/>
        </w:rPr>
        <w:t>A family history of diabetes was present in nearly one-third of participants and appeared to be associated with the occurrence of prediabetes. Previous evidence suggests that individuals with such a background have a higher lifetime risk of developing glucose metabolism disorders, likely due to the combined influence of genetic susceptibility and shared environmental exposures.²²–²</w:t>
      </w:r>
      <w:r w:rsidRPr="00C30F10">
        <w:rPr>
          <w:rFonts w:ascii="Cambria Math" w:hAnsi="Cambria Math" w:cs="Cambria Math"/>
          <w:sz w:val="20"/>
          <w:szCs w:val="20"/>
          <w:lang w:val="en-ID"/>
        </w:rPr>
        <w:t>⁵</w:t>
      </w:r>
    </w:p>
    <w:p w14:paraId="1E98D7DA" w14:textId="77777777" w:rsidR="00C30F10" w:rsidRPr="00C30F10" w:rsidRDefault="00C30F10" w:rsidP="00AA445A">
      <w:pPr>
        <w:pBdr>
          <w:top w:val="nil"/>
          <w:left w:val="nil"/>
          <w:bottom w:val="nil"/>
          <w:right w:val="nil"/>
          <w:between w:val="nil"/>
        </w:pBdr>
        <w:spacing w:line="360" w:lineRule="auto"/>
        <w:ind w:firstLine="709"/>
        <w:jc w:val="both"/>
        <w:rPr>
          <w:sz w:val="20"/>
          <w:szCs w:val="20"/>
          <w:lang w:val="en-ID"/>
        </w:rPr>
      </w:pPr>
      <w:r w:rsidRPr="00C30F10">
        <w:rPr>
          <w:sz w:val="20"/>
          <w:szCs w:val="20"/>
          <w:lang w:val="en-ID"/>
        </w:rPr>
        <w:t>The prevalence of prediabetes in this study, based on HbA1c classification, was 14%, which is lower than that reported in several other populations. This difference may be attributed to variations in study design, population characteristics, lifestyle factors, and diagnostic criteria applied across studies.²</w:t>
      </w:r>
      <w:r w:rsidRPr="00C30F10">
        <w:rPr>
          <w:rFonts w:ascii="Cambria Math" w:hAnsi="Cambria Math" w:cs="Cambria Math"/>
          <w:sz w:val="20"/>
          <w:szCs w:val="20"/>
          <w:lang w:val="en-ID"/>
        </w:rPr>
        <w:t>⁶</w:t>
      </w:r>
      <w:r w:rsidRPr="00C30F10">
        <w:rPr>
          <w:sz w:val="20"/>
          <w:szCs w:val="20"/>
          <w:lang w:val="en-ID"/>
        </w:rPr>
        <w:t>,²</w:t>
      </w:r>
      <w:r w:rsidRPr="00C30F10">
        <w:rPr>
          <w:rFonts w:ascii="Cambria Math" w:hAnsi="Cambria Math" w:cs="Cambria Math"/>
          <w:sz w:val="20"/>
          <w:szCs w:val="20"/>
          <w:lang w:val="en-ID"/>
        </w:rPr>
        <w:t>⁷</w:t>
      </w:r>
    </w:p>
    <w:p w14:paraId="689D91A5" w14:textId="77777777" w:rsidR="00C30F10" w:rsidRPr="00C30F10" w:rsidRDefault="00C30F10" w:rsidP="00AA445A">
      <w:pPr>
        <w:pBdr>
          <w:top w:val="nil"/>
          <w:left w:val="nil"/>
          <w:bottom w:val="nil"/>
          <w:right w:val="nil"/>
          <w:between w:val="nil"/>
        </w:pBdr>
        <w:spacing w:line="360" w:lineRule="auto"/>
        <w:ind w:firstLine="709"/>
        <w:jc w:val="both"/>
        <w:rPr>
          <w:sz w:val="20"/>
          <w:szCs w:val="20"/>
          <w:lang w:val="en-ID"/>
        </w:rPr>
      </w:pPr>
      <w:r w:rsidRPr="00C30F10">
        <w:rPr>
          <w:sz w:val="20"/>
          <w:szCs w:val="20"/>
          <w:lang w:val="en-ID"/>
        </w:rPr>
        <w:t xml:space="preserve">The physiological mechanism underlying the relationship between 1,5-AG and </w:t>
      </w:r>
      <w:proofErr w:type="spellStart"/>
      <w:r w:rsidRPr="00C30F10">
        <w:rPr>
          <w:sz w:val="20"/>
          <w:szCs w:val="20"/>
          <w:lang w:val="en-ID"/>
        </w:rPr>
        <w:t>glycemic</w:t>
      </w:r>
      <w:proofErr w:type="spellEnd"/>
      <w:r w:rsidRPr="00C30F10">
        <w:rPr>
          <w:sz w:val="20"/>
          <w:szCs w:val="20"/>
          <w:lang w:val="en-ID"/>
        </w:rPr>
        <w:t xml:space="preserve"> control is closely related to renal glucose handling. Under normal conditions, 1,5-AG is filtered by the kidneys and almost completely reabsorbed in the renal tubules. During episodes of </w:t>
      </w:r>
      <w:proofErr w:type="spellStart"/>
      <w:r w:rsidRPr="00C30F10">
        <w:rPr>
          <w:sz w:val="20"/>
          <w:szCs w:val="20"/>
          <w:lang w:val="en-ID"/>
        </w:rPr>
        <w:t>hyperglycemia</w:t>
      </w:r>
      <w:proofErr w:type="spellEnd"/>
      <w:r w:rsidRPr="00C30F10">
        <w:rPr>
          <w:sz w:val="20"/>
          <w:szCs w:val="20"/>
          <w:lang w:val="en-ID"/>
        </w:rPr>
        <w:t>, elevated glucose concentrations compete with 1,5-AG for reabsorption, resulting in increased urinary excretion and reduced plasma levels of 1,5-AG. This mechanism explains the inverse relationship between plasma 1,5-AG levels and glucose excursions observed in individuals with impaired glucose regulation.³</w:t>
      </w:r>
      <w:r w:rsidRPr="00C30F10">
        <w:rPr>
          <w:rFonts w:ascii="Cambria Math" w:hAnsi="Cambria Math" w:cs="Cambria Math"/>
          <w:sz w:val="20"/>
          <w:szCs w:val="20"/>
          <w:lang w:val="en-ID"/>
        </w:rPr>
        <w:t>⁰</w:t>
      </w:r>
    </w:p>
    <w:p w14:paraId="7FE963C5" w14:textId="77777777" w:rsidR="00C30F10" w:rsidRPr="00C30F10" w:rsidRDefault="00C30F10" w:rsidP="00AA445A">
      <w:pPr>
        <w:pBdr>
          <w:top w:val="nil"/>
          <w:left w:val="nil"/>
          <w:bottom w:val="nil"/>
          <w:right w:val="nil"/>
          <w:between w:val="nil"/>
        </w:pBdr>
        <w:spacing w:line="360" w:lineRule="auto"/>
        <w:ind w:firstLine="709"/>
        <w:jc w:val="both"/>
        <w:rPr>
          <w:sz w:val="20"/>
          <w:szCs w:val="20"/>
          <w:lang w:val="en-ID"/>
        </w:rPr>
      </w:pPr>
      <w:r w:rsidRPr="00C30F10">
        <w:rPr>
          <w:sz w:val="20"/>
          <w:szCs w:val="20"/>
          <w:lang w:val="en-ID"/>
        </w:rPr>
        <w:t xml:space="preserve">The high sensitivity and negative predictive value demonstrated in this study reinforce the </w:t>
      </w:r>
      <w:r w:rsidRPr="00C30F10">
        <w:rPr>
          <w:sz w:val="20"/>
          <w:szCs w:val="20"/>
          <w:lang w:val="en-ID"/>
        </w:rPr>
        <w:lastRenderedPageBreak/>
        <w:t xml:space="preserve">potential role of plasma 1,5-AG in early detection strategies. Although the specificity observed was lower than that reported in some previous studies, the ability of this biomarker to identify individuals without prediabetes remains clinically valuable. Previous studies have also linked lower 1,5-AG levels with reduced insulin sensitivity and pancreatic </w:t>
      </w:r>
      <w:r w:rsidRPr="00C30F10">
        <w:rPr>
          <w:rFonts w:ascii="Calibri" w:hAnsi="Calibri" w:cs="Calibri"/>
          <w:sz w:val="20"/>
          <w:szCs w:val="20"/>
          <w:lang w:val="en-ID"/>
        </w:rPr>
        <w:t>β</w:t>
      </w:r>
      <w:r w:rsidRPr="00C30F10">
        <w:rPr>
          <w:sz w:val="20"/>
          <w:szCs w:val="20"/>
          <w:lang w:val="en-ID"/>
        </w:rPr>
        <w:t>-cell dysfunction, further supporting its relevance in early metabolic assessment.</w:t>
      </w:r>
    </w:p>
    <w:p w14:paraId="37A56DEF" w14:textId="77777777" w:rsidR="00C30F10" w:rsidRPr="00C30F10" w:rsidRDefault="00C30F10" w:rsidP="00AA445A">
      <w:pPr>
        <w:pBdr>
          <w:top w:val="nil"/>
          <w:left w:val="nil"/>
          <w:bottom w:val="nil"/>
          <w:right w:val="nil"/>
          <w:between w:val="nil"/>
        </w:pBdr>
        <w:spacing w:line="360" w:lineRule="auto"/>
        <w:ind w:firstLine="709"/>
        <w:jc w:val="both"/>
        <w:rPr>
          <w:sz w:val="20"/>
          <w:szCs w:val="20"/>
          <w:lang w:val="en-ID"/>
        </w:rPr>
      </w:pPr>
      <w:r w:rsidRPr="00C30F10">
        <w:rPr>
          <w:sz w:val="20"/>
          <w:szCs w:val="20"/>
          <w:lang w:val="en-ID"/>
        </w:rPr>
        <w:t xml:space="preserve">Despite these findings, several limitations should be acknowledged. The study was conducted in a single </w:t>
      </w:r>
      <w:proofErr w:type="spellStart"/>
      <w:r w:rsidRPr="00C30F10">
        <w:rPr>
          <w:sz w:val="20"/>
          <w:szCs w:val="20"/>
          <w:lang w:val="en-ID"/>
        </w:rPr>
        <w:t>center</w:t>
      </w:r>
      <w:proofErr w:type="spellEnd"/>
      <w:r w:rsidRPr="00C30F10">
        <w:rPr>
          <w:sz w:val="20"/>
          <w:szCs w:val="20"/>
          <w:lang w:val="en-ID"/>
        </w:rPr>
        <w:t xml:space="preserve"> with a relatively limited sample size, which may affect the generalizability of the results. In addition, body composition was not evaluated using more advanced techniques such as bioimpedance analysis or dual-energy X-ray absorptiometry, which could have provided a more detailed assessment of adiposity. Future studies involving larger and more diverse populations, as well as more comprehensive metabolic evaluations, are required to further validate the diagnostic utility of plasma 1,5-Anhydroglucitol in prediabetes detection.</w:t>
      </w:r>
    </w:p>
    <w:p w14:paraId="06169753" w14:textId="77777777" w:rsidR="007C6521" w:rsidRPr="000E6232" w:rsidRDefault="007C6521" w:rsidP="007C6521">
      <w:pPr>
        <w:pBdr>
          <w:top w:val="nil"/>
          <w:left w:val="nil"/>
          <w:bottom w:val="nil"/>
          <w:right w:val="nil"/>
          <w:between w:val="nil"/>
        </w:pBdr>
        <w:spacing w:line="360" w:lineRule="auto"/>
        <w:rPr>
          <w:sz w:val="20"/>
          <w:szCs w:val="20"/>
        </w:rPr>
      </w:pPr>
    </w:p>
    <w:p w14:paraId="2BB80AEB" w14:textId="77777777" w:rsidR="007C6521" w:rsidRPr="000E6232" w:rsidRDefault="007C6521" w:rsidP="007C6521">
      <w:pPr>
        <w:pStyle w:val="Heading1"/>
        <w:spacing w:line="360" w:lineRule="auto"/>
      </w:pPr>
      <w:r w:rsidRPr="000E6232">
        <w:rPr>
          <w:sz w:val="24"/>
          <w:szCs w:val="24"/>
        </w:rPr>
        <w:t>CONCLUSIONS AND SUGGESTIONS</w:t>
      </w:r>
    </w:p>
    <w:p w14:paraId="4E87A2F3" w14:textId="7B25A661" w:rsidR="007C6521" w:rsidRPr="00416E6B" w:rsidRDefault="006C009E" w:rsidP="00416E6B">
      <w:pPr>
        <w:spacing w:line="360" w:lineRule="auto"/>
        <w:ind w:firstLine="709"/>
        <w:jc w:val="both"/>
        <w:rPr>
          <w:highlight w:val="cyan"/>
          <w:lang w:val="en-ID"/>
        </w:rPr>
      </w:pPr>
      <w:r w:rsidRPr="00850492">
        <w:rPr>
          <w:rFonts w:ascii="Times New Roman" w:hAnsi="Times New Roman" w:cs="Times New Roman"/>
          <w:sz w:val="24"/>
          <w:szCs w:val="24"/>
        </w:rPr>
        <w:t>The findings indicate that plasma 1,5-AG demonstrates high sensitivity and excellent negative predictive performance in detecting prediabetes among obese young adults.</w:t>
      </w:r>
      <w:r w:rsidR="007C6521" w:rsidRPr="00850492">
        <w:rPr>
          <w:rFonts w:ascii="Times New Roman" w:hAnsi="Times New Roman" w:cs="Times New Roman"/>
          <w:sz w:val="24"/>
          <w:szCs w:val="24"/>
        </w:rPr>
        <w:t xml:space="preserve"> </w:t>
      </w:r>
      <w:r w:rsidR="00416E6B" w:rsidRPr="00850492">
        <w:rPr>
          <w:lang w:val="en-ID"/>
        </w:rPr>
        <w:t>Using HbA1c as the reference standard, plasma 1,5-AG showed a sensitivity of 90.0%, specificity of 74.8%, along with positive and negative predictive values of 36.7% and 97.9%, respectively.</w:t>
      </w:r>
      <w:r w:rsidR="007C6521" w:rsidRPr="00850492">
        <w:rPr>
          <w:rFonts w:ascii="Times New Roman" w:hAnsi="Times New Roman" w:cs="Times New Roman"/>
          <w:sz w:val="24"/>
          <w:szCs w:val="24"/>
        </w:rPr>
        <w:t xml:space="preserve"> </w:t>
      </w:r>
      <w:r w:rsidR="007C6521" w:rsidRPr="00850492">
        <w:rPr>
          <w:lang w:val="en-ID"/>
        </w:rPr>
        <w:t>Overall, these results indicate that plasma 1,5-AG may serve as a complementary biomarker for identifying individuals at increased risk of prediabetes within this population.</w:t>
      </w:r>
      <w:r w:rsidR="007C6521" w:rsidRPr="00850492">
        <w:rPr>
          <w:rFonts w:ascii="Times New Roman" w:hAnsi="Times New Roman" w:cs="Times New Roman"/>
          <w:sz w:val="24"/>
          <w:szCs w:val="24"/>
        </w:rPr>
        <w:t xml:space="preserve"> However, due to its moderate specificity and low positive predictive value, plasma 1,5-AG should be interpreted alongside established glycemic markers. </w:t>
      </w:r>
      <w:r w:rsidR="003B2CF9" w:rsidRPr="003B2CF9">
        <w:rPr>
          <w:rFonts w:ascii="Times New Roman" w:hAnsi="Times New Roman" w:cs="Times New Roman"/>
          <w:sz w:val="24"/>
          <w:szCs w:val="24"/>
        </w:rPr>
        <w:t>Further investigations involving larger populations are required to validate the diagnostic utility of plasma 1,5-Anhydroglucitol in detecting prediabetes.</w:t>
      </w:r>
    </w:p>
    <w:p w14:paraId="44832C5A" w14:textId="77777777" w:rsidR="007C6521" w:rsidRPr="000E6232" w:rsidRDefault="007C6521" w:rsidP="007C6521">
      <w:pPr>
        <w:spacing w:line="360" w:lineRule="auto"/>
      </w:pPr>
    </w:p>
    <w:p w14:paraId="77495DFF" w14:textId="77777777" w:rsidR="007C6521" w:rsidRPr="000E6232" w:rsidRDefault="007C6521" w:rsidP="007C6521">
      <w:pPr>
        <w:pStyle w:val="Heading1"/>
        <w:spacing w:line="360" w:lineRule="auto"/>
      </w:pPr>
      <w:r w:rsidRPr="000E6232">
        <w:rPr>
          <w:sz w:val="24"/>
          <w:szCs w:val="24"/>
        </w:rPr>
        <w:t>ACKNOWLEDGEMENT</w:t>
      </w:r>
    </w:p>
    <w:p w14:paraId="54A7EFA7" w14:textId="77777777" w:rsidR="007C6521" w:rsidRPr="000E6232" w:rsidRDefault="007C6521" w:rsidP="007C6521">
      <w:pPr>
        <w:pBdr>
          <w:top w:val="nil"/>
          <w:left w:val="nil"/>
          <w:bottom w:val="nil"/>
          <w:right w:val="nil"/>
          <w:between w:val="nil"/>
        </w:pBdr>
        <w:spacing w:line="360" w:lineRule="auto"/>
        <w:ind w:right="-31"/>
        <w:jc w:val="both"/>
        <w:rPr>
          <w:sz w:val="24"/>
          <w:szCs w:val="24"/>
        </w:rPr>
      </w:pPr>
      <w:r w:rsidRPr="000E6232">
        <w:rPr>
          <w:sz w:val="24"/>
          <w:szCs w:val="24"/>
        </w:rPr>
        <w:t xml:space="preserve">The authors would like to express their sincere gratitude to the staff of the Metabolic Endocrinology and Diabetes Division, Department of Internal Medicine, Faculty of Medicine, Universitas Andalas, and Dr. M. </w:t>
      </w:r>
      <w:proofErr w:type="spellStart"/>
      <w:r w:rsidRPr="000E6232">
        <w:rPr>
          <w:sz w:val="24"/>
          <w:szCs w:val="24"/>
        </w:rPr>
        <w:t>Djamil</w:t>
      </w:r>
      <w:proofErr w:type="spellEnd"/>
      <w:r w:rsidRPr="000E6232">
        <w:rPr>
          <w:sz w:val="24"/>
          <w:szCs w:val="24"/>
        </w:rPr>
        <w:t xml:space="preserve"> General Hospital, Padang, Indonesia, for their valuable assistance during data collection and laboratory examinations. The authors also thank all participants who voluntarily took part in this study.</w:t>
      </w:r>
    </w:p>
    <w:p w14:paraId="49A1C8C9" w14:textId="77777777" w:rsidR="007C6521" w:rsidRPr="000E6232" w:rsidRDefault="007C6521" w:rsidP="007C6521">
      <w:pPr>
        <w:pBdr>
          <w:top w:val="nil"/>
          <w:left w:val="nil"/>
          <w:bottom w:val="nil"/>
          <w:right w:val="nil"/>
          <w:between w:val="nil"/>
        </w:pBdr>
        <w:spacing w:line="360" w:lineRule="auto"/>
        <w:ind w:right="-31"/>
        <w:jc w:val="both"/>
        <w:rPr>
          <w:sz w:val="24"/>
          <w:szCs w:val="24"/>
        </w:rPr>
      </w:pPr>
    </w:p>
    <w:p w14:paraId="5EA0AF2B" w14:textId="77777777" w:rsidR="007C6521" w:rsidRPr="000E6232" w:rsidRDefault="007C6521" w:rsidP="007C6521">
      <w:pPr>
        <w:pStyle w:val="Heading1"/>
        <w:spacing w:line="360" w:lineRule="auto"/>
        <w:ind w:left="61"/>
      </w:pPr>
      <w:r w:rsidRPr="000E6232">
        <w:rPr>
          <w:sz w:val="24"/>
          <w:szCs w:val="24"/>
        </w:rPr>
        <w:t>REFERENCES</w:t>
      </w:r>
    </w:p>
    <w:p w14:paraId="556CF0E4" w14:textId="77777777" w:rsidR="007C6521" w:rsidRPr="000E6232" w:rsidRDefault="007C6521" w:rsidP="007C6521">
      <w:pPr>
        <w:pStyle w:val="ListParagraph"/>
        <w:numPr>
          <w:ilvl w:val="0"/>
          <w:numId w:val="1"/>
        </w:numPr>
        <w:autoSpaceDE w:val="0"/>
        <w:autoSpaceDN w:val="0"/>
        <w:adjustRightInd w:val="0"/>
        <w:spacing w:line="360" w:lineRule="auto"/>
        <w:ind w:left="284" w:hanging="284"/>
        <w:jc w:val="both"/>
        <w:rPr>
          <w:rFonts w:eastAsia="Times New Roman"/>
          <w:bCs/>
          <w:sz w:val="24"/>
          <w:szCs w:val="24"/>
          <w:lang w:val="en-ID"/>
        </w:rPr>
      </w:pPr>
      <w:proofErr w:type="spellStart"/>
      <w:r w:rsidRPr="000E6232">
        <w:rPr>
          <w:rFonts w:eastAsia="Times New Roman"/>
          <w:bCs/>
          <w:sz w:val="24"/>
          <w:szCs w:val="24"/>
          <w:lang w:val="en-ID"/>
        </w:rPr>
        <w:t>Hostalek</w:t>
      </w:r>
      <w:proofErr w:type="spellEnd"/>
      <w:r w:rsidRPr="000E6232">
        <w:rPr>
          <w:rFonts w:eastAsia="Times New Roman"/>
          <w:bCs/>
          <w:sz w:val="24"/>
          <w:szCs w:val="24"/>
          <w:lang w:val="en-ID"/>
        </w:rPr>
        <w:t xml:space="preserve"> U. Global epidemiology of prediabetes—present and future perspectives. </w:t>
      </w:r>
      <w:r w:rsidRPr="000E6232">
        <w:rPr>
          <w:rFonts w:eastAsia="Times New Roman"/>
          <w:bCs/>
          <w:i/>
          <w:iCs/>
          <w:sz w:val="24"/>
          <w:szCs w:val="24"/>
          <w:lang w:val="en-ID"/>
        </w:rPr>
        <w:t>Clin Diabetes Endocrinol.</w:t>
      </w:r>
      <w:r w:rsidRPr="000E6232">
        <w:rPr>
          <w:rFonts w:eastAsia="Times New Roman"/>
          <w:bCs/>
          <w:sz w:val="24"/>
          <w:szCs w:val="24"/>
          <w:lang w:val="en-ID"/>
        </w:rPr>
        <w:t xml:space="preserve"> 2019;5:5.</w:t>
      </w:r>
    </w:p>
    <w:p w14:paraId="4F6246B9" w14:textId="77777777" w:rsidR="007C6521" w:rsidRPr="000E6232" w:rsidRDefault="007C6521" w:rsidP="007C6521">
      <w:pPr>
        <w:pStyle w:val="ListParagraph"/>
        <w:numPr>
          <w:ilvl w:val="0"/>
          <w:numId w:val="1"/>
        </w:numPr>
        <w:autoSpaceDE w:val="0"/>
        <w:autoSpaceDN w:val="0"/>
        <w:adjustRightInd w:val="0"/>
        <w:spacing w:line="360" w:lineRule="auto"/>
        <w:ind w:left="284" w:hanging="284"/>
        <w:jc w:val="both"/>
        <w:rPr>
          <w:rFonts w:eastAsia="Times New Roman"/>
          <w:bCs/>
          <w:sz w:val="24"/>
          <w:szCs w:val="24"/>
          <w:lang w:val="en-ID"/>
        </w:rPr>
      </w:pPr>
      <w:r w:rsidRPr="000E6232">
        <w:rPr>
          <w:rFonts w:eastAsia="Times New Roman"/>
          <w:bCs/>
          <w:sz w:val="24"/>
          <w:szCs w:val="24"/>
          <w:lang w:val="en-ID"/>
        </w:rPr>
        <w:t xml:space="preserve">International Diabetes Federation. </w:t>
      </w:r>
      <w:r w:rsidRPr="000E6232">
        <w:rPr>
          <w:rFonts w:eastAsia="Times New Roman"/>
          <w:bCs/>
          <w:i/>
          <w:iCs/>
          <w:sz w:val="24"/>
          <w:szCs w:val="24"/>
          <w:lang w:val="en-ID"/>
        </w:rPr>
        <w:t>IDF Diabetes Atlas.</w:t>
      </w:r>
      <w:r w:rsidRPr="000E6232">
        <w:rPr>
          <w:rFonts w:eastAsia="Times New Roman"/>
          <w:bCs/>
          <w:sz w:val="24"/>
          <w:szCs w:val="24"/>
          <w:lang w:val="en-ID"/>
        </w:rPr>
        <w:t xml:space="preserve"> 7th ed. Brussels: International Diabetes Federation; 2015.</w:t>
      </w:r>
    </w:p>
    <w:p w14:paraId="084016A1" w14:textId="77777777" w:rsidR="007C6521" w:rsidRPr="000E6232" w:rsidRDefault="007C6521" w:rsidP="007C6521">
      <w:pPr>
        <w:pStyle w:val="ListParagraph"/>
        <w:numPr>
          <w:ilvl w:val="0"/>
          <w:numId w:val="1"/>
        </w:numPr>
        <w:autoSpaceDE w:val="0"/>
        <w:autoSpaceDN w:val="0"/>
        <w:adjustRightInd w:val="0"/>
        <w:spacing w:line="360" w:lineRule="auto"/>
        <w:ind w:left="284" w:hanging="284"/>
        <w:jc w:val="both"/>
        <w:rPr>
          <w:rFonts w:eastAsia="Times New Roman"/>
          <w:bCs/>
          <w:sz w:val="24"/>
          <w:szCs w:val="24"/>
          <w:lang w:val="en-ID"/>
        </w:rPr>
      </w:pPr>
      <w:proofErr w:type="spellStart"/>
      <w:r w:rsidRPr="000E6232">
        <w:rPr>
          <w:rFonts w:eastAsia="Times New Roman"/>
          <w:bCs/>
          <w:sz w:val="24"/>
          <w:szCs w:val="24"/>
          <w:lang w:val="en-ID"/>
        </w:rPr>
        <w:t>Centers</w:t>
      </w:r>
      <w:proofErr w:type="spellEnd"/>
      <w:r w:rsidRPr="000E6232">
        <w:rPr>
          <w:rFonts w:eastAsia="Times New Roman"/>
          <w:bCs/>
          <w:sz w:val="24"/>
          <w:szCs w:val="24"/>
          <w:lang w:val="en-ID"/>
        </w:rPr>
        <w:t xml:space="preserve"> for Disease Control and Prevention. Prediabetes: Your chance to prevent type 2 diabetes. Atlanta: CDC; 2022.</w:t>
      </w:r>
    </w:p>
    <w:p w14:paraId="1DB0D5CA" w14:textId="77777777" w:rsidR="007C6521" w:rsidRPr="000E6232" w:rsidRDefault="007C6521" w:rsidP="007C6521">
      <w:pPr>
        <w:pStyle w:val="ListParagraph"/>
        <w:numPr>
          <w:ilvl w:val="0"/>
          <w:numId w:val="1"/>
        </w:numPr>
        <w:autoSpaceDE w:val="0"/>
        <w:autoSpaceDN w:val="0"/>
        <w:adjustRightInd w:val="0"/>
        <w:spacing w:line="360" w:lineRule="auto"/>
        <w:ind w:left="284" w:hanging="284"/>
        <w:jc w:val="both"/>
        <w:rPr>
          <w:rFonts w:eastAsia="Times New Roman"/>
          <w:bCs/>
          <w:sz w:val="24"/>
          <w:szCs w:val="24"/>
          <w:lang w:val="en-ID"/>
        </w:rPr>
      </w:pPr>
      <w:r w:rsidRPr="000E6232">
        <w:rPr>
          <w:rFonts w:eastAsia="Times New Roman"/>
          <w:bCs/>
          <w:sz w:val="24"/>
          <w:szCs w:val="24"/>
          <w:lang w:val="en-ID"/>
        </w:rPr>
        <w:t xml:space="preserve">Kementerian Kesehatan Republik Indonesia. </w:t>
      </w:r>
      <w:r w:rsidRPr="000E6232">
        <w:rPr>
          <w:rFonts w:eastAsia="Times New Roman"/>
          <w:bCs/>
          <w:i/>
          <w:iCs/>
          <w:sz w:val="24"/>
          <w:szCs w:val="24"/>
          <w:lang w:val="en-ID"/>
        </w:rPr>
        <w:t>Riset Kesehatan Dasar (</w:t>
      </w:r>
      <w:proofErr w:type="spellStart"/>
      <w:r w:rsidRPr="000E6232">
        <w:rPr>
          <w:rFonts w:eastAsia="Times New Roman"/>
          <w:bCs/>
          <w:i/>
          <w:iCs/>
          <w:sz w:val="24"/>
          <w:szCs w:val="24"/>
          <w:lang w:val="en-ID"/>
        </w:rPr>
        <w:t>Riskesdas</w:t>
      </w:r>
      <w:proofErr w:type="spellEnd"/>
      <w:r w:rsidRPr="000E6232">
        <w:rPr>
          <w:rFonts w:eastAsia="Times New Roman"/>
          <w:bCs/>
          <w:i/>
          <w:iCs/>
          <w:sz w:val="24"/>
          <w:szCs w:val="24"/>
          <w:lang w:val="en-ID"/>
        </w:rPr>
        <w:t>) 2018.</w:t>
      </w:r>
      <w:r w:rsidRPr="000E6232">
        <w:rPr>
          <w:rFonts w:eastAsia="Times New Roman"/>
          <w:bCs/>
          <w:sz w:val="24"/>
          <w:szCs w:val="24"/>
          <w:lang w:val="en-ID"/>
        </w:rPr>
        <w:t xml:space="preserve"> Jakarta: </w:t>
      </w:r>
      <w:proofErr w:type="spellStart"/>
      <w:r w:rsidRPr="000E6232">
        <w:rPr>
          <w:rFonts w:eastAsia="Times New Roman"/>
          <w:bCs/>
          <w:sz w:val="24"/>
          <w:szCs w:val="24"/>
          <w:lang w:val="en-ID"/>
        </w:rPr>
        <w:t>Kemenkes</w:t>
      </w:r>
      <w:proofErr w:type="spellEnd"/>
      <w:r w:rsidRPr="000E6232">
        <w:rPr>
          <w:rFonts w:eastAsia="Times New Roman"/>
          <w:bCs/>
          <w:sz w:val="24"/>
          <w:szCs w:val="24"/>
          <w:lang w:val="en-ID"/>
        </w:rPr>
        <w:t xml:space="preserve"> RI; 2019.</w:t>
      </w:r>
    </w:p>
    <w:p w14:paraId="24065BCF" w14:textId="77777777" w:rsidR="007C6521" w:rsidRPr="000E6232" w:rsidRDefault="007C6521" w:rsidP="007C6521">
      <w:pPr>
        <w:pStyle w:val="ListParagraph"/>
        <w:numPr>
          <w:ilvl w:val="0"/>
          <w:numId w:val="1"/>
        </w:numPr>
        <w:autoSpaceDE w:val="0"/>
        <w:autoSpaceDN w:val="0"/>
        <w:adjustRightInd w:val="0"/>
        <w:spacing w:line="360" w:lineRule="auto"/>
        <w:ind w:left="284" w:hanging="284"/>
        <w:jc w:val="both"/>
        <w:rPr>
          <w:rFonts w:eastAsia="Times New Roman"/>
          <w:bCs/>
          <w:sz w:val="24"/>
          <w:szCs w:val="24"/>
          <w:lang w:val="en-ID"/>
        </w:rPr>
      </w:pPr>
      <w:r w:rsidRPr="000E6232">
        <w:rPr>
          <w:rFonts w:eastAsia="Times New Roman"/>
          <w:bCs/>
          <w:sz w:val="24"/>
          <w:szCs w:val="24"/>
          <w:lang w:val="en-ID"/>
        </w:rPr>
        <w:t xml:space="preserve">Andes LJ, Cheng YJ, Rolka DB, Gregg EW, Imperatore G. Prevalence of prediabetes among adolescents and young adults in the United States, 2005–2016. </w:t>
      </w:r>
      <w:r w:rsidRPr="000E6232">
        <w:rPr>
          <w:rFonts w:eastAsia="Times New Roman"/>
          <w:bCs/>
          <w:i/>
          <w:iCs/>
          <w:sz w:val="24"/>
          <w:szCs w:val="24"/>
          <w:lang w:val="en-ID"/>
        </w:rPr>
        <w:t xml:space="preserve">JAMA </w:t>
      </w:r>
      <w:proofErr w:type="spellStart"/>
      <w:r w:rsidRPr="000E6232">
        <w:rPr>
          <w:rFonts w:eastAsia="Times New Roman"/>
          <w:bCs/>
          <w:i/>
          <w:iCs/>
          <w:sz w:val="24"/>
          <w:szCs w:val="24"/>
          <w:lang w:val="en-ID"/>
        </w:rPr>
        <w:t>Pediatr</w:t>
      </w:r>
      <w:proofErr w:type="spellEnd"/>
      <w:r w:rsidRPr="000E6232">
        <w:rPr>
          <w:rFonts w:eastAsia="Times New Roman"/>
          <w:bCs/>
          <w:i/>
          <w:iCs/>
          <w:sz w:val="24"/>
          <w:szCs w:val="24"/>
          <w:lang w:val="en-ID"/>
        </w:rPr>
        <w:t>.</w:t>
      </w:r>
      <w:r w:rsidRPr="000E6232">
        <w:rPr>
          <w:rFonts w:eastAsia="Times New Roman"/>
          <w:bCs/>
          <w:sz w:val="24"/>
          <w:szCs w:val="24"/>
          <w:lang w:val="en-ID"/>
        </w:rPr>
        <w:t xml:space="preserve"> 2019;173(11):e193498.</w:t>
      </w:r>
    </w:p>
    <w:p w14:paraId="22FCDB3C" w14:textId="77777777" w:rsidR="007C6521" w:rsidRPr="000E6232" w:rsidRDefault="007C6521" w:rsidP="007C6521">
      <w:pPr>
        <w:pStyle w:val="ListParagraph"/>
        <w:numPr>
          <w:ilvl w:val="0"/>
          <w:numId w:val="1"/>
        </w:numPr>
        <w:autoSpaceDE w:val="0"/>
        <w:autoSpaceDN w:val="0"/>
        <w:adjustRightInd w:val="0"/>
        <w:spacing w:line="360" w:lineRule="auto"/>
        <w:ind w:left="284" w:hanging="284"/>
        <w:jc w:val="both"/>
        <w:rPr>
          <w:rFonts w:eastAsia="Times New Roman"/>
          <w:bCs/>
          <w:sz w:val="24"/>
          <w:szCs w:val="24"/>
          <w:lang w:val="en-ID"/>
        </w:rPr>
      </w:pPr>
      <w:proofErr w:type="spellStart"/>
      <w:r w:rsidRPr="000E6232">
        <w:rPr>
          <w:rFonts w:eastAsia="Times New Roman"/>
          <w:bCs/>
          <w:sz w:val="24"/>
          <w:szCs w:val="24"/>
          <w:lang w:val="en-ID"/>
        </w:rPr>
        <w:t>Echouffo-Tcheugui</w:t>
      </w:r>
      <w:proofErr w:type="spellEnd"/>
      <w:r w:rsidRPr="000E6232">
        <w:rPr>
          <w:rFonts w:eastAsia="Times New Roman"/>
          <w:bCs/>
          <w:sz w:val="24"/>
          <w:szCs w:val="24"/>
          <w:lang w:val="en-ID"/>
        </w:rPr>
        <w:t xml:space="preserve"> JB, Selvin E. Prediabetes and what it means: The epidemiological evidence. </w:t>
      </w:r>
      <w:r w:rsidRPr="000E6232">
        <w:rPr>
          <w:rFonts w:eastAsia="Times New Roman"/>
          <w:bCs/>
          <w:i/>
          <w:iCs/>
          <w:sz w:val="24"/>
          <w:szCs w:val="24"/>
          <w:lang w:val="en-ID"/>
        </w:rPr>
        <w:t>Annu Rev Public Health.</w:t>
      </w:r>
      <w:r w:rsidRPr="000E6232">
        <w:rPr>
          <w:rFonts w:eastAsia="Times New Roman"/>
          <w:bCs/>
          <w:sz w:val="24"/>
          <w:szCs w:val="24"/>
          <w:lang w:val="en-ID"/>
        </w:rPr>
        <w:t xml:space="preserve"> 2021;42:59–77.</w:t>
      </w:r>
    </w:p>
    <w:p w14:paraId="597347C4" w14:textId="77777777" w:rsidR="007C6521" w:rsidRPr="000E6232" w:rsidRDefault="007C6521" w:rsidP="007C6521">
      <w:pPr>
        <w:pStyle w:val="ListParagraph"/>
        <w:numPr>
          <w:ilvl w:val="0"/>
          <w:numId w:val="1"/>
        </w:numPr>
        <w:autoSpaceDE w:val="0"/>
        <w:autoSpaceDN w:val="0"/>
        <w:adjustRightInd w:val="0"/>
        <w:spacing w:line="360" w:lineRule="auto"/>
        <w:ind w:left="284" w:hanging="284"/>
        <w:jc w:val="both"/>
        <w:rPr>
          <w:rFonts w:eastAsia="Times New Roman"/>
          <w:bCs/>
          <w:sz w:val="24"/>
          <w:szCs w:val="24"/>
          <w:lang w:val="en-ID"/>
        </w:rPr>
      </w:pPr>
      <w:r w:rsidRPr="000E6232">
        <w:rPr>
          <w:rFonts w:eastAsia="Times New Roman"/>
          <w:bCs/>
          <w:sz w:val="24"/>
          <w:szCs w:val="24"/>
          <w:lang w:val="en-ID"/>
        </w:rPr>
        <w:t xml:space="preserve">Sequeira IR, </w:t>
      </w:r>
      <w:proofErr w:type="spellStart"/>
      <w:r w:rsidRPr="000E6232">
        <w:rPr>
          <w:rFonts w:eastAsia="Times New Roman"/>
          <w:bCs/>
          <w:sz w:val="24"/>
          <w:szCs w:val="24"/>
          <w:lang w:val="en-ID"/>
        </w:rPr>
        <w:t>Poppitt</w:t>
      </w:r>
      <w:proofErr w:type="spellEnd"/>
      <w:r w:rsidRPr="000E6232">
        <w:rPr>
          <w:rFonts w:eastAsia="Times New Roman"/>
          <w:bCs/>
          <w:sz w:val="24"/>
          <w:szCs w:val="24"/>
          <w:lang w:val="en-ID"/>
        </w:rPr>
        <w:t xml:space="preserve"> SD. HbA1c as a marker of prediabetes: A reliable screening tool or not? </w:t>
      </w:r>
      <w:r w:rsidRPr="000E6232">
        <w:rPr>
          <w:rFonts w:eastAsia="Times New Roman"/>
          <w:bCs/>
          <w:i/>
          <w:iCs/>
          <w:sz w:val="24"/>
          <w:szCs w:val="24"/>
          <w:lang w:val="en-ID"/>
        </w:rPr>
        <w:t xml:space="preserve">Insights </w:t>
      </w:r>
      <w:proofErr w:type="spellStart"/>
      <w:r w:rsidRPr="000E6232">
        <w:rPr>
          <w:rFonts w:eastAsia="Times New Roman"/>
          <w:bCs/>
          <w:i/>
          <w:iCs/>
          <w:sz w:val="24"/>
          <w:szCs w:val="24"/>
          <w:lang w:val="en-ID"/>
        </w:rPr>
        <w:t>Nutr</w:t>
      </w:r>
      <w:proofErr w:type="spellEnd"/>
      <w:r w:rsidRPr="000E6232">
        <w:rPr>
          <w:rFonts w:eastAsia="Times New Roman"/>
          <w:bCs/>
          <w:i/>
          <w:iCs/>
          <w:sz w:val="24"/>
          <w:szCs w:val="24"/>
          <w:lang w:val="en-ID"/>
        </w:rPr>
        <w:t xml:space="preserve"> </w:t>
      </w:r>
      <w:proofErr w:type="spellStart"/>
      <w:r w:rsidRPr="000E6232">
        <w:rPr>
          <w:rFonts w:eastAsia="Times New Roman"/>
          <w:bCs/>
          <w:i/>
          <w:iCs/>
          <w:sz w:val="24"/>
          <w:szCs w:val="24"/>
          <w:lang w:val="en-ID"/>
        </w:rPr>
        <w:t>Metab</w:t>
      </w:r>
      <w:proofErr w:type="spellEnd"/>
      <w:r w:rsidRPr="000E6232">
        <w:rPr>
          <w:rFonts w:eastAsia="Times New Roman"/>
          <w:bCs/>
          <w:i/>
          <w:iCs/>
          <w:sz w:val="24"/>
          <w:szCs w:val="24"/>
          <w:lang w:val="en-ID"/>
        </w:rPr>
        <w:t>.</w:t>
      </w:r>
      <w:r w:rsidRPr="000E6232">
        <w:rPr>
          <w:rFonts w:eastAsia="Times New Roman"/>
          <w:bCs/>
          <w:sz w:val="24"/>
          <w:szCs w:val="24"/>
          <w:lang w:val="en-ID"/>
        </w:rPr>
        <w:t xml:space="preserve"> 2017;1(1):21–29.</w:t>
      </w:r>
    </w:p>
    <w:p w14:paraId="3695022B" w14:textId="77777777" w:rsidR="007C6521" w:rsidRPr="000E6232" w:rsidRDefault="007C6521" w:rsidP="007C6521">
      <w:pPr>
        <w:pStyle w:val="ListParagraph"/>
        <w:numPr>
          <w:ilvl w:val="0"/>
          <w:numId w:val="1"/>
        </w:numPr>
        <w:autoSpaceDE w:val="0"/>
        <w:autoSpaceDN w:val="0"/>
        <w:adjustRightInd w:val="0"/>
        <w:spacing w:line="360" w:lineRule="auto"/>
        <w:ind w:left="284" w:hanging="284"/>
        <w:jc w:val="both"/>
        <w:rPr>
          <w:rFonts w:eastAsia="Times New Roman"/>
          <w:bCs/>
          <w:sz w:val="24"/>
          <w:szCs w:val="24"/>
          <w:lang w:val="en-ID"/>
        </w:rPr>
      </w:pPr>
      <w:r w:rsidRPr="000E6232">
        <w:rPr>
          <w:rFonts w:eastAsia="Times New Roman"/>
          <w:bCs/>
          <w:sz w:val="24"/>
          <w:szCs w:val="24"/>
          <w:lang w:val="en-ID"/>
        </w:rPr>
        <w:t xml:space="preserve">Dorcely B, Katz K, Jagannathan R, Chiang SS, Oluwadare B, Goldberg IJ, et al. Novel biomarkers for prediabetes, diabetes, and associated complications. </w:t>
      </w:r>
      <w:r w:rsidRPr="000E6232">
        <w:rPr>
          <w:rFonts w:eastAsia="Times New Roman"/>
          <w:bCs/>
          <w:i/>
          <w:iCs/>
          <w:sz w:val="24"/>
          <w:szCs w:val="24"/>
          <w:lang w:val="en-ID"/>
        </w:rPr>
        <w:t xml:space="preserve">Diabetes </w:t>
      </w:r>
      <w:proofErr w:type="spellStart"/>
      <w:r w:rsidRPr="000E6232">
        <w:rPr>
          <w:rFonts w:eastAsia="Times New Roman"/>
          <w:bCs/>
          <w:i/>
          <w:iCs/>
          <w:sz w:val="24"/>
          <w:szCs w:val="24"/>
          <w:lang w:val="en-ID"/>
        </w:rPr>
        <w:t>Metab</w:t>
      </w:r>
      <w:proofErr w:type="spellEnd"/>
      <w:r w:rsidRPr="000E6232">
        <w:rPr>
          <w:rFonts w:eastAsia="Times New Roman"/>
          <w:bCs/>
          <w:i/>
          <w:iCs/>
          <w:sz w:val="24"/>
          <w:szCs w:val="24"/>
          <w:lang w:val="en-ID"/>
        </w:rPr>
        <w:t xml:space="preserve"> Syndr </w:t>
      </w:r>
      <w:proofErr w:type="spellStart"/>
      <w:r w:rsidRPr="000E6232">
        <w:rPr>
          <w:rFonts w:eastAsia="Times New Roman"/>
          <w:bCs/>
          <w:i/>
          <w:iCs/>
          <w:sz w:val="24"/>
          <w:szCs w:val="24"/>
          <w:lang w:val="en-ID"/>
        </w:rPr>
        <w:t>Obes</w:t>
      </w:r>
      <w:proofErr w:type="spellEnd"/>
      <w:r w:rsidRPr="000E6232">
        <w:rPr>
          <w:rFonts w:eastAsia="Times New Roman"/>
          <w:bCs/>
          <w:i/>
          <w:iCs/>
          <w:sz w:val="24"/>
          <w:szCs w:val="24"/>
          <w:lang w:val="en-ID"/>
        </w:rPr>
        <w:t>.</w:t>
      </w:r>
      <w:r w:rsidRPr="000E6232">
        <w:rPr>
          <w:rFonts w:eastAsia="Times New Roman"/>
          <w:bCs/>
          <w:sz w:val="24"/>
          <w:szCs w:val="24"/>
          <w:lang w:val="en-ID"/>
        </w:rPr>
        <w:t xml:space="preserve"> 2017;10:345–361.</w:t>
      </w:r>
    </w:p>
    <w:p w14:paraId="0D810EE8" w14:textId="77777777" w:rsidR="007C6521" w:rsidRPr="000E6232" w:rsidRDefault="007C6521" w:rsidP="007C6521">
      <w:pPr>
        <w:pStyle w:val="ListParagraph"/>
        <w:numPr>
          <w:ilvl w:val="0"/>
          <w:numId w:val="1"/>
        </w:numPr>
        <w:autoSpaceDE w:val="0"/>
        <w:autoSpaceDN w:val="0"/>
        <w:adjustRightInd w:val="0"/>
        <w:spacing w:line="360" w:lineRule="auto"/>
        <w:ind w:left="284" w:hanging="284"/>
        <w:jc w:val="both"/>
        <w:rPr>
          <w:rFonts w:eastAsia="Times New Roman"/>
          <w:bCs/>
          <w:sz w:val="24"/>
          <w:szCs w:val="24"/>
          <w:lang w:val="en-ID"/>
        </w:rPr>
      </w:pPr>
      <w:r w:rsidRPr="000E6232">
        <w:rPr>
          <w:rFonts w:eastAsia="Times New Roman"/>
          <w:bCs/>
          <w:sz w:val="24"/>
          <w:szCs w:val="24"/>
          <w:lang w:val="en-ID"/>
        </w:rPr>
        <w:t xml:space="preserve">Selvin E, Rawlings AM, Grams M, Klein R, Steffes M, Coresh J. Association of 1,5-anhydroglucitol with diabetes and microvascular conditions. </w:t>
      </w:r>
      <w:r w:rsidRPr="000E6232">
        <w:rPr>
          <w:rFonts w:eastAsia="Times New Roman"/>
          <w:bCs/>
          <w:i/>
          <w:iCs/>
          <w:sz w:val="24"/>
          <w:szCs w:val="24"/>
          <w:lang w:val="en-ID"/>
        </w:rPr>
        <w:t>Clin Chem.</w:t>
      </w:r>
      <w:r w:rsidRPr="000E6232">
        <w:rPr>
          <w:rFonts w:eastAsia="Times New Roman"/>
          <w:bCs/>
          <w:sz w:val="24"/>
          <w:szCs w:val="24"/>
          <w:lang w:val="en-ID"/>
        </w:rPr>
        <w:t xml:space="preserve"> 2015;60(11):1409–1418.</w:t>
      </w:r>
    </w:p>
    <w:p w14:paraId="2B25813F" w14:textId="77777777" w:rsidR="007C6521" w:rsidRPr="000E6232"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proofErr w:type="spellStart"/>
      <w:r w:rsidRPr="000E6232">
        <w:rPr>
          <w:rFonts w:eastAsia="Times New Roman"/>
          <w:bCs/>
          <w:sz w:val="24"/>
          <w:szCs w:val="24"/>
          <w:lang w:val="en-ID"/>
        </w:rPr>
        <w:t>Pramodkumar</w:t>
      </w:r>
      <w:proofErr w:type="spellEnd"/>
      <w:r w:rsidRPr="000E6232">
        <w:rPr>
          <w:rFonts w:eastAsia="Times New Roman"/>
          <w:bCs/>
          <w:sz w:val="24"/>
          <w:szCs w:val="24"/>
          <w:lang w:val="en-ID"/>
        </w:rPr>
        <w:t xml:space="preserve"> TA, Jayashri R, Gokulakrishnan K. Relationship of </w:t>
      </w:r>
      <w:proofErr w:type="spellStart"/>
      <w:r w:rsidRPr="000E6232">
        <w:rPr>
          <w:rFonts w:eastAsia="Times New Roman"/>
          <w:bCs/>
          <w:sz w:val="24"/>
          <w:szCs w:val="24"/>
          <w:lang w:val="en-ID"/>
        </w:rPr>
        <w:t>glycemic</w:t>
      </w:r>
      <w:proofErr w:type="spellEnd"/>
      <w:r w:rsidRPr="000E6232">
        <w:rPr>
          <w:rFonts w:eastAsia="Times New Roman"/>
          <w:bCs/>
          <w:sz w:val="24"/>
          <w:szCs w:val="24"/>
          <w:lang w:val="en-ID"/>
        </w:rPr>
        <w:t xml:space="preserve"> control markers—</w:t>
      </w:r>
      <w:proofErr w:type="spellStart"/>
      <w:r w:rsidRPr="000E6232">
        <w:rPr>
          <w:rFonts w:eastAsia="Times New Roman"/>
          <w:bCs/>
          <w:sz w:val="24"/>
          <w:szCs w:val="24"/>
          <w:lang w:val="en-ID"/>
        </w:rPr>
        <w:t>hemoglobin</w:t>
      </w:r>
      <w:proofErr w:type="spellEnd"/>
      <w:r w:rsidRPr="000E6232">
        <w:rPr>
          <w:rFonts w:eastAsia="Times New Roman"/>
          <w:bCs/>
          <w:sz w:val="24"/>
          <w:szCs w:val="24"/>
          <w:lang w:val="en-ID"/>
        </w:rPr>
        <w:t xml:space="preserve"> A1c and 1,5-anhydroglucitol among Asian Indians with different degrees of glucose intolerance. </w:t>
      </w:r>
      <w:r w:rsidRPr="000E6232">
        <w:rPr>
          <w:rFonts w:eastAsia="Times New Roman"/>
          <w:bCs/>
          <w:i/>
          <w:iCs/>
          <w:sz w:val="24"/>
          <w:szCs w:val="24"/>
          <w:lang w:val="en-ID"/>
        </w:rPr>
        <w:t>J Assoc Physicians India.</w:t>
      </w:r>
      <w:r w:rsidRPr="000E6232">
        <w:rPr>
          <w:rFonts w:eastAsia="Times New Roman"/>
          <w:bCs/>
          <w:sz w:val="24"/>
          <w:szCs w:val="24"/>
          <w:lang w:val="en-ID"/>
        </w:rPr>
        <w:t xml:space="preserve"> 2016;64(6):690–695.</w:t>
      </w:r>
    </w:p>
    <w:p w14:paraId="58DC12BF" w14:textId="77777777" w:rsidR="007C6521" w:rsidRPr="000E6232"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proofErr w:type="spellStart"/>
      <w:r w:rsidRPr="000E6232">
        <w:rPr>
          <w:rFonts w:eastAsia="Times New Roman"/>
          <w:bCs/>
          <w:sz w:val="24"/>
          <w:szCs w:val="24"/>
          <w:lang w:val="en-ID"/>
        </w:rPr>
        <w:t>Kitchlew</w:t>
      </w:r>
      <w:proofErr w:type="spellEnd"/>
      <w:r w:rsidRPr="000E6232">
        <w:rPr>
          <w:rFonts w:eastAsia="Times New Roman"/>
          <w:bCs/>
          <w:sz w:val="24"/>
          <w:szCs w:val="24"/>
          <w:lang w:val="en-ID"/>
        </w:rPr>
        <w:t xml:space="preserve"> R, Zeeshan A, Chachar K, Haider M, Saleem AR, Mirza MS, et al. Pre-diabetes: Frequency and associated risk factors. </w:t>
      </w:r>
      <w:r w:rsidRPr="000E6232">
        <w:rPr>
          <w:rFonts w:eastAsia="Times New Roman"/>
          <w:bCs/>
          <w:i/>
          <w:iCs/>
          <w:sz w:val="24"/>
          <w:szCs w:val="24"/>
          <w:lang w:val="en-ID"/>
        </w:rPr>
        <w:t>Pak J Med Health Sci.</w:t>
      </w:r>
      <w:r w:rsidRPr="000E6232">
        <w:rPr>
          <w:rFonts w:eastAsia="Times New Roman"/>
          <w:bCs/>
          <w:sz w:val="24"/>
          <w:szCs w:val="24"/>
          <w:lang w:val="en-ID"/>
        </w:rPr>
        <w:t xml:space="preserve"> </w:t>
      </w:r>
      <w:r w:rsidRPr="000E6232">
        <w:rPr>
          <w:rFonts w:eastAsia="Times New Roman"/>
          <w:bCs/>
          <w:sz w:val="24"/>
          <w:szCs w:val="24"/>
          <w:lang w:val="en-ID"/>
        </w:rPr>
        <w:lastRenderedPageBreak/>
        <w:t>2017;11(4):1860–1866.</w:t>
      </w:r>
    </w:p>
    <w:p w14:paraId="0DC80075" w14:textId="77777777" w:rsidR="007C6521" w:rsidRPr="000E6232"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0E6232">
        <w:rPr>
          <w:rFonts w:eastAsia="Times New Roman"/>
          <w:bCs/>
          <w:sz w:val="24"/>
          <w:szCs w:val="24"/>
          <w:lang w:val="en-ID"/>
        </w:rPr>
        <w:t xml:space="preserve">Peltzer K, </w:t>
      </w:r>
      <w:proofErr w:type="spellStart"/>
      <w:r w:rsidRPr="000E6232">
        <w:rPr>
          <w:rFonts w:eastAsia="Times New Roman"/>
          <w:bCs/>
          <w:sz w:val="24"/>
          <w:szCs w:val="24"/>
          <w:lang w:val="en-ID"/>
        </w:rPr>
        <w:t>Pengpid</w:t>
      </w:r>
      <w:proofErr w:type="spellEnd"/>
      <w:r w:rsidRPr="000E6232">
        <w:rPr>
          <w:rFonts w:eastAsia="Times New Roman"/>
          <w:bCs/>
          <w:sz w:val="24"/>
          <w:szCs w:val="24"/>
          <w:lang w:val="en-ID"/>
        </w:rPr>
        <w:t xml:space="preserve"> S, Samuels TA, Özcan NK, Mantilla C, </w:t>
      </w:r>
      <w:proofErr w:type="spellStart"/>
      <w:r w:rsidRPr="000E6232">
        <w:rPr>
          <w:rFonts w:eastAsia="Times New Roman"/>
          <w:bCs/>
          <w:sz w:val="24"/>
          <w:szCs w:val="24"/>
          <w:lang w:val="en-ID"/>
        </w:rPr>
        <w:t>Rahamefy</w:t>
      </w:r>
      <w:proofErr w:type="spellEnd"/>
      <w:r w:rsidRPr="000E6232">
        <w:rPr>
          <w:rFonts w:eastAsia="Times New Roman"/>
          <w:bCs/>
          <w:sz w:val="24"/>
          <w:szCs w:val="24"/>
          <w:lang w:val="en-ID"/>
        </w:rPr>
        <w:t xml:space="preserve"> OH, et al. Prevalence of overweight/obesity and its associated factors among university students from 22 countries. </w:t>
      </w:r>
      <w:r w:rsidRPr="000E6232">
        <w:rPr>
          <w:rFonts w:eastAsia="Times New Roman"/>
          <w:bCs/>
          <w:i/>
          <w:iCs/>
          <w:sz w:val="24"/>
          <w:szCs w:val="24"/>
          <w:lang w:val="en-ID"/>
        </w:rPr>
        <w:t>Int J Environ Res Public Health.</w:t>
      </w:r>
      <w:r w:rsidRPr="000E6232">
        <w:rPr>
          <w:rFonts w:eastAsia="Times New Roman"/>
          <w:bCs/>
          <w:sz w:val="24"/>
          <w:szCs w:val="24"/>
          <w:lang w:val="en-ID"/>
        </w:rPr>
        <w:t xml:space="preserve"> 2014;11(7):7425–7441.</w:t>
      </w:r>
    </w:p>
    <w:p w14:paraId="4CC63E87" w14:textId="77777777" w:rsidR="007C6521" w:rsidRPr="000E6232"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proofErr w:type="spellStart"/>
      <w:r w:rsidRPr="000E6232">
        <w:rPr>
          <w:rFonts w:eastAsia="Times New Roman"/>
          <w:bCs/>
          <w:sz w:val="24"/>
          <w:szCs w:val="24"/>
          <w:lang w:val="en-ID"/>
        </w:rPr>
        <w:t>Kruszon</w:t>
      </w:r>
      <w:proofErr w:type="spellEnd"/>
      <w:r w:rsidRPr="000E6232">
        <w:rPr>
          <w:rFonts w:eastAsia="Times New Roman"/>
          <w:bCs/>
          <w:sz w:val="24"/>
          <w:szCs w:val="24"/>
          <w:lang w:val="en-ID"/>
        </w:rPr>
        <w:t xml:space="preserve">-Moran D, Carroll MD, Fryar CD, Ogden CL. Trends in obesity among adults in the United States, 2005 to 2014. </w:t>
      </w:r>
      <w:r w:rsidRPr="000E6232">
        <w:rPr>
          <w:rFonts w:eastAsia="Times New Roman"/>
          <w:bCs/>
          <w:i/>
          <w:iCs/>
          <w:sz w:val="24"/>
          <w:szCs w:val="24"/>
          <w:lang w:val="en-ID"/>
        </w:rPr>
        <w:t>JAMA.</w:t>
      </w:r>
      <w:r w:rsidRPr="000E6232">
        <w:rPr>
          <w:rFonts w:eastAsia="Times New Roman"/>
          <w:bCs/>
          <w:sz w:val="24"/>
          <w:szCs w:val="24"/>
          <w:lang w:val="en-ID"/>
        </w:rPr>
        <w:t xml:space="preserve"> 2024;315(21):2284–2291.</w:t>
      </w:r>
    </w:p>
    <w:p w14:paraId="6C599975" w14:textId="77777777" w:rsidR="007C6521" w:rsidRPr="000E6232"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proofErr w:type="spellStart"/>
      <w:r w:rsidRPr="000E6232">
        <w:rPr>
          <w:rFonts w:eastAsia="Times New Roman"/>
          <w:bCs/>
          <w:sz w:val="24"/>
          <w:szCs w:val="24"/>
          <w:lang w:val="en-ID"/>
        </w:rPr>
        <w:t>Muscogiuri</w:t>
      </w:r>
      <w:proofErr w:type="spellEnd"/>
      <w:r w:rsidRPr="000E6232">
        <w:rPr>
          <w:rFonts w:eastAsia="Times New Roman"/>
          <w:bCs/>
          <w:sz w:val="24"/>
          <w:szCs w:val="24"/>
          <w:lang w:val="en-ID"/>
        </w:rPr>
        <w:t xml:space="preserve"> G, Verde L, </w:t>
      </w:r>
      <w:proofErr w:type="spellStart"/>
      <w:r w:rsidRPr="000E6232">
        <w:rPr>
          <w:rFonts w:eastAsia="Times New Roman"/>
          <w:bCs/>
          <w:sz w:val="24"/>
          <w:szCs w:val="24"/>
          <w:lang w:val="en-ID"/>
        </w:rPr>
        <w:t>Vetrani</w:t>
      </w:r>
      <w:proofErr w:type="spellEnd"/>
      <w:r w:rsidRPr="000E6232">
        <w:rPr>
          <w:rFonts w:eastAsia="Times New Roman"/>
          <w:bCs/>
          <w:sz w:val="24"/>
          <w:szCs w:val="24"/>
          <w:lang w:val="en-ID"/>
        </w:rPr>
        <w:t xml:space="preserve"> C, Barrea L, Savastano S, Colao A. Obesity: A gender-related disease. </w:t>
      </w:r>
      <w:r w:rsidRPr="000E6232">
        <w:rPr>
          <w:rFonts w:eastAsia="Times New Roman"/>
          <w:bCs/>
          <w:i/>
          <w:iCs/>
          <w:sz w:val="24"/>
          <w:szCs w:val="24"/>
          <w:lang w:val="en-ID"/>
        </w:rPr>
        <w:t>J Endocrinol Invest.</w:t>
      </w:r>
      <w:r w:rsidRPr="000E6232">
        <w:rPr>
          <w:rFonts w:eastAsia="Times New Roman"/>
          <w:bCs/>
          <w:sz w:val="24"/>
          <w:szCs w:val="24"/>
          <w:lang w:val="en-ID"/>
        </w:rPr>
        <w:t xml:space="preserve"> 2023;46:1–10.</w:t>
      </w:r>
    </w:p>
    <w:p w14:paraId="4461043B" w14:textId="77777777" w:rsidR="007C6521" w:rsidRPr="000E6232"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proofErr w:type="spellStart"/>
      <w:r w:rsidRPr="000E6232">
        <w:rPr>
          <w:rFonts w:eastAsia="Times New Roman"/>
          <w:bCs/>
          <w:sz w:val="24"/>
          <w:szCs w:val="24"/>
          <w:lang w:val="en-ID"/>
        </w:rPr>
        <w:t>Tramunt</w:t>
      </w:r>
      <w:proofErr w:type="spellEnd"/>
      <w:r w:rsidRPr="000E6232">
        <w:rPr>
          <w:rFonts w:eastAsia="Times New Roman"/>
          <w:bCs/>
          <w:sz w:val="24"/>
          <w:szCs w:val="24"/>
          <w:lang w:val="en-ID"/>
        </w:rPr>
        <w:t xml:space="preserve"> B, </w:t>
      </w:r>
      <w:proofErr w:type="spellStart"/>
      <w:r w:rsidRPr="000E6232">
        <w:rPr>
          <w:rFonts w:eastAsia="Times New Roman"/>
          <w:bCs/>
          <w:sz w:val="24"/>
          <w:szCs w:val="24"/>
          <w:lang w:val="en-ID"/>
        </w:rPr>
        <w:t>Smati</w:t>
      </w:r>
      <w:proofErr w:type="spellEnd"/>
      <w:r w:rsidRPr="000E6232">
        <w:rPr>
          <w:rFonts w:eastAsia="Times New Roman"/>
          <w:bCs/>
          <w:sz w:val="24"/>
          <w:szCs w:val="24"/>
          <w:lang w:val="en-ID"/>
        </w:rPr>
        <w:t xml:space="preserve"> S, Grandgeorge N, </w:t>
      </w:r>
      <w:proofErr w:type="spellStart"/>
      <w:r w:rsidRPr="000E6232">
        <w:rPr>
          <w:rFonts w:eastAsia="Times New Roman"/>
          <w:bCs/>
          <w:sz w:val="24"/>
          <w:szCs w:val="24"/>
          <w:lang w:val="en-ID"/>
        </w:rPr>
        <w:t>Lenfant</w:t>
      </w:r>
      <w:proofErr w:type="spellEnd"/>
      <w:r w:rsidRPr="000E6232">
        <w:rPr>
          <w:rFonts w:eastAsia="Times New Roman"/>
          <w:bCs/>
          <w:sz w:val="24"/>
          <w:szCs w:val="24"/>
          <w:lang w:val="en-ID"/>
        </w:rPr>
        <w:t xml:space="preserve"> F, Arnal JF, Montagner A, et al. Sex differences in metabolic regulation and diabetes susceptibility. </w:t>
      </w:r>
      <w:proofErr w:type="spellStart"/>
      <w:r w:rsidRPr="000E6232">
        <w:rPr>
          <w:rFonts w:eastAsia="Times New Roman"/>
          <w:bCs/>
          <w:i/>
          <w:iCs/>
          <w:sz w:val="24"/>
          <w:szCs w:val="24"/>
          <w:lang w:val="en-ID"/>
        </w:rPr>
        <w:t>Diabetologia</w:t>
      </w:r>
      <w:proofErr w:type="spellEnd"/>
      <w:r w:rsidRPr="000E6232">
        <w:rPr>
          <w:rFonts w:eastAsia="Times New Roman"/>
          <w:bCs/>
          <w:i/>
          <w:iCs/>
          <w:sz w:val="24"/>
          <w:szCs w:val="24"/>
          <w:lang w:val="en-ID"/>
        </w:rPr>
        <w:t>.</w:t>
      </w:r>
      <w:r w:rsidRPr="000E6232">
        <w:rPr>
          <w:rFonts w:eastAsia="Times New Roman"/>
          <w:bCs/>
          <w:sz w:val="24"/>
          <w:szCs w:val="24"/>
          <w:lang w:val="en-ID"/>
        </w:rPr>
        <w:t xml:space="preserve"> 2020;63:453–461.</w:t>
      </w:r>
    </w:p>
    <w:p w14:paraId="58EC2678"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proofErr w:type="spellStart"/>
      <w:r w:rsidRPr="003E04BA">
        <w:rPr>
          <w:rFonts w:eastAsia="Times New Roman"/>
          <w:bCs/>
          <w:sz w:val="24"/>
          <w:szCs w:val="24"/>
          <w:lang w:val="en-ID"/>
        </w:rPr>
        <w:t>Decroli</w:t>
      </w:r>
      <w:proofErr w:type="spellEnd"/>
      <w:r w:rsidRPr="003E04BA">
        <w:rPr>
          <w:rFonts w:eastAsia="Times New Roman"/>
          <w:bCs/>
          <w:sz w:val="24"/>
          <w:szCs w:val="24"/>
          <w:lang w:val="en-ID"/>
        </w:rPr>
        <w:t xml:space="preserve"> E, Aprilia D, Kam A, </w:t>
      </w:r>
      <w:proofErr w:type="spellStart"/>
      <w:r w:rsidRPr="003E04BA">
        <w:rPr>
          <w:rFonts w:eastAsia="Times New Roman"/>
          <w:bCs/>
          <w:sz w:val="24"/>
          <w:szCs w:val="24"/>
          <w:lang w:val="en-ID"/>
        </w:rPr>
        <w:t>Rahmadi</w:t>
      </w:r>
      <w:proofErr w:type="spellEnd"/>
      <w:r w:rsidRPr="003E04BA">
        <w:rPr>
          <w:rFonts w:eastAsia="Times New Roman"/>
          <w:bCs/>
          <w:sz w:val="24"/>
          <w:szCs w:val="24"/>
          <w:lang w:val="en-ID"/>
        </w:rPr>
        <w:t xml:space="preserve"> A. Body mass index and total testosterone level in obese male pre-diabetic patients: Correlation with homeostasis model assessment of insulin resistance. </w:t>
      </w:r>
      <w:r w:rsidRPr="003E04BA">
        <w:rPr>
          <w:rFonts w:eastAsia="Times New Roman"/>
          <w:bCs/>
          <w:i/>
          <w:iCs/>
          <w:sz w:val="24"/>
          <w:szCs w:val="24"/>
          <w:lang w:val="en-ID"/>
        </w:rPr>
        <w:t>J Clin Transl Endocrinol.</w:t>
      </w:r>
      <w:r w:rsidRPr="003E04BA">
        <w:rPr>
          <w:rFonts w:eastAsia="Times New Roman"/>
          <w:bCs/>
          <w:sz w:val="24"/>
          <w:szCs w:val="24"/>
          <w:lang w:val="en-ID"/>
        </w:rPr>
        <w:t xml:space="preserve"> 2024;13(1):427–430.</w:t>
      </w:r>
    </w:p>
    <w:p w14:paraId="768CBE08"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proofErr w:type="spellStart"/>
      <w:r w:rsidRPr="003E04BA">
        <w:rPr>
          <w:rFonts w:eastAsia="Times New Roman"/>
          <w:bCs/>
          <w:sz w:val="24"/>
          <w:szCs w:val="24"/>
          <w:lang w:val="en-ID"/>
        </w:rPr>
        <w:t>Guthold</w:t>
      </w:r>
      <w:proofErr w:type="spellEnd"/>
      <w:r w:rsidRPr="003E04BA">
        <w:rPr>
          <w:rFonts w:eastAsia="Times New Roman"/>
          <w:bCs/>
          <w:sz w:val="24"/>
          <w:szCs w:val="24"/>
          <w:lang w:val="en-ID"/>
        </w:rPr>
        <w:t xml:space="preserve"> R, Stevens GA, Riley LM, Bull FC. Global trends in insufficient physical activity among adolescents: A pooled analysis of 298 population-based surveys with 1.6 million participants. </w:t>
      </w:r>
      <w:r w:rsidRPr="003E04BA">
        <w:rPr>
          <w:rFonts w:eastAsia="Times New Roman"/>
          <w:bCs/>
          <w:i/>
          <w:iCs/>
          <w:sz w:val="24"/>
          <w:szCs w:val="24"/>
          <w:lang w:val="en-ID"/>
        </w:rPr>
        <w:t xml:space="preserve">Lancet Child </w:t>
      </w:r>
      <w:proofErr w:type="spellStart"/>
      <w:r w:rsidRPr="003E04BA">
        <w:rPr>
          <w:rFonts w:eastAsia="Times New Roman"/>
          <w:bCs/>
          <w:i/>
          <w:iCs/>
          <w:sz w:val="24"/>
          <w:szCs w:val="24"/>
          <w:lang w:val="en-ID"/>
        </w:rPr>
        <w:t>Adolesc</w:t>
      </w:r>
      <w:proofErr w:type="spellEnd"/>
      <w:r w:rsidRPr="003E04BA">
        <w:rPr>
          <w:rFonts w:eastAsia="Times New Roman"/>
          <w:bCs/>
          <w:i/>
          <w:iCs/>
          <w:sz w:val="24"/>
          <w:szCs w:val="24"/>
          <w:lang w:val="en-ID"/>
        </w:rPr>
        <w:t xml:space="preserve"> Health.</w:t>
      </w:r>
      <w:r w:rsidRPr="003E04BA">
        <w:rPr>
          <w:rFonts w:eastAsia="Times New Roman"/>
          <w:bCs/>
          <w:sz w:val="24"/>
          <w:szCs w:val="24"/>
          <w:lang w:val="en-ID"/>
        </w:rPr>
        <w:t xml:space="preserve"> 2020;4(1):23–35.</w:t>
      </w:r>
    </w:p>
    <w:p w14:paraId="10631D17"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3E04BA">
        <w:rPr>
          <w:rFonts w:eastAsia="Times New Roman"/>
          <w:bCs/>
          <w:sz w:val="24"/>
          <w:szCs w:val="24"/>
          <w:lang w:val="en-ID"/>
        </w:rPr>
        <w:t xml:space="preserve">D’Adamo E, Caprio S. Type 2 diabetes in youth: Epidemiology and pathophysiology. </w:t>
      </w:r>
      <w:r w:rsidRPr="003E04BA">
        <w:rPr>
          <w:rFonts w:eastAsia="Times New Roman"/>
          <w:bCs/>
          <w:i/>
          <w:iCs/>
          <w:sz w:val="24"/>
          <w:szCs w:val="24"/>
          <w:lang w:val="en-ID"/>
        </w:rPr>
        <w:t>Diabetes Care.</w:t>
      </w:r>
      <w:r w:rsidRPr="003E04BA">
        <w:rPr>
          <w:rFonts w:eastAsia="Times New Roman"/>
          <w:bCs/>
          <w:sz w:val="24"/>
          <w:szCs w:val="24"/>
          <w:lang w:val="en-ID"/>
        </w:rPr>
        <w:t xml:space="preserve"> 2011;34(</w:t>
      </w:r>
      <w:proofErr w:type="spellStart"/>
      <w:r w:rsidRPr="003E04BA">
        <w:rPr>
          <w:rFonts w:eastAsia="Times New Roman"/>
          <w:bCs/>
          <w:sz w:val="24"/>
          <w:szCs w:val="24"/>
          <w:lang w:val="en-ID"/>
        </w:rPr>
        <w:t>Suppl</w:t>
      </w:r>
      <w:proofErr w:type="spellEnd"/>
      <w:r w:rsidRPr="003E04BA">
        <w:rPr>
          <w:rFonts w:eastAsia="Times New Roman"/>
          <w:bCs/>
          <w:sz w:val="24"/>
          <w:szCs w:val="24"/>
          <w:lang w:val="en-ID"/>
        </w:rPr>
        <w:t xml:space="preserve"> 2):S161–S165.</w:t>
      </w:r>
    </w:p>
    <w:p w14:paraId="455FA949"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3E04BA">
        <w:rPr>
          <w:rFonts w:eastAsia="Times New Roman"/>
          <w:bCs/>
          <w:sz w:val="24"/>
          <w:szCs w:val="24"/>
          <w:lang w:val="en-ID"/>
        </w:rPr>
        <w:t xml:space="preserve">Weiss R, Dufour S, </w:t>
      </w:r>
      <w:proofErr w:type="spellStart"/>
      <w:r w:rsidRPr="003E04BA">
        <w:rPr>
          <w:rFonts w:eastAsia="Times New Roman"/>
          <w:bCs/>
          <w:sz w:val="24"/>
          <w:szCs w:val="24"/>
          <w:lang w:val="en-ID"/>
        </w:rPr>
        <w:t>Taksali</w:t>
      </w:r>
      <w:proofErr w:type="spellEnd"/>
      <w:r w:rsidRPr="003E04BA">
        <w:rPr>
          <w:rFonts w:eastAsia="Times New Roman"/>
          <w:bCs/>
          <w:sz w:val="24"/>
          <w:szCs w:val="24"/>
          <w:lang w:val="en-ID"/>
        </w:rPr>
        <w:t xml:space="preserve"> SE, Tamborlane WV, Petersen KF, Bonadonna RC, et al. Prediabetes in obese youth: A syndrome of impaired glucose tolerance, severe insulin resistance, and altered myocellular and abdominal fat partitioning. </w:t>
      </w:r>
      <w:r w:rsidRPr="003E04BA">
        <w:rPr>
          <w:rFonts w:eastAsia="Times New Roman"/>
          <w:bCs/>
          <w:i/>
          <w:iCs/>
          <w:sz w:val="24"/>
          <w:szCs w:val="24"/>
          <w:lang w:val="en-ID"/>
        </w:rPr>
        <w:t>Lancet.</w:t>
      </w:r>
      <w:r w:rsidRPr="003E04BA">
        <w:rPr>
          <w:rFonts w:eastAsia="Times New Roman"/>
          <w:bCs/>
          <w:sz w:val="24"/>
          <w:szCs w:val="24"/>
          <w:lang w:val="en-ID"/>
        </w:rPr>
        <w:t xml:space="preserve"> 2010;362(9388):951–957.</w:t>
      </w:r>
    </w:p>
    <w:p w14:paraId="01EE3CA0"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proofErr w:type="spellStart"/>
      <w:r w:rsidRPr="003E04BA">
        <w:rPr>
          <w:rFonts w:eastAsia="Times New Roman"/>
          <w:bCs/>
          <w:sz w:val="24"/>
          <w:szCs w:val="24"/>
          <w:lang w:val="en-ID"/>
        </w:rPr>
        <w:t>Bacong</w:t>
      </w:r>
      <w:proofErr w:type="spellEnd"/>
      <w:r w:rsidRPr="003E04BA">
        <w:rPr>
          <w:rFonts w:eastAsia="Times New Roman"/>
          <w:bCs/>
          <w:sz w:val="24"/>
          <w:szCs w:val="24"/>
          <w:lang w:val="en-ID"/>
        </w:rPr>
        <w:t xml:space="preserve"> AM, Gibbs SL, Rosales AG, Frankland TB, Li J, Daida YG. Obesity disparities among adult single-race and multiracial Asian and Pacific Islander populations. </w:t>
      </w:r>
      <w:r w:rsidRPr="003E04BA">
        <w:rPr>
          <w:rFonts w:eastAsia="Times New Roman"/>
          <w:bCs/>
          <w:i/>
          <w:iCs/>
          <w:sz w:val="24"/>
          <w:szCs w:val="24"/>
          <w:lang w:val="en-ID"/>
        </w:rPr>
        <w:t xml:space="preserve">JAMA </w:t>
      </w:r>
      <w:proofErr w:type="spellStart"/>
      <w:r w:rsidRPr="003E04BA">
        <w:rPr>
          <w:rFonts w:eastAsia="Times New Roman"/>
          <w:bCs/>
          <w:i/>
          <w:iCs/>
          <w:sz w:val="24"/>
          <w:szCs w:val="24"/>
          <w:lang w:val="en-ID"/>
        </w:rPr>
        <w:t>Netw</w:t>
      </w:r>
      <w:proofErr w:type="spellEnd"/>
      <w:r w:rsidRPr="003E04BA">
        <w:rPr>
          <w:rFonts w:eastAsia="Times New Roman"/>
          <w:bCs/>
          <w:i/>
          <w:iCs/>
          <w:sz w:val="24"/>
          <w:szCs w:val="24"/>
          <w:lang w:val="en-ID"/>
        </w:rPr>
        <w:t xml:space="preserve"> Open.</w:t>
      </w:r>
      <w:r w:rsidRPr="003E04BA">
        <w:rPr>
          <w:rFonts w:eastAsia="Times New Roman"/>
          <w:bCs/>
          <w:sz w:val="24"/>
          <w:szCs w:val="24"/>
          <w:lang w:val="en-ID"/>
        </w:rPr>
        <w:t xml:space="preserve"> 2024;7(1):e241234.</w:t>
      </w:r>
    </w:p>
    <w:p w14:paraId="2B987734"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3E04BA">
        <w:rPr>
          <w:rFonts w:eastAsia="Times New Roman"/>
          <w:bCs/>
          <w:sz w:val="24"/>
          <w:szCs w:val="24"/>
          <w:lang w:val="en-ID"/>
        </w:rPr>
        <w:t xml:space="preserve">Zhen J, Liu S, Zhao G, Peng H, Samaranayake N, Xu A, et al. Association of waist circumference with haemoglobin A1c and its optimal cutoff for identifying prediabetes and diabetes risk in the Chinese population. </w:t>
      </w:r>
      <w:r w:rsidRPr="003E04BA">
        <w:rPr>
          <w:rFonts w:eastAsia="Times New Roman"/>
          <w:bCs/>
          <w:i/>
          <w:iCs/>
          <w:sz w:val="24"/>
          <w:szCs w:val="24"/>
          <w:lang w:val="en-ID"/>
        </w:rPr>
        <w:t>Intern Emerg Med.</w:t>
      </w:r>
      <w:r w:rsidRPr="003E04BA">
        <w:rPr>
          <w:rFonts w:eastAsia="Times New Roman"/>
          <w:bCs/>
          <w:sz w:val="24"/>
          <w:szCs w:val="24"/>
          <w:lang w:val="en-ID"/>
        </w:rPr>
        <w:t xml:space="preserve"> </w:t>
      </w:r>
      <w:r w:rsidRPr="003E04BA">
        <w:rPr>
          <w:rFonts w:eastAsia="Times New Roman"/>
          <w:bCs/>
          <w:sz w:val="24"/>
          <w:szCs w:val="24"/>
          <w:lang w:val="en-ID"/>
        </w:rPr>
        <w:lastRenderedPageBreak/>
        <w:t>2022;17(7):2039–2044.</w:t>
      </w:r>
    </w:p>
    <w:p w14:paraId="1321DEC3"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3E04BA">
        <w:rPr>
          <w:rFonts w:eastAsia="Times New Roman"/>
          <w:bCs/>
          <w:sz w:val="24"/>
          <w:szCs w:val="24"/>
          <w:lang w:val="en-ID"/>
        </w:rPr>
        <w:t xml:space="preserve">Salem KA, </w:t>
      </w:r>
      <w:proofErr w:type="spellStart"/>
      <w:r w:rsidRPr="003E04BA">
        <w:rPr>
          <w:rFonts w:eastAsia="Times New Roman"/>
          <w:bCs/>
          <w:sz w:val="24"/>
          <w:szCs w:val="24"/>
          <w:lang w:val="en-ID"/>
        </w:rPr>
        <w:t>Bashaaib</w:t>
      </w:r>
      <w:proofErr w:type="spellEnd"/>
      <w:r w:rsidRPr="003E04BA">
        <w:rPr>
          <w:rFonts w:eastAsia="Times New Roman"/>
          <w:bCs/>
          <w:sz w:val="24"/>
          <w:szCs w:val="24"/>
          <w:lang w:val="en-ID"/>
        </w:rPr>
        <w:t xml:space="preserve"> MO. Family history, consanguinity and other risk factors affecting the prevalence of prediabetes and undiagnosed diabetes mellitus in overweight and obese Yemeni adults. </w:t>
      </w:r>
      <w:r w:rsidRPr="003E04BA">
        <w:rPr>
          <w:rFonts w:eastAsia="Times New Roman"/>
          <w:bCs/>
          <w:i/>
          <w:iCs/>
          <w:sz w:val="24"/>
          <w:szCs w:val="24"/>
          <w:lang w:val="en-ID"/>
        </w:rPr>
        <w:t xml:space="preserve">Diabetes </w:t>
      </w:r>
      <w:proofErr w:type="spellStart"/>
      <w:r w:rsidRPr="003E04BA">
        <w:rPr>
          <w:rFonts w:eastAsia="Times New Roman"/>
          <w:bCs/>
          <w:i/>
          <w:iCs/>
          <w:sz w:val="24"/>
          <w:szCs w:val="24"/>
          <w:lang w:val="en-ID"/>
        </w:rPr>
        <w:t>Metab</w:t>
      </w:r>
      <w:proofErr w:type="spellEnd"/>
      <w:r w:rsidRPr="003E04BA">
        <w:rPr>
          <w:rFonts w:eastAsia="Times New Roman"/>
          <w:bCs/>
          <w:i/>
          <w:iCs/>
          <w:sz w:val="24"/>
          <w:szCs w:val="24"/>
          <w:lang w:val="en-ID"/>
        </w:rPr>
        <w:t xml:space="preserve"> Syndr.</w:t>
      </w:r>
      <w:r w:rsidRPr="003E04BA">
        <w:rPr>
          <w:rFonts w:eastAsia="Times New Roman"/>
          <w:bCs/>
          <w:sz w:val="24"/>
          <w:szCs w:val="24"/>
          <w:lang w:val="en-ID"/>
        </w:rPr>
        <w:t xml:space="preserve"> 2021;15(2):4853–4863.</w:t>
      </w:r>
    </w:p>
    <w:p w14:paraId="156B934B"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proofErr w:type="spellStart"/>
      <w:r w:rsidRPr="003E04BA">
        <w:rPr>
          <w:rFonts w:eastAsia="Times New Roman"/>
          <w:bCs/>
          <w:sz w:val="24"/>
          <w:szCs w:val="24"/>
          <w:lang w:val="en-ID"/>
        </w:rPr>
        <w:t>Ramezankhani</w:t>
      </w:r>
      <w:proofErr w:type="spellEnd"/>
      <w:r w:rsidRPr="003E04BA">
        <w:rPr>
          <w:rFonts w:eastAsia="Times New Roman"/>
          <w:bCs/>
          <w:sz w:val="24"/>
          <w:szCs w:val="24"/>
          <w:lang w:val="en-ID"/>
        </w:rPr>
        <w:t xml:space="preserve"> A, </w:t>
      </w:r>
      <w:proofErr w:type="spellStart"/>
      <w:r w:rsidRPr="003E04BA">
        <w:rPr>
          <w:rFonts w:eastAsia="Times New Roman"/>
          <w:bCs/>
          <w:sz w:val="24"/>
          <w:szCs w:val="24"/>
          <w:lang w:val="en-ID"/>
        </w:rPr>
        <w:t>Moeini</w:t>
      </w:r>
      <w:proofErr w:type="spellEnd"/>
      <w:r w:rsidRPr="003E04BA">
        <w:rPr>
          <w:rFonts w:eastAsia="Times New Roman"/>
          <w:bCs/>
          <w:sz w:val="24"/>
          <w:szCs w:val="24"/>
          <w:lang w:val="en-ID"/>
        </w:rPr>
        <w:t xml:space="preserve"> ASH, Zadeh SST, Azizi F, </w:t>
      </w:r>
      <w:proofErr w:type="spellStart"/>
      <w:r w:rsidRPr="003E04BA">
        <w:rPr>
          <w:rFonts w:eastAsia="Times New Roman"/>
          <w:bCs/>
          <w:sz w:val="24"/>
          <w:szCs w:val="24"/>
          <w:lang w:val="en-ID"/>
        </w:rPr>
        <w:t>Hadaegh</w:t>
      </w:r>
      <w:proofErr w:type="spellEnd"/>
      <w:r w:rsidRPr="003E04BA">
        <w:rPr>
          <w:rFonts w:eastAsia="Times New Roman"/>
          <w:bCs/>
          <w:sz w:val="24"/>
          <w:szCs w:val="24"/>
          <w:lang w:val="en-ID"/>
        </w:rPr>
        <w:t xml:space="preserve"> F. Effect of family history of diabetes and obesity status on lifetime risk of type 2 diabetes in the Iranian population. </w:t>
      </w:r>
      <w:r w:rsidRPr="003E04BA">
        <w:rPr>
          <w:rFonts w:eastAsia="Times New Roman"/>
          <w:bCs/>
          <w:i/>
          <w:iCs/>
          <w:sz w:val="24"/>
          <w:szCs w:val="24"/>
          <w:lang w:val="en-ID"/>
        </w:rPr>
        <w:t>Glob Health.</w:t>
      </w:r>
      <w:r w:rsidRPr="003E04BA">
        <w:rPr>
          <w:rFonts w:eastAsia="Times New Roman"/>
          <w:bCs/>
          <w:sz w:val="24"/>
          <w:szCs w:val="24"/>
          <w:lang w:val="en-ID"/>
        </w:rPr>
        <w:t xml:space="preserve"> 2022;18:12.</w:t>
      </w:r>
    </w:p>
    <w:p w14:paraId="5AFE5D6A"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3E04BA">
        <w:rPr>
          <w:rFonts w:eastAsia="Times New Roman"/>
          <w:bCs/>
          <w:sz w:val="24"/>
          <w:szCs w:val="24"/>
          <w:lang w:val="en-ID"/>
        </w:rPr>
        <w:t xml:space="preserve">Chen CM, Yeh MC. The prevalence and determinants of impaired fasting glucose in the population of Taiwan. </w:t>
      </w:r>
      <w:r w:rsidRPr="003E04BA">
        <w:rPr>
          <w:rFonts w:eastAsia="Times New Roman"/>
          <w:bCs/>
          <w:i/>
          <w:iCs/>
          <w:sz w:val="24"/>
          <w:szCs w:val="24"/>
          <w:lang w:val="en-ID"/>
        </w:rPr>
        <w:t>BMC Public Health.</w:t>
      </w:r>
      <w:r w:rsidRPr="003E04BA">
        <w:rPr>
          <w:rFonts w:eastAsia="Times New Roman"/>
          <w:bCs/>
          <w:sz w:val="24"/>
          <w:szCs w:val="24"/>
          <w:lang w:val="en-ID"/>
        </w:rPr>
        <w:t xml:space="preserve"> 2013;13:1123.</w:t>
      </w:r>
    </w:p>
    <w:p w14:paraId="6B529C0C"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3E04BA">
        <w:rPr>
          <w:rFonts w:eastAsia="Times New Roman"/>
          <w:bCs/>
          <w:sz w:val="24"/>
          <w:szCs w:val="24"/>
          <w:lang w:val="en-ID"/>
        </w:rPr>
        <w:t xml:space="preserve">Hsu WH, Tseng CW, Huang YT, Liang CC, Lee MY. Common risk factors in relatives and spouses of patients with type 2 diabetes in developing prediabetes. </w:t>
      </w:r>
      <w:r w:rsidRPr="003E04BA">
        <w:rPr>
          <w:rFonts w:eastAsia="Times New Roman"/>
          <w:bCs/>
          <w:i/>
          <w:iCs/>
          <w:sz w:val="24"/>
          <w:szCs w:val="24"/>
          <w:lang w:val="en-ID"/>
        </w:rPr>
        <w:t xml:space="preserve">Diabetes Res Clin </w:t>
      </w:r>
      <w:proofErr w:type="spellStart"/>
      <w:r w:rsidRPr="003E04BA">
        <w:rPr>
          <w:rFonts w:eastAsia="Times New Roman"/>
          <w:bCs/>
          <w:i/>
          <w:iCs/>
          <w:sz w:val="24"/>
          <w:szCs w:val="24"/>
          <w:lang w:val="en-ID"/>
        </w:rPr>
        <w:t>Pract</w:t>
      </w:r>
      <w:proofErr w:type="spellEnd"/>
      <w:r w:rsidRPr="003E04BA">
        <w:rPr>
          <w:rFonts w:eastAsia="Times New Roman"/>
          <w:bCs/>
          <w:i/>
          <w:iCs/>
          <w:sz w:val="24"/>
          <w:szCs w:val="24"/>
          <w:lang w:val="en-ID"/>
        </w:rPr>
        <w:t>.</w:t>
      </w:r>
      <w:r w:rsidRPr="003E04BA">
        <w:rPr>
          <w:rFonts w:eastAsia="Times New Roman"/>
          <w:bCs/>
          <w:sz w:val="24"/>
          <w:szCs w:val="24"/>
          <w:lang w:val="en-ID"/>
        </w:rPr>
        <w:t xml:space="preserve"> 2021;178:108939.</w:t>
      </w:r>
    </w:p>
    <w:p w14:paraId="5B3971D1"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3E04BA">
        <w:rPr>
          <w:rFonts w:eastAsia="Times New Roman"/>
          <w:bCs/>
          <w:sz w:val="24"/>
          <w:szCs w:val="24"/>
          <w:lang w:val="en-ID"/>
        </w:rPr>
        <w:t xml:space="preserve">Kusuma IS, </w:t>
      </w:r>
      <w:proofErr w:type="spellStart"/>
      <w:r w:rsidRPr="003E04BA">
        <w:rPr>
          <w:rFonts w:eastAsia="Times New Roman"/>
          <w:bCs/>
          <w:sz w:val="24"/>
          <w:szCs w:val="24"/>
          <w:lang w:val="en-ID"/>
        </w:rPr>
        <w:t>Syarif</w:t>
      </w:r>
      <w:proofErr w:type="spellEnd"/>
      <w:r w:rsidRPr="003E04BA">
        <w:rPr>
          <w:rFonts w:eastAsia="Times New Roman"/>
          <w:bCs/>
          <w:sz w:val="24"/>
          <w:szCs w:val="24"/>
          <w:lang w:val="en-ID"/>
        </w:rPr>
        <w:t xml:space="preserve"> S. Predictors of prediabetes and undiagnosed diabetes mellitus based on HbA1c levels in Indonesia. </w:t>
      </w:r>
      <w:r w:rsidRPr="003E04BA">
        <w:rPr>
          <w:rFonts w:eastAsia="Times New Roman"/>
          <w:bCs/>
          <w:i/>
          <w:iCs/>
          <w:sz w:val="24"/>
          <w:szCs w:val="24"/>
          <w:lang w:val="en-ID"/>
        </w:rPr>
        <w:t>J Prev Med Public Health.</w:t>
      </w:r>
      <w:r w:rsidRPr="003E04BA">
        <w:rPr>
          <w:rFonts w:eastAsia="Times New Roman"/>
          <w:bCs/>
          <w:sz w:val="24"/>
          <w:szCs w:val="24"/>
          <w:lang w:val="en-ID"/>
        </w:rPr>
        <w:t xml:space="preserve"> 2023;56(4):185–197.</w:t>
      </w:r>
    </w:p>
    <w:p w14:paraId="45D049B3"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3E04BA">
        <w:rPr>
          <w:rFonts w:eastAsia="Times New Roman"/>
          <w:bCs/>
          <w:sz w:val="24"/>
          <w:szCs w:val="24"/>
          <w:lang w:val="en-ID"/>
        </w:rPr>
        <w:t xml:space="preserve">Park KS, Hwang SY. Lifestyle-related predictors affecting prediabetes and diabetes in young Korean adults aged 20–30 years. </w:t>
      </w:r>
      <w:r w:rsidRPr="003E04BA">
        <w:rPr>
          <w:rFonts w:eastAsia="Times New Roman"/>
          <w:bCs/>
          <w:i/>
          <w:iCs/>
          <w:sz w:val="24"/>
          <w:szCs w:val="24"/>
          <w:lang w:val="en-ID"/>
        </w:rPr>
        <w:t xml:space="preserve">Diabetes </w:t>
      </w:r>
      <w:proofErr w:type="spellStart"/>
      <w:r w:rsidRPr="003E04BA">
        <w:rPr>
          <w:rFonts w:eastAsia="Times New Roman"/>
          <w:bCs/>
          <w:i/>
          <w:iCs/>
          <w:sz w:val="24"/>
          <w:szCs w:val="24"/>
          <w:lang w:val="en-ID"/>
        </w:rPr>
        <w:t>Metab</w:t>
      </w:r>
      <w:proofErr w:type="spellEnd"/>
      <w:r w:rsidRPr="003E04BA">
        <w:rPr>
          <w:rFonts w:eastAsia="Times New Roman"/>
          <w:bCs/>
          <w:i/>
          <w:iCs/>
          <w:sz w:val="24"/>
          <w:szCs w:val="24"/>
          <w:lang w:val="en-ID"/>
        </w:rPr>
        <w:t xml:space="preserve"> J.</w:t>
      </w:r>
      <w:r w:rsidRPr="003E04BA">
        <w:rPr>
          <w:rFonts w:eastAsia="Times New Roman"/>
          <w:bCs/>
          <w:sz w:val="24"/>
          <w:szCs w:val="24"/>
          <w:lang w:val="en-ID"/>
        </w:rPr>
        <w:t xml:space="preserve"> 2018;42(3):204–212.</w:t>
      </w:r>
    </w:p>
    <w:p w14:paraId="62A82BA5"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proofErr w:type="spellStart"/>
      <w:r w:rsidRPr="003E04BA">
        <w:rPr>
          <w:rFonts w:eastAsia="Times New Roman"/>
          <w:bCs/>
          <w:sz w:val="24"/>
          <w:szCs w:val="24"/>
          <w:lang w:val="en-ID"/>
        </w:rPr>
        <w:t>Ohigashi</w:t>
      </w:r>
      <w:proofErr w:type="spellEnd"/>
      <w:r w:rsidRPr="003E04BA">
        <w:rPr>
          <w:rFonts w:eastAsia="Times New Roman"/>
          <w:bCs/>
          <w:sz w:val="24"/>
          <w:szCs w:val="24"/>
          <w:lang w:val="en-ID"/>
        </w:rPr>
        <w:t xml:space="preserve"> M, Osugi K, Kusunoki Y, Washio K, </w:t>
      </w:r>
      <w:proofErr w:type="spellStart"/>
      <w:r w:rsidRPr="003E04BA">
        <w:rPr>
          <w:rFonts w:eastAsia="Times New Roman"/>
          <w:bCs/>
          <w:sz w:val="24"/>
          <w:szCs w:val="24"/>
          <w:lang w:val="en-ID"/>
        </w:rPr>
        <w:t>Matsutani</w:t>
      </w:r>
      <w:proofErr w:type="spellEnd"/>
      <w:r w:rsidRPr="003E04BA">
        <w:rPr>
          <w:rFonts w:eastAsia="Times New Roman"/>
          <w:bCs/>
          <w:sz w:val="24"/>
          <w:szCs w:val="24"/>
          <w:lang w:val="en-ID"/>
        </w:rPr>
        <w:t xml:space="preserve"> S, Tsunoda T, et al. Association of time-in-range with </w:t>
      </w:r>
      <w:proofErr w:type="spellStart"/>
      <w:r w:rsidRPr="003E04BA">
        <w:rPr>
          <w:rFonts w:eastAsia="Times New Roman"/>
          <w:bCs/>
          <w:sz w:val="24"/>
          <w:szCs w:val="24"/>
          <w:lang w:val="en-ID"/>
        </w:rPr>
        <w:t>hemoglobin</w:t>
      </w:r>
      <w:proofErr w:type="spellEnd"/>
      <w:r w:rsidRPr="003E04BA">
        <w:rPr>
          <w:rFonts w:eastAsia="Times New Roman"/>
          <w:bCs/>
          <w:sz w:val="24"/>
          <w:szCs w:val="24"/>
          <w:lang w:val="en-ID"/>
        </w:rPr>
        <w:t xml:space="preserve"> A1c and 1,5-anhydroglucitol levels. </w:t>
      </w:r>
      <w:r w:rsidRPr="003E04BA">
        <w:rPr>
          <w:rFonts w:eastAsia="Times New Roman"/>
          <w:bCs/>
          <w:i/>
          <w:iCs/>
          <w:sz w:val="24"/>
          <w:szCs w:val="24"/>
          <w:lang w:val="en-ID"/>
        </w:rPr>
        <w:t>Diabetes Ther.</w:t>
      </w:r>
      <w:r w:rsidRPr="003E04BA">
        <w:rPr>
          <w:rFonts w:eastAsia="Times New Roman"/>
          <w:bCs/>
          <w:sz w:val="24"/>
          <w:szCs w:val="24"/>
          <w:lang w:val="en-ID"/>
        </w:rPr>
        <w:t xml:space="preserve"> 2021;12(6):1641–1652.</w:t>
      </w:r>
    </w:p>
    <w:p w14:paraId="689F4E0D"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3E04BA">
        <w:rPr>
          <w:rFonts w:eastAsia="Times New Roman"/>
          <w:bCs/>
          <w:sz w:val="24"/>
          <w:szCs w:val="24"/>
          <w:lang w:val="en-ID"/>
        </w:rPr>
        <w:t xml:space="preserve">Malkan UY, Gunes G, </w:t>
      </w:r>
      <w:proofErr w:type="spellStart"/>
      <w:r w:rsidRPr="003E04BA">
        <w:rPr>
          <w:rFonts w:eastAsia="Times New Roman"/>
          <w:bCs/>
          <w:sz w:val="24"/>
          <w:szCs w:val="24"/>
          <w:lang w:val="en-ID"/>
        </w:rPr>
        <w:t>Corakci</w:t>
      </w:r>
      <w:proofErr w:type="spellEnd"/>
      <w:r w:rsidRPr="003E04BA">
        <w:rPr>
          <w:rFonts w:eastAsia="Times New Roman"/>
          <w:bCs/>
          <w:sz w:val="24"/>
          <w:szCs w:val="24"/>
          <w:lang w:val="en-ID"/>
        </w:rPr>
        <w:t xml:space="preserve"> A. Rational diagnosis of diabetes: Comparison of 1,5-anhydroglucitol with other </w:t>
      </w:r>
      <w:proofErr w:type="spellStart"/>
      <w:r w:rsidRPr="003E04BA">
        <w:rPr>
          <w:rFonts w:eastAsia="Times New Roman"/>
          <w:bCs/>
          <w:sz w:val="24"/>
          <w:szCs w:val="24"/>
          <w:lang w:val="en-ID"/>
        </w:rPr>
        <w:t>glycemic</w:t>
      </w:r>
      <w:proofErr w:type="spellEnd"/>
      <w:r w:rsidRPr="003E04BA">
        <w:rPr>
          <w:rFonts w:eastAsia="Times New Roman"/>
          <w:bCs/>
          <w:sz w:val="24"/>
          <w:szCs w:val="24"/>
          <w:lang w:val="en-ID"/>
        </w:rPr>
        <w:t xml:space="preserve"> markers. </w:t>
      </w:r>
      <w:proofErr w:type="spellStart"/>
      <w:r w:rsidRPr="003E04BA">
        <w:rPr>
          <w:rFonts w:eastAsia="Times New Roman"/>
          <w:bCs/>
          <w:i/>
          <w:iCs/>
          <w:sz w:val="24"/>
          <w:szCs w:val="24"/>
          <w:lang w:val="en-ID"/>
        </w:rPr>
        <w:t>SpringerPlus</w:t>
      </w:r>
      <w:proofErr w:type="spellEnd"/>
      <w:r w:rsidRPr="003E04BA">
        <w:rPr>
          <w:rFonts w:eastAsia="Times New Roman"/>
          <w:bCs/>
          <w:i/>
          <w:iCs/>
          <w:sz w:val="24"/>
          <w:szCs w:val="24"/>
          <w:lang w:val="en-ID"/>
        </w:rPr>
        <w:t>.</w:t>
      </w:r>
      <w:r w:rsidRPr="003E04BA">
        <w:rPr>
          <w:rFonts w:eastAsia="Times New Roman"/>
          <w:bCs/>
          <w:sz w:val="24"/>
          <w:szCs w:val="24"/>
          <w:lang w:val="en-ID"/>
        </w:rPr>
        <w:t xml:space="preserve"> 2015;4:618.</w:t>
      </w:r>
    </w:p>
    <w:p w14:paraId="42824541"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proofErr w:type="spellStart"/>
      <w:r w:rsidRPr="003E04BA">
        <w:rPr>
          <w:rFonts w:eastAsia="Times New Roman"/>
          <w:bCs/>
          <w:sz w:val="24"/>
          <w:szCs w:val="24"/>
          <w:lang w:val="en-ID"/>
        </w:rPr>
        <w:t>Amseer</w:t>
      </w:r>
      <w:proofErr w:type="spellEnd"/>
      <w:r w:rsidRPr="003E04BA">
        <w:rPr>
          <w:rFonts w:eastAsia="Times New Roman"/>
          <w:bCs/>
          <w:sz w:val="24"/>
          <w:szCs w:val="24"/>
          <w:lang w:val="en-ID"/>
        </w:rPr>
        <w:t xml:space="preserve"> HS, Saleh BO, Essam N. The role of serum 1,5-anhydroglucitol, leptin and glycated albumin in prediction of type 2 prediabetes in overweight and normal weight individuals. </w:t>
      </w:r>
      <w:r w:rsidRPr="003E04BA">
        <w:rPr>
          <w:rFonts w:eastAsia="Times New Roman"/>
          <w:bCs/>
          <w:i/>
          <w:iCs/>
          <w:sz w:val="24"/>
          <w:szCs w:val="24"/>
          <w:lang w:val="en-ID"/>
        </w:rPr>
        <w:t xml:space="preserve">Diabetes </w:t>
      </w:r>
      <w:proofErr w:type="spellStart"/>
      <w:r w:rsidRPr="003E04BA">
        <w:rPr>
          <w:rFonts w:eastAsia="Times New Roman"/>
          <w:bCs/>
          <w:i/>
          <w:iCs/>
          <w:sz w:val="24"/>
          <w:szCs w:val="24"/>
          <w:lang w:val="en-ID"/>
        </w:rPr>
        <w:t>Metab</w:t>
      </w:r>
      <w:proofErr w:type="spellEnd"/>
      <w:r w:rsidRPr="003E04BA">
        <w:rPr>
          <w:rFonts w:eastAsia="Times New Roman"/>
          <w:bCs/>
          <w:i/>
          <w:iCs/>
          <w:sz w:val="24"/>
          <w:szCs w:val="24"/>
          <w:lang w:val="en-ID"/>
        </w:rPr>
        <w:t xml:space="preserve"> Syndr.</w:t>
      </w:r>
      <w:r w:rsidRPr="003E04BA">
        <w:rPr>
          <w:rFonts w:eastAsia="Times New Roman"/>
          <w:bCs/>
          <w:sz w:val="24"/>
          <w:szCs w:val="24"/>
          <w:lang w:val="en-ID"/>
        </w:rPr>
        <w:t xml:space="preserve"> 2023;94:1–5.</w:t>
      </w:r>
    </w:p>
    <w:p w14:paraId="1AA7A41C" w14:textId="77777777" w:rsidR="007C6521" w:rsidRPr="003E04BA" w:rsidRDefault="007C6521" w:rsidP="007C6521">
      <w:pPr>
        <w:pStyle w:val="ListParagraph"/>
        <w:numPr>
          <w:ilvl w:val="0"/>
          <w:numId w:val="1"/>
        </w:numPr>
        <w:autoSpaceDE w:val="0"/>
        <w:autoSpaceDN w:val="0"/>
        <w:adjustRightInd w:val="0"/>
        <w:spacing w:line="360" w:lineRule="auto"/>
        <w:ind w:left="426" w:hanging="426"/>
        <w:jc w:val="both"/>
        <w:rPr>
          <w:rFonts w:eastAsia="Times New Roman"/>
          <w:bCs/>
          <w:sz w:val="24"/>
          <w:szCs w:val="24"/>
          <w:lang w:val="en-ID"/>
        </w:rPr>
      </w:pPr>
      <w:r w:rsidRPr="003E04BA">
        <w:rPr>
          <w:rFonts w:eastAsia="Times New Roman"/>
          <w:bCs/>
          <w:sz w:val="24"/>
          <w:szCs w:val="24"/>
        </w:rPr>
        <w:t>American Diabetes Association. Standards of Medical Care in Diabetes—2025. Diabetes Care. 2025.</w:t>
      </w:r>
    </w:p>
    <w:p w14:paraId="76EF2BA8" w14:textId="77777777" w:rsidR="00F150B2" w:rsidRDefault="00F150B2"/>
    <w:sectPr w:rsidR="00F150B2" w:rsidSect="007C6521">
      <w:headerReference w:type="default" r:id="rId8"/>
      <w:footerReference w:type="default" r:id="rId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41466" w14:textId="77777777" w:rsidR="00EB1603" w:rsidRDefault="00EB1603">
      <w:r>
        <w:separator/>
      </w:r>
    </w:p>
  </w:endnote>
  <w:endnote w:type="continuationSeparator" w:id="0">
    <w:p w14:paraId="4CF4D9C9" w14:textId="77777777" w:rsidR="00EB1603" w:rsidRDefault="00EB16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Tai Le">
    <w:panose1 w:val="020B0502040204020203"/>
    <w:charset w:val="00"/>
    <w:family w:val="swiss"/>
    <w:pitch w:val="variable"/>
    <w:sig w:usb0="00000003" w:usb1="00000000" w:usb2="4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AE88" w14:textId="77777777" w:rsidR="007C6521" w:rsidRDefault="007C6521">
    <w:pPr>
      <w:pBdr>
        <w:top w:val="nil"/>
        <w:left w:val="nil"/>
        <w:bottom w:val="nil"/>
        <w:right w:val="nil"/>
        <w:between w:val="nil"/>
      </w:pBdr>
      <w:tabs>
        <w:tab w:val="center" w:pos="4513"/>
        <w:tab w:val="right" w:pos="9026"/>
      </w:tabs>
      <w:rPr>
        <w:color w:val="000000"/>
      </w:rPr>
    </w:pPr>
    <w:r>
      <w:rPr>
        <w:noProof/>
      </w:rPr>
      <w:drawing>
        <wp:anchor distT="0" distB="0" distL="114300" distR="114300" simplePos="0" relativeHeight="251659264" behindDoc="0" locked="0" layoutInCell="1" hidden="0" allowOverlap="1" wp14:anchorId="565BA58B" wp14:editId="14EAA8EE">
          <wp:simplePos x="0" y="0"/>
          <wp:positionH relativeFrom="column">
            <wp:posOffset>3284112</wp:posOffset>
          </wp:positionH>
          <wp:positionV relativeFrom="paragraph">
            <wp:posOffset>-263988</wp:posOffset>
          </wp:positionV>
          <wp:extent cx="3171429" cy="38095"/>
          <wp:effectExtent l="0" t="0" r="0" b="0"/>
          <wp:wrapNone/>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3171429" cy="3809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63AA8" w14:textId="77777777" w:rsidR="00EB1603" w:rsidRDefault="00EB1603">
      <w:r>
        <w:separator/>
      </w:r>
    </w:p>
  </w:footnote>
  <w:footnote w:type="continuationSeparator" w:id="0">
    <w:p w14:paraId="59C41C0E" w14:textId="77777777" w:rsidR="00EB1603" w:rsidRDefault="00EB16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AB601" w14:textId="41D9806C" w:rsidR="007C6521" w:rsidRDefault="007C6521">
    <w:pPr>
      <w:pBdr>
        <w:top w:val="nil"/>
        <w:left w:val="nil"/>
        <w:bottom w:val="nil"/>
        <w:right w:val="nil"/>
        <w:between w:val="nil"/>
      </w:pBdr>
      <w:spacing w:before="45"/>
      <w:ind w:right="50"/>
      <w:jc w:val="right"/>
      <w:rPr>
        <w:color w:val="000000"/>
        <w:sz w:val="20"/>
        <w:szCs w:val="20"/>
      </w:rPr>
    </w:pPr>
  </w:p>
  <w:tbl>
    <w:tblPr>
      <w:tblpPr w:leftFromText="45" w:rightFromText="45" w:vertAnchor="text"/>
      <w:tblW w:w="9026" w:type="dxa"/>
      <w:tblLayout w:type="fixed"/>
      <w:tblLook w:val="0400" w:firstRow="0" w:lastRow="0" w:firstColumn="0" w:lastColumn="0" w:noHBand="0" w:noVBand="1"/>
    </w:tblPr>
    <w:tblGrid>
      <w:gridCol w:w="236"/>
      <w:gridCol w:w="8790"/>
    </w:tblGrid>
    <w:tr w:rsidR="007C6521" w14:paraId="1258FED5" w14:textId="77777777">
      <w:trPr>
        <w:gridAfter w:val="1"/>
        <w:wAfter w:w="9006" w:type="dxa"/>
        <w:trHeight w:val="105"/>
      </w:trPr>
      <w:tc>
        <w:tcPr>
          <w:tcW w:w="6" w:type="dxa"/>
          <w:vAlign w:val="center"/>
        </w:tcPr>
        <w:p w14:paraId="35F4FB49" w14:textId="77777777" w:rsidR="007C6521" w:rsidRDefault="007C6521">
          <w:pPr>
            <w:pBdr>
              <w:top w:val="nil"/>
              <w:left w:val="nil"/>
              <w:bottom w:val="nil"/>
              <w:right w:val="nil"/>
              <w:between w:val="nil"/>
            </w:pBdr>
            <w:tabs>
              <w:tab w:val="center" w:pos="4513"/>
              <w:tab w:val="right" w:pos="9026"/>
            </w:tabs>
            <w:rPr>
              <w:color w:val="000000"/>
            </w:rPr>
          </w:pPr>
        </w:p>
      </w:tc>
    </w:tr>
    <w:tr w:rsidR="007C6521" w14:paraId="6260214C" w14:textId="77777777">
      <w:tc>
        <w:tcPr>
          <w:tcW w:w="6" w:type="dxa"/>
          <w:vAlign w:val="center"/>
        </w:tcPr>
        <w:p w14:paraId="7B34F449" w14:textId="77777777" w:rsidR="007C6521" w:rsidRDefault="007C6521">
          <w:pPr>
            <w:widowControl/>
            <w:rPr>
              <w:rFonts w:ascii="Calibri" w:eastAsia="Calibri" w:hAnsi="Calibri" w:cs="Calibri"/>
              <w:sz w:val="20"/>
              <w:szCs w:val="20"/>
            </w:rPr>
          </w:pPr>
        </w:p>
      </w:tc>
      <w:tc>
        <w:tcPr>
          <w:tcW w:w="9020" w:type="dxa"/>
          <w:vAlign w:val="center"/>
        </w:tcPr>
        <w:p w14:paraId="398C9C97" w14:textId="77777777" w:rsidR="007C6521" w:rsidRDefault="007C6521">
          <w:pPr>
            <w:widowControl/>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F887E7B" wp14:editId="2268F174">
                <wp:extent cx="5731510" cy="36830"/>
                <wp:effectExtent l="0" t="0" r="0" b="0"/>
                <wp:docPr id="7"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1"/>
                        <a:srcRect/>
                        <a:stretch>
                          <a:fillRect/>
                        </a:stretch>
                      </pic:blipFill>
                      <pic:spPr>
                        <a:xfrm>
                          <a:off x="0" y="0"/>
                          <a:ext cx="5731510" cy="36830"/>
                        </a:xfrm>
                        <a:prstGeom prst="rect">
                          <a:avLst/>
                        </a:prstGeom>
                        <a:ln/>
                      </pic:spPr>
                    </pic:pic>
                  </a:graphicData>
                </a:graphic>
              </wp:inline>
            </w:drawing>
          </w:r>
        </w:p>
      </w:tc>
    </w:tr>
  </w:tbl>
  <w:p w14:paraId="1CEA55A6" w14:textId="77777777" w:rsidR="007C6521" w:rsidRDefault="007C6521">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CB5A56"/>
    <w:multiLevelType w:val="hybridMultilevel"/>
    <w:tmpl w:val="E07449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67275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521"/>
    <w:rsid w:val="00000F1E"/>
    <w:rsid w:val="00077DA3"/>
    <w:rsid w:val="000E6232"/>
    <w:rsid w:val="001434A0"/>
    <w:rsid w:val="003B2CF9"/>
    <w:rsid w:val="003E04BA"/>
    <w:rsid w:val="00416E6B"/>
    <w:rsid w:val="004C5FDF"/>
    <w:rsid w:val="004D26D7"/>
    <w:rsid w:val="00542185"/>
    <w:rsid w:val="006C009E"/>
    <w:rsid w:val="006F7884"/>
    <w:rsid w:val="007C6521"/>
    <w:rsid w:val="00836683"/>
    <w:rsid w:val="00850492"/>
    <w:rsid w:val="008B18C2"/>
    <w:rsid w:val="00AA445A"/>
    <w:rsid w:val="00AD5284"/>
    <w:rsid w:val="00B42340"/>
    <w:rsid w:val="00B515E0"/>
    <w:rsid w:val="00C30F10"/>
    <w:rsid w:val="00C962E9"/>
    <w:rsid w:val="00CD699B"/>
    <w:rsid w:val="00E014F1"/>
    <w:rsid w:val="00E109BA"/>
    <w:rsid w:val="00EB1603"/>
    <w:rsid w:val="00F150B2"/>
    <w:rsid w:val="00F151A2"/>
    <w:rsid w:val="00F334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AD699"/>
  <w15:chartTrackingRefBased/>
  <w15:docId w15:val="{8F97DC82-CCB9-4EFF-8E89-381B5881D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521"/>
    <w:pPr>
      <w:widowControl w:val="0"/>
      <w:spacing w:after="0" w:line="240" w:lineRule="auto"/>
    </w:pPr>
    <w:rPr>
      <w:rFonts w:ascii="Microsoft Tai Le" w:eastAsia="Microsoft Tai Le" w:hAnsi="Microsoft Tai Le" w:cs="Microsoft Tai Le"/>
      <w:kern w:val="0"/>
      <w:sz w:val="22"/>
      <w:szCs w:val="22"/>
      <w:lang w:val="en" w:eastAsia="en-ID"/>
      <w14:ligatures w14:val="none"/>
    </w:rPr>
  </w:style>
  <w:style w:type="paragraph" w:styleId="Heading1">
    <w:name w:val="heading 1"/>
    <w:basedOn w:val="Normal"/>
    <w:next w:val="Normal"/>
    <w:link w:val="Heading1Char"/>
    <w:uiPriority w:val="9"/>
    <w:qFormat/>
    <w:rsid w:val="007C65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65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65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65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65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652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52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52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52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5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65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65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65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65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6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521"/>
    <w:rPr>
      <w:rFonts w:eastAsiaTheme="majorEastAsia" w:cstheme="majorBidi"/>
      <w:color w:val="272727" w:themeColor="text1" w:themeTint="D8"/>
    </w:rPr>
  </w:style>
  <w:style w:type="paragraph" w:styleId="Title">
    <w:name w:val="Title"/>
    <w:basedOn w:val="Normal"/>
    <w:next w:val="Normal"/>
    <w:link w:val="TitleChar"/>
    <w:uiPriority w:val="10"/>
    <w:qFormat/>
    <w:rsid w:val="007C65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5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521"/>
    <w:pPr>
      <w:spacing w:before="160"/>
      <w:jc w:val="center"/>
    </w:pPr>
    <w:rPr>
      <w:i/>
      <w:iCs/>
      <w:color w:val="404040" w:themeColor="text1" w:themeTint="BF"/>
    </w:rPr>
  </w:style>
  <w:style w:type="character" w:customStyle="1" w:styleId="QuoteChar">
    <w:name w:val="Quote Char"/>
    <w:basedOn w:val="DefaultParagraphFont"/>
    <w:link w:val="Quote"/>
    <w:uiPriority w:val="29"/>
    <w:rsid w:val="007C6521"/>
    <w:rPr>
      <w:i/>
      <w:iCs/>
      <w:color w:val="404040" w:themeColor="text1" w:themeTint="BF"/>
    </w:rPr>
  </w:style>
  <w:style w:type="paragraph" w:styleId="ListParagraph">
    <w:name w:val="List Paragraph"/>
    <w:basedOn w:val="Normal"/>
    <w:uiPriority w:val="34"/>
    <w:qFormat/>
    <w:rsid w:val="007C6521"/>
    <w:pPr>
      <w:ind w:left="720"/>
      <w:contextualSpacing/>
    </w:pPr>
  </w:style>
  <w:style w:type="character" w:styleId="IntenseEmphasis">
    <w:name w:val="Intense Emphasis"/>
    <w:basedOn w:val="DefaultParagraphFont"/>
    <w:uiPriority w:val="21"/>
    <w:qFormat/>
    <w:rsid w:val="007C6521"/>
    <w:rPr>
      <w:i/>
      <w:iCs/>
      <w:color w:val="2F5496" w:themeColor="accent1" w:themeShade="BF"/>
    </w:rPr>
  </w:style>
  <w:style w:type="paragraph" w:styleId="IntenseQuote">
    <w:name w:val="Intense Quote"/>
    <w:basedOn w:val="Normal"/>
    <w:next w:val="Normal"/>
    <w:link w:val="IntenseQuoteChar"/>
    <w:uiPriority w:val="30"/>
    <w:qFormat/>
    <w:rsid w:val="007C65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6521"/>
    <w:rPr>
      <w:i/>
      <w:iCs/>
      <w:color w:val="2F5496" w:themeColor="accent1" w:themeShade="BF"/>
    </w:rPr>
  </w:style>
  <w:style w:type="character" w:styleId="IntenseReference">
    <w:name w:val="Intense Reference"/>
    <w:basedOn w:val="DefaultParagraphFont"/>
    <w:uiPriority w:val="32"/>
    <w:qFormat/>
    <w:rsid w:val="007C6521"/>
    <w:rPr>
      <w:b/>
      <w:bCs/>
      <w:smallCaps/>
      <w:color w:val="2F5496" w:themeColor="accent1" w:themeShade="BF"/>
      <w:spacing w:val="5"/>
    </w:rPr>
  </w:style>
  <w:style w:type="table" w:styleId="TableGrid">
    <w:name w:val="Table Grid"/>
    <w:basedOn w:val="TableNormal"/>
    <w:uiPriority w:val="39"/>
    <w:rsid w:val="007C6521"/>
    <w:pPr>
      <w:widowControl w:val="0"/>
      <w:spacing w:after="0" w:line="240" w:lineRule="auto"/>
    </w:pPr>
    <w:rPr>
      <w:rFonts w:ascii="Microsoft Tai Le" w:eastAsia="Microsoft Tai Le" w:hAnsi="Microsoft Tai Le" w:cs="Microsoft Tai Le"/>
      <w:kern w:val="0"/>
      <w:sz w:val="22"/>
      <w:szCs w:val="22"/>
      <w:lang w:val="en"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62E9"/>
    <w:pPr>
      <w:tabs>
        <w:tab w:val="center" w:pos="4513"/>
        <w:tab w:val="right" w:pos="9026"/>
      </w:tabs>
    </w:pPr>
  </w:style>
  <w:style w:type="character" w:customStyle="1" w:styleId="HeaderChar">
    <w:name w:val="Header Char"/>
    <w:basedOn w:val="DefaultParagraphFont"/>
    <w:link w:val="Header"/>
    <w:uiPriority w:val="99"/>
    <w:rsid w:val="00C962E9"/>
    <w:rPr>
      <w:rFonts w:ascii="Microsoft Tai Le" w:eastAsia="Microsoft Tai Le" w:hAnsi="Microsoft Tai Le" w:cs="Microsoft Tai Le"/>
      <w:kern w:val="0"/>
      <w:sz w:val="22"/>
      <w:szCs w:val="22"/>
      <w:lang w:val="en" w:eastAsia="en-ID"/>
      <w14:ligatures w14:val="none"/>
    </w:rPr>
  </w:style>
  <w:style w:type="paragraph" w:styleId="Footer">
    <w:name w:val="footer"/>
    <w:basedOn w:val="Normal"/>
    <w:link w:val="FooterChar"/>
    <w:uiPriority w:val="99"/>
    <w:unhideWhenUsed/>
    <w:rsid w:val="00C962E9"/>
    <w:pPr>
      <w:tabs>
        <w:tab w:val="center" w:pos="4513"/>
        <w:tab w:val="right" w:pos="9026"/>
      </w:tabs>
    </w:pPr>
  </w:style>
  <w:style w:type="character" w:customStyle="1" w:styleId="FooterChar">
    <w:name w:val="Footer Char"/>
    <w:basedOn w:val="DefaultParagraphFont"/>
    <w:link w:val="Footer"/>
    <w:uiPriority w:val="99"/>
    <w:rsid w:val="00C962E9"/>
    <w:rPr>
      <w:rFonts w:ascii="Microsoft Tai Le" w:eastAsia="Microsoft Tai Le" w:hAnsi="Microsoft Tai Le" w:cs="Microsoft Tai Le"/>
      <w:kern w:val="0"/>
      <w:sz w:val="22"/>
      <w:szCs w:val="22"/>
      <w:lang w:val="en" w:eastAsia="en-ID"/>
      <w14:ligatures w14:val="none"/>
    </w:rPr>
  </w:style>
  <w:style w:type="paragraph" w:styleId="NormalWeb">
    <w:name w:val="Normal (Web)"/>
    <w:basedOn w:val="Normal"/>
    <w:uiPriority w:val="99"/>
    <w:semiHidden/>
    <w:unhideWhenUsed/>
    <w:rsid w:val="00AD528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11</Pages>
  <Words>3451</Words>
  <Characters>19672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17</cp:revision>
  <dcterms:created xsi:type="dcterms:W3CDTF">2026-04-27T04:53:00Z</dcterms:created>
  <dcterms:modified xsi:type="dcterms:W3CDTF">2026-04-28T08:36:00Z</dcterms:modified>
</cp:coreProperties>
</file>