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A98A8" w14:textId="77777777" w:rsidR="00BA5777" w:rsidRDefault="00BA5777" w:rsidP="00BA5777">
      <w:pPr>
        <w:pStyle w:val="ListParagraph1"/>
        <w:spacing w:after="0" w:line="240" w:lineRule="auto"/>
        <w:ind w:left="0"/>
      </w:pPr>
      <w:bookmarkStart w:id="0" w:name="_Hlk130293823"/>
      <w:r>
        <w:t xml:space="preserve">Type of Manuscript: </w:t>
      </w:r>
    </w:p>
    <w:p w14:paraId="039F4073" w14:textId="77777777" w:rsidR="00BA5777" w:rsidRDefault="00BA5777" w:rsidP="00BA5777">
      <w:pPr>
        <w:tabs>
          <w:tab w:val="left" w:pos="0"/>
        </w:tabs>
        <w:spacing w:after="0" w:line="240" w:lineRule="auto"/>
        <w:jc w:val="both"/>
        <w:rPr>
          <w:rFonts w:ascii="Times New Roman" w:hAnsi="Times New Roman" w:cs="Times New Roman"/>
          <w:bCs/>
          <w:i/>
          <w:iCs/>
          <w:u w:val="single"/>
        </w:rPr>
      </w:pPr>
      <w:r>
        <w:rPr>
          <w:rFonts w:ascii="Times New Roman" w:hAnsi="Times New Roman" w:cs="Times New Roman"/>
          <w:bCs/>
          <w:i/>
          <w:iCs/>
          <w:u w:val="single"/>
        </w:rPr>
        <w:t>Research</w:t>
      </w:r>
    </w:p>
    <w:p w14:paraId="0F781FF9" w14:textId="77777777" w:rsidR="00BA5777" w:rsidRDefault="00BA5777" w:rsidP="00BA5777">
      <w:pPr>
        <w:tabs>
          <w:tab w:val="left" w:pos="0"/>
        </w:tabs>
        <w:spacing w:after="0" w:line="240" w:lineRule="auto"/>
        <w:jc w:val="both"/>
        <w:rPr>
          <w:rFonts w:ascii="Times New Roman" w:hAnsi="Times New Roman" w:cs="Times New Roman"/>
          <w:b/>
          <w:sz w:val="28"/>
          <w:szCs w:val="28"/>
        </w:rPr>
      </w:pPr>
    </w:p>
    <w:p w14:paraId="0E6F3CAC" w14:textId="77777777" w:rsidR="00BA5777" w:rsidRDefault="00BA5777" w:rsidP="00BA5777">
      <w:pPr>
        <w:spacing w:after="0" w:line="240" w:lineRule="auto"/>
        <w:jc w:val="both"/>
        <w:rPr>
          <w:rFonts w:ascii="Times New Roman" w:eastAsia="Arial" w:hAnsi="Times New Roman" w:cs="Times New Roman"/>
          <w:b/>
          <w:bCs/>
          <w:sz w:val="28"/>
          <w:szCs w:val="28"/>
          <w:lang w:val="en-ID"/>
        </w:rPr>
      </w:pPr>
      <w:bookmarkStart w:id="1" w:name="_Hlk76812466"/>
      <w:bookmarkStart w:id="2" w:name="_Hlk164947491"/>
      <w:bookmarkEnd w:id="0"/>
      <w:r w:rsidRPr="006733B0">
        <w:rPr>
          <w:rFonts w:ascii="Times New Roman" w:eastAsia="Arial" w:hAnsi="Times New Roman" w:cs="Times New Roman"/>
          <w:b/>
          <w:bCs/>
          <w:sz w:val="28"/>
          <w:szCs w:val="28"/>
          <w:lang w:val="en-ID"/>
        </w:rPr>
        <w:t>Diagnostic Accuracy of Plasma 1,5-Anhydroglucitol for Detecting Prediabetes in Obese Young Adults</w:t>
      </w:r>
    </w:p>
    <w:p w14:paraId="51653A95" w14:textId="77777777" w:rsidR="00A66DDF" w:rsidRDefault="00A66DDF" w:rsidP="00BA5777">
      <w:pPr>
        <w:spacing w:after="0" w:line="240" w:lineRule="auto"/>
        <w:jc w:val="both"/>
        <w:rPr>
          <w:rFonts w:ascii="Times New Roman" w:eastAsia="Arial" w:hAnsi="Times New Roman" w:cs="Times New Roman"/>
          <w:b/>
          <w:bCs/>
          <w:sz w:val="28"/>
          <w:szCs w:val="28"/>
          <w:lang w:val="en-ID"/>
        </w:rPr>
      </w:pPr>
    </w:p>
    <w:p w14:paraId="1D9454FF" w14:textId="77777777" w:rsidR="00A66DDF" w:rsidRPr="006733B0" w:rsidRDefault="00A66DDF" w:rsidP="00BA5777">
      <w:pPr>
        <w:spacing w:after="0" w:line="240" w:lineRule="auto"/>
        <w:jc w:val="both"/>
        <w:rPr>
          <w:rFonts w:ascii="Times New Roman" w:eastAsia="Arial" w:hAnsi="Times New Roman" w:cs="Times New Roman"/>
          <w:b/>
          <w:sz w:val="28"/>
          <w:szCs w:val="28"/>
          <w:lang w:val="en-ID"/>
        </w:rPr>
      </w:pPr>
    </w:p>
    <w:p w14:paraId="5C774236" w14:textId="77777777" w:rsidR="00BA5777" w:rsidRDefault="00BA5777" w:rsidP="00BA5777">
      <w:pPr>
        <w:spacing w:after="0" w:line="240" w:lineRule="auto"/>
        <w:jc w:val="both"/>
        <w:rPr>
          <w:rFonts w:ascii="Times New Roman" w:eastAsia="Times New Roman" w:hAnsi="Times New Roman" w:cs="Times New Roman"/>
          <w:b/>
          <w:bCs/>
          <w:sz w:val="28"/>
          <w:szCs w:val="18"/>
        </w:rPr>
      </w:pPr>
    </w:p>
    <w:bookmarkEnd w:id="1"/>
    <w:bookmarkEnd w:id="2"/>
    <w:p w14:paraId="66340681" w14:textId="77777777" w:rsidR="00BA5777" w:rsidRDefault="00BA5777" w:rsidP="00BA5777">
      <w:pPr>
        <w:spacing w:line="240" w:lineRule="auto"/>
        <w:jc w:val="both"/>
        <w:outlineLvl w:val="0"/>
        <w:rPr>
          <w:rFonts w:ascii="Times New Roman" w:hAnsi="Times New Roman" w:cs="Times New Roman"/>
          <w:b/>
        </w:rPr>
      </w:pPr>
      <w:r>
        <w:rPr>
          <w:rFonts w:ascii="Times New Roman" w:hAnsi="Times New Roman" w:cs="Times New Roman"/>
          <w:b/>
        </w:rPr>
        <w:t>ABSTRACT</w:t>
      </w:r>
    </w:p>
    <w:p w14:paraId="74EA6A7C" w14:textId="77777777" w:rsidR="00BA5777" w:rsidRPr="00CB5F4A" w:rsidRDefault="00BA5777" w:rsidP="00BA5777">
      <w:pPr>
        <w:spacing w:after="0" w:line="240" w:lineRule="auto"/>
        <w:jc w:val="both"/>
        <w:rPr>
          <w:rFonts w:ascii="Times New Roman" w:eastAsia="Calibri" w:hAnsi="Times New Roman" w:cs="Times New Roman"/>
          <w:sz w:val="20"/>
          <w:szCs w:val="20"/>
          <w:lang w:val="en-ID"/>
        </w:rPr>
      </w:pPr>
      <w:r w:rsidRPr="00CB5F4A">
        <w:rPr>
          <w:rFonts w:ascii="Times New Roman" w:eastAsia="Calibri" w:hAnsi="Times New Roman" w:cs="Times New Roman"/>
          <w:b/>
          <w:bCs/>
          <w:sz w:val="20"/>
          <w:szCs w:val="20"/>
          <w:lang w:val="en-ID"/>
        </w:rPr>
        <w:t>Background:</w:t>
      </w:r>
      <w:r>
        <w:rPr>
          <w:rFonts w:ascii="Times New Roman" w:eastAsia="Calibri" w:hAnsi="Times New Roman" w:cs="Times New Roman"/>
          <w:b/>
          <w:bCs/>
          <w:sz w:val="20"/>
          <w:szCs w:val="20"/>
          <w:lang w:val="en-ID"/>
        </w:rPr>
        <w:t xml:space="preserve"> </w:t>
      </w:r>
      <w:r w:rsidRPr="00CB5F4A">
        <w:rPr>
          <w:rFonts w:ascii="Times New Roman" w:eastAsia="Calibri" w:hAnsi="Times New Roman" w:cs="Times New Roman"/>
          <w:sz w:val="20"/>
          <w:szCs w:val="20"/>
          <w:lang w:val="en-ID"/>
        </w:rPr>
        <w:t xml:space="preserve">Prediabetes is a metabolic condition characterized by elevated blood glucose levels that do not yet meet the diagnostic criteria for diabetes mellitus. Early detection is essential, particularly among obese young adults who are at increased risk of developing metabolic disorders. Conventional diagnostic tests such as fasting blood glucose, oral glucose tolerance test, and glycated </w:t>
      </w:r>
      <w:proofErr w:type="spellStart"/>
      <w:r w:rsidRPr="00CB5F4A">
        <w:rPr>
          <w:rFonts w:ascii="Times New Roman" w:eastAsia="Calibri" w:hAnsi="Times New Roman" w:cs="Times New Roman"/>
          <w:sz w:val="20"/>
          <w:szCs w:val="20"/>
          <w:lang w:val="en-ID"/>
        </w:rPr>
        <w:t>hemoglobin</w:t>
      </w:r>
      <w:proofErr w:type="spellEnd"/>
      <w:r w:rsidRPr="00CB5F4A">
        <w:rPr>
          <w:rFonts w:ascii="Times New Roman" w:eastAsia="Calibri" w:hAnsi="Times New Roman" w:cs="Times New Roman"/>
          <w:sz w:val="20"/>
          <w:szCs w:val="20"/>
          <w:lang w:val="en-ID"/>
        </w:rPr>
        <w:t xml:space="preserve"> (HbA1c) have several limitations. Therefore, alternative biomarkers that can detect early </w:t>
      </w:r>
      <w:proofErr w:type="spellStart"/>
      <w:r w:rsidRPr="00CB5F4A">
        <w:rPr>
          <w:rFonts w:ascii="Times New Roman" w:eastAsia="Calibri" w:hAnsi="Times New Roman" w:cs="Times New Roman"/>
          <w:sz w:val="20"/>
          <w:szCs w:val="20"/>
          <w:lang w:val="en-ID"/>
        </w:rPr>
        <w:t>glycemic</w:t>
      </w:r>
      <w:proofErr w:type="spellEnd"/>
      <w:r w:rsidRPr="00CB5F4A">
        <w:rPr>
          <w:rFonts w:ascii="Times New Roman" w:eastAsia="Calibri" w:hAnsi="Times New Roman" w:cs="Times New Roman"/>
          <w:sz w:val="20"/>
          <w:szCs w:val="20"/>
          <w:lang w:val="en-ID"/>
        </w:rPr>
        <w:t xml:space="preserve"> abnormalities are needed. This study aimed to evaluate the diagnostic accuracy of plasma 1,5-Anhydroglucitol (1,5-AG) for detecting prediabetes in obese young adults.</w:t>
      </w:r>
    </w:p>
    <w:p w14:paraId="60041F44" w14:textId="77777777" w:rsidR="00BA5777" w:rsidRPr="00CB5F4A" w:rsidRDefault="00BA5777" w:rsidP="00BA5777">
      <w:pPr>
        <w:spacing w:after="0" w:line="240" w:lineRule="auto"/>
        <w:jc w:val="both"/>
        <w:rPr>
          <w:rFonts w:ascii="Times New Roman" w:eastAsia="Calibri" w:hAnsi="Times New Roman" w:cs="Times New Roman"/>
          <w:sz w:val="20"/>
          <w:szCs w:val="20"/>
          <w:lang w:val="en-ID"/>
        </w:rPr>
      </w:pPr>
      <w:r w:rsidRPr="00CB5F4A">
        <w:rPr>
          <w:rFonts w:ascii="Times New Roman" w:eastAsia="Calibri" w:hAnsi="Times New Roman" w:cs="Times New Roman"/>
          <w:b/>
          <w:bCs/>
          <w:sz w:val="20"/>
          <w:szCs w:val="20"/>
          <w:lang w:val="en-ID"/>
        </w:rPr>
        <w:t>Methods:</w:t>
      </w:r>
      <w:r>
        <w:rPr>
          <w:rFonts w:ascii="Times New Roman" w:eastAsia="Calibri" w:hAnsi="Times New Roman" w:cs="Times New Roman"/>
          <w:sz w:val="20"/>
          <w:szCs w:val="20"/>
          <w:lang w:val="en-ID"/>
        </w:rPr>
        <w:t xml:space="preserve"> </w:t>
      </w:r>
      <w:r w:rsidRPr="00CB5F4A">
        <w:rPr>
          <w:rFonts w:ascii="Times New Roman" w:eastAsia="Calibri" w:hAnsi="Times New Roman" w:cs="Times New Roman"/>
          <w:sz w:val="20"/>
          <w:szCs w:val="20"/>
          <w:lang w:val="en-ID"/>
        </w:rPr>
        <w:t>This diagnostic accuracy study was conducted over a six-month period at a tertiary referral hospital. A total of 143 obese adults aged 18–40 years were included using incidental sampling. Venous blood samples were collected to measure HbA1c and plasma 1,5-Anhydroglucitol levels. HbA1c was used as the reference standard for prediabetes classification. The diagnostic performance of plasma 1,5-AG was assessed by calculating sensitivity, specificity, positive predictive value (PPV), and negative predictive value (NPV) using a 2 × 2 contingency table.</w:t>
      </w:r>
    </w:p>
    <w:p w14:paraId="1930563D" w14:textId="77777777" w:rsidR="00BA5777" w:rsidRPr="00CB5F4A" w:rsidRDefault="00BA5777" w:rsidP="00BA5777">
      <w:pPr>
        <w:spacing w:after="0" w:line="240" w:lineRule="auto"/>
        <w:jc w:val="both"/>
        <w:rPr>
          <w:rFonts w:ascii="Times New Roman" w:eastAsia="Calibri" w:hAnsi="Times New Roman" w:cs="Times New Roman"/>
          <w:sz w:val="20"/>
          <w:szCs w:val="20"/>
          <w:lang w:val="en-ID"/>
        </w:rPr>
      </w:pPr>
      <w:r w:rsidRPr="00CB5F4A">
        <w:rPr>
          <w:rFonts w:ascii="Times New Roman" w:eastAsia="Calibri" w:hAnsi="Times New Roman" w:cs="Times New Roman"/>
          <w:b/>
          <w:bCs/>
          <w:sz w:val="20"/>
          <w:szCs w:val="20"/>
          <w:lang w:val="en-ID"/>
        </w:rPr>
        <w:t>Results:</w:t>
      </w:r>
      <w:r>
        <w:rPr>
          <w:rFonts w:ascii="Times New Roman" w:eastAsia="Calibri" w:hAnsi="Times New Roman" w:cs="Times New Roman"/>
          <w:sz w:val="20"/>
          <w:szCs w:val="20"/>
          <w:lang w:val="en-ID"/>
        </w:rPr>
        <w:t xml:space="preserve"> </w:t>
      </w:r>
      <w:r w:rsidRPr="00CB5F4A">
        <w:rPr>
          <w:rFonts w:ascii="Times New Roman" w:eastAsia="Calibri" w:hAnsi="Times New Roman" w:cs="Times New Roman"/>
          <w:sz w:val="20"/>
          <w:szCs w:val="20"/>
          <w:lang w:val="en-ID"/>
        </w:rPr>
        <w:t>Among the 143 participants, 79 (55.2%) were male and 64 (44.8%) were female, with a mean age of 30.4 ± 3.88 years and a mean body mass index of 29.97 ± 3.49 kg/m². Based on HbA1c classification, 20 participants (14%) were identified as having prediabetes. Plasma 1,5-Anhydroglucitol demonstrated a sensitivity of 90.0%, specificity of 74.79%, positive predictive value of 36.73%, and negative predictive value of 97.87% for detecting prediabetes.</w:t>
      </w:r>
    </w:p>
    <w:p w14:paraId="6E69102A" w14:textId="77777777" w:rsidR="00BA5777" w:rsidRPr="00CB5F4A" w:rsidRDefault="00BA5777" w:rsidP="00BA5777">
      <w:pPr>
        <w:spacing w:after="0" w:line="240" w:lineRule="auto"/>
        <w:jc w:val="both"/>
        <w:rPr>
          <w:rFonts w:ascii="Times New Roman" w:eastAsia="Calibri" w:hAnsi="Times New Roman" w:cs="Times New Roman"/>
          <w:sz w:val="20"/>
          <w:szCs w:val="20"/>
          <w:lang w:val="en-ID"/>
        </w:rPr>
      </w:pPr>
      <w:r w:rsidRPr="00CB5F4A">
        <w:rPr>
          <w:rFonts w:ascii="Times New Roman" w:eastAsia="Calibri" w:hAnsi="Times New Roman" w:cs="Times New Roman"/>
          <w:b/>
          <w:bCs/>
          <w:sz w:val="20"/>
          <w:szCs w:val="20"/>
          <w:lang w:val="en-ID"/>
        </w:rPr>
        <w:t>Conclusion:</w:t>
      </w:r>
      <w:r>
        <w:rPr>
          <w:rFonts w:ascii="Times New Roman" w:eastAsia="Calibri" w:hAnsi="Times New Roman" w:cs="Times New Roman"/>
          <w:sz w:val="20"/>
          <w:szCs w:val="20"/>
          <w:lang w:val="en-ID"/>
        </w:rPr>
        <w:t xml:space="preserve"> </w:t>
      </w:r>
      <w:r w:rsidRPr="00CB5F4A">
        <w:rPr>
          <w:rFonts w:ascii="Times New Roman" w:eastAsia="Calibri" w:hAnsi="Times New Roman" w:cs="Times New Roman"/>
          <w:sz w:val="20"/>
          <w:szCs w:val="20"/>
          <w:lang w:val="en-ID"/>
        </w:rPr>
        <w:t xml:space="preserve">Plasma 1,5-Anhydroglucitol demonstrated high sensitivity and a high negative predictive value for detecting prediabetes among obese young adults. These findings suggest that plasma 1,5-AG may serve as a useful screening biomarker for identifying individuals at risk of prediabetes, although confirmation with established </w:t>
      </w:r>
      <w:proofErr w:type="spellStart"/>
      <w:r w:rsidRPr="00CB5F4A">
        <w:rPr>
          <w:rFonts w:ascii="Times New Roman" w:eastAsia="Calibri" w:hAnsi="Times New Roman" w:cs="Times New Roman"/>
          <w:sz w:val="20"/>
          <w:szCs w:val="20"/>
          <w:lang w:val="en-ID"/>
        </w:rPr>
        <w:t>glycemic</w:t>
      </w:r>
      <w:proofErr w:type="spellEnd"/>
      <w:r w:rsidRPr="00CB5F4A">
        <w:rPr>
          <w:rFonts w:ascii="Times New Roman" w:eastAsia="Calibri" w:hAnsi="Times New Roman" w:cs="Times New Roman"/>
          <w:sz w:val="20"/>
          <w:szCs w:val="20"/>
          <w:lang w:val="en-ID"/>
        </w:rPr>
        <w:t xml:space="preserve"> markers remains necessary.</w:t>
      </w:r>
    </w:p>
    <w:p w14:paraId="4F9E0954" w14:textId="77777777" w:rsidR="00BA5777" w:rsidRDefault="00BA5777" w:rsidP="00BA5777">
      <w:pPr>
        <w:spacing w:after="0" w:line="240" w:lineRule="auto"/>
        <w:rPr>
          <w:rFonts w:ascii="Times New Roman" w:eastAsia="Calibri" w:hAnsi="Times New Roman" w:cs="Times New Roman"/>
          <w:sz w:val="20"/>
          <w:szCs w:val="20"/>
          <w:lang w:val="en-ID"/>
        </w:rPr>
      </w:pPr>
    </w:p>
    <w:p w14:paraId="7CD8AEE8" w14:textId="77777777" w:rsidR="00BA5777" w:rsidRPr="00CB5F4A" w:rsidRDefault="00BA5777" w:rsidP="00BA5777">
      <w:pPr>
        <w:spacing w:after="0" w:line="240" w:lineRule="auto"/>
        <w:rPr>
          <w:rFonts w:ascii="Times New Roman" w:eastAsia="Calibri" w:hAnsi="Times New Roman" w:cs="Times New Roman"/>
          <w:sz w:val="20"/>
          <w:szCs w:val="20"/>
          <w:lang w:val="en-ID"/>
        </w:rPr>
      </w:pPr>
      <w:r w:rsidRPr="00CB5F4A">
        <w:rPr>
          <w:rFonts w:ascii="Times New Roman" w:eastAsia="Calibri" w:hAnsi="Times New Roman" w:cs="Times New Roman"/>
          <w:b/>
          <w:bCs/>
          <w:sz w:val="20"/>
          <w:szCs w:val="20"/>
          <w:lang w:val="en-ID"/>
        </w:rPr>
        <w:t>Keywords</w:t>
      </w:r>
      <w:r w:rsidRPr="00CB5F4A">
        <w:rPr>
          <w:rFonts w:ascii="Times New Roman" w:eastAsia="Calibri" w:hAnsi="Times New Roman" w:cs="Times New Roman"/>
          <w:sz w:val="20"/>
          <w:szCs w:val="20"/>
          <w:lang w:val="en-ID"/>
        </w:rPr>
        <w:t>:</w:t>
      </w:r>
      <w:r>
        <w:rPr>
          <w:rFonts w:ascii="Times New Roman" w:eastAsia="Calibri" w:hAnsi="Times New Roman" w:cs="Times New Roman"/>
          <w:sz w:val="20"/>
          <w:szCs w:val="20"/>
          <w:lang w:val="en-ID"/>
        </w:rPr>
        <w:t xml:space="preserve"> </w:t>
      </w:r>
      <w:r w:rsidRPr="00CB5F4A">
        <w:rPr>
          <w:rFonts w:ascii="Times New Roman" w:eastAsia="Calibri" w:hAnsi="Times New Roman" w:cs="Times New Roman"/>
          <w:sz w:val="20"/>
          <w:szCs w:val="20"/>
          <w:lang w:val="en-ID"/>
        </w:rPr>
        <w:t>Prediabetic state; obesity; young adult; 1,5-Anhydroglucitol</w:t>
      </w:r>
    </w:p>
    <w:p w14:paraId="1FBB00DB" w14:textId="77777777" w:rsidR="00BA5777" w:rsidRDefault="00BA5777" w:rsidP="00BA5777">
      <w:pPr>
        <w:spacing w:after="0" w:line="240" w:lineRule="auto"/>
        <w:rPr>
          <w:rFonts w:ascii="Times New Roman" w:hAnsi="Times New Roman" w:cs="Times New Roman"/>
          <w:b/>
        </w:rPr>
      </w:pPr>
    </w:p>
    <w:p w14:paraId="641C8DB9" w14:textId="77777777" w:rsidR="00BA5777" w:rsidRDefault="00BA5777" w:rsidP="00BA5777">
      <w:pPr>
        <w:spacing w:after="0" w:line="240" w:lineRule="auto"/>
        <w:rPr>
          <w:rFonts w:ascii="Times New Roman" w:hAnsi="Times New Roman" w:cs="Times New Roman"/>
          <w:b/>
        </w:rPr>
      </w:pPr>
      <w:r>
        <w:rPr>
          <w:rFonts w:ascii="Times New Roman" w:hAnsi="Times New Roman" w:cs="Times New Roman"/>
          <w:b/>
        </w:rPr>
        <w:t>INTRODUCTION</w:t>
      </w:r>
    </w:p>
    <w:p w14:paraId="3675ECF1" w14:textId="77777777" w:rsidR="00BA5777" w:rsidRPr="006733B0" w:rsidRDefault="00BA5777" w:rsidP="00BA5777">
      <w:pPr>
        <w:pStyle w:val="Abstracttext"/>
        <w:spacing w:line="240" w:lineRule="auto"/>
        <w:ind w:firstLine="0"/>
        <w:jc w:val="both"/>
        <w:rPr>
          <w:i w:val="0"/>
          <w:iCs/>
          <w:sz w:val="20"/>
          <w:szCs w:val="20"/>
          <w:lang w:val="en-ID"/>
        </w:rPr>
      </w:pPr>
      <w:r w:rsidRPr="006733B0">
        <w:rPr>
          <w:i w:val="0"/>
          <w:iCs/>
          <w:sz w:val="20"/>
          <w:szCs w:val="20"/>
          <w:lang w:val="en-ID"/>
        </w:rPr>
        <w:t xml:space="preserve">Prediabetes is a metabolic condition characterized by elevated blood glucose levels that do not yet meet the diagnostic criteria for diabetes mellitus. The concept of prediabetes was formally introduced by the Department of Health and Human Services (DHHS) and the American Diabetes Association (ADA) in 2002. Currently, prediabetes has become a major global health concern, affecting millions of individuals worldwide. In 2019, approximately 314 million people were estimated to have prediabetes, and this number is projected to increase to 418 million by 2025. Without appropriate intervention, approximately 4–9% of individuals with prediabetes progress to diabetes each </w:t>
      </w:r>
      <w:proofErr w:type="gramStart"/>
      <w:r w:rsidRPr="006733B0">
        <w:rPr>
          <w:i w:val="0"/>
          <w:iCs/>
          <w:sz w:val="20"/>
          <w:szCs w:val="20"/>
          <w:lang w:val="en-ID"/>
        </w:rPr>
        <w:t>year.¹</w:t>
      </w:r>
      <w:proofErr w:type="gramEnd"/>
      <w:r w:rsidRPr="006733B0">
        <w:rPr>
          <w:i w:val="0"/>
          <w:iCs/>
          <w:sz w:val="20"/>
          <w:szCs w:val="20"/>
          <w:lang w:val="en-ID"/>
        </w:rPr>
        <w:t>²</w:t>
      </w:r>
    </w:p>
    <w:p w14:paraId="650FA141" w14:textId="77777777" w:rsidR="00BA5777" w:rsidRPr="006733B0" w:rsidRDefault="00BA5777" w:rsidP="00BA5777">
      <w:pPr>
        <w:pStyle w:val="Abstracttext"/>
        <w:spacing w:line="240" w:lineRule="auto"/>
        <w:ind w:firstLine="0"/>
        <w:jc w:val="both"/>
        <w:rPr>
          <w:i w:val="0"/>
          <w:iCs/>
          <w:sz w:val="20"/>
          <w:szCs w:val="20"/>
          <w:lang w:val="en-ID"/>
        </w:rPr>
      </w:pPr>
      <w:r w:rsidRPr="006733B0">
        <w:rPr>
          <w:i w:val="0"/>
          <w:iCs/>
          <w:sz w:val="20"/>
          <w:szCs w:val="20"/>
          <w:lang w:val="en-ID"/>
        </w:rPr>
        <w:t xml:space="preserve">In the United States, the </w:t>
      </w:r>
      <w:proofErr w:type="spellStart"/>
      <w:r w:rsidRPr="006733B0">
        <w:rPr>
          <w:i w:val="0"/>
          <w:iCs/>
          <w:sz w:val="20"/>
          <w:szCs w:val="20"/>
          <w:lang w:val="en-ID"/>
        </w:rPr>
        <w:t>Centers</w:t>
      </w:r>
      <w:proofErr w:type="spellEnd"/>
      <w:r w:rsidRPr="006733B0">
        <w:rPr>
          <w:i w:val="0"/>
          <w:iCs/>
          <w:sz w:val="20"/>
          <w:szCs w:val="20"/>
          <w:lang w:val="en-ID"/>
        </w:rPr>
        <w:t xml:space="preserve"> for Disease Control and Prevention (CDC) estimates that one in three adults may have prediabetes, many of whom remain undiagnosed. Indonesia has also experienced a significant increase in prediabetes prevalence, reaching 30.8% in 2018. Early detection of prediabetes is therefore essential, particularly among young adults, as the early onset of metabolic abnormalities increases the risk of long-term complications such as type 2 diabetes mellitus and cardiovascular </w:t>
      </w:r>
      <w:proofErr w:type="gramStart"/>
      <w:r w:rsidRPr="006733B0">
        <w:rPr>
          <w:i w:val="0"/>
          <w:iCs/>
          <w:sz w:val="20"/>
          <w:szCs w:val="20"/>
          <w:lang w:val="en-ID"/>
        </w:rPr>
        <w:t>disease.³</w:t>
      </w:r>
      <w:proofErr w:type="gramEnd"/>
      <w:r w:rsidRPr="006733B0">
        <w:rPr>
          <w:i w:val="0"/>
          <w:iCs/>
          <w:sz w:val="20"/>
          <w:szCs w:val="20"/>
          <w:lang w:val="en-ID"/>
        </w:rPr>
        <w:t>–⁶</w:t>
      </w:r>
    </w:p>
    <w:p w14:paraId="23AA344D" w14:textId="77777777" w:rsidR="00BA5777" w:rsidRPr="006733B0" w:rsidRDefault="00BA5777" w:rsidP="00BA5777">
      <w:pPr>
        <w:pStyle w:val="Abstracttext"/>
        <w:spacing w:line="240" w:lineRule="auto"/>
        <w:ind w:firstLine="0"/>
        <w:jc w:val="both"/>
        <w:rPr>
          <w:i w:val="0"/>
          <w:iCs/>
          <w:sz w:val="20"/>
          <w:szCs w:val="20"/>
          <w:lang w:val="en-ID"/>
        </w:rPr>
      </w:pPr>
      <w:r w:rsidRPr="006733B0">
        <w:rPr>
          <w:i w:val="0"/>
          <w:iCs/>
          <w:sz w:val="20"/>
          <w:szCs w:val="20"/>
          <w:lang w:val="en-ID"/>
        </w:rPr>
        <w:t xml:space="preserve">Several diagnostic methods are currently used to identify individuals with prediabetes, including fasting blood sugar (FBS), oral glucose tolerance test (OGTT), and glycated </w:t>
      </w:r>
      <w:proofErr w:type="spellStart"/>
      <w:r w:rsidRPr="006733B0">
        <w:rPr>
          <w:i w:val="0"/>
          <w:iCs/>
          <w:sz w:val="20"/>
          <w:szCs w:val="20"/>
          <w:lang w:val="en-ID"/>
        </w:rPr>
        <w:t>hemoglobin</w:t>
      </w:r>
      <w:proofErr w:type="spellEnd"/>
      <w:r w:rsidRPr="006733B0">
        <w:rPr>
          <w:i w:val="0"/>
          <w:iCs/>
          <w:sz w:val="20"/>
          <w:szCs w:val="20"/>
          <w:lang w:val="en-ID"/>
        </w:rPr>
        <w:t xml:space="preserve"> (HbA1c). However, each of these methods has limitations. FBS and OGTT results may be influenced by temporary physiological factors such as stress, illness, and short-term dietary variations, which may affect their </w:t>
      </w:r>
      <w:proofErr w:type="gramStart"/>
      <w:r w:rsidRPr="006733B0">
        <w:rPr>
          <w:i w:val="0"/>
          <w:iCs/>
          <w:sz w:val="20"/>
          <w:szCs w:val="20"/>
          <w:lang w:val="en-ID"/>
        </w:rPr>
        <w:t>reliability.²</w:t>
      </w:r>
      <w:proofErr w:type="gramEnd"/>
      <w:r w:rsidRPr="006733B0">
        <w:rPr>
          <w:i w:val="0"/>
          <w:iCs/>
          <w:sz w:val="20"/>
          <w:szCs w:val="20"/>
          <w:lang w:val="en-ID"/>
        </w:rPr>
        <w:t xml:space="preserve">⁷ </w:t>
      </w:r>
      <w:proofErr w:type="gramStart"/>
      <w:r w:rsidRPr="006733B0">
        <w:rPr>
          <w:i w:val="0"/>
          <w:iCs/>
          <w:sz w:val="20"/>
          <w:szCs w:val="20"/>
          <w:lang w:val="en-ID"/>
        </w:rPr>
        <w:t>In</w:t>
      </w:r>
      <w:proofErr w:type="gramEnd"/>
      <w:r w:rsidRPr="006733B0">
        <w:rPr>
          <w:i w:val="0"/>
          <w:iCs/>
          <w:sz w:val="20"/>
          <w:szCs w:val="20"/>
          <w:lang w:val="en-ID"/>
        </w:rPr>
        <w:t xml:space="preserve"> addition, HbA1c measurements may be less accurate in certain clinical conditions, including </w:t>
      </w:r>
      <w:proofErr w:type="spellStart"/>
      <w:r w:rsidRPr="006733B0">
        <w:rPr>
          <w:i w:val="0"/>
          <w:iCs/>
          <w:sz w:val="20"/>
          <w:szCs w:val="20"/>
          <w:lang w:val="en-ID"/>
        </w:rPr>
        <w:t>anemia</w:t>
      </w:r>
      <w:proofErr w:type="spellEnd"/>
      <w:r w:rsidRPr="006733B0">
        <w:rPr>
          <w:i w:val="0"/>
          <w:iCs/>
          <w:sz w:val="20"/>
          <w:szCs w:val="20"/>
          <w:lang w:val="en-ID"/>
        </w:rPr>
        <w:t xml:space="preserve">, kidney disease, and hemoglobinopathies. These limitations highlight the need for alternative biomarkers that can provide a more reliable assessment of </w:t>
      </w:r>
      <w:proofErr w:type="spellStart"/>
      <w:r w:rsidRPr="006733B0">
        <w:rPr>
          <w:i w:val="0"/>
          <w:iCs/>
          <w:sz w:val="20"/>
          <w:szCs w:val="20"/>
          <w:lang w:val="en-ID"/>
        </w:rPr>
        <w:t>glycemic</w:t>
      </w:r>
      <w:proofErr w:type="spellEnd"/>
      <w:r w:rsidRPr="006733B0">
        <w:rPr>
          <w:i w:val="0"/>
          <w:iCs/>
          <w:sz w:val="20"/>
          <w:szCs w:val="20"/>
          <w:lang w:val="en-ID"/>
        </w:rPr>
        <w:t xml:space="preserve"> </w:t>
      </w:r>
      <w:proofErr w:type="gramStart"/>
      <w:r w:rsidRPr="006733B0">
        <w:rPr>
          <w:i w:val="0"/>
          <w:iCs/>
          <w:sz w:val="20"/>
          <w:szCs w:val="20"/>
          <w:lang w:val="en-ID"/>
        </w:rPr>
        <w:t>control.¹</w:t>
      </w:r>
      <w:proofErr w:type="gramEnd"/>
      <w:r w:rsidRPr="006733B0">
        <w:rPr>
          <w:i w:val="0"/>
          <w:iCs/>
          <w:sz w:val="20"/>
          <w:szCs w:val="20"/>
          <w:lang w:val="en-ID"/>
        </w:rPr>
        <w:t>⁷</w:t>
      </w:r>
    </w:p>
    <w:p w14:paraId="53A520D9" w14:textId="77777777" w:rsidR="00BA5777" w:rsidRPr="006733B0" w:rsidRDefault="00BA5777" w:rsidP="00BA5777">
      <w:pPr>
        <w:pStyle w:val="Abstracttext"/>
        <w:spacing w:line="240" w:lineRule="auto"/>
        <w:ind w:firstLine="0"/>
        <w:jc w:val="both"/>
        <w:rPr>
          <w:i w:val="0"/>
          <w:iCs/>
          <w:sz w:val="20"/>
          <w:szCs w:val="20"/>
          <w:lang w:val="en-ID"/>
        </w:rPr>
      </w:pPr>
      <w:r w:rsidRPr="006733B0">
        <w:rPr>
          <w:i w:val="0"/>
          <w:iCs/>
          <w:sz w:val="20"/>
          <w:szCs w:val="20"/>
          <w:lang w:val="en-ID"/>
        </w:rPr>
        <w:t xml:space="preserve">One biomarker that has attracted increasing attention is 1,5-Anhydroglucitol (1,5-AG). This biomarker reflects short-term </w:t>
      </w:r>
      <w:proofErr w:type="spellStart"/>
      <w:r w:rsidRPr="006733B0">
        <w:rPr>
          <w:i w:val="0"/>
          <w:iCs/>
          <w:sz w:val="20"/>
          <w:szCs w:val="20"/>
          <w:lang w:val="en-ID"/>
        </w:rPr>
        <w:t>glycemic</w:t>
      </w:r>
      <w:proofErr w:type="spellEnd"/>
      <w:r w:rsidRPr="006733B0">
        <w:rPr>
          <w:i w:val="0"/>
          <w:iCs/>
          <w:sz w:val="20"/>
          <w:szCs w:val="20"/>
          <w:lang w:val="en-ID"/>
        </w:rPr>
        <w:t xml:space="preserve"> fluctuations and is considered capable of detecting postprandial </w:t>
      </w:r>
      <w:proofErr w:type="spellStart"/>
      <w:r w:rsidRPr="006733B0">
        <w:rPr>
          <w:i w:val="0"/>
          <w:iCs/>
          <w:sz w:val="20"/>
          <w:szCs w:val="20"/>
          <w:lang w:val="en-ID"/>
        </w:rPr>
        <w:t>hyperglycemia</w:t>
      </w:r>
      <w:proofErr w:type="spellEnd"/>
      <w:r w:rsidRPr="006733B0">
        <w:rPr>
          <w:i w:val="0"/>
          <w:iCs/>
          <w:sz w:val="20"/>
          <w:szCs w:val="20"/>
          <w:lang w:val="en-ID"/>
        </w:rPr>
        <w:t xml:space="preserve"> more </w:t>
      </w:r>
      <w:r w:rsidRPr="006733B0">
        <w:rPr>
          <w:i w:val="0"/>
          <w:iCs/>
          <w:sz w:val="20"/>
          <w:szCs w:val="20"/>
          <w:lang w:val="en-ID"/>
        </w:rPr>
        <w:lastRenderedPageBreak/>
        <w:t xml:space="preserve">effectively than HbA1c. Because of its stability and relatively simple measurement, 1,5-AG has been proposed as a potential marker for early </w:t>
      </w:r>
      <w:proofErr w:type="spellStart"/>
      <w:r w:rsidRPr="006733B0">
        <w:rPr>
          <w:i w:val="0"/>
          <w:iCs/>
          <w:sz w:val="20"/>
          <w:szCs w:val="20"/>
          <w:lang w:val="en-ID"/>
        </w:rPr>
        <w:t>glycemic</w:t>
      </w:r>
      <w:proofErr w:type="spellEnd"/>
      <w:r w:rsidRPr="006733B0">
        <w:rPr>
          <w:i w:val="0"/>
          <w:iCs/>
          <w:sz w:val="20"/>
          <w:szCs w:val="20"/>
          <w:lang w:val="en-ID"/>
        </w:rPr>
        <w:t xml:space="preserve"> abnormalities, including </w:t>
      </w:r>
      <w:proofErr w:type="gramStart"/>
      <w:r w:rsidRPr="006733B0">
        <w:rPr>
          <w:i w:val="0"/>
          <w:iCs/>
          <w:sz w:val="20"/>
          <w:szCs w:val="20"/>
          <w:lang w:val="en-ID"/>
        </w:rPr>
        <w:t>prediabetes.⁸</w:t>
      </w:r>
      <w:proofErr w:type="gramEnd"/>
      <w:r w:rsidRPr="006733B0">
        <w:rPr>
          <w:i w:val="0"/>
          <w:iCs/>
          <w:sz w:val="20"/>
          <w:szCs w:val="20"/>
          <w:lang w:val="en-ID"/>
        </w:rPr>
        <w:t>–¹⁰</w:t>
      </w:r>
    </w:p>
    <w:p w14:paraId="71DA2BC5" w14:textId="77777777" w:rsidR="00BA5777" w:rsidRPr="00BA5777" w:rsidRDefault="00BA5777" w:rsidP="00BA5777">
      <w:pPr>
        <w:pStyle w:val="Heading3"/>
        <w:spacing w:before="0" w:line="240" w:lineRule="auto"/>
        <w:jc w:val="both"/>
        <w:rPr>
          <w:rFonts w:ascii="Times New Roman" w:eastAsia="Calibri" w:hAnsi="Times New Roman" w:cs="Times New Roman"/>
          <w:iCs/>
          <w:color w:val="auto"/>
          <w:sz w:val="20"/>
          <w:szCs w:val="20"/>
          <w:lang w:val="en-ID"/>
        </w:rPr>
      </w:pPr>
      <w:r w:rsidRPr="006733B0">
        <w:rPr>
          <w:rFonts w:ascii="Times New Roman" w:eastAsia="Calibri" w:hAnsi="Times New Roman" w:cs="Times New Roman"/>
          <w:iCs/>
          <w:color w:val="auto"/>
          <w:sz w:val="20"/>
          <w:szCs w:val="20"/>
          <w:lang w:val="en-ID"/>
        </w:rPr>
        <w:t>Therefore, this study aimed to evaluate the diagnostic accuracy of plasma 1,5-Anhydroglucitol (1,5-AG) in detecting prediabetes among obese young adults. By examining its diagnostic performance compared with HbA1c, this study seeks to explore the potential role of 1,5-AG as an alternative screening biomarker for early identification of prediabetes in this high-risk population.</w:t>
      </w:r>
    </w:p>
    <w:p w14:paraId="66710693" w14:textId="77777777" w:rsidR="00BA5777" w:rsidRDefault="00BA5777" w:rsidP="00BA5777">
      <w:pPr>
        <w:spacing w:line="240" w:lineRule="auto"/>
        <w:rPr>
          <w:lang w:val="en-ID"/>
        </w:rPr>
      </w:pPr>
    </w:p>
    <w:p w14:paraId="024761AD" w14:textId="39AE6D74" w:rsidR="00BA5777" w:rsidRPr="00BA5777" w:rsidRDefault="00BA5777" w:rsidP="00BA5777">
      <w:pPr>
        <w:spacing w:after="0" w:line="240" w:lineRule="auto"/>
        <w:rPr>
          <w:rFonts w:ascii="Times New Roman" w:hAnsi="Times New Roman" w:cs="Times New Roman"/>
          <w:b/>
          <w:bCs/>
          <w:lang w:val="en-ID"/>
        </w:rPr>
      </w:pPr>
      <w:r w:rsidRPr="00BA5777">
        <w:rPr>
          <w:rFonts w:ascii="Times New Roman" w:hAnsi="Times New Roman" w:cs="Times New Roman"/>
          <w:b/>
          <w:bCs/>
          <w:lang w:val="en-ID"/>
        </w:rPr>
        <w:t>Methods</w:t>
      </w:r>
    </w:p>
    <w:p w14:paraId="4ADA9D27" w14:textId="1F7BF7B2" w:rsidR="00BA5777" w:rsidRPr="006733B0" w:rsidRDefault="00BA5777" w:rsidP="00BA5777">
      <w:pPr>
        <w:pStyle w:val="Heading3"/>
        <w:spacing w:before="0" w:line="240" w:lineRule="auto"/>
        <w:jc w:val="both"/>
        <w:rPr>
          <w:rFonts w:ascii="Times New Roman" w:hAnsi="Times New Roman" w:cs="Times New Roman"/>
          <w:b/>
          <w:bCs/>
          <w:color w:val="auto"/>
          <w:sz w:val="20"/>
          <w:szCs w:val="20"/>
          <w:lang w:val="en-ID"/>
        </w:rPr>
      </w:pPr>
      <w:r>
        <w:rPr>
          <w:i/>
          <w:iCs/>
          <w:sz w:val="20"/>
          <w:szCs w:val="20"/>
          <w:lang w:val="en-ID"/>
        </w:rPr>
        <w:t xml:space="preserve"> </w:t>
      </w:r>
      <w:r w:rsidRPr="006733B0">
        <w:rPr>
          <w:rFonts w:ascii="Times New Roman" w:hAnsi="Times New Roman" w:cs="Times New Roman"/>
          <w:b/>
          <w:bCs/>
          <w:color w:val="auto"/>
          <w:sz w:val="20"/>
          <w:szCs w:val="20"/>
          <w:lang w:val="en-ID"/>
        </w:rPr>
        <w:t>Study Design and Setting</w:t>
      </w:r>
    </w:p>
    <w:p w14:paraId="3EEE4BC9" w14:textId="56DE3310" w:rsidR="00BA5777" w:rsidRDefault="00BA5777" w:rsidP="00BA5777">
      <w:pPr>
        <w:pStyle w:val="Heading3"/>
        <w:spacing w:before="0" w:after="0" w:line="240" w:lineRule="auto"/>
        <w:jc w:val="both"/>
        <w:rPr>
          <w:rFonts w:ascii="Times New Roman" w:hAnsi="Times New Roman" w:cs="Times New Roman"/>
          <w:color w:val="auto"/>
          <w:sz w:val="20"/>
          <w:szCs w:val="20"/>
          <w:lang w:val="en-ID"/>
        </w:rPr>
      </w:pPr>
      <w:r w:rsidRPr="006733B0">
        <w:rPr>
          <w:rFonts w:ascii="Times New Roman" w:hAnsi="Times New Roman" w:cs="Times New Roman"/>
          <w:color w:val="auto"/>
          <w:sz w:val="20"/>
          <w:szCs w:val="20"/>
          <w:lang w:val="en-ID"/>
        </w:rPr>
        <w:t xml:space="preserve">This diagnostic accuracy study was conducted over a six-month period at Dr. M. </w:t>
      </w:r>
      <w:proofErr w:type="spellStart"/>
      <w:r w:rsidRPr="006733B0">
        <w:rPr>
          <w:rFonts w:ascii="Times New Roman" w:hAnsi="Times New Roman" w:cs="Times New Roman"/>
          <w:color w:val="auto"/>
          <w:sz w:val="20"/>
          <w:szCs w:val="20"/>
          <w:lang w:val="en-ID"/>
        </w:rPr>
        <w:t>Djamil</w:t>
      </w:r>
      <w:proofErr w:type="spellEnd"/>
      <w:r w:rsidRPr="006733B0">
        <w:rPr>
          <w:rFonts w:ascii="Times New Roman" w:hAnsi="Times New Roman" w:cs="Times New Roman"/>
          <w:color w:val="auto"/>
          <w:sz w:val="20"/>
          <w:szCs w:val="20"/>
          <w:lang w:val="en-ID"/>
        </w:rPr>
        <w:t xml:space="preserve"> General Hospital, Padang, Indonesia. The study aimed to evaluate the diagnostic performance of plasma 1,5-Anhydroglucitol (1,5-AG) for detecting prediabetes among obese young adults.</w:t>
      </w:r>
    </w:p>
    <w:p w14:paraId="74987A21" w14:textId="77777777" w:rsidR="00BA5777" w:rsidRPr="006733B0" w:rsidRDefault="00BA5777" w:rsidP="00BA5777">
      <w:pPr>
        <w:spacing w:after="0"/>
        <w:rPr>
          <w:lang w:val="en-ID"/>
        </w:rPr>
      </w:pPr>
    </w:p>
    <w:p w14:paraId="05DAAD04" w14:textId="77777777" w:rsidR="00BA5777" w:rsidRPr="006733B0" w:rsidRDefault="00BA5777" w:rsidP="00BA5777">
      <w:pPr>
        <w:pStyle w:val="Heading3"/>
        <w:spacing w:before="0" w:after="0" w:line="240" w:lineRule="auto"/>
        <w:jc w:val="both"/>
        <w:rPr>
          <w:rFonts w:ascii="Times New Roman" w:hAnsi="Times New Roman" w:cs="Times New Roman"/>
          <w:b/>
          <w:bCs/>
          <w:color w:val="auto"/>
          <w:sz w:val="20"/>
          <w:szCs w:val="20"/>
          <w:lang w:val="en-ID"/>
        </w:rPr>
      </w:pPr>
      <w:r w:rsidRPr="006733B0">
        <w:rPr>
          <w:rFonts w:ascii="Times New Roman" w:hAnsi="Times New Roman" w:cs="Times New Roman"/>
          <w:b/>
          <w:bCs/>
          <w:color w:val="auto"/>
          <w:sz w:val="20"/>
          <w:szCs w:val="20"/>
          <w:lang w:val="en-ID"/>
        </w:rPr>
        <w:t>Participants</w:t>
      </w:r>
    </w:p>
    <w:p w14:paraId="312C191E" w14:textId="77777777" w:rsidR="00BA5777" w:rsidRPr="006733B0" w:rsidRDefault="00BA5777" w:rsidP="00BA5777">
      <w:pPr>
        <w:pStyle w:val="Heading3"/>
        <w:spacing w:before="0" w:after="0" w:line="240" w:lineRule="auto"/>
        <w:jc w:val="both"/>
        <w:rPr>
          <w:rFonts w:ascii="Times New Roman" w:hAnsi="Times New Roman" w:cs="Times New Roman"/>
          <w:color w:val="auto"/>
          <w:sz w:val="20"/>
          <w:szCs w:val="20"/>
          <w:lang w:val="en-ID"/>
        </w:rPr>
      </w:pPr>
      <w:r w:rsidRPr="006733B0">
        <w:rPr>
          <w:rFonts w:ascii="Times New Roman" w:hAnsi="Times New Roman" w:cs="Times New Roman"/>
          <w:color w:val="auto"/>
          <w:sz w:val="20"/>
          <w:szCs w:val="20"/>
          <w:lang w:val="en-ID"/>
        </w:rPr>
        <w:t>The study population consisted of adults aged 18–40 years with obesity who attended the Internal Medicine outpatient clinic during the study period. Participants were recruited using incidental sampling.</w:t>
      </w:r>
    </w:p>
    <w:p w14:paraId="03CC6340" w14:textId="77777777" w:rsidR="00BA5777" w:rsidRPr="006733B0" w:rsidRDefault="00BA5777" w:rsidP="00BA5777">
      <w:pPr>
        <w:pStyle w:val="Heading3"/>
        <w:spacing w:before="0" w:after="0" w:line="240" w:lineRule="auto"/>
        <w:jc w:val="both"/>
        <w:rPr>
          <w:rFonts w:ascii="Times New Roman" w:hAnsi="Times New Roman" w:cs="Times New Roman"/>
          <w:color w:val="auto"/>
          <w:sz w:val="20"/>
          <w:szCs w:val="20"/>
          <w:lang w:val="en-ID"/>
        </w:rPr>
      </w:pPr>
      <w:r w:rsidRPr="006733B0">
        <w:rPr>
          <w:rFonts w:ascii="Times New Roman" w:hAnsi="Times New Roman" w:cs="Times New Roman"/>
          <w:color w:val="auto"/>
          <w:sz w:val="20"/>
          <w:szCs w:val="20"/>
          <w:lang w:val="en-ID"/>
        </w:rPr>
        <w:t>Inclusion criteria were individuals aged 18–40 years with a body mass index (BMI) greater than 25 kg/m² who were willing to participate in the study. Exclusion criteria included a prior history of prediabetes or diabetes mellitus, kidney disorders, the use of sodium-glucose cotransporter-2 (SGLT2) inhibitors or corticosteroids, and erythrocyte abnormalities.</w:t>
      </w:r>
    </w:p>
    <w:p w14:paraId="53084F70" w14:textId="77777777" w:rsidR="00BA5777" w:rsidRDefault="00BA5777" w:rsidP="00BA5777">
      <w:pPr>
        <w:pStyle w:val="Heading3"/>
        <w:spacing w:before="0" w:after="0" w:line="240" w:lineRule="auto"/>
        <w:jc w:val="both"/>
        <w:rPr>
          <w:rFonts w:ascii="Times New Roman" w:hAnsi="Times New Roman" w:cs="Times New Roman"/>
          <w:color w:val="auto"/>
          <w:sz w:val="20"/>
          <w:szCs w:val="20"/>
          <w:lang w:val="en-ID"/>
        </w:rPr>
      </w:pPr>
      <w:r w:rsidRPr="006733B0">
        <w:rPr>
          <w:rFonts w:ascii="Times New Roman" w:hAnsi="Times New Roman" w:cs="Times New Roman"/>
          <w:color w:val="auto"/>
          <w:sz w:val="20"/>
          <w:szCs w:val="20"/>
          <w:lang w:val="en-ID"/>
        </w:rPr>
        <w:t>Baseline demographic and clinical data were collected, including age, sex, family history of diabetes, waist circumference, body weight, height, and body mass index.</w:t>
      </w:r>
    </w:p>
    <w:p w14:paraId="6AC6E8DA" w14:textId="77777777" w:rsidR="00BA5777" w:rsidRPr="006733B0" w:rsidRDefault="00BA5777" w:rsidP="00BA5777">
      <w:pPr>
        <w:spacing w:after="0"/>
        <w:rPr>
          <w:lang w:val="en-ID"/>
        </w:rPr>
      </w:pPr>
    </w:p>
    <w:p w14:paraId="00DC5694" w14:textId="77777777" w:rsidR="00BA5777" w:rsidRPr="006733B0" w:rsidRDefault="00BA5777" w:rsidP="00BA5777">
      <w:pPr>
        <w:pStyle w:val="Heading3"/>
        <w:spacing w:before="0" w:after="0" w:line="240" w:lineRule="auto"/>
        <w:jc w:val="both"/>
        <w:rPr>
          <w:rFonts w:ascii="Times New Roman" w:hAnsi="Times New Roman" w:cs="Times New Roman"/>
          <w:b/>
          <w:bCs/>
          <w:color w:val="auto"/>
          <w:sz w:val="20"/>
          <w:szCs w:val="20"/>
          <w:lang w:val="en-ID"/>
        </w:rPr>
      </w:pPr>
      <w:r w:rsidRPr="006733B0">
        <w:rPr>
          <w:rFonts w:ascii="Times New Roman" w:hAnsi="Times New Roman" w:cs="Times New Roman"/>
          <w:b/>
          <w:bCs/>
          <w:color w:val="auto"/>
          <w:sz w:val="20"/>
          <w:szCs w:val="20"/>
          <w:lang w:val="en-ID"/>
        </w:rPr>
        <w:t>Data Collection and Laboratory Examination</w:t>
      </w:r>
    </w:p>
    <w:p w14:paraId="1FF22BE8" w14:textId="77777777" w:rsidR="00BA5777" w:rsidRDefault="00BA5777" w:rsidP="00BA5777">
      <w:pPr>
        <w:pStyle w:val="Heading3"/>
        <w:spacing w:before="0" w:after="0" w:line="240" w:lineRule="auto"/>
        <w:jc w:val="both"/>
        <w:rPr>
          <w:rFonts w:ascii="Times New Roman" w:hAnsi="Times New Roman" w:cs="Times New Roman"/>
          <w:color w:val="auto"/>
          <w:sz w:val="20"/>
          <w:szCs w:val="20"/>
          <w:lang w:val="en-ID"/>
        </w:rPr>
      </w:pPr>
      <w:r w:rsidRPr="006733B0">
        <w:rPr>
          <w:rFonts w:ascii="Times New Roman" w:hAnsi="Times New Roman" w:cs="Times New Roman"/>
          <w:color w:val="auto"/>
          <w:sz w:val="20"/>
          <w:szCs w:val="20"/>
          <w:lang w:val="en-ID"/>
        </w:rPr>
        <w:t xml:space="preserve">Venous blood samples (6 mL) were obtained from each participant for the measurement of glycated </w:t>
      </w:r>
      <w:proofErr w:type="spellStart"/>
      <w:r w:rsidRPr="006733B0">
        <w:rPr>
          <w:rFonts w:ascii="Times New Roman" w:hAnsi="Times New Roman" w:cs="Times New Roman"/>
          <w:color w:val="auto"/>
          <w:sz w:val="20"/>
          <w:szCs w:val="20"/>
          <w:lang w:val="en-ID"/>
        </w:rPr>
        <w:t>hemoglobin</w:t>
      </w:r>
      <w:proofErr w:type="spellEnd"/>
      <w:r w:rsidRPr="006733B0">
        <w:rPr>
          <w:rFonts w:ascii="Times New Roman" w:hAnsi="Times New Roman" w:cs="Times New Roman"/>
          <w:color w:val="auto"/>
          <w:sz w:val="20"/>
          <w:szCs w:val="20"/>
          <w:lang w:val="en-ID"/>
        </w:rPr>
        <w:t xml:space="preserve"> (HbA1c) and plasma 1,5-Anhydroglucitol (1,5-AG) levels. These measurements were used to assess the </w:t>
      </w:r>
      <w:proofErr w:type="spellStart"/>
      <w:r w:rsidRPr="006733B0">
        <w:rPr>
          <w:rFonts w:ascii="Times New Roman" w:hAnsi="Times New Roman" w:cs="Times New Roman"/>
          <w:color w:val="auto"/>
          <w:sz w:val="20"/>
          <w:szCs w:val="20"/>
          <w:lang w:val="en-ID"/>
        </w:rPr>
        <w:t>glycemic</w:t>
      </w:r>
      <w:proofErr w:type="spellEnd"/>
      <w:r w:rsidRPr="006733B0">
        <w:rPr>
          <w:rFonts w:ascii="Times New Roman" w:hAnsi="Times New Roman" w:cs="Times New Roman"/>
          <w:color w:val="auto"/>
          <w:sz w:val="20"/>
          <w:szCs w:val="20"/>
          <w:lang w:val="en-ID"/>
        </w:rPr>
        <w:t xml:space="preserve"> status of the participants.</w:t>
      </w:r>
    </w:p>
    <w:p w14:paraId="6CA7FCCD" w14:textId="77777777" w:rsidR="00BA5777" w:rsidRPr="006733B0" w:rsidRDefault="00BA5777" w:rsidP="00BA5777">
      <w:pPr>
        <w:spacing w:after="0"/>
        <w:rPr>
          <w:lang w:val="en-ID"/>
        </w:rPr>
      </w:pPr>
    </w:p>
    <w:p w14:paraId="288B2958" w14:textId="77777777" w:rsidR="00BA5777" w:rsidRPr="006733B0" w:rsidRDefault="00BA5777" w:rsidP="00BA5777">
      <w:pPr>
        <w:pStyle w:val="Heading3"/>
        <w:spacing w:before="0" w:after="0" w:line="240" w:lineRule="auto"/>
        <w:jc w:val="both"/>
        <w:rPr>
          <w:rFonts w:ascii="Times New Roman" w:hAnsi="Times New Roman" w:cs="Times New Roman"/>
          <w:b/>
          <w:bCs/>
          <w:color w:val="auto"/>
          <w:sz w:val="20"/>
          <w:szCs w:val="20"/>
          <w:lang w:val="en-ID"/>
        </w:rPr>
      </w:pPr>
      <w:r w:rsidRPr="006733B0">
        <w:rPr>
          <w:rFonts w:ascii="Times New Roman" w:hAnsi="Times New Roman" w:cs="Times New Roman"/>
          <w:b/>
          <w:bCs/>
          <w:color w:val="auto"/>
          <w:sz w:val="20"/>
          <w:szCs w:val="20"/>
          <w:lang w:val="en-ID"/>
        </w:rPr>
        <w:t>Reference Standard and Diagnostic Analysis</w:t>
      </w:r>
    </w:p>
    <w:p w14:paraId="7DBDCD93" w14:textId="77777777" w:rsidR="00BA5777" w:rsidRPr="006733B0" w:rsidRDefault="00BA5777" w:rsidP="00BA5777">
      <w:pPr>
        <w:pStyle w:val="Heading3"/>
        <w:spacing w:before="0" w:after="0" w:line="240" w:lineRule="auto"/>
        <w:jc w:val="both"/>
        <w:rPr>
          <w:rFonts w:ascii="Times New Roman" w:hAnsi="Times New Roman" w:cs="Times New Roman"/>
          <w:color w:val="auto"/>
          <w:sz w:val="20"/>
          <w:szCs w:val="20"/>
          <w:lang w:val="en-ID"/>
        </w:rPr>
      </w:pPr>
      <w:r w:rsidRPr="006733B0">
        <w:rPr>
          <w:rFonts w:ascii="Times New Roman" w:hAnsi="Times New Roman" w:cs="Times New Roman"/>
          <w:color w:val="auto"/>
          <w:sz w:val="20"/>
          <w:szCs w:val="20"/>
          <w:lang w:val="en-ID"/>
        </w:rPr>
        <w:t>HbA1c was used as the reference standard for the classification of prediabetes. Descriptive analysis was performed to summarize the baseline characteristics of the participants.</w:t>
      </w:r>
    </w:p>
    <w:p w14:paraId="75847639" w14:textId="77777777" w:rsidR="00BA5777" w:rsidRDefault="00BA5777" w:rsidP="00BA5777">
      <w:pPr>
        <w:pStyle w:val="Heading3"/>
        <w:spacing w:before="0" w:after="0" w:line="240" w:lineRule="auto"/>
        <w:jc w:val="both"/>
        <w:rPr>
          <w:rFonts w:ascii="Times New Roman" w:hAnsi="Times New Roman" w:cs="Times New Roman"/>
          <w:color w:val="auto"/>
          <w:sz w:val="20"/>
          <w:szCs w:val="20"/>
          <w:lang w:val="en-ID"/>
        </w:rPr>
      </w:pPr>
      <w:r w:rsidRPr="006733B0">
        <w:rPr>
          <w:rFonts w:ascii="Times New Roman" w:hAnsi="Times New Roman" w:cs="Times New Roman"/>
          <w:color w:val="auto"/>
          <w:sz w:val="20"/>
          <w:szCs w:val="20"/>
          <w:lang w:val="en-ID"/>
        </w:rPr>
        <w:t>The diagnostic performance of plasma 1,5-Anhydroglucitol was evaluated by calculating sensitivity, specificity, positive predictive value (PPV), and negative predictive value (NPV) using a 2 × 2 contingency table comparing 1,5-AG results with HbA1c classification.</w:t>
      </w:r>
    </w:p>
    <w:p w14:paraId="56210351" w14:textId="77777777" w:rsidR="00BA5777" w:rsidRPr="006733B0" w:rsidRDefault="00BA5777" w:rsidP="00BA5777">
      <w:pPr>
        <w:spacing w:after="0"/>
        <w:rPr>
          <w:lang w:val="en-ID"/>
        </w:rPr>
      </w:pPr>
    </w:p>
    <w:p w14:paraId="75B86E00" w14:textId="77777777" w:rsidR="00BA5777" w:rsidRPr="006733B0" w:rsidRDefault="00BA5777" w:rsidP="00BA5777">
      <w:pPr>
        <w:pStyle w:val="Heading3"/>
        <w:spacing w:before="0" w:after="0" w:line="240" w:lineRule="auto"/>
        <w:jc w:val="both"/>
        <w:rPr>
          <w:rFonts w:ascii="Times New Roman" w:hAnsi="Times New Roman" w:cs="Times New Roman"/>
          <w:b/>
          <w:bCs/>
          <w:color w:val="auto"/>
          <w:sz w:val="20"/>
          <w:szCs w:val="20"/>
          <w:lang w:val="en-ID"/>
        </w:rPr>
      </w:pPr>
      <w:r w:rsidRPr="006733B0">
        <w:rPr>
          <w:rFonts w:ascii="Times New Roman" w:hAnsi="Times New Roman" w:cs="Times New Roman"/>
          <w:b/>
          <w:bCs/>
          <w:color w:val="auto"/>
          <w:sz w:val="20"/>
          <w:szCs w:val="20"/>
          <w:lang w:val="en-ID"/>
        </w:rPr>
        <w:t>Ethical Considerations</w:t>
      </w:r>
    </w:p>
    <w:p w14:paraId="3F60FB99" w14:textId="77777777" w:rsidR="00BA5777" w:rsidRDefault="00BA5777" w:rsidP="00BA5777">
      <w:pPr>
        <w:pStyle w:val="Heading3"/>
        <w:spacing w:before="0" w:line="240" w:lineRule="auto"/>
        <w:jc w:val="both"/>
        <w:rPr>
          <w:rFonts w:ascii="Times New Roman" w:hAnsi="Times New Roman" w:cs="Times New Roman"/>
          <w:color w:val="auto"/>
          <w:sz w:val="20"/>
          <w:szCs w:val="20"/>
        </w:rPr>
      </w:pPr>
      <w:r w:rsidRPr="006733B0">
        <w:rPr>
          <w:rFonts w:ascii="Times New Roman" w:hAnsi="Times New Roman" w:cs="Times New Roman"/>
          <w:color w:val="auto"/>
          <w:sz w:val="20"/>
          <w:szCs w:val="20"/>
        </w:rPr>
        <w:t>This study was approved by an institutional health research ethics committee (Approval No. DP.04.03/D.XVI.XI/622/2023). All participants received detailed information regarding the study and provided written informed consent prior to participation. Participation was voluntary, and all study-related costs were covered by the researchers.</w:t>
      </w:r>
    </w:p>
    <w:p w14:paraId="267841CB" w14:textId="418D138C" w:rsidR="00BA5777" w:rsidRDefault="00BA5777" w:rsidP="00BA5777">
      <w:pPr>
        <w:pStyle w:val="Heading3"/>
        <w:spacing w:before="0" w:line="240" w:lineRule="auto"/>
        <w:jc w:val="both"/>
        <w:rPr>
          <w:rFonts w:ascii="Times New Roman" w:hAnsi="Times New Roman" w:cs="Times New Roman"/>
          <w:bCs/>
          <w:sz w:val="20"/>
          <w:szCs w:val="20"/>
        </w:rPr>
      </w:pPr>
    </w:p>
    <w:p w14:paraId="6E80D09A" w14:textId="6C320FD8" w:rsidR="00BA5777" w:rsidRPr="004121A5" w:rsidRDefault="00BA5777" w:rsidP="00BA5777">
      <w:pPr>
        <w:tabs>
          <w:tab w:val="left" w:pos="1418"/>
        </w:tabs>
        <w:spacing w:after="0" w:line="240" w:lineRule="auto"/>
        <w:jc w:val="both"/>
        <w:rPr>
          <w:rFonts w:ascii="Times New Roman" w:hAnsi="Times New Roman" w:cs="Times New Roman"/>
          <w:b/>
          <w:bCs/>
        </w:rPr>
      </w:pPr>
      <w:r w:rsidRPr="004121A5">
        <w:rPr>
          <w:rFonts w:ascii="Times New Roman" w:hAnsi="Times New Roman" w:cs="Times New Roman"/>
          <w:b/>
          <w:bCs/>
        </w:rPr>
        <w:t>RESULT</w:t>
      </w:r>
      <w:r w:rsidR="00577A8E">
        <w:rPr>
          <w:rFonts w:ascii="Times New Roman" w:hAnsi="Times New Roman" w:cs="Times New Roman"/>
          <w:b/>
          <w:bCs/>
        </w:rPr>
        <w:t xml:space="preserve"> AND</w:t>
      </w:r>
      <w:r w:rsidRPr="004121A5">
        <w:rPr>
          <w:rFonts w:ascii="Times New Roman" w:hAnsi="Times New Roman" w:cs="Times New Roman"/>
          <w:b/>
          <w:bCs/>
        </w:rPr>
        <w:t xml:space="preserve"> </w:t>
      </w:r>
      <w:r w:rsidR="00577A8E" w:rsidRPr="008C3C04">
        <w:rPr>
          <w:rFonts w:ascii="Times New Roman" w:eastAsia="Times New Roman" w:hAnsi="Times New Roman" w:cs="Times New Roman"/>
          <w:b/>
        </w:rPr>
        <w:t>DISCUSSION</w:t>
      </w:r>
    </w:p>
    <w:p w14:paraId="5ECF8533" w14:textId="77777777" w:rsidR="00BA5777" w:rsidRPr="00A9149F" w:rsidRDefault="00BA5777" w:rsidP="00BA5777">
      <w:pPr>
        <w:spacing w:after="0" w:line="240" w:lineRule="auto"/>
        <w:jc w:val="both"/>
        <w:rPr>
          <w:rFonts w:ascii="Times New Roman" w:hAnsi="Times New Roman" w:cs="Times New Roman"/>
          <w:b/>
          <w:bCs/>
          <w:sz w:val="20"/>
          <w:szCs w:val="20"/>
          <w:lang w:val="en-ID"/>
        </w:rPr>
      </w:pPr>
      <w:r w:rsidRPr="00A9149F">
        <w:rPr>
          <w:rFonts w:ascii="Times New Roman" w:hAnsi="Times New Roman" w:cs="Times New Roman"/>
          <w:b/>
          <w:bCs/>
          <w:sz w:val="20"/>
          <w:szCs w:val="20"/>
          <w:lang w:val="en-ID"/>
        </w:rPr>
        <w:t>Baseline Characteristics of the Study Population</w:t>
      </w:r>
    </w:p>
    <w:p w14:paraId="5A35ED09" w14:textId="77777777" w:rsidR="00BA5777" w:rsidRPr="00A9149F" w:rsidRDefault="00BA5777" w:rsidP="00BA5777">
      <w:pPr>
        <w:spacing w:after="0" w:line="240" w:lineRule="auto"/>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A total of 143 obese young adults were included in this study. The baseline demographic and clinical characteristics of the participants are presented in Table 1. The study population consisted of 79 males (55.2%) and 64 females (44.8%). The mean age of the participants was 30.4 ± 3.88 years, with the largest age group being 30–34 years (60.14%).</w:t>
      </w:r>
    </w:p>
    <w:p w14:paraId="61D3679B" w14:textId="77777777" w:rsidR="00BA5777" w:rsidRPr="00A9149F" w:rsidRDefault="00BA5777" w:rsidP="00BA5777">
      <w:pPr>
        <w:spacing w:after="0" w:line="240" w:lineRule="auto"/>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Most participants were resident doctors (PPDS) (90.21%), while 9.79% were general practitioners. The mean body mass index (BMI) was 29.97 ± 3.49 kg/m². Based on BMI classification, 58.05% of participants were categorized as Obesity I, 35.66% as Obesity II, and 6.29% as Obesity III.</w:t>
      </w:r>
    </w:p>
    <w:p w14:paraId="063A9063" w14:textId="77777777" w:rsidR="00BA5777" w:rsidRPr="00A9149F" w:rsidRDefault="00BA5777" w:rsidP="00BA5777">
      <w:pPr>
        <w:spacing w:after="0" w:line="240" w:lineRule="auto"/>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Regarding family history, 44 participants (30.8%) reported a family history of diabetes, while 99 participants (69.2%) reported no family history. The mean waist circumference was 94.47 ± 10.42 cm in males and 99.97 ± 9.55 cm in females.</w:t>
      </w:r>
    </w:p>
    <w:p w14:paraId="183E9291" w14:textId="441D0BC6" w:rsidR="00BA5777" w:rsidRDefault="00BA5777" w:rsidP="00BA5777">
      <w:pPr>
        <w:spacing w:after="0" w:line="240" w:lineRule="auto"/>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The mean HbA1c level among participants was 5.08 ± 0.66%, while the mean plasma 1,5-Anhydroglucitol level was 7.89 ± 4.76 µg/</w:t>
      </w:r>
      <w:proofErr w:type="spellStart"/>
      <w:r w:rsidRPr="00A9149F">
        <w:rPr>
          <w:rFonts w:ascii="Times New Roman" w:hAnsi="Times New Roman" w:cs="Times New Roman"/>
          <w:sz w:val="20"/>
          <w:szCs w:val="20"/>
          <w:lang w:val="en-ID"/>
        </w:rPr>
        <w:t>mL.</w:t>
      </w:r>
      <w:proofErr w:type="spellEnd"/>
    </w:p>
    <w:p w14:paraId="68F6FA5E" w14:textId="77777777" w:rsidR="00BA5777" w:rsidRPr="00A9149F" w:rsidRDefault="00BA5777" w:rsidP="00BA5777">
      <w:pPr>
        <w:spacing w:after="0" w:line="240" w:lineRule="auto"/>
        <w:jc w:val="both"/>
        <w:rPr>
          <w:rFonts w:ascii="Times New Roman" w:hAnsi="Times New Roman" w:cs="Times New Roman"/>
          <w:sz w:val="20"/>
          <w:szCs w:val="20"/>
          <w:lang w:val="en-ID"/>
        </w:rPr>
      </w:pPr>
    </w:p>
    <w:p w14:paraId="418220CA" w14:textId="77777777" w:rsidR="00E7148D" w:rsidRDefault="00E7148D" w:rsidP="00BA5777">
      <w:pPr>
        <w:spacing w:after="0" w:line="240" w:lineRule="auto"/>
        <w:jc w:val="both"/>
        <w:rPr>
          <w:rFonts w:ascii="Times New Roman" w:hAnsi="Times New Roman" w:cs="Times New Roman"/>
          <w:b/>
          <w:bCs/>
          <w:sz w:val="20"/>
          <w:szCs w:val="20"/>
          <w:lang w:val="en-ID"/>
        </w:rPr>
      </w:pPr>
    </w:p>
    <w:p w14:paraId="42D9ABB9" w14:textId="77777777" w:rsidR="00E7148D" w:rsidRDefault="00E7148D" w:rsidP="00BA5777">
      <w:pPr>
        <w:spacing w:after="0" w:line="240" w:lineRule="auto"/>
        <w:jc w:val="both"/>
        <w:rPr>
          <w:rFonts w:ascii="Times New Roman" w:hAnsi="Times New Roman" w:cs="Times New Roman"/>
          <w:b/>
          <w:bCs/>
          <w:sz w:val="20"/>
          <w:szCs w:val="20"/>
          <w:lang w:val="en-ID"/>
        </w:rPr>
      </w:pPr>
    </w:p>
    <w:p w14:paraId="338975FB" w14:textId="3830CA9D" w:rsidR="00BA5777" w:rsidRPr="00A9149F" w:rsidRDefault="00BA5777" w:rsidP="00BA5777">
      <w:pPr>
        <w:spacing w:after="0" w:line="240" w:lineRule="auto"/>
        <w:jc w:val="both"/>
        <w:rPr>
          <w:rFonts w:ascii="Times New Roman" w:hAnsi="Times New Roman" w:cs="Times New Roman"/>
          <w:b/>
          <w:bCs/>
          <w:sz w:val="20"/>
          <w:szCs w:val="20"/>
          <w:lang w:val="en-ID"/>
        </w:rPr>
      </w:pPr>
      <w:r w:rsidRPr="00A9149F">
        <w:rPr>
          <w:rFonts w:ascii="Times New Roman" w:hAnsi="Times New Roman" w:cs="Times New Roman"/>
          <w:b/>
          <w:bCs/>
          <w:sz w:val="20"/>
          <w:szCs w:val="20"/>
          <w:lang w:val="en-ID"/>
        </w:rPr>
        <w:t>Distribution of Prediabetes Based on HbA1c</w:t>
      </w:r>
    </w:p>
    <w:p w14:paraId="3B7FE597" w14:textId="77777777" w:rsidR="00BA5777" w:rsidRPr="00A9149F" w:rsidRDefault="00BA5777" w:rsidP="00BA5777">
      <w:pPr>
        <w:spacing w:after="0" w:line="240" w:lineRule="auto"/>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HbA1c levels were measured in all participants. The frequency distribution of prediabetes based on HbA1c classification is shown in Table 2.</w:t>
      </w:r>
    </w:p>
    <w:p w14:paraId="3A3AF67B" w14:textId="08E7D0AA" w:rsidR="00BA5777" w:rsidRDefault="00BA5777" w:rsidP="00BA5777">
      <w:pPr>
        <w:spacing w:after="0" w:line="240" w:lineRule="auto"/>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Among the 143 participants, 20 individuals (14%) were classified as having prediabetes, while 123 individuals (86%) were categorized as non-prediabetic.</w:t>
      </w:r>
    </w:p>
    <w:p w14:paraId="6670363B" w14:textId="77777777" w:rsidR="00BA5777" w:rsidRDefault="00BA5777" w:rsidP="00BA5777">
      <w:pPr>
        <w:spacing w:after="0" w:line="240" w:lineRule="auto"/>
        <w:jc w:val="both"/>
        <w:rPr>
          <w:rFonts w:ascii="Times New Roman" w:hAnsi="Times New Roman" w:cs="Times New Roman"/>
          <w:b/>
          <w:bCs/>
          <w:sz w:val="20"/>
          <w:szCs w:val="20"/>
          <w:lang w:val="en-ID"/>
        </w:rPr>
      </w:pPr>
    </w:p>
    <w:p w14:paraId="030EB1D7" w14:textId="36689D88" w:rsidR="00BA5777" w:rsidRPr="00A9149F" w:rsidRDefault="00BA5777" w:rsidP="00BA5777">
      <w:pPr>
        <w:spacing w:after="0" w:line="240" w:lineRule="auto"/>
        <w:jc w:val="both"/>
        <w:rPr>
          <w:rFonts w:ascii="Times New Roman" w:hAnsi="Times New Roman" w:cs="Times New Roman"/>
          <w:b/>
          <w:bCs/>
          <w:sz w:val="20"/>
          <w:szCs w:val="20"/>
          <w:lang w:val="en-ID"/>
        </w:rPr>
      </w:pPr>
      <w:r w:rsidRPr="00A9149F">
        <w:rPr>
          <w:rFonts w:ascii="Times New Roman" w:hAnsi="Times New Roman" w:cs="Times New Roman"/>
          <w:b/>
          <w:bCs/>
          <w:sz w:val="20"/>
          <w:szCs w:val="20"/>
          <w:lang w:val="en-ID"/>
        </w:rPr>
        <w:t>Distribution of Prediabetes Based on Plasma 1,5-Anhydroglucitol</w:t>
      </w:r>
    </w:p>
    <w:p w14:paraId="74C8AF93" w14:textId="5FDB0F62" w:rsidR="00BA5777" w:rsidRDefault="00BA5777" w:rsidP="00BA5777">
      <w:pPr>
        <w:spacing w:after="0" w:line="240" w:lineRule="auto"/>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The frequency distribution of prediabetes based on plasma 1,5-Anhydroglucitol levels is presented in Table 3. Based on the 1,5-AG results, 49 participants (34.3%) were classified as having prediabetes, while 94 participants (65.7%) were classified as non-prediabetic.</w:t>
      </w:r>
    </w:p>
    <w:p w14:paraId="381631C4" w14:textId="77777777" w:rsidR="00BA5777" w:rsidRPr="00A9149F" w:rsidRDefault="00BA5777" w:rsidP="00BA5777">
      <w:pPr>
        <w:spacing w:after="0" w:line="240" w:lineRule="auto"/>
        <w:jc w:val="both"/>
        <w:rPr>
          <w:rFonts w:ascii="Times New Roman" w:hAnsi="Times New Roman" w:cs="Times New Roman"/>
          <w:sz w:val="20"/>
          <w:szCs w:val="20"/>
          <w:lang w:val="en-ID"/>
        </w:rPr>
      </w:pPr>
    </w:p>
    <w:p w14:paraId="520491D6" w14:textId="77777777" w:rsidR="00BA5777" w:rsidRPr="00A9149F" w:rsidRDefault="00BA5777" w:rsidP="00BA5777">
      <w:pPr>
        <w:spacing w:after="0" w:line="240" w:lineRule="auto"/>
        <w:jc w:val="both"/>
        <w:rPr>
          <w:rFonts w:ascii="Times New Roman" w:hAnsi="Times New Roman" w:cs="Times New Roman"/>
          <w:b/>
          <w:bCs/>
          <w:sz w:val="20"/>
          <w:szCs w:val="20"/>
          <w:lang w:val="en-ID"/>
        </w:rPr>
      </w:pPr>
      <w:r w:rsidRPr="00A9149F">
        <w:rPr>
          <w:rFonts w:ascii="Times New Roman" w:hAnsi="Times New Roman" w:cs="Times New Roman"/>
          <w:b/>
          <w:bCs/>
          <w:sz w:val="20"/>
          <w:szCs w:val="20"/>
          <w:lang w:val="en-ID"/>
        </w:rPr>
        <w:t>Diagnostic Performance of Plasma 1,5-Anhydroglucitol</w:t>
      </w:r>
    </w:p>
    <w:p w14:paraId="145BAD44" w14:textId="77777777" w:rsidR="00BA5777" w:rsidRPr="00A9149F" w:rsidRDefault="00BA5777" w:rsidP="00BA5777">
      <w:pPr>
        <w:spacing w:after="0" w:line="240" w:lineRule="auto"/>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The diagnostic performance of plasma 1,5-Anhydroglucitol for detecting prediabetes was evaluated using HbA1c as the reference standard. The cross-tabulation results are presented in Table 4.</w:t>
      </w:r>
    </w:p>
    <w:p w14:paraId="1C12BA1C" w14:textId="77777777" w:rsidR="00BA5777" w:rsidRPr="00A9149F" w:rsidRDefault="00BA5777" w:rsidP="00BA5777">
      <w:pPr>
        <w:spacing w:after="0" w:line="240" w:lineRule="auto"/>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Among the 143 participants, 18 cases were identified as true positives, 31 as false positives, 2 as false negatives, and 92 as true negatives.</w:t>
      </w:r>
    </w:p>
    <w:p w14:paraId="157A84B0" w14:textId="77777777" w:rsidR="00BA5777" w:rsidRPr="00A9149F" w:rsidRDefault="00BA5777" w:rsidP="00BA5777">
      <w:pPr>
        <w:spacing w:after="0" w:line="240" w:lineRule="auto"/>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Based on these results, plasma 1,5-Anhydroglucitol demonstrated a sensitivity of 90.0%, specificity of 74.79%, positive predictive value (PPV) of 36.73%, and negative predictive value (NPV) of 97.87%.</w:t>
      </w:r>
    </w:p>
    <w:p w14:paraId="1841167A" w14:textId="77777777" w:rsidR="00BA5777" w:rsidRPr="008C3C04" w:rsidRDefault="00BA5777" w:rsidP="00BA5777">
      <w:pPr>
        <w:spacing w:line="240" w:lineRule="auto"/>
        <w:jc w:val="both"/>
        <w:rPr>
          <w:rFonts w:ascii="Times New Roman" w:hAnsi="Times New Roman" w:cs="Times New Roman"/>
        </w:rPr>
      </w:pPr>
    </w:p>
    <w:p w14:paraId="14080530" w14:textId="2792DC5C" w:rsidR="00BA5777" w:rsidRPr="008C3C04" w:rsidRDefault="00BA5777" w:rsidP="00E7148D">
      <w:pPr>
        <w:spacing w:after="0" w:line="240" w:lineRule="auto"/>
        <w:jc w:val="both"/>
        <w:rPr>
          <w:rFonts w:ascii="Times New Roman" w:eastAsia="Times New Roman" w:hAnsi="Times New Roman" w:cs="Times New Roman"/>
        </w:rPr>
      </w:pPr>
    </w:p>
    <w:p w14:paraId="12BBC520" w14:textId="77777777" w:rsidR="00BA5777" w:rsidRPr="00A9149F" w:rsidRDefault="00BA5777" w:rsidP="00BA5777">
      <w:pPr>
        <w:spacing w:after="0" w:line="240" w:lineRule="auto"/>
        <w:ind w:right="180"/>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This study evaluated the diagnostic performance of plasma 1,5-Anhydroglucitol (1,5-AG) for detecting prediabetes in obese young adults. The findings demonstrated that plasma 1,5-AG had a sensitivity of 90.0%, specificity of 74.79%, positive predictive value of 36.73%, and negative predictive value of 97.87% when compared with HbA1c as the reference standard. These results suggest that plasma 1,5-AG may have potential utility as a screening marker for identifying individuals at risk of prediabetes in this population.</w:t>
      </w:r>
    </w:p>
    <w:p w14:paraId="4886296D" w14:textId="77777777" w:rsidR="00BA5777" w:rsidRPr="00A9149F" w:rsidRDefault="00BA5777" w:rsidP="00BA5777">
      <w:pPr>
        <w:spacing w:after="0" w:line="240" w:lineRule="auto"/>
        <w:ind w:right="180"/>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 xml:space="preserve">In the present study, the proportion of male participants with obesity was slightly higher than that of females (55.2% vs. 44.8%). Similar findings were reported by </w:t>
      </w:r>
      <w:proofErr w:type="spellStart"/>
      <w:r w:rsidRPr="00A9149F">
        <w:rPr>
          <w:rFonts w:ascii="Times New Roman" w:hAnsi="Times New Roman" w:cs="Times New Roman"/>
          <w:sz w:val="20"/>
          <w:szCs w:val="20"/>
          <w:lang w:val="en-ID"/>
        </w:rPr>
        <w:t>Kitchlew</w:t>
      </w:r>
      <w:proofErr w:type="spellEnd"/>
      <w:r w:rsidRPr="00A9149F">
        <w:rPr>
          <w:rFonts w:ascii="Times New Roman" w:hAnsi="Times New Roman" w:cs="Times New Roman"/>
          <w:sz w:val="20"/>
          <w:szCs w:val="20"/>
          <w:lang w:val="en-ID"/>
        </w:rPr>
        <w:t xml:space="preserve"> et al., who observed a higher prevalence of obesity among young adult males aged 18–30 years, with 54.7% of male participants categorized as obese.¹¹ A </w:t>
      </w:r>
      <w:proofErr w:type="spellStart"/>
      <w:r w:rsidRPr="00A9149F">
        <w:rPr>
          <w:rFonts w:ascii="Times New Roman" w:hAnsi="Times New Roman" w:cs="Times New Roman"/>
          <w:sz w:val="20"/>
          <w:szCs w:val="20"/>
          <w:lang w:val="en-ID"/>
        </w:rPr>
        <w:t>multicountry</w:t>
      </w:r>
      <w:proofErr w:type="spellEnd"/>
      <w:r w:rsidRPr="00A9149F">
        <w:rPr>
          <w:rFonts w:ascii="Times New Roman" w:hAnsi="Times New Roman" w:cs="Times New Roman"/>
          <w:sz w:val="20"/>
          <w:szCs w:val="20"/>
          <w:lang w:val="en-ID"/>
        </w:rPr>
        <w:t xml:space="preserve"> study conducted by Peltzer et al., involving 15,746 university students from 22 developing countries, also reported a higher prevalence of obesity among men (24.7%) compared to women (19.3%).¹² However, other studies, such as the National Health and Nutrition Examination Survey (NHANES) conducted between 2017 and 2018, reported no significant difference in obesity prevalence between men and women aged 20–40 years.¹³ These variations may reflect differences in demographic characteristics, lifestyle factors, and regional dietary patterns.</w:t>
      </w:r>
    </w:p>
    <w:p w14:paraId="5DF01B67" w14:textId="77777777" w:rsidR="00BA5777" w:rsidRPr="00A9149F" w:rsidRDefault="00BA5777" w:rsidP="00BA5777">
      <w:pPr>
        <w:spacing w:after="0" w:line="240" w:lineRule="auto"/>
        <w:ind w:right="180"/>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 xml:space="preserve">The mean age of participants in this study was 30.4 years, with the largest age group being 30–34 years. This finding is consistent with the study by </w:t>
      </w:r>
      <w:proofErr w:type="spellStart"/>
      <w:r w:rsidRPr="00A9149F">
        <w:rPr>
          <w:rFonts w:ascii="Times New Roman" w:hAnsi="Times New Roman" w:cs="Times New Roman"/>
          <w:sz w:val="20"/>
          <w:szCs w:val="20"/>
          <w:lang w:val="en-ID"/>
        </w:rPr>
        <w:t>Kitchlew</w:t>
      </w:r>
      <w:proofErr w:type="spellEnd"/>
      <w:r w:rsidRPr="00A9149F">
        <w:rPr>
          <w:rFonts w:ascii="Times New Roman" w:hAnsi="Times New Roman" w:cs="Times New Roman"/>
          <w:sz w:val="20"/>
          <w:szCs w:val="20"/>
          <w:lang w:val="en-ID"/>
        </w:rPr>
        <w:t xml:space="preserve"> et al., which reported a mean age of 32 years among obese adults with prediabetes in Pakistan.¹¹ Decroli et al. also reported a mean age of 31.91 years in their study examining the association between body mass index and testosterone levels among obese male patients with prediabetes.¹⁶ These findings indicate that metabolic abnormalities associated with obesity may begin to appear in early adulthood. Reduced physical activity during adolescence and early adulthood has been identified as an important contributing factor. </w:t>
      </w:r>
      <w:proofErr w:type="spellStart"/>
      <w:r w:rsidRPr="00A9149F">
        <w:rPr>
          <w:rFonts w:ascii="Times New Roman" w:hAnsi="Times New Roman" w:cs="Times New Roman"/>
          <w:sz w:val="20"/>
          <w:szCs w:val="20"/>
          <w:lang w:val="en-ID"/>
        </w:rPr>
        <w:t>Guthold</w:t>
      </w:r>
      <w:proofErr w:type="spellEnd"/>
      <w:r w:rsidRPr="00A9149F">
        <w:rPr>
          <w:rFonts w:ascii="Times New Roman" w:hAnsi="Times New Roman" w:cs="Times New Roman"/>
          <w:sz w:val="20"/>
          <w:szCs w:val="20"/>
          <w:lang w:val="en-ID"/>
        </w:rPr>
        <w:t xml:space="preserve"> et al. reported that approximately 81% of adolescents worldwide do not meet recommended physical activity levels, which may contribute to obesity and metabolic disorders later in </w:t>
      </w:r>
      <w:proofErr w:type="gramStart"/>
      <w:r w:rsidRPr="00A9149F">
        <w:rPr>
          <w:rFonts w:ascii="Times New Roman" w:hAnsi="Times New Roman" w:cs="Times New Roman"/>
          <w:sz w:val="20"/>
          <w:szCs w:val="20"/>
          <w:lang w:val="en-ID"/>
        </w:rPr>
        <w:t>life.¹</w:t>
      </w:r>
      <w:proofErr w:type="gramEnd"/>
      <w:r w:rsidRPr="00A9149F">
        <w:rPr>
          <w:rFonts w:ascii="Times New Roman" w:hAnsi="Times New Roman" w:cs="Times New Roman"/>
          <w:sz w:val="20"/>
          <w:szCs w:val="20"/>
          <w:lang w:val="en-ID"/>
        </w:rPr>
        <w:t>⁷</w:t>
      </w:r>
    </w:p>
    <w:p w14:paraId="5F583255" w14:textId="77777777" w:rsidR="00BA5777" w:rsidRPr="00A9149F" w:rsidRDefault="00BA5777" w:rsidP="00BA5777">
      <w:pPr>
        <w:spacing w:after="0" w:line="240" w:lineRule="auto"/>
        <w:ind w:right="180"/>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 xml:space="preserve">Obesity plays a crucial role in the development of insulin resistance and glucose metabolism abnormalities. Differences in fat distribution between men and women may partly explain the observed variation in metabolic risk. Men tend to accumulate more visceral adipose tissue, which is strongly associated with insulin resistance and metabolic complications. In contrast, women typically exhibit greater peripheral fat distribution, which is generally associated with a lower cardiometabolic </w:t>
      </w:r>
      <w:proofErr w:type="gramStart"/>
      <w:r w:rsidRPr="00A9149F">
        <w:rPr>
          <w:rFonts w:ascii="Times New Roman" w:hAnsi="Times New Roman" w:cs="Times New Roman"/>
          <w:sz w:val="20"/>
          <w:szCs w:val="20"/>
          <w:lang w:val="en-ID"/>
        </w:rPr>
        <w:t>risk.¹</w:t>
      </w:r>
      <w:proofErr w:type="gramEnd"/>
      <w:r w:rsidRPr="00A9149F">
        <w:rPr>
          <w:rFonts w:ascii="Times New Roman" w:hAnsi="Times New Roman" w:cs="Times New Roman"/>
          <w:sz w:val="20"/>
          <w:szCs w:val="20"/>
          <w:lang w:val="en-ID"/>
        </w:rPr>
        <w:t>⁴¹⁵ Visceral adiposity has been shown to increase circulating free fatty acids, inflammatory mediators, and insulin resistance, thereby contributing to impaired glucose regulation.</w:t>
      </w:r>
    </w:p>
    <w:p w14:paraId="558FC0A4" w14:textId="77777777" w:rsidR="00BA5777" w:rsidRPr="00A9149F" w:rsidRDefault="00BA5777" w:rsidP="00BA5777">
      <w:pPr>
        <w:spacing w:after="0" w:line="240" w:lineRule="auto"/>
        <w:ind w:right="180"/>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 xml:space="preserve">The mean BMI in this study was 29.97 kg/m², with the majority of participants categorized as Obesity I. Similar findings were reported by </w:t>
      </w:r>
      <w:proofErr w:type="spellStart"/>
      <w:r w:rsidRPr="00A9149F">
        <w:rPr>
          <w:rFonts w:ascii="Times New Roman" w:hAnsi="Times New Roman" w:cs="Times New Roman"/>
          <w:sz w:val="20"/>
          <w:szCs w:val="20"/>
          <w:lang w:val="en-ID"/>
        </w:rPr>
        <w:t>Bacong</w:t>
      </w:r>
      <w:proofErr w:type="spellEnd"/>
      <w:r w:rsidRPr="00A9149F">
        <w:rPr>
          <w:rFonts w:ascii="Times New Roman" w:hAnsi="Times New Roman" w:cs="Times New Roman"/>
          <w:sz w:val="20"/>
          <w:szCs w:val="20"/>
          <w:lang w:val="en-ID"/>
        </w:rPr>
        <w:t xml:space="preserve"> et al., who observed that class I obesity was the most common obesity category among adults in the United States.²⁰ Andes et al. also reported a mean BMI of 27.7 in their study examining prediabetes prevalence among adolescents and young adults.⁵ Although BMI is widely used as an indicator of obesity, it does not distinguish between fat mass and lean mass. Therefore, waist circumference is often considered a more reliable indicator of central adiposity and cardiometabolic risk.</w:t>
      </w:r>
    </w:p>
    <w:p w14:paraId="06DE44A6" w14:textId="77777777" w:rsidR="00BA5777" w:rsidRPr="00A9149F" w:rsidRDefault="00BA5777" w:rsidP="00BA5777">
      <w:pPr>
        <w:spacing w:after="0" w:line="240" w:lineRule="auto"/>
        <w:ind w:right="180"/>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lastRenderedPageBreak/>
        <w:t xml:space="preserve">In this study, the mean waist circumference was 94.47 cm in males and 99.97 cm in females, indicating the presence of central obesity in most participants. Previous studies have shown that waist circumference is strongly associated with increased risk of metabolic disorders, including prediabetes and type 2 diabetes. Zhen et al. reported that individuals with increased waist circumference had a significantly higher risk of developing impaired glucose </w:t>
      </w:r>
      <w:proofErr w:type="gramStart"/>
      <w:r w:rsidRPr="00A9149F">
        <w:rPr>
          <w:rFonts w:ascii="Times New Roman" w:hAnsi="Times New Roman" w:cs="Times New Roman"/>
          <w:sz w:val="20"/>
          <w:szCs w:val="20"/>
          <w:lang w:val="en-ID"/>
        </w:rPr>
        <w:t>metabolism.²</w:t>
      </w:r>
      <w:proofErr w:type="gramEnd"/>
      <w:r w:rsidRPr="00A9149F">
        <w:rPr>
          <w:rFonts w:ascii="Times New Roman" w:hAnsi="Times New Roman" w:cs="Times New Roman"/>
          <w:sz w:val="20"/>
          <w:szCs w:val="20"/>
          <w:lang w:val="en-ID"/>
        </w:rPr>
        <w:t>¹</w:t>
      </w:r>
    </w:p>
    <w:p w14:paraId="17FC4B74" w14:textId="5C2D1A05" w:rsidR="00BA5777" w:rsidRPr="00A9149F" w:rsidRDefault="00BA5777" w:rsidP="00BA5777">
      <w:pPr>
        <w:spacing w:after="0" w:line="240" w:lineRule="auto"/>
        <w:ind w:right="180"/>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 xml:space="preserve">Family history of diabetes was present in 30.8% of participants in this study and was found to be significantly associated with prediabetes occurrence. Similar findings were reported by Salem and Bashaaib, who observed a higher prevalence of prediabetes among overweight and obese individuals with a family history of diabetes.²² </w:t>
      </w:r>
      <w:proofErr w:type="spellStart"/>
      <w:r w:rsidRPr="00A9149F">
        <w:rPr>
          <w:rFonts w:ascii="Times New Roman" w:hAnsi="Times New Roman" w:cs="Times New Roman"/>
          <w:sz w:val="20"/>
          <w:szCs w:val="20"/>
          <w:lang w:val="en-ID"/>
        </w:rPr>
        <w:t>Ramezankhani</w:t>
      </w:r>
      <w:proofErr w:type="spellEnd"/>
      <w:r w:rsidRPr="00A9149F">
        <w:rPr>
          <w:rFonts w:ascii="Times New Roman" w:hAnsi="Times New Roman" w:cs="Times New Roman"/>
          <w:sz w:val="20"/>
          <w:szCs w:val="20"/>
          <w:lang w:val="en-ID"/>
        </w:rPr>
        <w:t xml:space="preserve"> et al. also reported that individuals with a family history of diabetes had a 54% higher lifetime risk of developing diabetes compared with those without such history.²³ These findings highlight the combined influence of genetic susceptibility and shared environmental factors in the development of glucose metabolism disorders.²⁴</w:t>
      </w:r>
      <w:r w:rsidR="00907155">
        <w:rPr>
          <w:rFonts w:ascii="Times New Roman" w:hAnsi="Times New Roman" w:cs="Times New Roman"/>
          <w:sz w:val="20"/>
          <w:szCs w:val="20"/>
          <w:lang w:val="en-ID"/>
        </w:rPr>
        <w:t>,</w:t>
      </w:r>
      <w:r w:rsidRPr="00A9149F">
        <w:rPr>
          <w:rFonts w:ascii="Times New Roman" w:hAnsi="Times New Roman" w:cs="Times New Roman"/>
          <w:sz w:val="20"/>
          <w:szCs w:val="20"/>
          <w:lang w:val="en-ID"/>
        </w:rPr>
        <w:t>²⁵</w:t>
      </w:r>
    </w:p>
    <w:p w14:paraId="44E76EFE" w14:textId="494C2A00" w:rsidR="00BA5777" w:rsidRPr="00A9149F" w:rsidRDefault="00BA5777" w:rsidP="00BA5777">
      <w:pPr>
        <w:spacing w:after="0" w:line="240" w:lineRule="auto"/>
        <w:ind w:right="180"/>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 xml:space="preserve">Based on HbA1c classification, 14% of participants in this study were identified as having prediabetes. This prevalence is lower than that reported in several previous studies. Kusuma et al. reported a prevalence of 24.86% for prediabetes in Indonesia, while Park et al. reported 21.2% among young adults in South </w:t>
      </w:r>
      <w:proofErr w:type="gramStart"/>
      <w:r w:rsidRPr="00A9149F">
        <w:rPr>
          <w:rFonts w:ascii="Times New Roman" w:hAnsi="Times New Roman" w:cs="Times New Roman"/>
          <w:sz w:val="20"/>
          <w:szCs w:val="20"/>
          <w:lang w:val="en-ID"/>
        </w:rPr>
        <w:t>Korea.²⁶</w:t>
      </w:r>
      <w:r w:rsidR="00907155">
        <w:rPr>
          <w:rFonts w:ascii="Times New Roman" w:hAnsi="Times New Roman" w:cs="Times New Roman"/>
          <w:sz w:val="20"/>
          <w:szCs w:val="20"/>
          <w:lang w:val="en-ID"/>
        </w:rPr>
        <w:t>,</w:t>
      </w:r>
      <w:r w:rsidRPr="00A9149F">
        <w:rPr>
          <w:rFonts w:ascii="Times New Roman" w:hAnsi="Times New Roman" w:cs="Times New Roman"/>
          <w:sz w:val="20"/>
          <w:szCs w:val="20"/>
          <w:lang w:val="en-ID"/>
        </w:rPr>
        <w:t>²</w:t>
      </w:r>
      <w:proofErr w:type="gramEnd"/>
      <w:r w:rsidRPr="00A9149F">
        <w:rPr>
          <w:rFonts w:ascii="Times New Roman" w:hAnsi="Times New Roman" w:cs="Times New Roman"/>
          <w:sz w:val="20"/>
          <w:szCs w:val="20"/>
          <w:lang w:val="en-ID"/>
        </w:rPr>
        <w:t>⁷ Differences in study population characteristics, diagnostic criteria, and lifestyle factors may explain these variations in prevalence.</w:t>
      </w:r>
    </w:p>
    <w:p w14:paraId="7D99D58B" w14:textId="77777777" w:rsidR="00BA5777" w:rsidRPr="00A9149F" w:rsidRDefault="00BA5777" w:rsidP="00BA5777">
      <w:pPr>
        <w:spacing w:after="0" w:line="240" w:lineRule="auto"/>
        <w:ind w:right="180"/>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 xml:space="preserve">The present study also examined the diagnostic performance of plasma 1,5-Anhydroglucitol. Among individuals with plasma 1,5-AG levels between 4.5 and 5.5 </w:t>
      </w:r>
      <w:proofErr w:type="spellStart"/>
      <w:r w:rsidRPr="00A9149F">
        <w:rPr>
          <w:rFonts w:ascii="Times New Roman" w:hAnsi="Times New Roman" w:cs="Times New Roman"/>
          <w:sz w:val="20"/>
          <w:szCs w:val="20"/>
          <w:lang w:val="en-ID"/>
        </w:rPr>
        <w:t>μg</w:t>
      </w:r>
      <w:proofErr w:type="spellEnd"/>
      <w:r w:rsidRPr="00A9149F">
        <w:rPr>
          <w:rFonts w:ascii="Times New Roman" w:hAnsi="Times New Roman" w:cs="Times New Roman"/>
          <w:sz w:val="20"/>
          <w:szCs w:val="20"/>
          <w:lang w:val="en-ID"/>
        </w:rPr>
        <w:t xml:space="preserve">/mL, 12.58% were confirmed to have prediabetes based on HbA1c results. Similar findings were reported by </w:t>
      </w:r>
      <w:proofErr w:type="spellStart"/>
      <w:r w:rsidRPr="00A9149F">
        <w:rPr>
          <w:rFonts w:ascii="Times New Roman" w:hAnsi="Times New Roman" w:cs="Times New Roman"/>
          <w:sz w:val="20"/>
          <w:szCs w:val="20"/>
          <w:lang w:val="en-ID"/>
        </w:rPr>
        <w:t>Ohigashi</w:t>
      </w:r>
      <w:proofErr w:type="spellEnd"/>
      <w:r w:rsidRPr="00A9149F">
        <w:rPr>
          <w:rFonts w:ascii="Times New Roman" w:hAnsi="Times New Roman" w:cs="Times New Roman"/>
          <w:sz w:val="20"/>
          <w:szCs w:val="20"/>
          <w:lang w:val="en-ID"/>
        </w:rPr>
        <w:t xml:space="preserve"> et al., who observed an 11.64% prevalence of prediabetes using OGTT, HbA1c, and 1,5-AG </w:t>
      </w:r>
      <w:proofErr w:type="gramStart"/>
      <w:r w:rsidRPr="00A9149F">
        <w:rPr>
          <w:rFonts w:ascii="Times New Roman" w:hAnsi="Times New Roman" w:cs="Times New Roman"/>
          <w:sz w:val="20"/>
          <w:szCs w:val="20"/>
          <w:lang w:val="en-ID"/>
        </w:rPr>
        <w:t>measurements.²</w:t>
      </w:r>
      <w:proofErr w:type="gramEnd"/>
      <w:r w:rsidRPr="00A9149F">
        <w:rPr>
          <w:rFonts w:ascii="Times New Roman" w:hAnsi="Times New Roman" w:cs="Times New Roman"/>
          <w:sz w:val="20"/>
          <w:szCs w:val="20"/>
          <w:lang w:val="en-ID"/>
        </w:rPr>
        <w:t xml:space="preserve">⁸ Malkan et al. also reported that 16.41% of individuals in their study had prediabetes with reduced 1,5-AG </w:t>
      </w:r>
      <w:proofErr w:type="gramStart"/>
      <w:r w:rsidRPr="00A9149F">
        <w:rPr>
          <w:rFonts w:ascii="Times New Roman" w:hAnsi="Times New Roman" w:cs="Times New Roman"/>
          <w:sz w:val="20"/>
          <w:szCs w:val="20"/>
          <w:lang w:val="en-ID"/>
        </w:rPr>
        <w:t>levels.²</w:t>
      </w:r>
      <w:proofErr w:type="gramEnd"/>
      <w:r w:rsidRPr="00A9149F">
        <w:rPr>
          <w:rFonts w:ascii="Times New Roman" w:hAnsi="Times New Roman" w:cs="Times New Roman"/>
          <w:sz w:val="20"/>
          <w:szCs w:val="20"/>
          <w:lang w:val="en-ID"/>
        </w:rPr>
        <w:t>⁹</w:t>
      </w:r>
    </w:p>
    <w:p w14:paraId="11A23C72" w14:textId="77777777" w:rsidR="00BA5777" w:rsidRPr="00A9149F" w:rsidRDefault="00BA5777" w:rsidP="00BA5777">
      <w:pPr>
        <w:spacing w:after="0" w:line="240" w:lineRule="auto"/>
        <w:ind w:right="180"/>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 xml:space="preserve">The biological mechanism underlying the relationship between 1,5-AG and </w:t>
      </w:r>
      <w:proofErr w:type="spellStart"/>
      <w:r w:rsidRPr="00A9149F">
        <w:rPr>
          <w:rFonts w:ascii="Times New Roman" w:hAnsi="Times New Roman" w:cs="Times New Roman"/>
          <w:sz w:val="20"/>
          <w:szCs w:val="20"/>
          <w:lang w:val="en-ID"/>
        </w:rPr>
        <w:t>glycemic</w:t>
      </w:r>
      <w:proofErr w:type="spellEnd"/>
      <w:r w:rsidRPr="00A9149F">
        <w:rPr>
          <w:rFonts w:ascii="Times New Roman" w:hAnsi="Times New Roman" w:cs="Times New Roman"/>
          <w:sz w:val="20"/>
          <w:szCs w:val="20"/>
          <w:lang w:val="en-ID"/>
        </w:rPr>
        <w:t xml:space="preserve"> control is related to renal glucose handling. Under normal conditions, 1,5-AG is filtered and almost completely reabsorbed in the renal tubules. However, during episodes of </w:t>
      </w:r>
      <w:proofErr w:type="spellStart"/>
      <w:r w:rsidRPr="00A9149F">
        <w:rPr>
          <w:rFonts w:ascii="Times New Roman" w:hAnsi="Times New Roman" w:cs="Times New Roman"/>
          <w:sz w:val="20"/>
          <w:szCs w:val="20"/>
          <w:lang w:val="en-ID"/>
        </w:rPr>
        <w:t>hyperglycemia</w:t>
      </w:r>
      <w:proofErr w:type="spellEnd"/>
      <w:r w:rsidRPr="00A9149F">
        <w:rPr>
          <w:rFonts w:ascii="Times New Roman" w:hAnsi="Times New Roman" w:cs="Times New Roman"/>
          <w:sz w:val="20"/>
          <w:szCs w:val="20"/>
          <w:lang w:val="en-ID"/>
        </w:rPr>
        <w:t xml:space="preserve">, elevated glucose concentrations compete with 1,5-AG for reabsorption, resulting in increased urinary excretion of 1,5-AG and decreased plasma </w:t>
      </w:r>
      <w:proofErr w:type="gramStart"/>
      <w:r w:rsidRPr="00A9149F">
        <w:rPr>
          <w:rFonts w:ascii="Times New Roman" w:hAnsi="Times New Roman" w:cs="Times New Roman"/>
          <w:sz w:val="20"/>
          <w:szCs w:val="20"/>
          <w:lang w:val="en-ID"/>
        </w:rPr>
        <w:t>levels.³</w:t>
      </w:r>
      <w:proofErr w:type="gramEnd"/>
      <w:r w:rsidRPr="00A9149F">
        <w:rPr>
          <w:rFonts w:ascii="Times New Roman" w:hAnsi="Times New Roman" w:cs="Times New Roman"/>
          <w:sz w:val="20"/>
          <w:szCs w:val="20"/>
          <w:lang w:val="en-ID"/>
        </w:rPr>
        <w:t>⁰ This mechanism explains why reduced plasma 1,5-AG levels are often observed in individuals with impaired glucose metabolism.</w:t>
      </w:r>
    </w:p>
    <w:p w14:paraId="17F59A23" w14:textId="17E8E1DA" w:rsidR="00BA5777" w:rsidRPr="00A9149F" w:rsidRDefault="00BA5777" w:rsidP="00BA5777">
      <w:pPr>
        <w:spacing w:after="0" w:line="240" w:lineRule="auto"/>
        <w:ind w:right="180"/>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 xml:space="preserve">In the present study, plasma 1,5-AG demonstrated high sensitivity for detecting prediabetes. </w:t>
      </w:r>
      <w:proofErr w:type="spellStart"/>
      <w:r w:rsidRPr="00A9149F">
        <w:rPr>
          <w:rFonts w:ascii="Times New Roman" w:hAnsi="Times New Roman" w:cs="Times New Roman"/>
          <w:sz w:val="20"/>
          <w:szCs w:val="20"/>
          <w:lang w:val="en-ID"/>
        </w:rPr>
        <w:t>Amseer</w:t>
      </w:r>
      <w:proofErr w:type="spellEnd"/>
      <w:r w:rsidRPr="00A9149F">
        <w:rPr>
          <w:rFonts w:ascii="Times New Roman" w:hAnsi="Times New Roman" w:cs="Times New Roman"/>
          <w:sz w:val="20"/>
          <w:szCs w:val="20"/>
          <w:lang w:val="en-ID"/>
        </w:rPr>
        <w:t xml:space="preserve"> et al. reported a sensitivity of 72.5% and specificity of 85%, while Malkan et al. reported sensitivity and specificity values of 63.3% and 65.8%, </w:t>
      </w:r>
      <w:proofErr w:type="gramStart"/>
      <w:r w:rsidRPr="00A9149F">
        <w:rPr>
          <w:rFonts w:ascii="Times New Roman" w:hAnsi="Times New Roman" w:cs="Times New Roman"/>
          <w:sz w:val="20"/>
          <w:szCs w:val="20"/>
          <w:lang w:val="en-ID"/>
        </w:rPr>
        <w:t>respectively.²⁹</w:t>
      </w:r>
      <w:r w:rsidR="00907155">
        <w:rPr>
          <w:rFonts w:ascii="Times New Roman" w:hAnsi="Times New Roman" w:cs="Times New Roman"/>
          <w:sz w:val="20"/>
          <w:szCs w:val="20"/>
          <w:lang w:val="en-ID"/>
        </w:rPr>
        <w:t>,</w:t>
      </w:r>
      <w:r w:rsidRPr="00A9149F">
        <w:rPr>
          <w:rFonts w:ascii="Times New Roman" w:hAnsi="Times New Roman" w:cs="Times New Roman"/>
          <w:sz w:val="20"/>
          <w:szCs w:val="20"/>
          <w:lang w:val="en-ID"/>
        </w:rPr>
        <w:t>³</w:t>
      </w:r>
      <w:proofErr w:type="gramEnd"/>
      <w:r w:rsidRPr="00A9149F">
        <w:rPr>
          <w:rFonts w:ascii="Times New Roman" w:hAnsi="Times New Roman" w:cs="Times New Roman"/>
          <w:sz w:val="20"/>
          <w:szCs w:val="20"/>
          <w:lang w:val="en-ID"/>
        </w:rPr>
        <w:t>⁰ Although the specificity observed in this study was lower than in some previous reports, the high sensitivity and negative predictive value suggest that 1,5-AG may be particularly useful as a screening biomarker.</w:t>
      </w:r>
    </w:p>
    <w:p w14:paraId="4426F772" w14:textId="4874DAF9" w:rsidR="00BA5777" w:rsidRPr="00A9149F" w:rsidRDefault="00BA5777" w:rsidP="00BA5777">
      <w:pPr>
        <w:spacing w:after="0" w:line="240" w:lineRule="auto"/>
        <w:ind w:right="180"/>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 xml:space="preserve">Further studies have also suggested that reduced 1,5-AG levels are associated with impaired insulin sensitivity and pancreatic β-cell dysfunction. Xu et al. reported that decreased 1,5-AG levels were correlated with reduced insulin sensitivity in newly diagnosed diabetes patients. Similarly, Jiménez-Sánchez et al. demonstrated that circulating 1,5-AG levels were associated with pancreatic β-cell mass and function. These findings further support the potential role of 1,5-AG as a biomarker of early </w:t>
      </w:r>
      <w:proofErr w:type="spellStart"/>
      <w:r w:rsidRPr="00A9149F">
        <w:rPr>
          <w:rFonts w:ascii="Times New Roman" w:hAnsi="Times New Roman" w:cs="Times New Roman"/>
          <w:sz w:val="20"/>
          <w:szCs w:val="20"/>
          <w:lang w:val="en-ID"/>
        </w:rPr>
        <w:t>glycemic</w:t>
      </w:r>
      <w:proofErr w:type="spellEnd"/>
      <w:r w:rsidRPr="00A9149F">
        <w:rPr>
          <w:rFonts w:ascii="Times New Roman" w:hAnsi="Times New Roman" w:cs="Times New Roman"/>
          <w:sz w:val="20"/>
          <w:szCs w:val="20"/>
          <w:lang w:val="en-ID"/>
        </w:rPr>
        <w:t xml:space="preserve"> abnormalities.</w:t>
      </w:r>
    </w:p>
    <w:p w14:paraId="25EFBC3D" w14:textId="77777777" w:rsidR="00BA5777" w:rsidRDefault="00BA5777" w:rsidP="00BA5777">
      <w:pPr>
        <w:spacing w:after="0" w:line="240" w:lineRule="auto"/>
        <w:ind w:right="180"/>
        <w:jc w:val="both"/>
        <w:rPr>
          <w:rFonts w:ascii="Times New Roman" w:hAnsi="Times New Roman" w:cs="Times New Roman"/>
          <w:sz w:val="20"/>
          <w:szCs w:val="20"/>
          <w:lang w:val="en-ID"/>
        </w:rPr>
      </w:pPr>
      <w:r w:rsidRPr="00A9149F">
        <w:rPr>
          <w:rFonts w:ascii="Times New Roman" w:hAnsi="Times New Roman" w:cs="Times New Roman"/>
          <w:sz w:val="20"/>
          <w:szCs w:val="20"/>
          <w:lang w:val="en-ID"/>
        </w:rPr>
        <w:t xml:space="preserve">Despite these promising findings, this study has several limitations. First, the study was conducted in a single </w:t>
      </w:r>
      <w:proofErr w:type="spellStart"/>
      <w:r w:rsidRPr="00A9149F">
        <w:rPr>
          <w:rFonts w:ascii="Times New Roman" w:hAnsi="Times New Roman" w:cs="Times New Roman"/>
          <w:sz w:val="20"/>
          <w:szCs w:val="20"/>
          <w:lang w:val="en-ID"/>
        </w:rPr>
        <w:t>center</w:t>
      </w:r>
      <w:proofErr w:type="spellEnd"/>
      <w:r w:rsidRPr="00A9149F">
        <w:rPr>
          <w:rFonts w:ascii="Times New Roman" w:hAnsi="Times New Roman" w:cs="Times New Roman"/>
          <w:sz w:val="20"/>
          <w:szCs w:val="20"/>
          <w:lang w:val="en-ID"/>
        </w:rPr>
        <w:t xml:space="preserve"> with a relatively limited sample size. Second, additional methods for assessing body composition, such as bioimpedance analysis or dual-energy X-ray absorptiometry, were not performed. Future studies with larger sample sizes and more comprehensive metabolic assessments are needed to further validate the diagnostic role of plasma 1,5-AG in prediabetes screening.</w:t>
      </w:r>
    </w:p>
    <w:p w14:paraId="03CB3768" w14:textId="77777777" w:rsidR="00E7148D" w:rsidRPr="00A9149F" w:rsidRDefault="00E7148D" w:rsidP="00BA5777">
      <w:pPr>
        <w:spacing w:after="0" w:line="240" w:lineRule="auto"/>
        <w:ind w:right="180"/>
        <w:jc w:val="both"/>
        <w:rPr>
          <w:rFonts w:ascii="Times New Roman" w:hAnsi="Times New Roman" w:cs="Times New Roman"/>
          <w:sz w:val="20"/>
          <w:szCs w:val="20"/>
          <w:lang w:val="en-ID"/>
        </w:rPr>
      </w:pPr>
    </w:p>
    <w:p w14:paraId="7915323E" w14:textId="77777777" w:rsidR="00BA5777" w:rsidRDefault="00BA5777" w:rsidP="00BA5777">
      <w:pPr>
        <w:spacing w:after="0" w:line="240" w:lineRule="auto"/>
        <w:ind w:right="180"/>
        <w:jc w:val="both"/>
        <w:rPr>
          <w:rFonts w:ascii="Times New Roman" w:hAnsi="Times New Roman" w:cs="Times New Roman"/>
          <w:b/>
          <w:sz w:val="20"/>
          <w:szCs w:val="20"/>
        </w:rPr>
      </w:pPr>
    </w:p>
    <w:p w14:paraId="47FC879C" w14:textId="072B4F8C" w:rsidR="00BA5777" w:rsidRPr="00E7148D" w:rsidRDefault="00BA5777" w:rsidP="00E7148D">
      <w:pPr>
        <w:spacing w:after="0" w:line="240" w:lineRule="auto"/>
        <w:rPr>
          <w:rFonts w:ascii="Times New Roman" w:hAnsi="Times New Roman" w:cs="Times New Roman"/>
          <w:b/>
        </w:rPr>
      </w:pPr>
      <w:r>
        <w:rPr>
          <w:rFonts w:ascii="Times New Roman" w:hAnsi="Times New Roman" w:cs="Times New Roman"/>
          <w:b/>
        </w:rPr>
        <w:t>CONCLUSION</w:t>
      </w:r>
    </w:p>
    <w:p w14:paraId="3DEB3D32" w14:textId="77777777" w:rsidR="00BA5777" w:rsidRPr="008C3C04" w:rsidRDefault="00BA5777" w:rsidP="00BA5777">
      <w:pPr>
        <w:spacing w:line="240" w:lineRule="auto"/>
        <w:jc w:val="both"/>
        <w:rPr>
          <w:rFonts w:ascii="Times New Roman" w:eastAsia="Times New Roman" w:hAnsi="Times New Roman" w:cs="Times New Roman"/>
        </w:rPr>
      </w:pPr>
      <w:r w:rsidRPr="00CB5F4A">
        <w:rPr>
          <w:rFonts w:ascii="Times New Roman" w:hAnsi="Times New Roman" w:cs="Times New Roman"/>
          <w:sz w:val="20"/>
          <w:szCs w:val="20"/>
        </w:rPr>
        <w:t xml:space="preserve">This study demonstrated that plasma 1,5-Anhydroglucitol (1,5-AG) showed high sensitivity and a high negative predictive value for detecting prediabetes among obese young adults. When compared with HbA1c as the reference standard, plasma 1,5-AG demonstrated a sensitivity of </w:t>
      </w:r>
      <w:r w:rsidRPr="00CB5F4A">
        <w:rPr>
          <w:rFonts w:ascii="Times New Roman" w:hAnsi="Times New Roman" w:cs="Times New Roman"/>
          <w:b/>
          <w:bCs/>
          <w:sz w:val="20"/>
          <w:szCs w:val="20"/>
        </w:rPr>
        <w:t>90.0%</w:t>
      </w:r>
      <w:r w:rsidRPr="00CB5F4A">
        <w:rPr>
          <w:rFonts w:ascii="Times New Roman" w:hAnsi="Times New Roman" w:cs="Times New Roman"/>
          <w:sz w:val="20"/>
          <w:szCs w:val="20"/>
        </w:rPr>
        <w:t xml:space="preserve">, specificity of </w:t>
      </w:r>
      <w:r w:rsidRPr="00CB5F4A">
        <w:rPr>
          <w:rFonts w:ascii="Times New Roman" w:hAnsi="Times New Roman" w:cs="Times New Roman"/>
          <w:b/>
          <w:bCs/>
          <w:sz w:val="20"/>
          <w:szCs w:val="20"/>
        </w:rPr>
        <w:t>74.79%</w:t>
      </w:r>
      <w:r w:rsidRPr="00CB5F4A">
        <w:rPr>
          <w:rFonts w:ascii="Times New Roman" w:hAnsi="Times New Roman" w:cs="Times New Roman"/>
          <w:sz w:val="20"/>
          <w:szCs w:val="20"/>
        </w:rPr>
        <w:t xml:space="preserve">, positive predictive value of </w:t>
      </w:r>
      <w:r w:rsidRPr="00CB5F4A">
        <w:rPr>
          <w:rFonts w:ascii="Times New Roman" w:hAnsi="Times New Roman" w:cs="Times New Roman"/>
          <w:b/>
          <w:bCs/>
          <w:sz w:val="20"/>
          <w:szCs w:val="20"/>
        </w:rPr>
        <w:t>36.73%</w:t>
      </w:r>
      <w:r w:rsidRPr="00CB5F4A">
        <w:rPr>
          <w:rFonts w:ascii="Times New Roman" w:hAnsi="Times New Roman" w:cs="Times New Roman"/>
          <w:sz w:val="20"/>
          <w:szCs w:val="20"/>
        </w:rPr>
        <w:t xml:space="preserve">, and negative predictive value of </w:t>
      </w:r>
      <w:r w:rsidRPr="00CB5F4A">
        <w:rPr>
          <w:rFonts w:ascii="Times New Roman" w:hAnsi="Times New Roman" w:cs="Times New Roman"/>
          <w:b/>
          <w:bCs/>
          <w:sz w:val="20"/>
          <w:szCs w:val="20"/>
        </w:rPr>
        <w:t>97.87%</w:t>
      </w:r>
      <w:r w:rsidRPr="00CB5F4A">
        <w:rPr>
          <w:rFonts w:ascii="Times New Roman" w:hAnsi="Times New Roman" w:cs="Times New Roman"/>
          <w:sz w:val="20"/>
          <w:szCs w:val="20"/>
        </w:rPr>
        <w:t>. These findings suggest that plasma 1,5-AG may have potential utility as a screening biomarker for identifying individuals at risk of prediabetes in this population. However, due to its moderate specificity and low positive predictive value, plasma 1,5-AG should be interpreted alongside established glycemic markers. Further studies with larger populations are needed to confirm the diagnostic role of plasma 1,5-Anhydroglucitol in prediabetes detection.</w:t>
      </w:r>
    </w:p>
    <w:p w14:paraId="4114EDDE" w14:textId="77777777" w:rsidR="00BA5777" w:rsidRDefault="00BA5777" w:rsidP="00BA5777">
      <w:pPr>
        <w:spacing w:after="0" w:line="240" w:lineRule="auto"/>
        <w:jc w:val="both"/>
        <w:rPr>
          <w:rFonts w:ascii="Times New Roman" w:eastAsia="Calibri" w:hAnsi="Times New Roman" w:cs="Times New Roman"/>
          <w:bCs/>
          <w:sz w:val="20"/>
          <w:szCs w:val="20"/>
          <w:lang w:val="en-GB"/>
        </w:rPr>
      </w:pPr>
    </w:p>
    <w:p w14:paraId="5AF628A6" w14:textId="77777777" w:rsidR="00BA5777" w:rsidRPr="00AA1E2E" w:rsidRDefault="00BA5777" w:rsidP="00BA5777">
      <w:pPr>
        <w:tabs>
          <w:tab w:val="left" w:pos="3206"/>
        </w:tabs>
        <w:spacing w:after="0" w:line="240" w:lineRule="auto"/>
        <w:jc w:val="both"/>
        <w:rPr>
          <w:rFonts w:ascii="Times New Roman" w:hAnsi="Times New Roman" w:cs="Times New Roman"/>
          <w:b/>
          <w:sz w:val="20"/>
          <w:szCs w:val="20"/>
        </w:rPr>
      </w:pPr>
      <w:r w:rsidRPr="00AA1E2E">
        <w:rPr>
          <w:rFonts w:ascii="Times New Roman" w:hAnsi="Times New Roman" w:cs="Times New Roman"/>
          <w:b/>
          <w:sz w:val="20"/>
          <w:szCs w:val="20"/>
        </w:rPr>
        <w:t>REFERENCES:</w:t>
      </w:r>
    </w:p>
    <w:p w14:paraId="308261B1" w14:textId="77777777" w:rsidR="00BA5777" w:rsidRPr="00E7148D" w:rsidRDefault="00BA5777" w:rsidP="00BA5777">
      <w:pPr>
        <w:tabs>
          <w:tab w:val="left" w:pos="3206"/>
        </w:tabs>
        <w:spacing w:after="0" w:line="240" w:lineRule="auto"/>
        <w:jc w:val="both"/>
        <w:rPr>
          <w:rFonts w:ascii="Times New Roman" w:hAnsi="Times New Roman" w:cs="Times New Roman"/>
          <w:bCs/>
          <w:color w:val="FF0000"/>
          <w:sz w:val="20"/>
          <w:szCs w:val="20"/>
        </w:rPr>
      </w:pPr>
    </w:p>
    <w:p w14:paraId="7BECC497" w14:textId="239A327E"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proofErr w:type="spellStart"/>
      <w:r w:rsidRPr="00E7148D">
        <w:rPr>
          <w:rFonts w:ascii="Times New Roman" w:eastAsia="Times New Roman" w:hAnsi="Times New Roman" w:cs="Times New Roman"/>
          <w:bCs/>
          <w:sz w:val="20"/>
          <w:szCs w:val="20"/>
          <w:lang w:val="en-ID"/>
        </w:rPr>
        <w:t>Hostalek</w:t>
      </w:r>
      <w:proofErr w:type="spellEnd"/>
      <w:r w:rsidRPr="00E7148D">
        <w:rPr>
          <w:rFonts w:ascii="Times New Roman" w:eastAsia="Times New Roman" w:hAnsi="Times New Roman" w:cs="Times New Roman"/>
          <w:bCs/>
          <w:sz w:val="20"/>
          <w:szCs w:val="20"/>
          <w:lang w:val="en-ID"/>
        </w:rPr>
        <w:t xml:space="preserve"> U. Global epidemiology of prediabetes—present and future perspectives. </w:t>
      </w:r>
      <w:r w:rsidRPr="00E7148D">
        <w:rPr>
          <w:rFonts w:ascii="Times New Roman" w:eastAsia="Times New Roman" w:hAnsi="Times New Roman" w:cs="Times New Roman"/>
          <w:bCs/>
          <w:i/>
          <w:iCs/>
          <w:sz w:val="20"/>
          <w:szCs w:val="20"/>
          <w:lang w:val="en-ID"/>
        </w:rPr>
        <w:t>Clin Diabetes Endocrinol.</w:t>
      </w:r>
      <w:r w:rsidRPr="00E7148D">
        <w:rPr>
          <w:rFonts w:ascii="Times New Roman" w:eastAsia="Times New Roman" w:hAnsi="Times New Roman" w:cs="Times New Roman"/>
          <w:bCs/>
          <w:sz w:val="20"/>
          <w:szCs w:val="20"/>
          <w:lang w:val="en-ID"/>
        </w:rPr>
        <w:t xml:space="preserve"> </w:t>
      </w:r>
      <w:proofErr w:type="gramStart"/>
      <w:r w:rsidRPr="00E7148D">
        <w:rPr>
          <w:rFonts w:ascii="Times New Roman" w:eastAsia="Times New Roman" w:hAnsi="Times New Roman" w:cs="Times New Roman"/>
          <w:bCs/>
          <w:sz w:val="20"/>
          <w:szCs w:val="20"/>
          <w:lang w:val="en-ID"/>
        </w:rPr>
        <w:t>2019;5:5</w:t>
      </w:r>
      <w:proofErr w:type="gramEnd"/>
      <w:r w:rsidRPr="00E7148D">
        <w:rPr>
          <w:rFonts w:ascii="Times New Roman" w:eastAsia="Times New Roman" w:hAnsi="Times New Roman" w:cs="Times New Roman"/>
          <w:bCs/>
          <w:sz w:val="20"/>
          <w:szCs w:val="20"/>
          <w:lang w:val="en-ID"/>
        </w:rPr>
        <w:t>.</w:t>
      </w:r>
    </w:p>
    <w:p w14:paraId="453EC014" w14:textId="6B2D1B57"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lastRenderedPageBreak/>
        <w:t xml:space="preserve">International Diabetes Federation. </w:t>
      </w:r>
      <w:r w:rsidRPr="00E7148D">
        <w:rPr>
          <w:rFonts w:ascii="Times New Roman" w:eastAsia="Times New Roman" w:hAnsi="Times New Roman" w:cs="Times New Roman"/>
          <w:bCs/>
          <w:i/>
          <w:iCs/>
          <w:sz w:val="20"/>
          <w:szCs w:val="20"/>
          <w:lang w:val="en-ID"/>
        </w:rPr>
        <w:t>IDF Diabetes Atlas.</w:t>
      </w:r>
      <w:r w:rsidRPr="00E7148D">
        <w:rPr>
          <w:rFonts w:ascii="Times New Roman" w:eastAsia="Times New Roman" w:hAnsi="Times New Roman" w:cs="Times New Roman"/>
          <w:bCs/>
          <w:sz w:val="20"/>
          <w:szCs w:val="20"/>
          <w:lang w:val="en-ID"/>
        </w:rPr>
        <w:t xml:space="preserve"> 7th ed. Brussels: International Diabetes Federation; 2015.</w:t>
      </w:r>
    </w:p>
    <w:p w14:paraId="135B9669" w14:textId="7FD83E7E"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proofErr w:type="spellStart"/>
      <w:r w:rsidRPr="00E7148D">
        <w:rPr>
          <w:rFonts w:ascii="Times New Roman" w:eastAsia="Times New Roman" w:hAnsi="Times New Roman" w:cs="Times New Roman"/>
          <w:bCs/>
          <w:sz w:val="20"/>
          <w:szCs w:val="20"/>
          <w:lang w:val="en-ID"/>
        </w:rPr>
        <w:t>Centers</w:t>
      </w:r>
      <w:proofErr w:type="spellEnd"/>
      <w:r w:rsidRPr="00E7148D">
        <w:rPr>
          <w:rFonts w:ascii="Times New Roman" w:eastAsia="Times New Roman" w:hAnsi="Times New Roman" w:cs="Times New Roman"/>
          <w:bCs/>
          <w:sz w:val="20"/>
          <w:szCs w:val="20"/>
          <w:lang w:val="en-ID"/>
        </w:rPr>
        <w:t xml:space="preserve"> for Disease Control and Prevention. Prediabetes: Your chance to prevent type 2 diabetes. Atlanta: CDC; 2022.</w:t>
      </w:r>
    </w:p>
    <w:p w14:paraId="3BA5F723" w14:textId="7238CEBF"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Kementerian Kesehatan Republik Indonesia. </w:t>
      </w:r>
      <w:r w:rsidRPr="00E7148D">
        <w:rPr>
          <w:rFonts w:ascii="Times New Roman" w:eastAsia="Times New Roman" w:hAnsi="Times New Roman" w:cs="Times New Roman"/>
          <w:bCs/>
          <w:i/>
          <w:iCs/>
          <w:sz w:val="20"/>
          <w:szCs w:val="20"/>
          <w:lang w:val="en-ID"/>
        </w:rPr>
        <w:t>Riset Kesehatan Dasar (</w:t>
      </w:r>
      <w:proofErr w:type="spellStart"/>
      <w:r w:rsidRPr="00E7148D">
        <w:rPr>
          <w:rFonts w:ascii="Times New Roman" w:eastAsia="Times New Roman" w:hAnsi="Times New Roman" w:cs="Times New Roman"/>
          <w:bCs/>
          <w:i/>
          <w:iCs/>
          <w:sz w:val="20"/>
          <w:szCs w:val="20"/>
          <w:lang w:val="en-ID"/>
        </w:rPr>
        <w:t>Riskesdas</w:t>
      </w:r>
      <w:proofErr w:type="spellEnd"/>
      <w:r w:rsidRPr="00E7148D">
        <w:rPr>
          <w:rFonts w:ascii="Times New Roman" w:eastAsia="Times New Roman" w:hAnsi="Times New Roman" w:cs="Times New Roman"/>
          <w:bCs/>
          <w:i/>
          <w:iCs/>
          <w:sz w:val="20"/>
          <w:szCs w:val="20"/>
          <w:lang w:val="en-ID"/>
        </w:rPr>
        <w:t>) 2018.</w:t>
      </w:r>
      <w:r w:rsidRPr="00E7148D">
        <w:rPr>
          <w:rFonts w:ascii="Times New Roman" w:eastAsia="Times New Roman" w:hAnsi="Times New Roman" w:cs="Times New Roman"/>
          <w:bCs/>
          <w:sz w:val="20"/>
          <w:szCs w:val="20"/>
          <w:lang w:val="en-ID"/>
        </w:rPr>
        <w:t xml:space="preserve"> Jakarta: </w:t>
      </w:r>
      <w:proofErr w:type="spellStart"/>
      <w:r w:rsidRPr="00E7148D">
        <w:rPr>
          <w:rFonts w:ascii="Times New Roman" w:eastAsia="Times New Roman" w:hAnsi="Times New Roman" w:cs="Times New Roman"/>
          <w:bCs/>
          <w:sz w:val="20"/>
          <w:szCs w:val="20"/>
          <w:lang w:val="en-ID"/>
        </w:rPr>
        <w:t>Kemenkes</w:t>
      </w:r>
      <w:proofErr w:type="spellEnd"/>
      <w:r w:rsidRPr="00E7148D">
        <w:rPr>
          <w:rFonts w:ascii="Times New Roman" w:eastAsia="Times New Roman" w:hAnsi="Times New Roman" w:cs="Times New Roman"/>
          <w:bCs/>
          <w:sz w:val="20"/>
          <w:szCs w:val="20"/>
          <w:lang w:val="en-ID"/>
        </w:rPr>
        <w:t xml:space="preserve"> RI; 2019.</w:t>
      </w:r>
    </w:p>
    <w:p w14:paraId="6906CE02" w14:textId="21A95939"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Andes LJ, Cheng YJ, Rolka DB, Gregg EW, Imperatore G. Prevalence of prediabetes among adolescents and young adults in the United States, 2005–2016. </w:t>
      </w:r>
      <w:r w:rsidRPr="00E7148D">
        <w:rPr>
          <w:rFonts w:ascii="Times New Roman" w:eastAsia="Times New Roman" w:hAnsi="Times New Roman" w:cs="Times New Roman"/>
          <w:bCs/>
          <w:i/>
          <w:iCs/>
          <w:sz w:val="20"/>
          <w:szCs w:val="20"/>
          <w:lang w:val="en-ID"/>
        </w:rPr>
        <w:t xml:space="preserve">JAMA </w:t>
      </w:r>
      <w:proofErr w:type="spellStart"/>
      <w:r w:rsidRPr="00E7148D">
        <w:rPr>
          <w:rFonts w:ascii="Times New Roman" w:eastAsia="Times New Roman" w:hAnsi="Times New Roman" w:cs="Times New Roman"/>
          <w:bCs/>
          <w:i/>
          <w:iCs/>
          <w:sz w:val="20"/>
          <w:szCs w:val="20"/>
          <w:lang w:val="en-ID"/>
        </w:rPr>
        <w:t>Pediatr</w:t>
      </w:r>
      <w:proofErr w:type="spellEnd"/>
      <w:r w:rsidRPr="00E7148D">
        <w:rPr>
          <w:rFonts w:ascii="Times New Roman" w:eastAsia="Times New Roman" w:hAnsi="Times New Roman" w:cs="Times New Roman"/>
          <w:bCs/>
          <w:i/>
          <w:iCs/>
          <w:sz w:val="20"/>
          <w:szCs w:val="20"/>
          <w:lang w:val="en-ID"/>
        </w:rPr>
        <w:t>.</w:t>
      </w:r>
      <w:r w:rsidRPr="00E7148D">
        <w:rPr>
          <w:rFonts w:ascii="Times New Roman" w:eastAsia="Times New Roman" w:hAnsi="Times New Roman" w:cs="Times New Roman"/>
          <w:bCs/>
          <w:sz w:val="20"/>
          <w:szCs w:val="20"/>
          <w:lang w:val="en-ID"/>
        </w:rPr>
        <w:t xml:space="preserve"> 2019;173(11</w:t>
      </w:r>
      <w:proofErr w:type="gramStart"/>
      <w:r w:rsidRPr="00E7148D">
        <w:rPr>
          <w:rFonts w:ascii="Times New Roman" w:eastAsia="Times New Roman" w:hAnsi="Times New Roman" w:cs="Times New Roman"/>
          <w:bCs/>
          <w:sz w:val="20"/>
          <w:szCs w:val="20"/>
          <w:lang w:val="en-ID"/>
        </w:rPr>
        <w:t>):e</w:t>
      </w:r>
      <w:proofErr w:type="gramEnd"/>
      <w:r w:rsidRPr="00E7148D">
        <w:rPr>
          <w:rFonts w:ascii="Times New Roman" w:eastAsia="Times New Roman" w:hAnsi="Times New Roman" w:cs="Times New Roman"/>
          <w:bCs/>
          <w:sz w:val="20"/>
          <w:szCs w:val="20"/>
          <w:lang w:val="en-ID"/>
        </w:rPr>
        <w:t>193498.</w:t>
      </w:r>
    </w:p>
    <w:p w14:paraId="451A09D4" w14:textId="6DE16D33"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proofErr w:type="spellStart"/>
      <w:r w:rsidRPr="00E7148D">
        <w:rPr>
          <w:rFonts w:ascii="Times New Roman" w:eastAsia="Times New Roman" w:hAnsi="Times New Roman" w:cs="Times New Roman"/>
          <w:bCs/>
          <w:sz w:val="20"/>
          <w:szCs w:val="20"/>
          <w:lang w:val="en-ID"/>
        </w:rPr>
        <w:t>Echouffo-Tcheugui</w:t>
      </w:r>
      <w:proofErr w:type="spellEnd"/>
      <w:r w:rsidRPr="00E7148D">
        <w:rPr>
          <w:rFonts w:ascii="Times New Roman" w:eastAsia="Times New Roman" w:hAnsi="Times New Roman" w:cs="Times New Roman"/>
          <w:bCs/>
          <w:sz w:val="20"/>
          <w:szCs w:val="20"/>
          <w:lang w:val="en-ID"/>
        </w:rPr>
        <w:t xml:space="preserve"> JB, Selvin E. Prediabetes and what it means: The epidemiological evidence. </w:t>
      </w:r>
      <w:r w:rsidRPr="00E7148D">
        <w:rPr>
          <w:rFonts w:ascii="Times New Roman" w:eastAsia="Times New Roman" w:hAnsi="Times New Roman" w:cs="Times New Roman"/>
          <w:bCs/>
          <w:i/>
          <w:iCs/>
          <w:sz w:val="20"/>
          <w:szCs w:val="20"/>
          <w:lang w:val="en-ID"/>
        </w:rPr>
        <w:t>Annu Rev Public Health.</w:t>
      </w:r>
      <w:r w:rsidRPr="00E7148D">
        <w:rPr>
          <w:rFonts w:ascii="Times New Roman" w:eastAsia="Times New Roman" w:hAnsi="Times New Roman" w:cs="Times New Roman"/>
          <w:bCs/>
          <w:sz w:val="20"/>
          <w:szCs w:val="20"/>
          <w:lang w:val="en-ID"/>
        </w:rPr>
        <w:t xml:space="preserve"> </w:t>
      </w:r>
      <w:proofErr w:type="gramStart"/>
      <w:r w:rsidRPr="00E7148D">
        <w:rPr>
          <w:rFonts w:ascii="Times New Roman" w:eastAsia="Times New Roman" w:hAnsi="Times New Roman" w:cs="Times New Roman"/>
          <w:bCs/>
          <w:sz w:val="20"/>
          <w:szCs w:val="20"/>
          <w:lang w:val="en-ID"/>
        </w:rPr>
        <w:t>2021;42:59</w:t>
      </w:r>
      <w:proofErr w:type="gramEnd"/>
      <w:r w:rsidRPr="00E7148D">
        <w:rPr>
          <w:rFonts w:ascii="Times New Roman" w:eastAsia="Times New Roman" w:hAnsi="Times New Roman" w:cs="Times New Roman"/>
          <w:bCs/>
          <w:sz w:val="20"/>
          <w:szCs w:val="20"/>
          <w:lang w:val="en-ID"/>
        </w:rPr>
        <w:t>–77.</w:t>
      </w:r>
    </w:p>
    <w:p w14:paraId="12F7E176" w14:textId="61FEEBF4"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Sequeira IR, </w:t>
      </w:r>
      <w:proofErr w:type="spellStart"/>
      <w:r w:rsidRPr="00E7148D">
        <w:rPr>
          <w:rFonts w:ascii="Times New Roman" w:eastAsia="Times New Roman" w:hAnsi="Times New Roman" w:cs="Times New Roman"/>
          <w:bCs/>
          <w:sz w:val="20"/>
          <w:szCs w:val="20"/>
          <w:lang w:val="en-ID"/>
        </w:rPr>
        <w:t>Poppitt</w:t>
      </w:r>
      <w:proofErr w:type="spellEnd"/>
      <w:r w:rsidRPr="00E7148D">
        <w:rPr>
          <w:rFonts w:ascii="Times New Roman" w:eastAsia="Times New Roman" w:hAnsi="Times New Roman" w:cs="Times New Roman"/>
          <w:bCs/>
          <w:sz w:val="20"/>
          <w:szCs w:val="20"/>
          <w:lang w:val="en-ID"/>
        </w:rPr>
        <w:t xml:space="preserve"> SD. HbA1c as a marker of prediabetes: A reliable screening tool or not? </w:t>
      </w:r>
      <w:r w:rsidRPr="00E7148D">
        <w:rPr>
          <w:rFonts w:ascii="Times New Roman" w:eastAsia="Times New Roman" w:hAnsi="Times New Roman" w:cs="Times New Roman"/>
          <w:bCs/>
          <w:i/>
          <w:iCs/>
          <w:sz w:val="20"/>
          <w:szCs w:val="20"/>
          <w:lang w:val="en-ID"/>
        </w:rPr>
        <w:t xml:space="preserve">Insights </w:t>
      </w:r>
      <w:proofErr w:type="spellStart"/>
      <w:r w:rsidRPr="00E7148D">
        <w:rPr>
          <w:rFonts w:ascii="Times New Roman" w:eastAsia="Times New Roman" w:hAnsi="Times New Roman" w:cs="Times New Roman"/>
          <w:bCs/>
          <w:i/>
          <w:iCs/>
          <w:sz w:val="20"/>
          <w:szCs w:val="20"/>
          <w:lang w:val="en-ID"/>
        </w:rPr>
        <w:t>Nutr</w:t>
      </w:r>
      <w:proofErr w:type="spellEnd"/>
      <w:r w:rsidRPr="00E7148D">
        <w:rPr>
          <w:rFonts w:ascii="Times New Roman" w:eastAsia="Times New Roman" w:hAnsi="Times New Roman" w:cs="Times New Roman"/>
          <w:bCs/>
          <w:i/>
          <w:iCs/>
          <w:sz w:val="20"/>
          <w:szCs w:val="20"/>
          <w:lang w:val="en-ID"/>
        </w:rPr>
        <w:t xml:space="preserve"> </w:t>
      </w:r>
      <w:proofErr w:type="spellStart"/>
      <w:r w:rsidRPr="00E7148D">
        <w:rPr>
          <w:rFonts w:ascii="Times New Roman" w:eastAsia="Times New Roman" w:hAnsi="Times New Roman" w:cs="Times New Roman"/>
          <w:bCs/>
          <w:i/>
          <w:iCs/>
          <w:sz w:val="20"/>
          <w:szCs w:val="20"/>
          <w:lang w:val="en-ID"/>
        </w:rPr>
        <w:t>Metab</w:t>
      </w:r>
      <w:proofErr w:type="spellEnd"/>
      <w:r w:rsidRPr="00E7148D">
        <w:rPr>
          <w:rFonts w:ascii="Times New Roman" w:eastAsia="Times New Roman" w:hAnsi="Times New Roman" w:cs="Times New Roman"/>
          <w:bCs/>
          <w:i/>
          <w:iCs/>
          <w:sz w:val="20"/>
          <w:szCs w:val="20"/>
          <w:lang w:val="en-ID"/>
        </w:rPr>
        <w:t>.</w:t>
      </w:r>
      <w:r w:rsidRPr="00E7148D">
        <w:rPr>
          <w:rFonts w:ascii="Times New Roman" w:eastAsia="Times New Roman" w:hAnsi="Times New Roman" w:cs="Times New Roman"/>
          <w:bCs/>
          <w:sz w:val="20"/>
          <w:szCs w:val="20"/>
          <w:lang w:val="en-ID"/>
        </w:rPr>
        <w:t xml:space="preserve"> 2017;1(1):21–29.</w:t>
      </w:r>
    </w:p>
    <w:p w14:paraId="4A911E5E" w14:textId="78659796"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Dorcely B, Katz K, Jagannathan R, Chiang SS, Oluwadare B, Goldberg IJ, et al. Novel biomarkers for prediabetes, diabetes, and associated complications. </w:t>
      </w:r>
      <w:r w:rsidRPr="00E7148D">
        <w:rPr>
          <w:rFonts w:ascii="Times New Roman" w:eastAsia="Times New Roman" w:hAnsi="Times New Roman" w:cs="Times New Roman"/>
          <w:bCs/>
          <w:i/>
          <w:iCs/>
          <w:sz w:val="20"/>
          <w:szCs w:val="20"/>
          <w:lang w:val="en-ID"/>
        </w:rPr>
        <w:t xml:space="preserve">Diabetes </w:t>
      </w:r>
      <w:proofErr w:type="spellStart"/>
      <w:r w:rsidRPr="00E7148D">
        <w:rPr>
          <w:rFonts w:ascii="Times New Roman" w:eastAsia="Times New Roman" w:hAnsi="Times New Roman" w:cs="Times New Roman"/>
          <w:bCs/>
          <w:i/>
          <w:iCs/>
          <w:sz w:val="20"/>
          <w:szCs w:val="20"/>
          <w:lang w:val="en-ID"/>
        </w:rPr>
        <w:t>Metab</w:t>
      </w:r>
      <w:proofErr w:type="spellEnd"/>
      <w:r w:rsidRPr="00E7148D">
        <w:rPr>
          <w:rFonts w:ascii="Times New Roman" w:eastAsia="Times New Roman" w:hAnsi="Times New Roman" w:cs="Times New Roman"/>
          <w:bCs/>
          <w:i/>
          <w:iCs/>
          <w:sz w:val="20"/>
          <w:szCs w:val="20"/>
          <w:lang w:val="en-ID"/>
        </w:rPr>
        <w:t xml:space="preserve"> Syndr </w:t>
      </w:r>
      <w:proofErr w:type="spellStart"/>
      <w:r w:rsidRPr="00E7148D">
        <w:rPr>
          <w:rFonts w:ascii="Times New Roman" w:eastAsia="Times New Roman" w:hAnsi="Times New Roman" w:cs="Times New Roman"/>
          <w:bCs/>
          <w:i/>
          <w:iCs/>
          <w:sz w:val="20"/>
          <w:szCs w:val="20"/>
          <w:lang w:val="en-ID"/>
        </w:rPr>
        <w:t>Obes</w:t>
      </w:r>
      <w:proofErr w:type="spellEnd"/>
      <w:r w:rsidRPr="00E7148D">
        <w:rPr>
          <w:rFonts w:ascii="Times New Roman" w:eastAsia="Times New Roman" w:hAnsi="Times New Roman" w:cs="Times New Roman"/>
          <w:bCs/>
          <w:i/>
          <w:iCs/>
          <w:sz w:val="20"/>
          <w:szCs w:val="20"/>
          <w:lang w:val="en-ID"/>
        </w:rPr>
        <w:t>.</w:t>
      </w:r>
      <w:r w:rsidRPr="00E7148D">
        <w:rPr>
          <w:rFonts w:ascii="Times New Roman" w:eastAsia="Times New Roman" w:hAnsi="Times New Roman" w:cs="Times New Roman"/>
          <w:bCs/>
          <w:sz w:val="20"/>
          <w:szCs w:val="20"/>
          <w:lang w:val="en-ID"/>
        </w:rPr>
        <w:t xml:space="preserve"> </w:t>
      </w:r>
      <w:proofErr w:type="gramStart"/>
      <w:r w:rsidRPr="00E7148D">
        <w:rPr>
          <w:rFonts w:ascii="Times New Roman" w:eastAsia="Times New Roman" w:hAnsi="Times New Roman" w:cs="Times New Roman"/>
          <w:bCs/>
          <w:sz w:val="20"/>
          <w:szCs w:val="20"/>
          <w:lang w:val="en-ID"/>
        </w:rPr>
        <w:t>2017;10:345</w:t>
      </w:r>
      <w:proofErr w:type="gramEnd"/>
      <w:r w:rsidRPr="00E7148D">
        <w:rPr>
          <w:rFonts w:ascii="Times New Roman" w:eastAsia="Times New Roman" w:hAnsi="Times New Roman" w:cs="Times New Roman"/>
          <w:bCs/>
          <w:sz w:val="20"/>
          <w:szCs w:val="20"/>
          <w:lang w:val="en-ID"/>
        </w:rPr>
        <w:t>–361.</w:t>
      </w:r>
    </w:p>
    <w:p w14:paraId="3C46E653" w14:textId="4CFC9947"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Selvin E, Rawlings AM, Grams M, Klein R, Steffes M, Coresh J. Association of 1,5-anhydroglucitol with diabetes and microvascular conditions. </w:t>
      </w:r>
      <w:r w:rsidRPr="00E7148D">
        <w:rPr>
          <w:rFonts w:ascii="Times New Roman" w:eastAsia="Times New Roman" w:hAnsi="Times New Roman" w:cs="Times New Roman"/>
          <w:bCs/>
          <w:i/>
          <w:iCs/>
          <w:sz w:val="20"/>
          <w:szCs w:val="20"/>
          <w:lang w:val="en-ID"/>
        </w:rPr>
        <w:t>Clin Chem.</w:t>
      </w:r>
      <w:r w:rsidRPr="00E7148D">
        <w:rPr>
          <w:rFonts w:ascii="Times New Roman" w:eastAsia="Times New Roman" w:hAnsi="Times New Roman" w:cs="Times New Roman"/>
          <w:bCs/>
          <w:sz w:val="20"/>
          <w:szCs w:val="20"/>
          <w:lang w:val="en-ID"/>
        </w:rPr>
        <w:t xml:space="preserve"> 2015;60(11):1409–1418.</w:t>
      </w:r>
    </w:p>
    <w:p w14:paraId="06FEC065" w14:textId="0688C6C2"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proofErr w:type="spellStart"/>
      <w:r w:rsidRPr="00E7148D">
        <w:rPr>
          <w:rFonts w:ascii="Times New Roman" w:eastAsia="Times New Roman" w:hAnsi="Times New Roman" w:cs="Times New Roman"/>
          <w:bCs/>
          <w:sz w:val="20"/>
          <w:szCs w:val="20"/>
          <w:lang w:val="en-ID"/>
        </w:rPr>
        <w:t>Pramodkumar</w:t>
      </w:r>
      <w:proofErr w:type="spellEnd"/>
      <w:r w:rsidRPr="00E7148D">
        <w:rPr>
          <w:rFonts w:ascii="Times New Roman" w:eastAsia="Times New Roman" w:hAnsi="Times New Roman" w:cs="Times New Roman"/>
          <w:bCs/>
          <w:sz w:val="20"/>
          <w:szCs w:val="20"/>
          <w:lang w:val="en-ID"/>
        </w:rPr>
        <w:t xml:space="preserve"> TA, Jayashri R, Gokulakrishnan K. Relationship of </w:t>
      </w:r>
      <w:proofErr w:type="spellStart"/>
      <w:r w:rsidRPr="00E7148D">
        <w:rPr>
          <w:rFonts w:ascii="Times New Roman" w:eastAsia="Times New Roman" w:hAnsi="Times New Roman" w:cs="Times New Roman"/>
          <w:bCs/>
          <w:sz w:val="20"/>
          <w:szCs w:val="20"/>
          <w:lang w:val="en-ID"/>
        </w:rPr>
        <w:t>glycemic</w:t>
      </w:r>
      <w:proofErr w:type="spellEnd"/>
      <w:r w:rsidRPr="00E7148D">
        <w:rPr>
          <w:rFonts w:ascii="Times New Roman" w:eastAsia="Times New Roman" w:hAnsi="Times New Roman" w:cs="Times New Roman"/>
          <w:bCs/>
          <w:sz w:val="20"/>
          <w:szCs w:val="20"/>
          <w:lang w:val="en-ID"/>
        </w:rPr>
        <w:t xml:space="preserve"> control markers—</w:t>
      </w:r>
      <w:proofErr w:type="spellStart"/>
      <w:r w:rsidRPr="00E7148D">
        <w:rPr>
          <w:rFonts w:ascii="Times New Roman" w:eastAsia="Times New Roman" w:hAnsi="Times New Roman" w:cs="Times New Roman"/>
          <w:bCs/>
          <w:sz w:val="20"/>
          <w:szCs w:val="20"/>
          <w:lang w:val="en-ID"/>
        </w:rPr>
        <w:t>hemoglobin</w:t>
      </w:r>
      <w:proofErr w:type="spellEnd"/>
      <w:r w:rsidRPr="00E7148D">
        <w:rPr>
          <w:rFonts w:ascii="Times New Roman" w:eastAsia="Times New Roman" w:hAnsi="Times New Roman" w:cs="Times New Roman"/>
          <w:bCs/>
          <w:sz w:val="20"/>
          <w:szCs w:val="20"/>
          <w:lang w:val="en-ID"/>
        </w:rPr>
        <w:t xml:space="preserve"> A1c and 1,5-anhydroglucitol among Asian Indians with different degrees of glucose intolerance. </w:t>
      </w:r>
      <w:r w:rsidRPr="00E7148D">
        <w:rPr>
          <w:rFonts w:ascii="Times New Roman" w:eastAsia="Times New Roman" w:hAnsi="Times New Roman" w:cs="Times New Roman"/>
          <w:bCs/>
          <w:i/>
          <w:iCs/>
          <w:sz w:val="20"/>
          <w:szCs w:val="20"/>
          <w:lang w:val="en-ID"/>
        </w:rPr>
        <w:t>J Assoc Physicians India.</w:t>
      </w:r>
      <w:r w:rsidRPr="00E7148D">
        <w:rPr>
          <w:rFonts w:ascii="Times New Roman" w:eastAsia="Times New Roman" w:hAnsi="Times New Roman" w:cs="Times New Roman"/>
          <w:bCs/>
          <w:sz w:val="20"/>
          <w:szCs w:val="20"/>
          <w:lang w:val="en-ID"/>
        </w:rPr>
        <w:t xml:space="preserve"> 2016;64(6):690–695.</w:t>
      </w:r>
    </w:p>
    <w:p w14:paraId="762785AE" w14:textId="4879AE51"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proofErr w:type="spellStart"/>
      <w:r w:rsidRPr="00E7148D">
        <w:rPr>
          <w:rFonts w:ascii="Times New Roman" w:eastAsia="Times New Roman" w:hAnsi="Times New Roman" w:cs="Times New Roman"/>
          <w:bCs/>
          <w:sz w:val="20"/>
          <w:szCs w:val="20"/>
          <w:lang w:val="en-ID"/>
        </w:rPr>
        <w:t>Kitchlew</w:t>
      </w:r>
      <w:proofErr w:type="spellEnd"/>
      <w:r w:rsidRPr="00E7148D">
        <w:rPr>
          <w:rFonts w:ascii="Times New Roman" w:eastAsia="Times New Roman" w:hAnsi="Times New Roman" w:cs="Times New Roman"/>
          <w:bCs/>
          <w:sz w:val="20"/>
          <w:szCs w:val="20"/>
          <w:lang w:val="en-ID"/>
        </w:rPr>
        <w:t xml:space="preserve"> R, Zeeshan A, Chachar K, Haider M, Saleem AR, Mirza MS, et al. Pre-diabetes: Frequency and associated risk factors. </w:t>
      </w:r>
      <w:r w:rsidRPr="00E7148D">
        <w:rPr>
          <w:rFonts w:ascii="Times New Roman" w:eastAsia="Times New Roman" w:hAnsi="Times New Roman" w:cs="Times New Roman"/>
          <w:bCs/>
          <w:i/>
          <w:iCs/>
          <w:sz w:val="20"/>
          <w:szCs w:val="20"/>
          <w:lang w:val="en-ID"/>
        </w:rPr>
        <w:t>Pak J Med Health Sci.</w:t>
      </w:r>
      <w:r w:rsidRPr="00E7148D">
        <w:rPr>
          <w:rFonts w:ascii="Times New Roman" w:eastAsia="Times New Roman" w:hAnsi="Times New Roman" w:cs="Times New Roman"/>
          <w:bCs/>
          <w:sz w:val="20"/>
          <w:szCs w:val="20"/>
          <w:lang w:val="en-ID"/>
        </w:rPr>
        <w:t xml:space="preserve"> 2017;11(4):1860–1866.</w:t>
      </w:r>
    </w:p>
    <w:p w14:paraId="65405DBE" w14:textId="53DB07CC"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Peltzer K, </w:t>
      </w:r>
      <w:proofErr w:type="spellStart"/>
      <w:r w:rsidRPr="00E7148D">
        <w:rPr>
          <w:rFonts w:ascii="Times New Roman" w:eastAsia="Times New Roman" w:hAnsi="Times New Roman" w:cs="Times New Roman"/>
          <w:bCs/>
          <w:sz w:val="20"/>
          <w:szCs w:val="20"/>
          <w:lang w:val="en-ID"/>
        </w:rPr>
        <w:t>Pengpid</w:t>
      </w:r>
      <w:proofErr w:type="spellEnd"/>
      <w:r w:rsidRPr="00E7148D">
        <w:rPr>
          <w:rFonts w:ascii="Times New Roman" w:eastAsia="Times New Roman" w:hAnsi="Times New Roman" w:cs="Times New Roman"/>
          <w:bCs/>
          <w:sz w:val="20"/>
          <w:szCs w:val="20"/>
          <w:lang w:val="en-ID"/>
        </w:rPr>
        <w:t xml:space="preserve"> S, Samuels TA, Özcan NK, Mantilla C, </w:t>
      </w:r>
      <w:proofErr w:type="spellStart"/>
      <w:r w:rsidRPr="00E7148D">
        <w:rPr>
          <w:rFonts w:ascii="Times New Roman" w:eastAsia="Times New Roman" w:hAnsi="Times New Roman" w:cs="Times New Roman"/>
          <w:bCs/>
          <w:sz w:val="20"/>
          <w:szCs w:val="20"/>
          <w:lang w:val="en-ID"/>
        </w:rPr>
        <w:t>Rahamefy</w:t>
      </w:r>
      <w:proofErr w:type="spellEnd"/>
      <w:r w:rsidRPr="00E7148D">
        <w:rPr>
          <w:rFonts w:ascii="Times New Roman" w:eastAsia="Times New Roman" w:hAnsi="Times New Roman" w:cs="Times New Roman"/>
          <w:bCs/>
          <w:sz w:val="20"/>
          <w:szCs w:val="20"/>
          <w:lang w:val="en-ID"/>
        </w:rPr>
        <w:t xml:space="preserve"> OH, et al. Prevalence of overweight/obesity and its associated factors among university students from 22 countries. </w:t>
      </w:r>
      <w:r w:rsidRPr="00E7148D">
        <w:rPr>
          <w:rFonts w:ascii="Times New Roman" w:eastAsia="Times New Roman" w:hAnsi="Times New Roman" w:cs="Times New Roman"/>
          <w:bCs/>
          <w:i/>
          <w:iCs/>
          <w:sz w:val="20"/>
          <w:szCs w:val="20"/>
          <w:lang w:val="en-ID"/>
        </w:rPr>
        <w:t>Int J Environ Res Public Health.</w:t>
      </w:r>
      <w:r w:rsidRPr="00E7148D">
        <w:rPr>
          <w:rFonts w:ascii="Times New Roman" w:eastAsia="Times New Roman" w:hAnsi="Times New Roman" w:cs="Times New Roman"/>
          <w:bCs/>
          <w:sz w:val="20"/>
          <w:szCs w:val="20"/>
          <w:lang w:val="en-ID"/>
        </w:rPr>
        <w:t xml:space="preserve"> 2014;11(7):7425–7441.</w:t>
      </w:r>
    </w:p>
    <w:p w14:paraId="715933D6" w14:textId="3EEBB326"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proofErr w:type="spellStart"/>
      <w:r w:rsidRPr="00E7148D">
        <w:rPr>
          <w:rFonts w:ascii="Times New Roman" w:eastAsia="Times New Roman" w:hAnsi="Times New Roman" w:cs="Times New Roman"/>
          <w:bCs/>
          <w:sz w:val="20"/>
          <w:szCs w:val="20"/>
          <w:lang w:val="en-ID"/>
        </w:rPr>
        <w:t>Kruszon</w:t>
      </w:r>
      <w:proofErr w:type="spellEnd"/>
      <w:r w:rsidRPr="00E7148D">
        <w:rPr>
          <w:rFonts w:ascii="Times New Roman" w:eastAsia="Times New Roman" w:hAnsi="Times New Roman" w:cs="Times New Roman"/>
          <w:bCs/>
          <w:sz w:val="20"/>
          <w:szCs w:val="20"/>
          <w:lang w:val="en-ID"/>
        </w:rPr>
        <w:t xml:space="preserve">-Moran D, Carroll MD, Fryar CD, Ogden CL. Trends in obesity among adults in the United States, 2005 to 2014. </w:t>
      </w:r>
      <w:r w:rsidRPr="00E7148D">
        <w:rPr>
          <w:rFonts w:ascii="Times New Roman" w:eastAsia="Times New Roman" w:hAnsi="Times New Roman" w:cs="Times New Roman"/>
          <w:bCs/>
          <w:i/>
          <w:iCs/>
          <w:sz w:val="20"/>
          <w:szCs w:val="20"/>
          <w:lang w:val="en-ID"/>
        </w:rPr>
        <w:t>JAMA.</w:t>
      </w:r>
      <w:r w:rsidRPr="00E7148D">
        <w:rPr>
          <w:rFonts w:ascii="Times New Roman" w:eastAsia="Times New Roman" w:hAnsi="Times New Roman" w:cs="Times New Roman"/>
          <w:bCs/>
          <w:sz w:val="20"/>
          <w:szCs w:val="20"/>
          <w:lang w:val="en-ID"/>
        </w:rPr>
        <w:t xml:space="preserve"> 2024;315(21):2284–2291.</w:t>
      </w:r>
    </w:p>
    <w:p w14:paraId="06269594" w14:textId="42E89F65"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proofErr w:type="spellStart"/>
      <w:r w:rsidRPr="00E7148D">
        <w:rPr>
          <w:rFonts w:ascii="Times New Roman" w:eastAsia="Times New Roman" w:hAnsi="Times New Roman" w:cs="Times New Roman"/>
          <w:bCs/>
          <w:sz w:val="20"/>
          <w:szCs w:val="20"/>
          <w:lang w:val="en-ID"/>
        </w:rPr>
        <w:t>Muscogiuri</w:t>
      </w:r>
      <w:proofErr w:type="spellEnd"/>
      <w:r w:rsidRPr="00E7148D">
        <w:rPr>
          <w:rFonts w:ascii="Times New Roman" w:eastAsia="Times New Roman" w:hAnsi="Times New Roman" w:cs="Times New Roman"/>
          <w:bCs/>
          <w:sz w:val="20"/>
          <w:szCs w:val="20"/>
          <w:lang w:val="en-ID"/>
        </w:rPr>
        <w:t xml:space="preserve"> G, Verde L, </w:t>
      </w:r>
      <w:proofErr w:type="spellStart"/>
      <w:r w:rsidRPr="00E7148D">
        <w:rPr>
          <w:rFonts w:ascii="Times New Roman" w:eastAsia="Times New Roman" w:hAnsi="Times New Roman" w:cs="Times New Roman"/>
          <w:bCs/>
          <w:sz w:val="20"/>
          <w:szCs w:val="20"/>
          <w:lang w:val="en-ID"/>
        </w:rPr>
        <w:t>Vetrani</w:t>
      </w:r>
      <w:proofErr w:type="spellEnd"/>
      <w:r w:rsidRPr="00E7148D">
        <w:rPr>
          <w:rFonts w:ascii="Times New Roman" w:eastAsia="Times New Roman" w:hAnsi="Times New Roman" w:cs="Times New Roman"/>
          <w:bCs/>
          <w:sz w:val="20"/>
          <w:szCs w:val="20"/>
          <w:lang w:val="en-ID"/>
        </w:rPr>
        <w:t xml:space="preserve"> C, Barrea L, Savastano S, Colao A. Obesity: A gender-related disease. </w:t>
      </w:r>
      <w:r w:rsidRPr="00E7148D">
        <w:rPr>
          <w:rFonts w:ascii="Times New Roman" w:eastAsia="Times New Roman" w:hAnsi="Times New Roman" w:cs="Times New Roman"/>
          <w:bCs/>
          <w:i/>
          <w:iCs/>
          <w:sz w:val="20"/>
          <w:szCs w:val="20"/>
          <w:lang w:val="en-ID"/>
        </w:rPr>
        <w:t>J Endocrinol Invest.</w:t>
      </w:r>
      <w:r w:rsidRPr="00E7148D">
        <w:rPr>
          <w:rFonts w:ascii="Times New Roman" w:eastAsia="Times New Roman" w:hAnsi="Times New Roman" w:cs="Times New Roman"/>
          <w:bCs/>
          <w:sz w:val="20"/>
          <w:szCs w:val="20"/>
          <w:lang w:val="en-ID"/>
        </w:rPr>
        <w:t xml:space="preserve"> </w:t>
      </w:r>
      <w:proofErr w:type="gramStart"/>
      <w:r w:rsidRPr="00E7148D">
        <w:rPr>
          <w:rFonts w:ascii="Times New Roman" w:eastAsia="Times New Roman" w:hAnsi="Times New Roman" w:cs="Times New Roman"/>
          <w:bCs/>
          <w:sz w:val="20"/>
          <w:szCs w:val="20"/>
          <w:lang w:val="en-ID"/>
        </w:rPr>
        <w:t>2023;46:1</w:t>
      </w:r>
      <w:proofErr w:type="gramEnd"/>
      <w:r w:rsidRPr="00E7148D">
        <w:rPr>
          <w:rFonts w:ascii="Times New Roman" w:eastAsia="Times New Roman" w:hAnsi="Times New Roman" w:cs="Times New Roman"/>
          <w:bCs/>
          <w:sz w:val="20"/>
          <w:szCs w:val="20"/>
          <w:lang w:val="en-ID"/>
        </w:rPr>
        <w:t>–10.</w:t>
      </w:r>
    </w:p>
    <w:p w14:paraId="1144F38F" w14:textId="75549B21"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proofErr w:type="spellStart"/>
      <w:r w:rsidRPr="00E7148D">
        <w:rPr>
          <w:rFonts w:ascii="Times New Roman" w:eastAsia="Times New Roman" w:hAnsi="Times New Roman" w:cs="Times New Roman"/>
          <w:bCs/>
          <w:sz w:val="20"/>
          <w:szCs w:val="20"/>
          <w:lang w:val="en-ID"/>
        </w:rPr>
        <w:t>Tramunt</w:t>
      </w:r>
      <w:proofErr w:type="spellEnd"/>
      <w:r w:rsidRPr="00E7148D">
        <w:rPr>
          <w:rFonts w:ascii="Times New Roman" w:eastAsia="Times New Roman" w:hAnsi="Times New Roman" w:cs="Times New Roman"/>
          <w:bCs/>
          <w:sz w:val="20"/>
          <w:szCs w:val="20"/>
          <w:lang w:val="en-ID"/>
        </w:rPr>
        <w:t xml:space="preserve"> B, </w:t>
      </w:r>
      <w:proofErr w:type="spellStart"/>
      <w:r w:rsidRPr="00E7148D">
        <w:rPr>
          <w:rFonts w:ascii="Times New Roman" w:eastAsia="Times New Roman" w:hAnsi="Times New Roman" w:cs="Times New Roman"/>
          <w:bCs/>
          <w:sz w:val="20"/>
          <w:szCs w:val="20"/>
          <w:lang w:val="en-ID"/>
        </w:rPr>
        <w:t>Smati</w:t>
      </w:r>
      <w:proofErr w:type="spellEnd"/>
      <w:r w:rsidRPr="00E7148D">
        <w:rPr>
          <w:rFonts w:ascii="Times New Roman" w:eastAsia="Times New Roman" w:hAnsi="Times New Roman" w:cs="Times New Roman"/>
          <w:bCs/>
          <w:sz w:val="20"/>
          <w:szCs w:val="20"/>
          <w:lang w:val="en-ID"/>
        </w:rPr>
        <w:t xml:space="preserve"> S, Grandgeorge N, </w:t>
      </w:r>
      <w:proofErr w:type="spellStart"/>
      <w:r w:rsidRPr="00E7148D">
        <w:rPr>
          <w:rFonts w:ascii="Times New Roman" w:eastAsia="Times New Roman" w:hAnsi="Times New Roman" w:cs="Times New Roman"/>
          <w:bCs/>
          <w:sz w:val="20"/>
          <w:szCs w:val="20"/>
          <w:lang w:val="en-ID"/>
        </w:rPr>
        <w:t>Lenfant</w:t>
      </w:r>
      <w:proofErr w:type="spellEnd"/>
      <w:r w:rsidRPr="00E7148D">
        <w:rPr>
          <w:rFonts w:ascii="Times New Roman" w:eastAsia="Times New Roman" w:hAnsi="Times New Roman" w:cs="Times New Roman"/>
          <w:bCs/>
          <w:sz w:val="20"/>
          <w:szCs w:val="20"/>
          <w:lang w:val="en-ID"/>
        </w:rPr>
        <w:t xml:space="preserve"> F, Arnal JF, Montagner A, et al. Sex differences in metabolic regulation and diabetes susceptibility. </w:t>
      </w:r>
      <w:proofErr w:type="spellStart"/>
      <w:r w:rsidRPr="00E7148D">
        <w:rPr>
          <w:rFonts w:ascii="Times New Roman" w:eastAsia="Times New Roman" w:hAnsi="Times New Roman" w:cs="Times New Roman"/>
          <w:bCs/>
          <w:i/>
          <w:iCs/>
          <w:sz w:val="20"/>
          <w:szCs w:val="20"/>
          <w:lang w:val="en-ID"/>
        </w:rPr>
        <w:t>Diabetologia</w:t>
      </w:r>
      <w:proofErr w:type="spellEnd"/>
      <w:r w:rsidRPr="00E7148D">
        <w:rPr>
          <w:rFonts w:ascii="Times New Roman" w:eastAsia="Times New Roman" w:hAnsi="Times New Roman" w:cs="Times New Roman"/>
          <w:bCs/>
          <w:i/>
          <w:iCs/>
          <w:sz w:val="20"/>
          <w:szCs w:val="20"/>
          <w:lang w:val="en-ID"/>
        </w:rPr>
        <w:t>.</w:t>
      </w:r>
      <w:r w:rsidRPr="00E7148D">
        <w:rPr>
          <w:rFonts w:ascii="Times New Roman" w:eastAsia="Times New Roman" w:hAnsi="Times New Roman" w:cs="Times New Roman"/>
          <w:bCs/>
          <w:sz w:val="20"/>
          <w:szCs w:val="20"/>
          <w:lang w:val="en-ID"/>
        </w:rPr>
        <w:t xml:space="preserve"> </w:t>
      </w:r>
      <w:proofErr w:type="gramStart"/>
      <w:r w:rsidRPr="00E7148D">
        <w:rPr>
          <w:rFonts w:ascii="Times New Roman" w:eastAsia="Times New Roman" w:hAnsi="Times New Roman" w:cs="Times New Roman"/>
          <w:bCs/>
          <w:sz w:val="20"/>
          <w:szCs w:val="20"/>
          <w:lang w:val="en-ID"/>
        </w:rPr>
        <w:t>2020;63:453</w:t>
      </w:r>
      <w:proofErr w:type="gramEnd"/>
      <w:r w:rsidRPr="00E7148D">
        <w:rPr>
          <w:rFonts w:ascii="Times New Roman" w:eastAsia="Times New Roman" w:hAnsi="Times New Roman" w:cs="Times New Roman"/>
          <w:bCs/>
          <w:sz w:val="20"/>
          <w:szCs w:val="20"/>
          <w:lang w:val="en-ID"/>
        </w:rPr>
        <w:t>–461.</w:t>
      </w:r>
    </w:p>
    <w:p w14:paraId="1D406F8C" w14:textId="3F2FBD6F"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Decroli E, Aprilia D, Kam A, </w:t>
      </w:r>
      <w:proofErr w:type="spellStart"/>
      <w:r w:rsidRPr="00E7148D">
        <w:rPr>
          <w:rFonts w:ascii="Times New Roman" w:eastAsia="Times New Roman" w:hAnsi="Times New Roman" w:cs="Times New Roman"/>
          <w:bCs/>
          <w:sz w:val="20"/>
          <w:szCs w:val="20"/>
          <w:lang w:val="en-ID"/>
        </w:rPr>
        <w:t>Rahmadi</w:t>
      </w:r>
      <w:proofErr w:type="spellEnd"/>
      <w:r w:rsidRPr="00E7148D">
        <w:rPr>
          <w:rFonts w:ascii="Times New Roman" w:eastAsia="Times New Roman" w:hAnsi="Times New Roman" w:cs="Times New Roman"/>
          <w:bCs/>
          <w:sz w:val="20"/>
          <w:szCs w:val="20"/>
          <w:lang w:val="en-ID"/>
        </w:rPr>
        <w:t xml:space="preserve"> A. Body mass index and total testosterone level in obese male pre-diabetic patients: Correlation with homeostasis model assessment of insulin resistance. </w:t>
      </w:r>
      <w:r w:rsidRPr="00E7148D">
        <w:rPr>
          <w:rFonts w:ascii="Times New Roman" w:eastAsia="Times New Roman" w:hAnsi="Times New Roman" w:cs="Times New Roman"/>
          <w:bCs/>
          <w:i/>
          <w:iCs/>
          <w:sz w:val="20"/>
          <w:szCs w:val="20"/>
          <w:lang w:val="en-ID"/>
        </w:rPr>
        <w:t>J Clin Transl Endocrinol.</w:t>
      </w:r>
      <w:r w:rsidRPr="00E7148D">
        <w:rPr>
          <w:rFonts w:ascii="Times New Roman" w:eastAsia="Times New Roman" w:hAnsi="Times New Roman" w:cs="Times New Roman"/>
          <w:bCs/>
          <w:sz w:val="20"/>
          <w:szCs w:val="20"/>
          <w:lang w:val="en-ID"/>
        </w:rPr>
        <w:t xml:space="preserve"> 2024;13(1):427–430.</w:t>
      </w:r>
    </w:p>
    <w:p w14:paraId="4C0402FC" w14:textId="6F556168"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proofErr w:type="spellStart"/>
      <w:r w:rsidRPr="00E7148D">
        <w:rPr>
          <w:rFonts w:ascii="Times New Roman" w:eastAsia="Times New Roman" w:hAnsi="Times New Roman" w:cs="Times New Roman"/>
          <w:bCs/>
          <w:sz w:val="20"/>
          <w:szCs w:val="20"/>
          <w:lang w:val="en-ID"/>
        </w:rPr>
        <w:t>Guthold</w:t>
      </w:r>
      <w:proofErr w:type="spellEnd"/>
      <w:r w:rsidRPr="00E7148D">
        <w:rPr>
          <w:rFonts w:ascii="Times New Roman" w:eastAsia="Times New Roman" w:hAnsi="Times New Roman" w:cs="Times New Roman"/>
          <w:bCs/>
          <w:sz w:val="20"/>
          <w:szCs w:val="20"/>
          <w:lang w:val="en-ID"/>
        </w:rPr>
        <w:t xml:space="preserve"> R, Stevens GA, Riley LM, Bull FC. Global trends in insufficient physical activity among adolescents: A pooled analysis of 298 population-based surveys with 1.6 million participants. </w:t>
      </w:r>
      <w:r w:rsidRPr="00E7148D">
        <w:rPr>
          <w:rFonts w:ascii="Times New Roman" w:eastAsia="Times New Roman" w:hAnsi="Times New Roman" w:cs="Times New Roman"/>
          <w:bCs/>
          <w:i/>
          <w:iCs/>
          <w:sz w:val="20"/>
          <w:szCs w:val="20"/>
          <w:lang w:val="en-ID"/>
        </w:rPr>
        <w:t xml:space="preserve">Lancet Child </w:t>
      </w:r>
      <w:proofErr w:type="spellStart"/>
      <w:r w:rsidRPr="00E7148D">
        <w:rPr>
          <w:rFonts w:ascii="Times New Roman" w:eastAsia="Times New Roman" w:hAnsi="Times New Roman" w:cs="Times New Roman"/>
          <w:bCs/>
          <w:i/>
          <w:iCs/>
          <w:sz w:val="20"/>
          <w:szCs w:val="20"/>
          <w:lang w:val="en-ID"/>
        </w:rPr>
        <w:t>Adolesc</w:t>
      </w:r>
      <w:proofErr w:type="spellEnd"/>
      <w:r w:rsidRPr="00E7148D">
        <w:rPr>
          <w:rFonts w:ascii="Times New Roman" w:eastAsia="Times New Roman" w:hAnsi="Times New Roman" w:cs="Times New Roman"/>
          <w:bCs/>
          <w:i/>
          <w:iCs/>
          <w:sz w:val="20"/>
          <w:szCs w:val="20"/>
          <w:lang w:val="en-ID"/>
        </w:rPr>
        <w:t xml:space="preserve"> Health.</w:t>
      </w:r>
      <w:r w:rsidRPr="00E7148D">
        <w:rPr>
          <w:rFonts w:ascii="Times New Roman" w:eastAsia="Times New Roman" w:hAnsi="Times New Roman" w:cs="Times New Roman"/>
          <w:bCs/>
          <w:sz w:val="20"/>
          <w:szCs w:val="20"/>
          <w:lang w:val="en-ID"/>
        </w:rPr>
        <w:t xml:space="preserve"> 2020;4(1):23–35.</w:t>
      </w:r>
    </w:p>
    <w:p w14:paraId="50F34F11" w14:textId="7DA523EA"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D’Adamo E, Caprio S. Type 2 diabetes in youth: Epidemiology and pathophysiology. </w:t>
      </w:r>
      <w:r w:rsidRPr="00E7148D">
        <w:rPr>
          <w:rFonts w:ascii="Times New Roman" w:eastAsia="Times New Roman" w:hAnsi="Times New Roman" w:cs="Times New Roman"/>
          <w:bCs/>
          <w:i/>
          <w:iCs/>
          <w:sz w:val="20"/>
          <w:szCs w:val="20"/>
          <w:lang w:val="en-ID"/>
        </w:rPr>
        <w:t>Diabetes Care.</w:t>
      </w:r>
      <w:r w:rsidRPr="00E7148D">
        <w:rPr>
          <w:rFonts w:ascii="Times New Roman" w:eastAsia="Times New Roman" w:hAnsi="Times New Roman" w:cs="Times New Roman"/>
          <w:bCs/>
          <w:sz w:val="20"/>
          <w:szCs w:val="20"/>
          <w:lang w:val="en-ID"/>
        </w:rPr>
        <w:t xml:space="preserve"> 2011;34(</w:t>
      </w:r>
      <w:proofErr w:type="spellStart"/>
      <w:r w:rsidRPr="00E7148D">
        <w:rPr>
          <w:rFonts w:ascii="Times New Roman" w:eastAsia="Times New Roman" w:hAnsi="Times New Roman" w:cs="Times New Roman"/>
          <w:bCs/>
          <w:sz w:val="20"/>
          <w:szCs w:val="20"/>
          <w:lang w:val="en-ID"/>
        </w:rPr>
        <w:t>Suppl</w:t>
      </w:r>
      <w:proofErr w:type="spellEnd"/>
      <w:r w:rsidRPr="00E7148D">
        <w:rPr>
          <w:rFonts w:ascii="Times New Roman" w:eastAsia="Times New Roman" w:hAnsi="Times New Roman" w:cs="Times New Roman"/>
          <w:bCs/>
          <w:sz w:val="20"/>
          <w:szCs w:val="20"/>
          <w:lang w:val="en-ID"/>
        </w:rPr>
        <w:t xml:space="preserve"> 2</w:t>
      </w:r>
      <w:proofErr w:type="gramStart"/>
      <w:r w:rsidRPr="00E7148D">
        <w:rPr>
          <w:rFonts w:ascii="Times New Roman" w:eastAsia="Times New Roman" w:hAnsi="Times New Roman" w:cs="Times New Roman"/>
          <w:bCs/>
          <w:sz w:val="20"/>
          <w:szCs w:val="20"/>
          <w:lang w:val="en-ID"/>
        </w:rPr>
        <w:t>):S</w:t>
      </w:r>
      <w:proofErr w:type="gramEnd"/>
      <w:r w:rsidRPr="00E7148D">
        <w:rPr>
          <w:rFonts w:ascii="Times New Roman" w:eastAsia="Times New Roman" w:hAnsi="Times New Roman" w:cs="Times New Roman"/>
          <w:bCs/>
          <w:sz w:val="20"/>
          <w:szCs w:val="20"/>
          <w:lang w:val="en-ID"/>
        </w:rPr>
        <w:t>161–S165.</w:t>
      </w:r>
    </w:p>
    <w:p w14:paraId="212D30FE" w14:textId="1A287055"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Weiss R, Dufour S, </w:t>
      </w:r>
      <w:proofErr w:type="spellStart"/>
      <w:r w:rsidRPr="00E7148D">
        <w:rPr>
          <w:rFonts w:ascii="Times New Roman" w:eastAsia="Times New Roman" w:hAnsi="Times New Roman" w:cs="Times New Roman"/>
          <w:bCs/>
          <w:sz w:val="20"/>
          <w:szCs w:val="20"/>
          <w:lang w:val="en-ID"/>
        </w:rPr>
        <w:t>Taksali</w:t>
      </w:r>
      <w:proofErr w:type="spellEnd"/>
      <w:r w:rsidRPr="00E7148D">
        <w:rPr>
          <w:rFonts w:ascii="Times New Roman" w:eastAsia="Times New Roman" w:hAnsi="Times New Roman" w:cs="Times New Roman"/>
          <w:bCs/>
          <w:sz w:val="20"/>
          <w:szCs w:val="20"/>
          <w:lang w:val="en-ID"/>
        </w:rPr>
        <w:t xml:space="preserve"> SE, Tamborlane WV, Petersen KF, Bonadonna RC, et al. Prediabetes in obese youth: A syndrome of impaired glucose tolerance, severe insulin resistance, and altered myocellular and abdominal fat partitioning. </w:t>
      </w:r>
      <w:r w:rsidRPr="00E7148D">
        <w:rPr>
          <w:rFonts w:ascii="Times New Roman" w:eastAsia="Times New Roman" w:hAnsi="Times New Roman" w:cs="Times New Roman"/>
          <w:bCs/>
          <w:i/>
          <w:iCs/>
          <w:sz w:val="20"/>
          <w:szCs w:val="20"/>
          <w:lang w:val="en-ID"/>
        </w:rPr>
        <w:t>Lancet.</w:t>
      </w:r>
      <w:r w:rsidRPr="00E7148D">
        <w:rPr>
          <w:rFonts w:ascii="Times New Roman" w:eastAsia="Times New Roman" w:hAnsi="Times New Roman" w:cs="Times New Roman"/>
          <w:bCs/>
          <w:sz w:val="20"/>
          <w:szCs w:val="20"/>
          <w:lang w:val="en-ID"/>
        </w:rPr>
        <w:t xml:space="preserve"> 2010;362(9388):951–957.</w:t>
      </w:r>
    </w:p>
    <w:p w14:paraId="5DBD56BD" w14:textId="2C789E5B"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proofErr w:type="spellStart"/>
      <w:r w:rsidRPr="00E7148D">
        <w:rPr>
          <w:rFonts w:ascii="Times New Roman" w:eastAsia="Times New Roman" w:hAnsi="Times New Roman" w:cs="Times New Roman"/>
          <w:bCs/>
          <w:sz w:val="20"/>
          <w:szCs w:val="20"/>
          <w:lang w:val="en-ID"/>
        </w:rPr>
        <w:t>Bacong</w:t>
      </w:r>
      <w:proofErr w:type="spellEnd"/>
      <w:r w:rsidRPr="00E7148D">
        <w:rPr>
          <w:rFonts w:ascii="Times New Roman" w:eastAsia="Times New Roman" w:hAnsi="Times New Roman" w:cs="Times New Roman"/>
          <w:bCs/>
          <w:sz w:val="20"/>
          <w:szCs w:val="20"/>
          <w:lang w:val="en-ID"/>
        </w:rPr>
        <w:t xml:space="preserve"> AM, Gibbs SL, Rosales AG, Frankland TB, Li J, Daida YG. Obesity disparities among adult single-race and multiracial Asian and Pacific Islander populations. </w:t>
      </w:r>
      <w:r w:rsidRPr="00E7148D">
        <w:rPr>
          <w:rFonts w:ascii="Times New Roman" w:eastAsia="Times New Roman" w:hAnsi="Times New Roman" w:cs="Times New Roman"/>
          <w:bCs/>
          <w:i/>
          <w:iCs/>
          <w:sz w:val="20"/>
          <w:szCs w:val="20"/>
          <w:lang w:val="en-ID"/>
        </w:rPr>
        <w:t xml:space="preserve">JAMA </w:t>
      </w:r>
      <w:proofErr w:type="spellStart"/>
      <w:r w:rsidRPr="00E7148D">
        <w:rPr>
          <w:rFonts w:ascii="Times New Roman" w:eastAsia="Times New Roman" w:hAnsi="Times New Roman" w:cs="Times New Roman"/>
          <w:bCs/>
          <w:i/>
          <w:iCs/>
          <w:sz w:val="20"/>
          <w:szCs w:val="20"/>
          <w:lang w:val="en-ID"/>
        </w:rPr>
        <w:t>Netw</w:t>
      </w:r>
      <w:proofErr w:type="spellEnd"/>
      <w:r w:rsidRPr="00E7148D">
        <w:rPr>
          <w:rFonts w:ascii="Times New Roman" w:eastAsia="Times New Roman" w:hAnsi="Times New Roman" w:cs="Times New Roman"/>
          <w:bCs/>
          <w:i/>
          <w:iCs/>
          <w:sz w:val="20"/>
          <w:szCs w:val="20"/>
          <w:lang w:val="en-ID"/>
        </w:rPr>
        <w:t xml:space="preserve"> Open.</w:t>
      </w:r>
      <w:r w:rsidRPr="00E7148D">
        <w:rPr>
          <w:rFonts w:ascii="Times New Roman" w:eastAsia="Times New Roman" w:hAnsi="Times New Roman" w:cs="Times New Roman"/>
          <w:bCs/>
          <w:sz w:val="20"/>
          <w:szCs w:val="20"/>
          <w:lang w:val="en-ID"/>
        </w:rPr>
        <w:t xml:space="preserve"> 2024;7(1</w:t>
      </w:r>
      <w:proofErr w:type="gramStart"/>
      <w:r w:rsidRPr="00E7148D">
        <w:rPr>
          <w:rFonts w:ascii="Times New Roman" w:eastAsia="Times New Roman" w:hAnsi="Times New Roman" w:cs="Times New Roman"/>
          <w:bCs/>
          <w:sz w:val="20"/>
          <w:szCs w:val="20"/>
          <w:lang w:val="en-ID"/>
        </w:rPr>
        <w:t>):e</w:t>
      </w:r>
      <w:proofErr w:type="gramEnd"/>
      <w:r w:rsidRPr="00E7148D">
        <w:rPr>
          <w:rFonts w:ascii="Times New Roman" w:eastAsia="Times New Roman" w:hAnsi="Times New Roman" w:cs="Times New Roman"/>
          <w:bCs/>
          <w:sz w:val="20"/>
          <w:szCs w:val="20"/>
          <w:lang w:val="en-ID"/>
        </w:rPr>
        <w:t>241234.</w:t>
      </w:r>
    </w:p>
    <w:p w14:paraId="43B58207" w14:textId="7A058052"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Zhen J, Liu S, Zhao G, Peng H, Samaranayake N, Xu A, et al. Association of waist circumference with haemoglobin A1c and its optimal cutoff for identifying prediabetes and diabetes risk in the Chinese population. </w:t>
      </w:r>
      <w:r w:rsidRPr="00E7148D">
        <w:rPr>
          <w:rFonts w:ascii="Times New Roman" w:eastAsia="Times New Roman" w:hAnsi="Times New Roman" w:cs="Times New Roman"/>
          <w:bCs/>
          <w:i/>
          <w:iCs/>
          <w:sz w:val="20"/>
          <w:szCs w:val="20"/>
          <w:lang w:val="en-ID"/>
        </w:rPr>
        <w:t>Intern Emerg Med.</w:t>
      </w:r>
      <w:r w:rsidRPr="00E7148D">
        <w:rPr>
          <w:rFonts w:ascii="Times New Roman" w:eastAsia="Times New Roman" w:hAnsi="Times New Roman" w:cs="Times New Roman"/>
          <w:bCs/>
          <w:sz w:val="20"/>
          <w:szCs w:val="20"/>
          <w:lang w:val="en-ID"/>
        </w:rPr>
        <w:t xml:space="preserve"> 2022;17(7):2039–2044.</w:t>
      </w:r>
    </w:p>
    <w:p w14:paraId="254A1991" w14:textId="41FDA89F"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Salem KA, </w:t>
      </w:r>
      <w:proofErr w:type="spellStart"/>
      <w:r w:rsidRPr="00E7148D">
        <w:rPr>
          <w:rFonts w:ascii="Times New Roman" w:eastAsia="Times New Roman" w:hAnsi="Times New Roman" w:cs="Times New Roman"/>
          <w:bCs/>
          <w:sz w:val="20"/>
          <w:szCs w:val="20"/>
          <w:lang w:val="en-ID"/>
        </w:rPr>
        <w:t>Bashaaib</w:t>
      </w:r>
      <w:proofErr w:type="spellEnd"/>
      <w:r w:rsidRPr="00E7148D">
        <w:rPr>
          <w:rFonts w:ascii="Times New Roman" w:eastAsia="Times New Roman" w:hAnsi="Times New Roman" w:cs="Times New Roman"/>
          <w:bCs/>
          <w:sz w:val="20"/>
          <w:szCs w:val="20"/>
          <w:lang w:val="en-ID"/>
        </w:rPr>
        <w:t xml:space="preserve"> MO. Family history, consanguinity and other risk factors affecting the prevalence of prediabetes and undiagnosed diabetes mellitus in overweight and obese Yemeni adults. </w:t>
      </w:r>
      <w:r w:rsidRPr="00E7148D">
        <w:rPr>
          <w:rFonts w:ascii="Times New Roman" w:eastAsia="Times New Roman" w:hAnsi="Times New Roman" w:cs="Times New Roman"/>
          <w:bCs/>
          <w:i/>
          <w:iCs/>
          <w:sz w:val="20"/>
          <w:szCs w:val="20"/>
          <w:lang w:val="en-ID"/>
        </w:rPr>
        <w:t xml:space="preserve">Diabetes </w:t>
      </w:r>
      <w:proofErr w:type="spellStart"/>
      <w:r w:rsidRPr="00E7148D">
        <w:rPr>
          <w:rFonts w:ascii="Times New Roman" w:eastAsia="Times New Roman" w:hAnsi="Times New Roman" w:cs="Times New Roman"/>
          <w:bCs/>
          <w:i/>
          <w:iCs/>
          <w:sz w:val="20"/>
          <w:szCs w:val="20"/>
          <w:lang w:val="en-ID"/>
        </w:rPr>
        <w:t>Metab</w:t>
      </w:r>
      <w:proofErr w:type="spellEnd"/>
      <w:r w:rsidRPr="00E7148D">
        <w:rPr>
          <w:rFonts w:ascii="Times New Roman" w:eastAsia="Times New Roman" w:hAnsi="Times New Roman" w:cs="Times New Roman"/>
          <w:bCs/>
          <w:i/>
          <w:iCs/>
          <w:sz w:val="20"/>
          <w:szCs w:val="20"/>
          <w:lang w:val="en-ID"/>
        </w:rPr>
        <w:t xml:space="preserve"> Syndr.</w:t>
      </w:r>
      <w:r w:rsidRPr="00E7148D">
        <w:rPr>
          <w:rFonts w:ascii="Times New Roman" w:eastAsia="Times New Roman" w:hAnsi="Times New Roman" w:cs="Times New Roman"/>
          <w:bCs/>
          <w:sz w:val="20"/>
          <w:szCs w:val="20"/>
          <w:lang w:val="en-ID"/>
        </w:rPr>
        <w:t xml:space="preserve"> 2021;15(2):4853–4863.</w:t>
      </w:r>
    </w:p>
    <w:p w14:paraId="26C38D0B" w14:textId="7CF91E0A"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proofErr w:type="spellStart"/>
      <w:r w:rsidRPr="00E7148D">
        <w:rPr>
          <w:rFonts w:ascii="Times New Roman" w:eastAsia="Times New Roman" w:hAnsi="Times New Roman" w:cs="Times New Roman"/>
          <w:bCs/>
          <w:sz w:val="20"/>
          <w:szCs w:val="20"/>
          <w:lang w:val="en-ID"/>
        </w:rPr>
        <w:t>Ramezankhani</w:t>
      </w:r>
      <w:proofErr w:type="spellEnd"/>
      <w:r w:rsidRPr="00E7148D">
        <w:rPr>
          <w:rFonts w:ascii="Times New Roman" w:eastAsia="Times New Roman" w:hAnsi="Times New Roman" w:cs="Times New Roman"/>
          <w:bCs/>
          <w:sz w:val="20"/>
          <w:szCs w:val="20"/>
          <w:lang w:val="en-ID"/>
        </w:rPr>
        <w:t xml:space="preserve"> A, </w:t>
      </w:r>
      <w:proofErr w:type="spellStart"/>
      <w:r w:rsidRPr="00E7148D">
        <w:rPr>
          <w:rFonts w:ascii="Times New Roman" w:eastAsia="Times New Roman" w:hAnsi="Times New Roman" w:cs="Times New Roman"/>
          <w:bCs/>
          <w:sz w:val="20"/>
          <w:szCs w:val="20"/>
          <w:lang w:val="en-ID"/>
        </w:rPr>
        <w:t>Moeini</w:t>
      </w:r>
      <w:proofErr w:type="spellEnd"/>
      <w:r w:rsidRPr="00E7148D">
        <w:rPr>
          <w:rFonts w:ascii="Times New Roman" w:eastAsia="Times New Roman" w:hAnsi="Times New Roman" w:cs="Times New Roman"/>
          <w:bCs/>
          <w:sz w:val="20"/>
          <w:szCs w:val="20"/>
          <w:lang w:val="en-ID"/>
        </w:rPr>
        <w:t xml:space="preserve"> ASH, Zadeh SST, Azizi F, </w:t>
      </w:r>
      <w:proofErr w:type="spellStart"/>
      <w:r w:rsidRPr="00E7148D">
        <w:rPr>
          <w:rFonts w:ascii="Times New Roman" w:eastAsia="Times New Roman" w:hAnsi="Times New Roman" w:cs="Times New Roman"/>
          <w:bCs/>
          <w:sz w:val="20"/>
          <w:szCs w:val="20"/>
          <w:lang w:val="en-ID"/>
        </w:rPr>
        <w:t>Hadaegh</w:t>
      </w:r>
      <w:proofErr w:type="spellEnd"/>
      <w:r w:rsidRPr="00E7148D">
        <w:rPr>
          <w:rFonts w:ascii="Times New Roman" w:eastAsia="Times New Roman" w:hAnsi="Times New Roman" w:cs="Times New Roman"/>
          <w:bCs/>
          <w:sz w:val="20"/>
          <w:szCs w:val="20"/>
          <w:lang w:val="en-ID"/>
        </w:rPr>
        <w:t xml:space="preserve"> F. Effect of family history of diabetes and obesity status on lifetime risk of type 2 diabetes in the Iranian population. </w:t>
      </w:r>
      <w:r w:rsidRPr="00E7148D">
        <w:rPr>
          <w:rFonts w:ascii="Times New Roman" w:eastAsia="Times New Roman" w:hAnsi="Times New Roman" w:cs="Times New Roman"/>
          <w:bCs/>
          <w:i/>
          <w:iCs/>
          <w:sz w:val="20"/>
          <w:szCs w:val="20"/>
          <w:lang w:val="en-ID"/>
        </w:rPr>
        <w:t>Glob Health.</w:t>
      </w:r>
      <w:r w:rsidRPr="00E7148D">
        <w:rPr>
          <w:rFonts w:ascii="Times New Roman" w:eastAsia="Times New Roman" w:hAnsi="Times New Roman" w:cs="Times New Roman"/>
          <w:bCs/>
          <w:sz w:val="20"/>
          <w:szCs w:val="20"/>
          <w:lang w:val="en-ID"/>
        </w:rPr>
        <w:t xml:space="preserve"> </w:t>
      </w:r>
      <w:proofErr w:type="gramStart"/>
      <w:r w:rsidRPr="00E7148D">
        <w:rPr>
          <w:rFonts w:ascii="Times New Roman" w:eastAsia="Times New Roman" w:hAnsi="Times New Roman" w:cs="Times New Roman"/>
          <w:bCs/>
          <w:sz w:val="20"/>
          <w:szCs w:val="20"/>
          <w:lang w:val="en-ID"/>
        </w:rPr>
        <w:t>2022;18:12</w:t>
      </w:r>
      <w:proofErr w:type="gramEnd"/>
      <w:r w:rsidRPr="00E7148D">
        <w:rPr>
          <w:rFonts w:ascii="Times New Roman" w:eastAsia="Times New Roman" w:hAnsi="Times New Roman" w:cs="Times New Roman"/>
          <w:bCs/>
          <w:sz w:val="20"/>
          <w:szCs w:val="20"/>
          <w:lang w:val="en-ID"/>
        </w:rPr>
        <w:t>.</w:t>
      </w:r>
    </w:p>
    <w:p w14:paraId="3706AFC5" w14:textId="7AF56D3B"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Chen CM, Yeh MC. The prevalence and determinants of impaired fasting glucose in the population of Taiwan. </w:t>
      </w:r>
      <w:r w:rsidRPr="00E7148D">
        <w:rPr>
          <w:rFonts w:ascii="Times New Roman" w:eastAsia="Times New Roman" w:hAnsi="Times New Roman" w:cs="Times New Roman"/>
          <w:bCs/>
          <w:i/>
          <w:iCs/>
          <w:sz w:val="20"/>
          <w:szCs w:val="20"/>
          <w:lang w:val="en-ID"/>
        </w:rPr>
        <w:t>BMC Public Health.</w:t>
      </w:r>
      <w:r w:rsidRPr="00E7148D">
        <w:rPr>
          <w:rFonts w:ascii="Times New Roman" w:eastAsia="Times New Roman" w:hAnsi="Times New Roman" w:cs="Times New Roman"/>
          <w:bCs/>
          <w:sz w:val="20"/>
          <w:szCs w:val="20"/>
          <w:lang w:val="en-ID"/>
        </w:rPr>
        <w:t xml:space="preserve"> </w:t>
      </w:r>
      <w:proofErr w:type="gramStart"/>
      <w:r w:rsidRPr="00E7148D">
        <w:rPr>
          <w:rFonts w:ascii="Times New Roman" w:eastAsia="Times New Roman" w:hAnsi="Times New Roman" w:cs="Times New Roman"/>
          <w:bCs/>
          <w:sz w:val="20"/>
          <w:szCs w:val="20"/>
          <w:lang w:val="en-ID"/>
        </w:rPr>
        <w:t>2013;13:1123</w:t>
      </w:r>
      <w:proofErr w:type="gramEnd"/>
      <w:r w:rsidRPr="00E7148D">
        <w:rPr>
          <w:rFonts w:ascii="Times New Roman" w:eastAsia="Times New Roman" w:hAnsi="Times New Roman" w:cs="Times New Roman"/>
          <w:bCs/>
          <w:sz w:val="20"/>
          <w:szCs w:val="20"/>
          <w:lang w:val="en-ID"/>
        </w:rPr>
        <w:t>.</w:t>
      </w:r>
    </w:p>
    <w:p w14:paraId="1691EB11" w14:textId="12359A22"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Hsu WH, Tseng CW, Huang YT, Liang CC, Lee MY. Common risk factors in relatives and spouses of patients with type 2 diabetes in developing prediabetes. </w:t>
      </w:r>
      <w:r w:rsidRPr="00E7148D">
        <w:rPr>
          <w:rFonts w:ascii="Times New Roman" w:eastAsia="Times New Roman" w:hAnsi="Times New Roman" w:cs="Times New Roman"/>
          <w:bCs/>
          <w:i/>
          <w:iCs/>
          <w:sz w:val="20"/>
          <w:szCs w:val="20"/>
          <w:lang w:val="en-ID"/>
        </w:rPr>
        <w:t xml:space="preserve">Diabetes Res Clin </w:t>
      </w:r>
      <w:proofErr w:type="spellStart"/>
      <w:r w:rsidRPr="00E7148D">
        <w:rPr>
          <w:rFonts w:ascii="Times New Roman" w:eastAsia="Times New Roman" w:hAnsi="Times New Roman" w:cs="Times New Roman"/>
          <w:bCs/>
          <w:i/>
          <w:iCs/>
          <w:sz w:val="20"/>
          <w:szCs w:val="20"/>
          <w:lang w:val="en-ID"/>
        </w:rPr>
        <w:t>Pract</w:t>
      </w:r>
      <w:proofErr w:type="spellEnd"/>
      <w:r w:rsidRPr="00E7148D">
        <w:rPr>
          <w:rFonts w:ascii="Times New Roman" w:eastAsia="Times New Roman" w:hAnsi="Times New Roman" w:cs="Times New Roman"/>
          <w:bCs/>
          <w:i/>
          <w:iCs/>
          <w:sz w:val="20"/>
          <w:szCs w:val="20"/>
          <w:lang w:val="en-ID"/>
        </w:rPr>
        <w:t>.</w:t>
      </w:r>
      <w:r w:rsidRPr="00E7148D">
        <w:rPr>
          <w:rFonts w:ascii="Times New Roman" w:eastAsia="Times New Roman" w:hAnsi="Times New Roman" w:cs="Times New Roman"/>
          <w:bCs/>
          <w:sz w:val="20"/>
          <w:szCs w:val="20"/>
          <w:lang w:val="en-ID"/>
        </w:rPr>
        <w:t xml:space="preserve"> </w:t>
      </w:r>
      <w:proofErr w:type="gramStart"/>
      <w:r w:rsidRPr="00E7148D">
        <w:rPr>
          <w:rFonts w:ascii="Times New Roman" w:eastAsia="Times New Roman" w:hAnsi="Times New Roman" w:cs="Times New Roman"/>
          <w:bCs/>
          <w:sz w:val="20"/>
          <w:szCs w:val="20"/>
          <w:lang w:val="en-ID"/>
        </w:rPr>
        <w:t>2021;178:108939</w:t>
      </w:r>
      <w:proofErr w:type="gramEnd"/>
      <w:r w:rsidRPr="00E7148D">
        <w:rPr>
          <w:rFonts w:ascii="Times New Roman" w:eastAsia="Times New Roman" w:hAnsi="Times New Roman" w:cs="Times New Roman"/>
          <w:bCs/>
          <w:sz w:val="20"/>
          <w:szCs w:val="20"/>
          <w:lang w:val="en-ID"/>
        </w:rPr>
        <w:t>.</w:t>
      </w:r>
    </w:p>
    <w:p w14:paraId="76F39E20" w14:textId="06E9108B"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Kusuma IS, </w:t>
      </w:r>
      <w:proofErr w:type="spellStart"/>
      <w:r w:rsidRPr="00E7148D">
        <w:rPr>
          <w:rFonts w:ascii="Times New Roman" w:eastAsia="Times New Roman" w:hAnsi="Times New Roman" w:cs="Times New Roman"/>
          <w:bCs/>
          <w:sz w:val="20"/>
          <w:szCs w:val="20"/>
          <w:lang w:val="en-ID"/>
        </w:rPr>
        <w:t>Syarif</w:t>
      </w:r>
      <w:proofErr w:type="spellEnd"/>
      <w:r w:rsidRPr="00E7148D">
        <w:rPr>
          <w:rFonts w:ascii="Times New Roman" w:eastAsia="Times New Roman" w:hAnsi="Times New Roman" w:cs="Times New Roman"/>
          <w:bCs/>
          <w:sz w:val="20"/>
          <w:szCs w:val="20"/>
          <w:lang w:val="en-ID"/>
        </w:rPr>
        <w:t xml:space="preserve"> S. Predictors of prediabetes and undiagnosed diabetes mellitus based on HbA1c levels in Indonesia. </w:t>
      </w:r>
      <w:r w:rsidRPr="00E7148D">
        <w:rPr>
          <w:rFonts w:ascii="Times New Roman" w:eastAsia="Times New Roman" w:hAnsi="Times New Roman" w:cs="Times New Roman"/>
          <w:bCs/>
          <w:i/>
          <w:iCs/>
          <w:sz w:val="20"/>
          <w:szCs w:val="20"/>
          <w:lang w:val="en-ID"/>
        </w:rPr>
        <w:t>J Prev Med Public Health.</w:t>
      </w:r>
      <w:r w:rsidRPr="00E7148D">
        <w:rPr>
          <w:rFonts w:ascii="Times New Roman" w:eastAsia="Times New Roman" w:hAnsi="Times New Roman" w:cs="Times New Roman"/>
          <w:bCs/>
          <w:sz w:val="20"/>
          <w:szCs w:val="20"/>
          <w:lang w:val="en-ID"/>
        </w:rPr>
        <w:t xml:space="preserve"> 2023;56(4):185–197.</w:t>
      </w:r>
    </w:p>
    <w:p w14:paraId="7B061F3E" w14:textId="69185169"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Park KS, Hwang SY. Lifestyle-related predictors affecting prediabetes and diabetes in young Korean adults aged 20–30 years. </w:t>
      </w:r>
      <w:r w:rsidRPr="00E7148D">
        <w:rPr>
          <w:rFonts w:ascii="Times New Roman" w:eastAsia="Times New Roman" w:hAnsi="Times New Roman" w:cs="Times New Roman"/>
          <w:bCs/>
          <w:i/>
          <w:iCs/>
          <w:sz w:val="20"/>
          <w:szCs w:val="20"/>
          <w:lang w:val="en-ID"/>
        </w:rPr>
        <w:t xml:space="preserve">Diabetes </w:t>
      </w:r>
      <w:proofErr w:type="spellStart"/>
      <w:r w:rsidRPr="00E7148D">
        <w:rPr>
          <w:rFonts w:ascii="Times New Roman" w:eastAsia="Times New Roman" w:hAnsi="Times New Roman" w:cs="Times New Roman"/>
          <w:bCs/>
          <w:i/>
          <w:iCs/>
          <w:sz w:val="20"/>
          <w:szCs w:val="20"/>
          <w:lang w:val="en-ID"/>
        </w:rPr>
        <w:t>Metab</w:t>
      </w:r>
      <w:proofErr w:type="spellEnd"/>
      <w:r w:rsidRPr="00E7148D">
        <w:rPr>
          <w:rFonts w:ascii="Times New Roman" w:eastAsia="Times New Roman" w:hAnsi="Times New Roman" w:cs="Times New Roman"/>
          <w:bCs/>
          <w:i/>
          <w:iCs/>
          <w:sz w:val="20"/>
          <w:szCs w:val="20"/>
          <w:lang w:val="en-ID"/>
        </w:rPr>
        <w:t xml:space="preserve"> J.</w:t>
      </w:r>
      <w:r w:rsidRPr="00E7148D">
        <w:rPr>
          <w:rFonts w:ascii="Times New Roman" w:eastAsia="Times New Roman" w:hAnsi="Times New Roman" w:cs="Times New Roman"/>
          <w:bCs/>
          <w:sz w:val="20"/>
          <w:szCs w:val="20"/>
          <w:lang w:val="en-ID"/>
        </w:rPr>
        <w:t xml:space="preserve"> 2018;42(3):204–212.</w:t>
      </w:r>
    </w:p>
    <w:p w14:paraId="34E983D6" w14:textId="26C9D645"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proofErr w:type="spellStart"/>
      <w:r w:rsidRPr="00E7148D">
        <w:rPr>
          <w:rFonts w:ascii="Times New Roman" w:eastAsia="Times New Roman" w:hAnsi="Times New Roman" w:cs="Times New Roman"/>
          <w:bCs/>
          <w:sz w:val="20"/>
          <w:szCs w:val="20"/>
          <w:lang w:val="en-ID"/>
        </w:rPr>
        <w:t>Ohigashi</w:t>
      </w:r>
      <w:proofErr w:type="spellEnd"/>
      <w:r w:rsidRPr="00E7148D">
        <w:rPr>
          <w:rFonts w:ascii="Times New Roman" w:eastAsia="Times New Roman" w:hAnsi="Times New Roman" w:cs="Times New Roman"/>
          <w:bCs/>
          <w:sz w:val="20"/>
          <w:szCs w:val="20"/>
          <w:lang w:val="en-ID"/>
        </w:rPr>
        <w:t xml:space="preserve"> M, Osugi K, Kusunoki Y, Washio K, </w:t>
      </w:r>
      <w:proofErr w:type="spellStart"/>
      <w:r w:rsidRPr="00E7148D">
        <w:rPr>
          <w:rFonts w:ascii="Times New Roman" w:eastAsia="Times New Roman" w:hAnsi="Times New Roman" w:cs="Times New Roman"/>
          <w:bCs/>
          <w:sz w:val="20"/>
          <w:szCs w:val="20"/>
          <w:lang w:val="en-ID"/>
        </w:rPr>
        <w:t>Matsutani</w:t>
      </w:r>
      <w:proofErr w:type="spellEnd"/>
      <w:r w:rsidRPr="00E7148D">
        <w:rPr>
          <w:rFonts w:ascii="Times New Roman" w:eastAsia="Times New Roman" w:hAnsi="Times New Roman" w:cs="Times New Roman"/>
          <w:bCs/>
          <w:sz w:val="20"/>
          <w:szCs w:val="20"/>
          <w:lang w:val="en-ID"/>
        </w:rPr>
        <w:t xml:space="preserve"> S, Tsunoda T, et al. Association of time-in-range </w:t>
      </w:r>
      <w:r w:rsidRPr="00E7148D">
        <w:rPr>
          <w:rFonts w:ascii="Times New Roman" w:eastAsia="Times New Roman" w:hAnsi="Times New Roman" w:cs="Times New Roman"/>
          <w:bCs/>
          <w:sz w:val="20"/>
          <w:szCs w:val="20"/>
          <w:lang w:val="en-ID"/>
        </w:rPr>
        <w:lastRenderedPageBreak/>
        <w:t xml:space="preserve">with </w:t>
      </w:r>
      <w:proofErr w:type="spellStart"/>
      <w:r w:rsidRPr="00E7148D">
        <w:rPr>
          <w:rFonts w:ascii="Times New Roman" w:eastAsia="Times New Roman" w:hAnsi="Times New Roman" w:cs="Times New Roman"/>
          <w:bCs/>
          <w:sz w:val="20"/>
          <w:szCs w:val="20"/>
          <w:lang w:val="en-ID"/>
        </w:rPr>
        <w:t>hemoglobin</w:t>
      </w:r>
      <w:proofErr w:type="spellEnd"/>
      <w:r w:rsidRPr="00E7148D">
        <w:rPr>
          <w:rFonts w:ascii="Times New Roman" w:eastAsia="Times New Roman" w:hAnsi="Times New Roman" w:cs="Times New Roman"/>
          <w:bCs/>
          <w:sz w:val="20"/>
          <w:szCs w:val="20"/>
          <w:lang w:val="en-ID"/>
        </w:rPr>
        <w:t xml:space="preserve"> A1c and 1,5-anhydroglucitol levels. </w:t>
      </w:r>
      <w:r w:rsidRPr="00E7148D">
        <w:rPr>
          <w:rFonts w:ascii="Times New Roman" w:eastAsia="Times New Roman" w:hAnsi="Times New Roman" w:cs="Times New Roman"/>
          <w:bCs/>
          <w:i/>
          <w:iCs/>
          <w:sz w:val="20"/>
          <w:szCs w:val="20"/>
          <w:lang w:val="en-ID"/>
        </w:rPr>
        <w:t>Diabetes Ther.</w:t>
      </w:r>
      <w:r w:rsidRPr="00E7148D">
        <w:rPr>
          <w:rFonts w:ascii="Times New Roman" w:eastAsia="Times New Roman" w:hAnsi="Times New Roman" w:cs="Times New Roman"/>
          <w:bCs/>
          <w:sz w:val="20"/>
          <w:szCs w:val="20"/>
          <w:lang w:val="en-ID"/>
        </w:rPr>
        <w:t xml:space="preserve"> 2021;12(6):1641–1652.</w:t>
      </w:r>
    </w:p>
    <w:p w14:paraId="7D737B62" w14:textId="5DCCDACB"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r w:rsidRPr="00E7148D">
        <w:rPr>
          <w:rFonts w:ascii="Times New Roman" w:eastAsia="Times New Roman" w:hAnsi="Times New Roman" w:cs="Times New Roman"/>
          <w:bCs/>
          <w:sz w:val="20"/>
          <w:szCs w:val="20"/>
          <w:lang w:val="en-ID"/>
        </w:rPr>
        <w:t xml:space="preserve">Malkan UY, Gunes G, </w:t>
      </w:r>
      <w:proofErr w:type="spellStart"/>
      <w:r w:rsidRPr="00E7148D">
        <w:rPr>
          <w:rFonts w:ascii="Times New Roman" w:eastAsia="Times New Roman" w:hAnsi="Times New Roman" w:cs="Times New Roman"/>
          <w:bCs/>
          <w:sz w:val="20"/>
          <w:szCs w:val="20"/>
          <w:lang w:val="en-ID"/>
        </w:rPr>
        <w:t>Corakci</w:t>
      </w:r>
      <w:proofErr w:type="spellEnd"/>
      <w:r w:rsidRPr="00E7148D">
        <w:rPr>
          <w:rFonts w:ascii="Times New Roman" w:eastAsia="Times New Roman" w:hAnsi="Times New Roman" w:cs="Times New Roman"/>
          <w:bCs/>
          <w:sz w:val="20"/>
          <w:szCs w:val="20"/>
          <w:lang w:val="en-ID"/>
        </w:rPr>
        <w:t xml:space="preserve"> A. Rational diagnosis of diabetes: Comparison of 1,5-anhydroglucitol with other </w:t>
      </w:r>
      <w:proofErr w:type="spellStart"/>
      <w:r w:rsidRPr="00E7148D">
        <w:rPr>
          <w:rFonts w:ascii="Times New Roman" w:eastAsia="Times New Roman" w:hAnsi="Times New Roman" w:cs="Times New Roman"/>
          <w:bCs/>
          <w:sz w:val="20"/>
          <w:szCs w:val="20"/>
          <w:lang w:val="en-ID"/>
        </w:rPr>
        <w:t>glycemic</w:t>
      </w:r>
      <w:proofErr w:type="spellEnd"/>
      <w:r w:rsidRPr="00E7148D">
        <w:rPr>
          <w:rFonts w:ascii="Times New Roman" w:eastAsia="Times New Roman" w:hAnsi="Times New Roman" w:cs="Times New Roman"/>
          <w:bCs/>
          <w:sz w:val="20"/>
          <w:szCs w:val="20"/>
          <w:lang w:val="en-ID"/>
        </w:rPr>
        <w:t xml:space="preserve"> markers. </w:t>
      </w:r>
      <w:proofErr w:type="spellStart"/>
      <w:r w:rsidRPr="00E7148D">
        <w:rPr>
          <w:rFonts w:ascii="Times New Roman" w:eastAsia="Times New Roman" w:hAnsi="Times New Roman" w:cs="Times New Roman"/>
          <w:bCs/>
          <w:i/>
          <w:iCs/>
          <w:sz w:val="20"/>
          <w:szCs w:val="20"/>
          <w:lang w:val="en-ID"/>
        </w:rPr>
        <w:t>SpringerPlus</w:t>
      </w:r>
      <w:proofErr w:type="spellEnd"/>
      <w:r w:rsidRPr="00E7148D">
        <w:rPr>
          <w:rFonts w:ascii="Times New Roman" w:eastAsia="Times New Roman" w:hAnsi="Times New Roman" w:cs="Times New Roman"/>
          <w:bCs/>
          <w:i/>
          <w:iCs/>
          <w:sz w:val="20"/>
          <w:szCs w:val="20"/>
          <w:lang w:val="en-ID"/>
        </w:rPr>
        <w:t>.</w:t>
      </w:r>
      <w:r w:rsidRPr="00E7148D">
        <w:rPr>
          <w:rFonts w:ascii="Times New Roman" w:eastAsia="Times New Roman" w:hAnsi="Times New Roman" w:cs="Times New Roman"/>
          <w:bCs/>
          <w:sz w:val="20"/>
          <w:szCs w:val="20"/>
          <w:lang w:val="en-ID"/>
        </w:rPr>
        <w:t xml:space="preserve"> </w:t>
      </w:r>
      <w:proofErr w:type="gramStart"/>
      <w:r w:rsidRPr="00E7148D">
        <w:rPr>
          <w:rFonts w:ascii="Times New Roman" w:eastAsia="Times New Roman" w:hAnsi="Times New Roman" w:cs="Times New Roman"/>
          <w:bCs/>
          <w:sz w:val="20"/>
          <w:szCs w:val="20"/>
          <w:lang w:val="en-ID"/>
        </w:rPr>
        <w:t>2015;4:618</w:t>
      </w:r>
      <w:proofErr w:type="gramEnd"/>
      <w:r w:rsidRPr="00E7148D">
        <w:rPr>
          <w:rFonts w:ascii="Times New Roman" w:eastAsia="Times New Roman" w:hAnsi="Times New Roman" w:cs="Times New Roman"/>
          <w:bCs/>
          <w:sz w:val="20"/>
          <w:szCs w:val="20"/>
          <w:lang w:val="en-ID"/>
        </w:rPr>
        <w:t>.</w:t>
      </w:r>
    </w:p>
    <w:p w14:paraId="52516C37" w14:textId="4A632F0A" w:rsidR="00E7148D" w:rsidRPr="00E7148D" w:rsidRDefault="00E7148D" w:rsidP="00E7148D">
      <w:pPr>
        <w:pStyle w:val="ListParagraph"/>
        <w:widowControl w:val="0"/>
        <w:numPr>
          <w:ilvl w:val="0"/>
          <w:numId w:val="1"/>
        </w:numPr>
        <w:autoSpaceDE w:val="0"/>
        <w:autoSpaceDN w:val="0"/>
        <w:adjustRightInd w:val="0"/>
        <w:spacing w:after="0" w:line="240" w:lineRule="auto"/>
        <w:ind w:left="284" w:hanging="284"/>
        <w:jc w:val="both"/>
        <w:rPr>
          <w:rFonts w:ascii="Times New Roman" w:eastAsia="Times New Roman" w:hAnsi="Times New Roman" w:cs="Times New Roman"/>
          <w:bCs/>
          <w:sz w:val="20"/>
          <w:szCs w:val="20"/>
          <w:lang w:val="en-ID"/>
        </w:rPr>
      </w:pPr>
      <w:proofErr w:type="spellStart"/>
      <w:r w:rsidRPr="00E7148D">
        <w:rPr>
          <w:rFonts w:ascii="Times New Roman" w:eastAsia="Times New Roman" w:hAnsi="Times New Roman" w:cs="Times New Roman"/>
          <w:bCs/>
          <w:sz w:val="20"/>
          <w:szCs w:val="20"/>
          <w:lang w:val="en-ID"/>
        </w:rPr>
        <w:t>Amseer</w:t>
      </w:r>
      <w:proofErr w:type="spellEnd"/>
      <w:r w:rsidRPr="00E7148D">
        <w:rPr>
          <w:rFonts w:ascii="Times New Roman" w:eastAsia="Times New Roman" w:hAnsi="Times New Roman" w:cs="Times New Roman"/>
          <w:bCs/>
          <w:sz w:val="20"/>
          <w:szCs w:val="20"/>
          <w:lang w:val="en-ID"/>
        </w:rPr>
        <w:t xml:space="preserve"> HS, Saleh BO, Essam N. The role of serum 1,5-anhydroglucitol, leptin and glycated albumin in prediction of type 2 prediabetes in overweight and normal weight individuals. </w:t>
      </w:r>
      <w:r w:rsidRPr="00E7148D">
        <w:rPr>
          <w:rFonts w:ascii="Times New Roman" w:eastAsia="Times New Roman" w:hAnsi="Times New Roman" w:cs="Times New Roman"/>
          <w:bCs/>
          <w:i/>
          <w:iCs/>
          <w:sz w:val="20"/>
          <w:szCs w:val="20"/>
          <w:lang w:val="en-ID"/>
        </w:rPr>
        <w:t xml:space="preserve">Diabetes </w:t>
      </w:r>
      <w:proofErr w:type="spellStart"/>
      <w:r w:rsidRPr="00E7148D">
        <w:rPr>
          <w:rFonts w:ascii="Times New Roman" w:eastAsia="Times New Roman" w:hAnsi="Times New Roman" w:cs="Times New Roman"/>
          <w:bCs/>
          <w:i/>
          <w:iCs/>
          <w:sz w:val="20"/>
          <w:szCs w:val="20"/>
          <w:lang w:val="en-ID"/>
        </w:rPr>
        <w:t>Metab</w:t>
      </w:r>
      <w:proofErr w:type="spellEnd"/>
      <w:r w:rsidRPr="00E7148D">
        <w:rPr>
          <w:rFonts w:ascii="Times New Roman" w:eastAsia="Times New Roman" w:hAnsi="Times New Roman" w:cs="Times New Roman"/>
          <w:bCs/>
          <w:i/>
          <w:iCs/>
          <w:sz w:val="20"/>
          <w:szCs w:val="20"/>
          <w:lang w:val="en-ID"/>
        </w:rPr>
        <w:t xml:space="preserve"> Syndr.</w:t>
      </w:r>
      <w:r w:rsidRPr="00E7148D">
        <w:rPr>
          <w:rFonts w:ascii="Times New Roman" w:eastAsia="Times New Roman" w:hAnsi="Times New Roman" w:cs="Times New Roman"/>
          <w:bCs/>
          <w:sz w:val="20"/>
          <w:szCs w:val="20"/>
          <w:lang w:val="en-ID"/>
        </w:rPr>
        <w:t xml:space="preserve"> </w:t>
      </w:r>
      <w:proofErr w:type="gramStart"/>
      <w:r w:rsidRPr="00E7148D">
        <w:rPr>
          <w:rFonts w:ascii="Times New Roman" w:eastAsia="Times New Roman" w:hAnsi="Times New Roman" w:cs="Times New Roman"/>
          <w:bCs/>
          <w:sz w:val="20"/>
          <w:szCs w:val="20"/>
          <w:lang w:val="en-ID"/>
        </w:rPr>
        <w:t>2023;94:1</w:t>
      </w:r>
      <w:proofErr w:type="gramEnd"/>
      <w:r w:rsidRPr="00E7148D">
        <w:rPr>
          <w:rFonts w:ascii="Times New Roman" w:eastAsia="Times New Roman" w:hAnsi="Times New Roman" w:cs="Times New Roman"/>
          <w:bCs/>
          <w:sz w:val="20"/>
          <w:szCs w:val="20"/>
          <w:lang w:val="en-ID"/>
        </w:rPr>
        <w:t>–5.</w:t>
      </w:r>
    </w:p>
    <w:p w14:paraId="249EEB66" w14:textId="77777777" w:rsidR="00BE18AB" w:rsidRDefault="00BE18AB" w:rsidP="00BE18AB">
      <w:pPr>
        <w:widowControl w:val="0"/>
        <w:autoSpaceDE w:val="0"/>
        <w:autoSpaceDN w:val="0"/>
        <w:adjustRightInd w:val="0"/>
        <w:spacing w:after="0" w:line="240" w:lineRule="auto"/>
        <w:jc w:val="both"/>
        <w:rPr>
          <w:rFonts w:ascii="Times New Roman" w:eastAsia="Times New Roman" w:hAnsi="Times New Roman" w:cs="Times New Roman"/>
          <w:bCs/>
          <w:sz w:val="20"/>
          <w:szCs w:val="20"/>
          <w:lang w:val="en-ID"/>
        </w:rPr>
      </w:pPr>
    </w:p>
    <w:p w14:paraId="21EEBD4D" w14:textId="036A762B" w:rsidR="00BE18AB" w:rsidRPr="00BE18AB" w:rsidRDefault="00BE18AB" w:rsidP="00BE18AB">
      <w:pPr>
        <w:widowControl w:val="0"/>
        <w:autoSpaceDE w:val="0"/>
        <w:autoSpaceDN w:val="0"/>
        <w:adjustRightInd w:val="0"/>
        <w:spacing w:after="0" w:line="240" w:lineRule="auto"/>
        <w:jc w:val="both"/>
        <w:rPr>
          <w:rFonts w:ascii="Times New Roman" w:eastAsia="Times New Roman" w:hAnsi="Times New Roman" w:cs="Times New Roman"/>
          <w:b/>
          <w:sz w:val="20"/>
          <w:szCs w:val="20"/>
          <w:lang w:val="en-ID"/>
        </w:rPr>
      </w:pPr>
      <w:r w:rsidRPr="00BE18AB">
        <w:rPr>
          <w:rFonts w:ascii="Times New Roman" w:eastAsia="Times New Roman" w:hAnsi="Times New Roman" w:cs="Times New Roman"/>
          <w:b/>
          <w:sz w:val="20"/>
          <w:szCs w:val="20"/>
          <w:lang w:val="en-ID"/>
        </w:rPr>
        <w:t>TABLE</w:t>
      </w:r>
    </w:p>
    <w:p w14:paraId="2DC7680B" w14:textId="74243B16" w:rsidR="00BA5777" w:rsidRDefault="00BA5777" w:rsidP="00E7148D">
      <w:pPr>
        <w:widowControl w:val="0"/>
        <w:autoSpaceDE w:val="0"/>
        <w:autoSpaceDN w:val="0"/>
        <w:adjustRightInd w:val="0"/>
        <w:spacing w:after="0" w:line="240" w:lineRule="auto"/>
        <w:ind w:left="284" w:hanging="284"/>
        <w:jc w:val="both"/>
        <w:rPr>
          <w:rFonts w:eastAsia="Times New Roman"/>
          <w:b/>
        </w:rPr>
      </w:pPr>
    </w:p>
    <w:tbl>
      <w:tblPr>
        <w:tblStyle w:val="TableGrid"/>
        <w:tblW w:w="0" w:type="auto"/>
        <w:tblInd w:w="284" w:type="dxa"/>
        <w:tblLook w:val="04A0" w:firstRow="1" w:lastRow="0" w:firstColumn="1" w:lastColumn="0" w:noHBand="0" w:noVBand="1"/>
      </w:tblPr>
      <w:tblGrid>
        <w:gridCol w:w="2183"/>
        <w:gridCol w:w="2183"/>
        <w:gridCol w:w="2183"/>
        <w:gridCol w:w="2183"/>
      </w:tblGrid>
      <w:tr w:rsidR="006E3F46" w14:paraId="58D90C31" w14:textId="77777777">
        <w:tc>
          <w:tcPr>
            <w:tcW w:w="2183" w:type="dxa"/>
            <w:vAlign w:val="center"/>
          </w:tcPr>
          <w:p w14:paraId="01D6C018" w14:textId="0D15AED3" w:rsidR="006E3F46" w:rsidRDefault="006E3F46" w:rsidP="006E3F46">
            <w:pPr>
              <w:widowControl w:val="0"/>
              <w:autoSpaceDE w:val="0"/>
              <w:autoSpaceDN w:val="0"/>
              <w:adjustRightInd w:val="0"/>
              <w:spacing w:after="0" w:line="240" w:lineRule="auto"/>
              <w:jc w:val="both"/>
              <w:rPr>
                <w:rFonts w:eastAsia="Times New Roman"/>
                <w:b/>
              </w:rPr>
            </w:pPr>
            <w:r w:rsidRPr="00287207">
              <w:rPr>
                <w:b/>
                <w:bCs/>
              </w:rPr>
              <w:t>Characteristics</w:t>
            </w:r>
          </w:p>
        </w:tc>
        <w:tc>
          <w:tcPr>
            <w:tcW w:w="2183" w:type="dxa"/>
            <w:vAlign w:val="center"/>
          </w:tcPr>
          <w:p w14:paraId="2694048E" w14:textId="13E09F36" w:rsidR="006E3F46" w:rsidRDefault="006E3F46" w:rsidP="006E3F46">
            <w:pPr>
              <w:widowControl w:val="0"/>
              <w:autoSpaceDE w:val="0"/>
              <w:autoSpaceDN w:val="0"/>
              <w:adjustRightInd w:val="0"/>
              <w:spacing w:after="0" w:line="240" w:lineRule="auto"/>
              <w:jc w:val="both"/>
              <w:rPr>
                <w:rFonts w:eastAsia="Times New Roman"/>
                <w:b/>
              </w:rPr>
            </w:pPr>
            <w:r w:rsidRPr="00287207">
              <w:rPr>
                <w:b/>
                <w:bCs/>
              </w:rPr>
              <w:t>n (%)</w:t>
            </w:r>
          </w:p>
        </w:tc>
        <w:tc>
          <w:tcPr>
            <w:tcW w:w="2183" w:type="dxa"/>
            <w:vAlign w:val="center"/>
          </w:tcPr>
          <w:p w14:paraId="177F7908" w14:textId="2B4883D4" w:rsidR="006E3F46" w:rsidRDefault="006E3F46" w:rsidP="006E3F46">
            <w:pPr>
              <w:widowControl w:val="0"/>
              <w:autoSpaceDE w:val="0"/>
              <w:autoSpaceDN w:val="0"/>
              <w:adjustRightInd w:val="0"/>
              <w:spacing w:after="0" w:line="240" w:lineRule="auto"/>
              <w:jc w:val="both"/>
              <w:rPr>
                <w:rFonts w:eastAsia="Times New Roman"/>
                <w:b/>
              </w:rPr>
            </w:pPr>
            <w:r w:rsidRPr="00287207">
              <w:rPr>
                <w:b/>
                <w:bCs/>
              </w:rPr>
              <w:t>Mean (SD)</w:t>
            </w:r>
          </w:p>
        </w:tc>
        <w:tc>
          <w:tcPr>
            <w:tcW w:w="2183" w:type="dxa"/>
            <w:vAlign w:val="center"/>
          </w:tcPr>
          <w:p w14:paraId="1052F04A" w14:textId="17F6321C" w:rsidR="006E3F46" w:rsidRDefault="006E3F46" w:rsidP="006E3F46">
            <w:pPr>
              <w:widowControl w:val="0"/>
              <w:autoSpaceDE w:val="0"/>
              <w:autoSpaceDN w:val="0"/>
              <w:adjustRightInd w:val="0"/>
              <w:spacing w:after="0" w:line="240" w:lineRule="auto"/>
              <w:jc w:val="both"/>
              <w:rPr>
                <w:rFonts w:eastAsia="Times New Roman"/>
                <w:b/>
              </w:rPr>
            </w:pPr>
            <w:r w:rsidRPr="00287207">
              <w:rPr>
                <w:b/>
                <w:bCs/>
              </w:rPr>
              <w:t>p</w:t>
            </w:r>
          </w:p>
        </w:tc>
      </w:tr>
      <w:tr w:rsidR="006E3F46" w14:paraId="4BB17FE9" w14:textId="77777777">
        <w:tc>
          <w:tcPr>
            <w:tcW w:w="2183" w:type="dxa"/>
            <w:vAlign w:val="center"/>
          </w:tcPr>
          <w:p w14:paraId="19B58E51" w14:textId="5AED2AB2" w:rsidR="006E3F46" w:rsidRDefault="006E3F46" w:rsidP="006E3F46">
            <w:pPr>
              <w:widowControl w:val="0"/>
              <w:autoSpaceDE w:val="0"/>
              <w:autoSpaceDN w:val="0"/>
              <w:adjustRightInd w:val="0"/>
              <w:spacing w:after="0" w:line="240" w:lineRule="auto"/>
              <w:jc w:val="both"/>
              <w:rPr>
                <w:rFonts w:eastAsia="Times New Roman"/>
                <w:b/>
              </w:rPr>
            </w:pPr>
            <w:r w:rsidRPr="00287207">
              <w:rPr>
                <w:b/>
                <w:bCs/>
              </w:rPr>
              <w:t>Gender</w:t>
            </w:r>
          </w:p>
        </w:tc>
        <w:tc>
          <w:tcPr>
            <w:tcW w:w="2183" w:type="dxa"/>
            <w:vAlign w:val="center"/>
          </w:tcPr>
          <w:p w14:paraId="65217D16"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50C88FA8"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393BF1A1" w14:textId="578BD64A" w:rsidR="006E3F46" w:rsidRDefault="006E3F46" w:rsidP="006E3F46">
            <w:pPr>
              <w:widowControl w:val="0"/>
              <w:autoSpaceDE w:val="0"/>
              <w:autoSpaceDN w:val="0"/>
              <w:adjustRightInd w:val="0"/>
              <w:spacing w:after="0" w:line="240" w:lineRule="auto"/>
              <w:jc w:val="both"/>
              <w:rPr>
                <w:rFonts w:eastAsia="Times New Roman"/>
                <w:b/>
              </w:rPr>
            </w:pPr>
            <w:r w:rsidRPr="00287207">
              <w:t>0.656</w:t>
            </w:r>
          </w:p>
        </w:tc>
      </w:tr>
      <w:tr w:rsidR="006E3F46" w14:paraId="7C30E1D0" w14:textId="77777777">
        <w:tc>
          <w:tcPr>
            <w:tcW w:w="2183" w:type="dxa"/>
            <w:vAlign w:val="center"/>
          </w:tcPr>
          <w:p w14:paraId="7384DFFD" w14:textId="2AA8B6BE" w:rsidR="006E3F46" w:rsidRDefault="006E3F46" w:rsidP="006E3F46">
            <w:pPr>
              <w:widowControl w:val="0"/>
              <w:autoSpaceDE w:val="0"/>
              <w:autoSpaceDN w:val="0"/>
              <w:adjustRightInd w:val="0"/>
              <w:spacing w:after="0" w:line="240" w:lineRule="auto"/>
              <w:jc w:val="both"/>
              <w:rPr>
                <w:rFonts w:eastAsia="Times New Roman"/>
                <w:b/>
              </w:rPr>
            </w:pPr>
            <w:r w:rsidRPr="00287207">
              <w:t>Male</w:t>
            </w:r>
          </w:p>
        </w:tc>
        <w:tc>
          <w:tcPr>
            <w:tcW w:w="2183" w:type="dxa"/>
            <w:vAlign w:val="center"/>
          </w:tcPr>
          <w:p w14:paraId="4B91DEA7" w14:textId="2577530B" w:rsidR="006E3F46" w:rsidRDefault="006E3F46" w:rsidP="006E3F46">
            <w:pPr>
              <w:widowControl w:val="0"/>
              <w:autoSpaceDE w:val="0"/>
              <w:autoSpaceDN w:val="0"/>
              <w:adjustRightInd w:val="0"/>
              <w:spacing w:after="0" w:line="240" w:lineRule="auto"/>
              <w:jc w:val="both"/>
              <w:rPr>
                <w:rFonts w:eastAsia="Times New Roman"/>
                <w:b/>
              </w:rPr>
            </w:pPr>
            <w:r w:rsidRPr="00287207">
              <w:t>79 (55.2)</w:t>
            </w:r>
          </w:p>
        </w:tc>
        <w:tc>
          <w:tcPr>
            <w:tcW w:w="2183" w:type="dxa"/>
            <w:vAlign w:val="center"/>
          </w:tcPr>
          <w:p w14:paraId="36177C51"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3E090C7D"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2D55C04A" w14:textId="77777777">
        <w:tc>
          <w:tcPr>
            <w:tcW w:w="2183" w:type="dxa"/>
            <w:vAlign w:val="center"/>
          </w:tcPr>
          <w:p w14:paraId="7A53D08F" w14:textId="6DB9936D" w:rsidR="006E3F46" w:rsidRDefault="006E3F46" w:rsidP="006E3F46">
            <w:pPr>
              <w:widowControl w:val="0"/>
              <w:autoSpaceDE w:val="0"/>
              <w:autoSpaceDN w:val="0"/>
              <w:adjustRightInd w:val="0"/>
              <w:spacing w:after="0" w:line="240" w:lineRule="auto"/>
              <w:jc w:val="both"/>
              <w:rPr>
                <w:rFonts w:eastAsia="Times New Roman"/>
                <w:b/>
              </w:rPr>
            </w:pPr>
            <w:r w:rsidRPr="00287207">
              <w:t>Female</w:t>
            </w:r>
          </w:p>
        </w:tc>
        <w:tc>
          <w:tcPr>
            <w:tcW w:w="2183" w:type="dxa"/>
            <w:vAlign w:val="center"/>
          </w:tcPr>
          <w:p w14:paraId="7C7502A5" w14:textId="0359B2EA" w:rsidR="006E3F46" w:rsidRDefault="006E3F46" w:rsidP="006E3F46">
            <w:pPr>
              <w:widowControl w:val="0"/>
              <w:autoSpaceDE w:val="0"/>
              <w:autoSpaceDN w:val="0"/>
              <w:adjustRightInd w:val="0"/>
              <w:spacing w:after="0" w:line="240" w:lineRule="auto"/>
              <w:jc w:val="both"/>
              <w:rPr>
                <w:rFonts w:eastAsia="Times New Roman"/>
                <w:b/>
              </w:rPr>
            </w:pPr>
            <w:r w:rsidRPr="00287207">
              <w:t>64 (44.8)</w:t>
            </w:r>
          </w:p>
        </w:tc>
        <w:tc>
          <w:tcPr>
            <w:tcW w:w="2183" w:type="dxa"/>
            <w:vAlign w:val="center"/>
          </w:tcPr>
          <w:p w14:paraId="2FF36828"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27EF95E2"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7A88CBE5" w14:textId="77777777">
        <w:tc>
          <w:tcPr>
            <w:tcW w:w="2183" w:type="dxa"/>
            <w:vAlign w:val="center"/>
          </w:tcPr>
          <w:p w14:paraId="4DBEB1C5" w14:textId="2331674B" w:rsidR="006E3F46" w:rsidRDefault="006E3F46" w:rsidP="006E3F46">
            <w:pPr>
              <w:widowControl w:val="0"/>
              <w:autoSpaceDE w:val="0"/>
              <w:autoSpaceDN w:val="0"/>
              <w:adjustRightInd w:val="0"/>
              <w:spacing w:after="0" w:line="240" w:lineRule="auto"/>
              <w:jc w:val="both"/>
              <w:rPr>
                <w:rFonts w:eastAsia="Times New Roman"/>
                <w:b/>
              </w:rPr>
            </w:pPr>
            <w:r w:rsidRPr="00287207">
              <w:rPr>
                <w:b/>
                <w:bCs/>
              </w:rPr>
              <w:t>Age (years)</w:t>
            </w:r>
          </w:p>
        </w:tc>
        <w:tc>
          <w:tcPr>
            <w:tcW w:w="2183" w:type="dxa"/>
            <w:vAlign w:val="center"/>
          </w:tcPr>
          <w:p w14:paraId="27B6B912"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27E6AD99" w14:textId="39546922" w:rsidR="006E3F46" w:rsidRDefault="006E3F46" w:rsidP="006E3F46">
            <w:pPr>
              <w:widowControl w:val="0"/>
              <w:autoSpaceDE w:val="0"/>
              <w:autoSpaceDN w:val="0"/>
              <w:adjustRightInd w:val="0"/>
              <w:spacing w:after="0" w:line="240" w:lineRule="auto"/>
              <w:jc w:val="both"/>
              <w:rPr>
                <w:rFonts w:eastAsia="Times New Roman"/>
                <w:b/>
              </w:rPr>
            </w:pPr>
            <w:r w:rsidRPr="00287207">
              <w:t>30.4 (3.88)</w:t>
            </w:r>
          </w:p>
        </w:tc>
        <w:tc>
          <w:tcPr>
            <w:tcW w:w="2183" w:type="dxa"/>
            <w:vAlign w:val="center"/>
          </w:tcPr>
          <w:p w14:paraId="579E9A0D" w14:textId="765222BA" w:rsidR="006E3F46" w:rsidRDefault="006E3F46" w:rsidP="006E3F46">
            <w:pPr>
              <w:widowControl w:val="0"/>
              <w:autoSpaceDE w:val="0"/>
              <w:autoSpaceDN w:val="0"/>
              <w:adjustRightInd w:val="0"/>
              <w:spacing w:after="0" w:line="240" w:lineRule="auto"/>
              <w:jc w:val="both"/>
              <w:rPr>
                <w:rFonts w:eastAsia="Times New Roman"/>
                <w:b/>
              </w:rPr>
            </w:pPr>
            <w:r w:rsidRPr="00287207">
              <w:t>0.007</w:t>
            </w:r>
          </w:p>
        </w:tc>
      </w:tr>
      <w:tr w:rsidR="006E3F46" w14:paraId="15270F8F" w14:textId="77777777">
        <w:tc>
          <w:tcPr>
            <w:tcW w:w="2183" w:type="dxa"/>
            <w:vAlign w:val="center"/>
          </w:tcPr>
          <w:p w14:paraId="6D0314F6" w14:textId="480B308E" w:rsidR="006E3F46" w:rsidRDefault="006E3F46" w:rsidP="006E3F46">
            <w:pPr>
              <w:widowControl w:val="0"/>
              <w:autoSpaceDE w:val="0"/>
              <w:autoSpaceDN w:val="0"/>
              <w:adjustRightInd w:val="0"/>
              <w:spacing w:after="0" w:line="240" w:lineRule="auto"/>
              <w:jc w:val="both"/>
              <w:rPr>
                <w:rFonts w:eastAsia="Times New Roman"/>
                <w:b/>
              </w:rPr>
            </w:pPr>
            <w:r w:rsidRPr="00287207">
              <w:t>18–24</w:t>
            </w:r>
          </w:p>
        </w:tc>
        <w:tc>
          <w:tcPr>
            <w:tcW w:w="2183" w:type="dxa"/>
            <w:vAlign w:val="center"/>
          </w:tcPr>
          <w:p w14:paraId="2A481C7A" w14:textId="7052A282" w:rsidR="006E3F46" w:rsidRDefault="006E3F46" w:rsidP="006E3F46">
            <w:pPr>
              <w:widowControl w:val="0"/>
              <w:autoSpaceDE w:val="0"/>
              <w:autoSpaceDN w:val="0"/>
              <w:adjustRightInd w:val="0"/>
              <w:spacing w:after="0" w:line="240" w:lineRule="auto"/>
              <w:jc w:val="both"/>
              <w:rPr>
                <w:rFonts w:eastAsia="Times New Roman"/>
                <w:b/>
              </w:rPr>
            </w:pPr>
            <w:r w:rsidRPr="00287207">
              <w:t>12 (8.39)</w:t>
            </w:r>
          </w:p>
        </w:tc>
        <w:tc>
          <w:tcPr>
            <w:tcW w:w="2183" w:type="dxa"/>
            <w:vAlign w:val="center"/>
          </w:tcPr>
          <w:p w14:paraId="2B793895"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647C71CF"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57B7C8D7" w14:textId="77777777">
        <w:tc>
          <w:tcPr>
            <w:tcW w:w="2183" w:type="dxa"/>
            <w:vAlign w:val="center"/>
          </w:tcPr>
          <w:p w14:paraId="7F89E3F8" w14:textId="2D3136C9" w:rsidR="006E3F46" w:rsidRDefault="006E3F46" w:rsidP="006E3F46">
            <w:pPr>
              <w:widowControl w:val="0"/>
              <w:autoSpaceDE w:val="0"/>
              <w:autoSpaceDN w:val="0"/>
              <w:adjustRightInd w:val="0"/>
              <w:spacing w:after="0" w:line="240" w:lineRule="auto"/>
              <w:jc w:val="both"/>
              <w:rPr>
                <w:rFonts w:eastAsia="Times New Roman"/>
                <w:b/>
              </w:rPr>
            </w:pPr>
            <w:r w:rsidRPr="00287207">
              <w:t>25–29</w:t>
            </w:r>
          </w:p>
        </w:tc>
        <w:tc>
          <w:tcPr>
            <w:tcW w:w="2183" w:type="dxa"/>
            <w:vAlign w:val="center"/>
          </w:tcPr>
          <w:p w14:paraId="67FBA6AE" w14:textId="540F83AD" w:rsidR="006E3F46" w:rsidRDefault="006E3F46" w:rsidP="006E3F46">
            <w:pPr>
              <w:widowControl w:val="0"/>
              <w:autoSpaceDE w:val="0"/>
              <w:autoSpaceDN w:val="0"/>
              <w:adjustRightInd w:val="0"/>
              <w:spacing w:after="0" w:line="240" w:lineRule="auto"/>
              <w:jc w:val="both"/>
              <w:rPr>
                <w:rFonts w:eastAsia="Times New Roman"/>
                <w:b/>
              </w:rPr>
            </w:pPr>
            <w:r w:rsidRPr="00287207">
              <w:t>29 (20.28)</w:t>
            </w:r>
          </w:p>
        </w:tc>
        <w:tc>
          <w:tcPr>
            <w:tcW w:w="2183" w:type="dxa"/>
            <w:vAlign w:val="center"/>
          </w:tcPr>
          <w:p w14:paraId="3C364D09"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0A36145C"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47EF3C78" w14:textId="77777777">
        <w:tc>
          <w:tcPr>
            <w:tcW w:w="2183" w:type="dxa"/>
            <w:vAlign w:val="center"/>
          </w:tcPr>
          <w:p w14:paraId="794E660A" w14:textId="723B68B3" w:rsidR="006E3F46" w:rsidRDefault="006E3F46" w:rsidP="006E3F46">
            <w:pPr>
              <w:widowControl w:val="0"/>
              <w:autoSpaceDE w:val="0"/>
              <w:autoSpaceDN w:val="0"/>
              <w:adjustRightInd w:val="0"/>
              <w:spacing w:after="0" w:line="240" w:lineRule="auto"/>
              <w:jc w:val="both"/>
              <w:rPr>
                <w:rFonts w:eastAsia="Times New Roman"/>
                <w:b/>
              </w:rPr>
            </w:pPr>
            <w:r w:rsidRPr="00287207">
              <w:t>30–34</w:t>
            </w:r>
          </w:p>
        </w:tc>
        <w:tc>
          <w:tcPr>
            <w:tcW w:w="2183" w:type="dxa"/>
            <w:vAlign w:val="center"/>
          </w:tcPr>
          <w:p w14:paraId="4FAD90C2" w14:textId="6C2C8799" w:rsidR="006E3F46" w:rsidRDefault="006E3F46" w:rsidP="006E3F46">
            <w:pPr>
              <w:widowControl w:val="0"/>
              <w:autoSpaceDE w:val="0"/>
              <w:autoSpaceDN w:val="0"/>
              <w:adjustRightInd w:val="0"/>
              <w:spacing w:after="0" w:line="240" w:lineRule="auto"/>
              <w:jc w:val="both"/>
              <w:rPr>
                <w:rFonts w:eastAsia="Times New Roman"/>
                <w:b/>
              </w:rPr>
            </w:pPr>
            <w:r w:rsidRPr="00287207">
              <w:t>86 (60.14)</w:t>
            </w:r>
          </w:p>
        </w:tc>
        <w:tc>
          <w:tcPr>
            <w:tcW w:w="2183" w:type="dxa"/>
            <w:vAlign w:val="center"/>
          </w:tcPr>
          <w:p w14:paraId="50973785"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5439C960"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0A81FC5A" w14:textId="77777777">
        <w:tc>
          <w:tcPr>
            <w:tcW w:w="2183" w:type="dxa"/>
            <w:vAlign w:val="center"/>
          </w:tcPr>
          <w:p w14:paraId="0EB014D6" w14:textId="035ADA11" w:rsidR="006E3F46" w:rsidRDefault="006E3F46" w:rsidP="006E3F46">
            <w:pPr>
              <w:widowControl w:val="0"/>
              <w:autoSpaceDE w:val="0"/>
              <w:autoSpaceDN w:val="0"/>
              <w:adjustRightInd w:val="0"/>
              <w:spacing w:after="0" w:line="240" w:lineRule="auto"/>
              <w:jc w:val="both"/>
              <w:rPr>
                <w:rFonts w:eastAsia="Times New Roman"/>
                <w:b/>
              </w:rPr>
            </w:pPr>
            <w:r w:rsidRPr="00287207">
              <w:t>35–40</w:t>
            </w:r>
          </w:p>
        </w:tc>
        <w:tc>
          <w:tcPr>
            <w:tcW w:w="2183" w:type="dxa"/>
            <w:vAlign w:val="center"/>
          </w:tcPr>
          <w:p w14:paraId="141C101D" w14:textId="4F6C7DCA" w:rsidR="006E3F46" w:rsidRDefault="006E3F46" w:rsidP="006E3F46">
            <w:pPr>
              <w:widowControl w:val="0"/>
              <w:autoSpaceDE w:val="0"/>
              <w:autoSpaceDN w:val="0"/>
              <w:adjustRightInd w:val="0"/>
              <w:spacing w:after="0" w:line="240" w:lineRule="auto"/>
              <w:jc w:val="both"/>
              <w:rPr>
                <w:rFonts w:eastAsia="Times New Roman"/>
                <w:b/>
              </w:rPr>
            </w:pPr>
            <w:r w:rsidRPr="00287207">
              <w:t>16 (11.19)</w:t>
            </w:r>
          </w:p>
        </w:tc>
        <w:tc>
          <w:tcPr>
            <w:tcW w:w="2183" w:type="dxa"/>
            <w:vAlign w:val="center"/>
          </w:tcPr>
          <w:p w14:paraId="13A2EF1F"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6CBC2FC8"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6D6632B3" w14:textId="77777777">
        <w:tc>
          <w:tcPr>
            <w:tcW w:w="2183" w:type="dxa"/>
            <w:vAlign w:val="center"/>
          </w:tcPr>
          <w:p w14:paraId="595B5F0C" w14:textId="10229064" w:rsidR="006E3F46" w:rsidRDefault="006E3F46" w:rsidP="006E3F46">
            <w:pPr>
              <w:widowControl w:val="0"/>
              <w:autoSpaceDE w:val="0"/>
              <w:autoSpaceDN w:val="0"/>
              <w:adjustRightInd w:val="0"/>
              <w:spacing w:after="0" w:line="240" w:lineRule="auto"/>
              <w:jc w:val="both"/>
              <w:rPr>
                <w:rFonts w:eastAsia="Times New Roman"/>
                <w:b/>
              </w:rPr>
            </w:pPr>
            <w:r w:rsidRPr="00287207">
              <w:rPr>
                <w:b/>
                <w:bCs/>
              </w:rPr>
              <w:t>Occupation</w:t>
            </w:r>
          </w:p>
        </w:tc>
        <w:tc>
          <w:tcPr>
            <w:tcW w:w="2183" w:type="dxa"/>
            <w:vAlign w:val="center"/>
          </w:tcPr>
          <w:p w14:paraId="215A472C"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1F692779"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201C012F" w14:textId="190A1649" w:rsidR="006E3F46" w:rsidRDefault="006E3F46" w:rsidP="006E3F46">
            <w:pPr>
              <w:widowControl w:val="0"/>
              <w:autoSpaceDE w:val="0"/>
              <w:autoSpaceDN w:val="0"/>
              <w:adjustRightInd w:val="0"/>
              <w:spacing w:after="0" w:line="240" w:lineRule="auto"/>
              <w:jc w:val="both"/>
              <w:rPr>
                <w:rFonts w:eastAsia="Times New Roman"/>
                <w:b/>
              </w:rPr>
            </w:pPr>
            <w:r w:rsidRPr="00287207">
              <w:t>0.021</w:t>
            </w:r>
          </w:p>
        </w:tc>
      </w:tr>
      <w:tr w:rsidR="006E3F46" w14:paraId="39BD7EDF" w14:textId="77777777">
        <w:tc>
          <w:tcPr>
            <w:tcW w:w="2183" w:type="dxa"/>
            <w:vAlign w:val="center"/>
          </w:tcPr>
          <w:p w14:paraId="05F58070" w14:textId="3305ACB6" w:rsidR="006E3F46" w:rsidRDefault="006E3F46" w:rsidP="006E3F46">
            <w:pPr>
              <w:widowControl w:val="0"/>
              <w:autoSpaceDE w:val="0"/>
              <w:autoSpaceDN w:val="0"/>
              <w:adjustRightInd w:val="0"/>
              <w:spacing w:after="0" w:line="240" w:lineRule="auto"/>
              <w:jc w:val="both"/>
              <w:rPr>
                <w:rFonts w:eastAsia="Times New Roman"/>
                <w:b/>
              </w:rPr>
            </w:pPr>
            <w:r w:rsidRPr="00287207">
              <w:t>Resident Doctor (PPDS)</w:t>
            </w:r>
          </w:p>
        </w:tc>
        <w:tc>
          <w:tcPr>
            <w:tcW w:w="2183" w:type="dxa"/>
            <w:vAlign w:val="center"/>
          </w:tcPr>
          <w:p w14:paraId="364CF2B9" w14:textId="7BBF92D0" w:rsidR="006E3F46" w:rsidRDefault="006E3F46" w:rsidP="006E3F46">
            <w:pPr>
              <w:widowControl w:val="0"/>
              <w:autoSpaceDE w:val="0"/>
              <w:autoSpaceDN w:val="0"/>
              <w:adjustRightInd w:val="0"/>
              <w:spacing w:after="0" w:line="240" w:lineRule="auto"/>
              <w:jc w:val="both"/>
              <w:rPr>
                <w:rFonts w:eastAsia="Times New Roman"/>
                <w:b/>
              </w:rPr>
            </w:pPr>
            <w:r w:rsidRPr="00287207">
              <w:t>129 (90.21)</w:t>
            </w:r>
          </w:p>
        </w:tc>
        <w:tc>
          <w:tcPr>
            <w:tcW w:w="2183" w:type="dxa"/>
            <w:vAlign w:val="center"/>
          </w:tcPr>
          <w:p w14:paraId="4108793A"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7D1F6DA0"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20351222" w14:textId="77777777">
        <w:tc>
          <w:tcPr>
            <w:tcW w:w="2183" w:type="dxa"/>
            <w:vAlign w:val="center"/>
          </w:tcPr>
          <w:p w14:paraId="2DFFDEF1" w14:textId="7F702773" w:rsidR="006E3F46" w:rsidRDefault="006E3F46" w:rsidP="006E3F46">
            <w:pPr>
              <w:widowControl w:val="0"/>
              <w:autoSpaceDE w:val="0"/>
              <w:autoSpaceDN w:val="0"/>
              <w:adjustRightInd w:val="0"/>
              <w:spacing w:after="0" w:line="240" w:lineRule="auto"/>
              <w:jc w:val="both"/>
              <w:rPr>
                <w:rFonts w:eastAsia="Times New Roman"/>
                <w:b/>
              </w:rPr>
            </w:pPr>
            <w:r w:rsidRPr="00287207">
              <w:t>General Practitioner</w:t>
            </w:r>
          </w:p>
        </w:tc>
        <w:tc>
          <w:tcPr>
            <w:tcW w:w="2183" w:type="dxa"/>
            <w:vAlign w:val="center"/>
          </w:tcPr>
          <w:p w14:paraId="4C188710" w14:textId="0CA66A94" w:rsidR="006E3F46" w:rsidRDefault="006E3F46" w:rsidP="006E3F46">
            <w:pPr>
              <w:widowControl w:val="0"/>
              <w:autoSpaceDE w:val="0"/>
              <w:autoSpaceDN w:val="0"/>
              <w:adjustRightInd w:val="0"/>
              <w:spacing w:after="0" w:line="240" w:lineRule="auto"/>
              <w:jc w:val="both"/>
              <w:rPr>
                <w:rFonts w:eastAsia="Times New Roman"/>
                <w:b/>
              </w:rPr>
            </w:pPr>
            <w:r w:rsidRPr="00287207">
              <w:t>14 (9.79)</w:t>
            </w:r>
          </w:p>
        </w:tc>
        <w:tc>
          <w:tcPr>
            <w:tcW w:w="2183" w:type="dxa"/>
            <w:vAlign w:val="center"/>
          </w:tcPr>
          <w:p w14:paraId="64023D8A"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44FFB0F9"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7FE2ED3B" w14:textId="77777777">
        <w:tc>
          <w:tcPr>
            <w:tcW w:w="2183" w:type="dxa"/>
            <w:vAlign w:val="center"/>
          </w:tcPr>
          <w:p w14:paraId="0C15C1D0" w14:textId="675376B8" w:rsidR="006E3F46" w:rsidRDefault="006E3F46" w:rsidP="006E3F46">
            <w:pPr>
              <w:widowControl w:val="0"/>
              <w:autoSpaceDE w:val="0"/>
              <w:autoSpaceDN w:val="0"/>
              <w:adjustRightInd w:val="0"/>
              <w:spacing w:after="0" w:line="240" w:lineRule="auto"/>
              <w:jc w:val="both"/>
              <w:rPr>
                <w:rFonts w:eastAsia="Times New Roman"/>
                <w:b/>
              </w:rPr>
            </w:pPr>
            <w:r w:rsidRPr="00287207">
              <w:rPr>
                <w:b/>
                <w:bCs/>
              </w:rPr>
              <w:t>Body Mass Index (kg/m²)</w:t>
            </w:r>
          </w:p>
        </w:tc>
        <w:tc>
          <w:tcPr>
            <w:tcW w:w="2183" w:type="dxa"/>
            <w:vAlign w:val="center"/>
          </w:tcPr>
          <w:p w14:paraId="39B8F239"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07314E40" w14:textId="07FE7193" w:rsidR="006E3F46" w:rsidRDefault="006E3F46" w:rsidP="006E3F46">
            <w:pPr>
              <w:widowControl w:val="0"/>
              <w:autoSpaceDE w:val="0"/>
              <w:autoSpaceDN w:val="0"/>
              <w:adjustRightInd w:val="0"/>
              <w:spacing w:after="0" w:line="240" w:lineRule="auto"/>
              <w:jc w:val="both"/>
              <w:rPr>
                <w:rFonts w:eastAsia="Times New Roman"/>
                <w:b/>
              </w:rPr>
            </w:pPr>
            <w:r w:rsidRPr="00287207">
              <w:t>29.97 (3.49)</w:t>
            </w:r>
          </w:p>
        </w:tc>
        <w:tc>
          <w:tcPr>
            <w:tcW w:w="2183" w:type="dxa"/>
            <w:vAlign w:val="center"/>
          </w:tcPr>
          <w:p w14:paraId="0993A30D" w14:textId="4757CA20" w:rsidR="006E3F46" w:rsidRDefault="006E3F46" w:rsidP="006E3F46">
            <w:pPr>
              <w:widowControl w:val="0"/>
              <w:autoSpaceDE w:val="0"/>
              <w:autoSpaceDN w:val="0"/>
              <w:adjustRightInd w:val="0"/>
              <w:spacing w:after="0" w:line="240" w:lineRule="auto"/>
              <w:jc w:val="both"/>
              <w:rPr>
                <w:rFonts w:eastAsia="Times New Roman"/>
                <w:b/>
              </w:rPr>
            </w:pPr>
            <w:r w:rsidRPr="00287207">
              <w:t>0.949</w:t>
            </w:r>
          </w:p>
        </w:tc>
      </w:tr>
      <w:tr w:rsidR="006E3F46" w14:paraId="532AD961" w14:textId="77777777">
        <w:tc>
          <w:tcPr>
            <w:tcW w:w="2183" w:type="dxa"/>
            <w:vAlign w:val="center"/>
          </w:tcPr>
          <w:p w14:paraId="6300CD82" w14:textId="0DF21089" w:rsidR="006E3F46" w:rsidRDefault="006E3F46" w:rsidP="006E3F46">
            <w:pPr>
              <w:widowControl w:val="0"/>
              <w:autoSpaceDE w:val="0"/>
              <w:autoSpaceDN w:val="0"/>
              <w:adjustRightInd w:val="0"/>
              <w:spacing w:after="0" w:line="240" w:lineRule="auto"/>
              <w:jc w:val="both"/>
              <w:rPr>
                <w:rFonts w:eastAsia="Times New Roman"/>
                <w:b/>
              </w:rPr>
            </w:pPr>
            <w:r w:rsidRPr="00287207">
              <w:t>Obesity I (25–29.9)</w:t>
            </w:r>
          </w:p>
        </w:tc>
        <w:tc>
          <w:tcPr>
            <w:tcW w:w="2183" w:type="dxa"/>
            <w:vAlign w:val="center"/>
          </w:tcPr>
          <w:p w14:paraId="30D8DF9A" w14:textId="1A710242" w:rsidR="006E3F46" w:rsidRDefault="006E3F46" w:rsidP="006E3F46">
            <w:pPr>
              <w:widowControl w:val="0"/>
              <w:autoSpaceDE w:val="0"/>
              <w:autoSpaceDN w:val="0"/>
              <w:adjustRightInd w:val="0"/>
              <w:spacing w:after="0" w:line="240" w:lineRule="auto"/>
              <w:jc w:val="both"/>
              <w:rPr>
                <w:rFonts w:eastAsia="Times New Roman"/>
                <w:b/>
              </w:rPr>
            </w:pPr>
            <w:r w:rsidRPr="00287207">
              <w:t>83 (58.05)</w:t>
            </w:r>
          </w:p>
        </w:tc>
        <w:tc>
          <w:tcPr>
            <w:tcW w:w="2183" w:type="dxa"/>
            <w:vAlign w:val="center"/>
          </w:tcPr>
          <w:p w14:paraId="0B06D597"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203CAFA4"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72FDA7DE" w14:textId="77777777">
        <w:tc>
          <w:tcPr>
            <w:tcW w:w="2183" w:type="dxa"/>
            <w:vAlign w:val="center"/>
          </w:tcPr>
          <w:p w14:paraId="7E1BDF90" w14:textId="7C705113" w:rsidR="006E3F46" w:rsidRDefault="006E3F46" w:rsidP="006E3F46">
            <w:pPr>
              <w:widowControl w:val="0"/>
              <w:autoSpaceDE w:val="0"/>
              <w:autoSpaceDN w:val="0"/>
              <w:adjustRightInd w:val="0"/>
              <w:spacing w:after="0" w:line="240" w:lineRule="auto"/>
              <w:jc w:val="both"/>
              <w:rPr>
                <w:rFonts w:eastAsia="Times New Roman"/>
                <w:b/>
              </w:rPr>
            </w:pPr>
            <w:r w:rsidRPr="00287207">
              <w:t>Obesity II (30–34.9)</w:t>
            </w:r>
          </w:p>
        </w:tc>
        <w:tc>
          <w:tcPr>
            <w:tcW w:w="2183" w:type="dxa"/>
            <w:vAlign w:val="center"/>
          </w:tcPr>
          <w:p w14:paraId="0E5C99FE" w14:textId="7BE34175" w:rsidR="006E3F46" w:rsidRDefault="006E3F46" w:rsidP="006E3F46">
            <w:pPr>
              <w:widowControl w:val="0"/>
              <w:autoSpaceDE w:val="0"/>
              <w:autoSpaceDN w:val="0"/>
              <w:adjustRightInd w:val="0"/>
              <w:spacing w:after="0" w:line="240" w:lineRule="auto"/>
              <w:jc w:val="both"/>
              <w:rPr>
                <w:rFonts w:eastAsia="Times New Roman"/>
                <w:b/>
              </w:rPr>
            </w:pPr>
            <w:r w:rsidRPr="00287207">
              <w:t>51 (35.66)</w:t>
            </w:r>
          </w:p>
        </w:tc>
        <w:tc>
          <w:tcPr>
            <w:tcW w:w="2183" w:type="dxa"/>
            <w:vAlign w:val="center"/>
          </w:tcPr>
          <w:p w14:paraId="118C505C"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4EF39DE8"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7C2D24BD" w14:textId="77777777">
        <w:tc>
          <w:tcPr>
            <w:tcW w:w="2183" w:type="dxa"/>
            <w:vAlign w:val="center"/>
          </w:tcPr>
          <w:p w14:paraId="39106848" w14:textId="58531393" w:rsidR="006E3F46" w:rsidRDefault="006E3F46" w:rsidP="006E3F46">
            <w:pPr>
              <w:widowControl w:val="0"/>
              <w:autoSpaceDE w:val="0"/>
              <w:autoSpaceDN w:val="0"/>
              <w:adjustRightInd w:val="0"/>
              <w:spacing w:after="0" w:line="240" w:lineRule="auto"/>
              <w:jc w:val="both"/>
              <w:rPr>
                <w:rFonts w:eastAsia="Times New Roman"/>
                <w:b/>
              </w:rPr>
            </w:pPr>
            <w:r w:rsidRPr="00287207">
              <w:t>Obesity III (≥35)</w:t>
            </w:r>
          </w:p>
        </w:tc>
        <w:tc>
          <w:tcPr>
            <w:tcW w:w="2183" w:type="dxa"/>
            <w:vAlign w:val="center"/>
          </w:tcPr>
          <w:p w14:paraId="457D73CA" w14:textId="0622C1CD" w:rsidR="006E3F46" w:rsidRDefault="006E3F46" w:rsidP="006E3F46">
            <w:pPr>
              <w:widowControl w:val="0"/>
              <w:autoSpaceDE w:val="0"/>
              <w:autoSpaceDN w:val="0"/>
              <w:adjustRightInd w:val="0"/>
              <w:spacing w:after="0" w:line="240" w:lineRule="auto"/>
              <w:jc w:val="both"/>
              <w:rPr>
                <w:rFonts w:eastAsia="Times New Roman"/>
                <w:b/>
              </w:rPr>
            </w:pPr>
            <w:r w:rsidRPr="00287207">
              <w:t>9 (6.29)</w:t>
            </w:r>
          </w:p>
        </w:tc>
        <w:tc>
          <w:tcPr>
            <w:tcW w:w="2183" w:type="dxa"/>
            <w:vAlign w:val="center"/>
          </w:tcPr>
          <w:p w14:paraId="78CFD9DB"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58E59FB7"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5275A6A5" w14:textId="77777777">
        <w:tc>
          <w:tcPr>
            <w:tcW w:w="2183" w:type="dxa"/>
            <w:vAlign w:val="center"/>
          </w:tcPr>
          <w:p w14:paraId="03C4A2BE" w14:textId="7E718F50" w:rsidR="006E3F46" w:rsidRDefault="006E3F46" w:rsidP="006E3F46">
            <w:pPr>
              <w:widowControl w:val="0"/>
              <w:autoSpaceDE w:val="0"/>
              <w:autoSpaceDN w:val="0"/>
              <w:adjustRightInd w:val="0"/>
              <w:spacing w:after="0" w:line="240" w:lineRule="auto"/>
              <w:jc w:val="both"/>
              <w:rPr>
                <w:rFonts w:eastAsia="Times New Roman"/>
                <w:b/>
              </w:rPr>
            </w:pPr>
            <w:r w:rsidRPr="00287207">
              <w:rPr>
                <w:b/>
                <w:bCs/>
              </w:rPr>
              <w:t>Family History of Diabetes</w:t>
            </w:r>
          </w:p>
        </w:tc>
        <w:tc>
          <w:tcPr>
            <w:tcW w:w="2183" w:type="dxa"/>
            <w:vAlign w:val="center"/>
          </w:tcPr>
          <w:p w14:paraId="29A40A66"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152FA773"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6037A9B0" w14:textId="6593F8F4" w:rsidR="006E3F46" w:rsidRDefault="006E3F46" w:rsidP="006E3F46">
            <w:pPr>
              <w:widowControl w:val="0"/>
              <w:autoSpaceDE w:val="0"/>
              <w:autoSpaceDN w:val="0"/>
              <w:adjustRightInd w:val="0"/>
              <w:spacing w:after="0" w:line="240" w:lineRule="auto"/>
              <w:jc w:val="both"/>
              <w:rPr>
                <w:rFonts w:eastAsia="Times New Roman"/>
                <w:b/>
              </w:rPr>
            </w:pPr>
            <w:r w:rsidRPr="00287207">
              <w:t>0.033</w:t>
            </w:r>
          </w:p>
        </w:tc>
      </w:tr>
      <w:tr w:rsidR="006E3F46" w14:paraId="219EFA1D" w14:textId="77777777">
        <w:tc>
          <w:tcPr>
            <w:tcW w:w="2183" w:type="dxa"/>
            <w:vAlign w:val="center"/>
          </w:tcPr>
          <w:p w14:paraId="471F3946" w14:textId="78C2A372" w:rsidR="006E3F46" w:rsidRDefault="006E3F46" w:rsidP="006E3F46">
            <w:pPr>
              <w:widowControl w:val="0"/>
              <w:autoSpaceDE w:val="0"/>
              <w:autoSpaceDN w:val="0"/>
              <w:adjustRightInd w:val="0"/>
              <w:spacing w:after="0" w:line="240" w:lineRule="auto"/>
              <w:jc w:val="both"/>
              <w:rPr>
                <w:rFonts w:eastAsia="Times New Roman"/>
                <w:b/>
              </w:rPr>
            </w:pPr>
            <w:r w:rsidRPr="00287207">
              <w:t>Yes</w:t>
            </w:r>
          </w:p>
        </w:tc>
        <w:tc>
          <w:tcPr>
            <w:tcW w:w="2183" w:type="dxa"/>
            <w:vAlign w:val="center"/>
          </w:tcPr>
          <w:p w14:paraId="13E51B7B" w14:textId="5E054173" w:rsidR="006E3F46" w:rsidRDefault="006E3F46" w:rsidP="006E3F46">
            <w:pPr>
              <w:widowControl w:val="0"/>
              <w:autoSpaceDE w:val="0"/>
              <w:autoSpaceDN w:val="0"/>
              <w:adjustRightInd w:val="0"/>
              <w:spacing w:after="0" w:line="240" w:lineRule="auto"/>
              <w:jc w:val="both"/>
              <w:rPr>
                <w:rFonts w:eastAsia="Times New Roman"/>
                <w:b/>
              </w:rPr>
            </w:pPr>
            <w:r w:rsidRPr="00287207">
              <w:t>44 (30.8)</w:t>
            </w:r>
          </w:p>
        </w:tc>
        <w:tc>
          <w:tcPr>
            <w:tcW w:w="2183" w:type="dxa"/>
            <w:vAlign w:val="center"/>
          </w:tcPr>
          <w:p w14:paraId="575C0A7C"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010B17DC"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1D692A6A" w14:textId="77777777">
        <w:tc>
          <w:tcPr>
            <w:tcW w:w="2183" w:type="dxa"/>
            <w:vAlign w:val="center"/>
          </w:tcPr>
          <w:p w14:paraId="370E2071" w14:textId="0AACCE7E" w:rsidR="006E3F46" w:rsidRDefault="006E3F46" w:rsidP="006E3F46">
            <w:pPr>
              <w:widowControl w:val="0"/>
              <w:autoSpaceDE w:val="0"/>
              <w:autoSpaceDN w:val="0"/>
              <w:adjustRightInd w:val="0"/>
              <w:spacing w:after="0" w:line="240" w:lineRule="auto"/>
              <w:jc w:val="both"/>
              <w:rPr>
                <w:rFonts w:eastAsia="Times New Roman"/>
                <w:b/>
              </w:rPr>
            </w:pPr>
            <w:r w:rsidRPr="00287207">
              <w:t>No</w:t>
            </w:r>
          </w:p>
        </w:tc>
        <w:tc>
          <w:tcPr>
            <w:tcW w:w="2183" w:type="dxa"/>
            <w:vAlign w:val="center"/>
          </w:tcPr>
          <w:p w14:paraId="33FF521D" w14:textId="227A78F7" w:rsidR="006E3F46" w:rsidRDefault="006E3F46" w:rsidP="006E3F46">
            <w:pPr>
              <w:widowControl w:val="0"/>
              <w:autoSpaceDE w:val="0"/>
              <w:autoSpaceDN w:val="0"/>
              <w:adjustRightInd w:val="0"/>
              <w:spacing w:after="0" w:line="240" w:lineRule="auto"/>
              <w:jc w:val="both"/>
              <w:rPr>
                <w:rFonts w:eastAsia="Times New Roman"/>
                <w:b/>
              </w:rPr>
            </w:pPr>
            <w:r w:rsidRPr="00287207">
              <w:t>99 (69.2)</w:t>
            </w:r>
          </w:p>
        </w:tc>
        <w:tc>
          <w:tcPr>
            <w:tcW w:w="2183" w:type="dxa"/>
            <w:vAlign w:val="center"/>
          </w:tcPr>
          <w:p w14:paraId="64FDEBD0"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7C4C7D20"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7B6EE59F" w14:textId="77777777">
        <w:tc>
          <w:tcPr>
            <w:tcW w:w="2183" w:type="dxa"/>
            <w:vAlign w:val="center"/>
          </w:tcPr>
          <w:p w14:paraId="09CD78F5" w14:textId="4F7F5041" w:rsidR="006E3F46" w:rsidRDefault="006E3F46" w:rsidP="006E3F46">
            <w:pPr>
              <w:widowControl w:val="0"/>
              <w:autoSpaceDE w:val="0"/>
              <w:autoSpaceDN w:val="0"/>
              <w:adjustRightInd w:val="0"/>
              <w:spacing w:after="0" w:line="240" w:lineRule="auto"/>
              <w:jc w:val="both"/>
              <w:rPr>
                <w:rFonts w:eastAsia="Times New Roman"/>
                <w:b/>
              </w:rPr>
            </w:pPr>
            <w:r w:rsidRPr="00287207">
              <w:rPr>
                <w:b/>
                <w:bCs/>
              </w:rPr>
              <w:t>Waist Circumference</w:t>
            </w:r>
          </w:p>
        </w:tc>
        <w:tc>
          <w:tcPr>
            <w:tcW w:w="2183" w:type="dxa"/>
            <w:vAlign w:val="center"/>
          </w:tcPr>
          <w:p w14:paraId="2AA5F2D2"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3B613563"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1B49DB4D" w14:textId="6236B41D" w:rsidR="006E3F46" w:rsidRDefault="006E3F46" w:rsidP="006E3F46">
            <w:pPr>
              <w:widowControl w:val="0"/>
              <w:autoSpaceDE w:val="0"/>
              <w:autoSpaceDN w:val="0"/>
              <w:adjustRightInd w:val="0"/>
              <w:spacing w:after="0" w:line="240" w:lineRule="auto"/>
              <w:jc w:val="both"/>
              <w:rPr>
                <w:rFonts w:eastAsia="Times New Roman"/>
                <w:b/>
              </w:rPr>
            </w:pPr>
            <w:r w:rsidRPr="00287207">
              <w:t>0.615</w:t>
            </w:r>
          </w:p>
        </w:tc>
      </w:tr>
      <w:tr w:rsidR="006E3F46" w14:paraId="694E2CE0" w14:textId="77777777">
        <w:tc>
          <w:tcPr>
            <w:tcW w:w="2183" w:type="dxa"/>
            <w:vAlign w:val="center"/>
          </w:tcPr>
          <w:p w14:paraId="70E56F95" w14:textId="67A8A8F4" w:rsidR="006E3F46" w:rsidRDefault="006E3F46" w:rsidP="006E3F46">
            <w:pPr>
              <w:widowControl w:val="0"/>
              <w:autoSpaceDE w:val="0"/>
              <w:autoSpaceDN w:val="0"/>
              <w:adjustRightInd w:val="0"/>
              <w:spacing w:after="0" w:line="240" w:lineRule="auto"/>
              <w:jc w:val="both"/>
              <w:rPr>
                <w:rFonts w:eastAsia="Times New Roman"/>
                <w:b/>
              </w:rPr>
            </w:pPr>
            <w:r w:rsidRPr="00287207">
              <w:t>Male</w:t>
            </w:r>
          </w:p>
        </w:tc>
        <w:tc>
          <w:tcPr>
            <w:tcW w:w="2183" w:type="dxa"/>
            <w:vAlign w:val="center"/>
          </w:tcPr>
          <w:p w14:paraId="2CF6A562"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0D337CFE" w14:textId="4C669279" w:rsidR="006E3F46" w:rsidRDefault="006E3F46" w:rsidP="006E3F46">
            <w:pPr>
              <w:widowControl w:val="0"/>
              <w:autoSpaceDE w:val="0"/>
              <w:autoSpaceDN w:val="0"/>
              <w:adjustRightInd w:val="0"/>
              <w:spacing w:after="0" w:line="240" w:lineRule="auto"/>
              <w:jc w:val="both"/>
              <w:rPr>
                <w:rFonts w:eastAsia="Times New Roman"/>
                <w:b/>
              </w:rPr>
            </w:pPr>
            <w:r w:rsidRPr="00287207">
              <w:t>94.47 (10.42)</w:t>
            </w:r>
          </w:p>
        </w:tc>
        <w:tc>
          <w:tcPr>
            <w:tcW w:w="2183" w:type="dxa"/>
            <w:vAlign w:val="center"/>
          </w:tcPr>
          <w:p w14:paraId="0B4ECE54"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1FC2031D" w14:textId="77777777">
        <w:tc>
          <w:tcPr>
            <w:tcW w:w="2183" w:type="dxa"/>
            <w:vAlign w:val="center"/>
          </w:tcPr>
          <w:p w14:paraId="6DC9809C" w14:textId="160E1323" w:rsidR="006E3F46" w:rsidRDefault="006E3F46" w:rsidP="006E3F46">
            <w:pPr>
              <w:widowControl w:val="0"/>
              <w:autoSpaceDE w:val="0"/>
              <w:autoSpaceDN w:val="0"/>
              <w:adjustRightInd w:val="0"/>
              <w:spacing w:after="0" w:line="240" w:lineRule="auto"/>
              <w:jc w:val="both"/>
              <w:rPr>
                <w:rFonts w:eastAsia="Times New Roman"/>
                <w:b/>
              </w:rPr>
            </w:pPr>
            <w:r w:rsidRPr="00287207">
              <w:t>&gt;90 cm</w:t>
            </w:r>
          </w:p>
        </w:tc>
        <w:tc>
          <w:tcPr>
            <w:tcW w:w="2183" w:type="dxa"/>
            <w:vAlign w:val="center"/>
          </w:tcPr>
          <w:p w14:paraId="6657D4CF" w14:textId="3500DDC3" w:rsidR="006E3F46" w:rsidRDefault="006E3F46" w:rsidP="006E3F46">
            <w:pPr>
              <w:widowControl w:val="0"/>
              <w:autoSpaceDE w:val="0"/>
              <w:autoSpaceDN w:val="0"/>
              <w:adjustRightInd w:val="0"/>
              <w:spacing w:after="0" w:line="240" w:lineRule="auto"/>
              <w:jc w:val="both"/>
              <w:rPr>
                <w:rFonts w:eastAsia="Times New Roman"/>
                <w:b/>
              </w:rPr>
            </w:pPr>
            <w:r w:rsidRPr="00287207">
              <w:t>73 (92.41)</w:t>
            </w:r>
          </w:p>
        </w:tc>
        <w:tc>
          <w:tcPr>
            <w:tcW w:w="2183" w:type="dxa"/>
            <w:vAlign w:val="center"/>
          </w:tcPr>
          <w:p w14:paraId="528BF804"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5EB6A418"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46DC9AB2" w14:textId="77777777">
        <w:tc>
          <w:tcPr>
            <w:tcW w:w="2183" w:type="dxa"/>
            <w:vAlign w:val="center"/>
          </w:tcPr>
          <w:p w14:paraId="63A0E367" w14:textId="7D485695" w:rsidR="006E3F46" w:rsidRDefault="006E3F46" w:rsidP="006E3F46">
            <w:pPr>
              <w:widowControl w:val="0"/>
              <w:autoSpaceDE w:val="0"/>
              <w:autoSpaceDN w:val="0"/>
              <w:adjustRightInd w:val="0"/>
              <w:spacing w:after="0" w:line="240" w:lineRule="auto"/>
              <w:jc w:val="both"/>
              <w:rPr>
                <w:rFonts w:eastAsia="Times New Roman"/>
                <w:b/>
              </w:rPr>
            </w:pPr>
            <w:r w:rsidRPr="00287207">
              <w:t>≤90 cm</w:t>
            </w:r>
          </w:p>
        </w:tc>
        <w:tc>
          <w:tcPr>
            <w:tcW w:w="2183" w:type="dxa"/>
            <w:vAlign w:val="center"/>
          </w:tcPr>
          <w:p w14:paraId="2E40CB46" w14:textId="5B2E7CAD" w:rsidR="006E3F46" w:rsidRDefault="006E3F46" w:rsidP="006E3F46">
            <w:pPr>
              <w:widowControl w:val="0"/>
              <w:autoSpaceDE w:val="0"/>
              <w:autoSpaceDN w:val="0"/>
              <w:adjustRightInd w:val="0"/>
              <w:spacing w:after="0" w:line="240" w:lineRule="auto"/>
              <w:jc w:val="both"/>
              <w:rPr>
                <w:rFonts w:eastAsia="Times New Roman"/>
                <w:b/>
              </w:rPr>
            </w:pPr>
            <w:r w:rsidRPr="00287207">
              <w:t>6 (7.59)</w:t>
            </w:r>
          </w:p>
        </w:tc>
        <w:tc>
          <w:tcPr>
            <w:tcW w:w="2183" w:type="dxa"/>
            <w:vAlign w:val="center"/>
          </w:tcPr>
          <w:p w14:paraId="06C302A4"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024908A0"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50220DD5" w14:textId="77777777">
        <w:tc>
          <w:tcPr>
            <w:tcW w:w="2183" w:type="dxa"/>
            <w:vAlign w:val="center"/>
          </w:tcPr>
          <w:p w14:paraId="569EAC4E" w14:textId="2171DE14" w:rsidR="006E3F46" w:rsidRDefault="006E3F46" w:rsidP="006E3F46">
            <w:pPr>
              <w:widowControl w:val="0"/>
              <w:autoSpaceDE w:val="0"/>
              <w:autoSpaceDN w:val="0"/>
              <w:adjustRightInd w:val="0"/>
              <w:spacing w:after="0" w:line="240" w:lineRule="auto"/>
              <w:jc w:val="both"/>
              <w:rPr>
                <w:rFonts w:eastAsia="Times New Roman"/>
                <w:b/>
              </w:rPr>
            </w:pPr>
            <w:r w:rsidRPr="00287207">
              <w:t>Female</w:t>
            </w:r>
          </w:p>
        </w:tc>
        <w:tc>
          <w:tcPr>
            <w:tcW w:w="2183" w:type="dxa"/>
            <w:vAlign w:val="center"/>
          </w:tcPr>
          <w:p w14:paraId="20450A60"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13ABB6C8" w14:textId="286167F4" w:rsidR="006E3F46" w:rsidRDefault="006E3F46" w:rsidP="006E3F46">
            <w:pPr>
              <w:widowControl w:val="0"/>
              <w:autoSpaceDE w:val="0"/>
              <w:autoSpaceDN w:val="0"/>
              <w:adjustRightInd w:val="0"/>
              <w:spacing w:after="0" w:line="240" w:lineRule="auto"/>
              <w:jc w:val="both"/>
              <w:rPr>
                <w:rFonts w:eastAsia="Times New Roman"/>
                <w:b/>
              </w:rPr>
            </w:pPr>
            <w:r w:rsidRPr="00287207">
              <w:t>99.97 (9.55)</w:t>
            </w:r>
          </w:p>
        </w:tc>
        <w:tc>
          <w:tcPr>
            <w:tcW w:w="2183" w:type="dxa"/>
            <w:vAlign w:val="center"/>
          </w:tcPr>
          <w:p w14:paraId="3D8FC915"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1C327E50" w14:textId="77777777">
        <w:tc>
          <w:tcPr>
            <w:tcW w:w="2183" w:type="dxa"/>
            <w:vAlign w:val="center"/>
          </w:tcPr>
          <w:p w14:paraId="2EA24F9B" w14:textId="3BDDC871" w:rsidR="006E3F46" w:rsidRDefault="006E3F46" w:rsidP="006E3F46">
            <w:pPr>
              <w:widowControl w:val="0"/>
              <w:autoSpaceDE w:val="0"/>
              <w:autoSpaceDN w:val="0"/>
              <w:adjustRightInd w:val="0"/>
              <w:spacing w:after="0" w:line="240" w:lineRule="auto"/>
              <w:jc w:val="both"/>
              <w:rPr>
                <w:rFonts w:eastAsia="Times New Roman"/>
                <w:b/>
              </w:rPr>
            </w:pPr>
            <w:r w:rsidRPr="00287207">
              <w:t>&gt;80 cm</w:t>
            </w:r>
          </w:p>
        </w:tc>
        <w:tc>
          <w:tcPr>
            <w:tcW w:w="2183" w:type="dxa"/>
            <w:vAlign w:val="center"/>
          </w:tcPr>
          <w:p w14:paraId="23D4C0DB" w14:textId="465F77DC" w:rsidR="006E3F46" w:rsidRDefault="006E3F46" w:rsidP="006E3F46">
            <w:pPr>
              <w:widowControl w:val="0"/>
              <w:autoSpaceDE w:val="0"/>
              <w:autoSpaceDN w:val="0"/>
              <w:adjustRightInd w:val="0"/>
              <w:spacing w:after="0" w:line="240" w:lineRule="auto"/>
              <w:jc w:val="both"/>
              <w:rPr>
                <w:rFonts w:eastAsia="Times New Roman"/>
                <w:b/>
              </w:rPr>
            </w:pPr>
            <w:r w:rsidRPr="00287207">
              <w:t>62 (96.88)</w:t>
            </w:r>
          </w:p>
        </w:tc>
        <w:tc>
          <w:tcPr>
            <w:tcW w:w="2183" w:type="dxa"/>
            <w:vAlign w:val="center"/>
          </w:tcPr>
          <w:p w14:paraId="33F75957"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332B38E5"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6CC13882" w14:textId="77777777">
        <w:tc>
          <w:tcPr>
            <w:tcW w:w="2183" w:type="dxa"/>
            <w:vAlign w:val="center"/>
          </w:tcPr>
          <w:p w14:paraId="20A4D6F5" w14:textId="57860079" w:rsidR="006E3F46" w:rsidRDefault="006E3F46" w:rsidP="006E3F46">
            <w:pPr>
              <w:widowControl w:val="0"/>
              <w:autoSpaceDE w:val="0"/>
              <w:autoSpaceDN w:val="0"/>
              <w:adjustRightInd w:val="0"/>
              <w:spacing w:after="0" w:line="240" w:lineRule="auto"/>
              <w:jc w:val="both"/>
              <w:rPr>
                <w:rFonts w:eastAsia="Times New Roman"/>
                <w:b/>
              </w:rPr>
            </w:pPr>
            <w:r w:rsidRPr="00287207">
              <w:t>≤80 cm</w:t>
            </w:r>
          </w:p>
        </w:tc>
        <w:tc>
          <w:tcPr>
            <w:tcW w:w="2183" w:type="dxa"/>
            <w:vAlign w:val="center"/>
          </w:tcPr>
          <w:p w14:paraId="6ED7325E" w14:textId="4ACCFBB9" w:rsidR="006E3F46" w:rsidRDefault="006E3F46" w:rsidP="006E3F46">
            <w:pPr>
              <w:widowControl w:val="0"/>
              <w:autoSpaceDE w:val="0"/>
              <w:autoSpaceDN w:val="0"/>
              <w:adjustRightInd w:val="0"/>
              <w:spacing w:after="0" w:line="240" w:lineRule="auto"/>
              <w:jc w:val="both"/>
              <w:rPr>
                <w:rFonts w:eastAsia="Times New Roman"/>
                <w:b/>
              </w:rPr>
            </w:pPr>
            <w:r w:rsidRPr="00287207">
              <w:t>2 (3.12)</w:t>
            </w:r>
          </w:p>
        </w:tc>
        <w:tc>
          <w:tcPr>
            <w:tcW w:w="2183" w:type="dxa"/>
            <w:vAlign w:val="center"/>
          </w:tcPr>
          <w:p w14:paraId="50B43749"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2CB9BE2B"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0071DA37" w14:textId="77777777">
        <w:tc>
          <w:tcPr>
            <w:tcW w:w="2183" w:type="dxa"/>
            <w:vAlign w:val="center"/>
          </w:tcPr>
          <w:p w14:paraId="26E90B61" w14:textId="34E1B2E9" w:rsidR="006E3F46" w:rsidRDefault="006E3F46" w:rsidP="006E3F46">
            <w:pPr>
              <w:widowControl w:val="0"/>
              <w:autoSpaceDE w:val="0"/>
              <w:autoSpaceDN w:val="0"/>
              <w:adjustRightInd w:val="0"/>
              <w:spacing w:after="0" w:line="240" w:lineRule="auto"/>
              <w:jc w:val="both"/>
              <w:rPr>
                <w:rFonts w:eastAsia="Times New Roman"/>
                <w:b/>
              </w:rPr>
            </w:pPr>
            <w:r w:rsidRPr="00287207">
              <w:rPr>
                <w:b/>
                <w:bCs/>
              </w:rPr>
              <w:t>Hemoglobin A1c (%)</w:t>
            </w:r>
          </w:p>
        </w:tc>
        <w:tc>
          <w:tcPr>
            <w:tcW w:w="2183" w:type="dxa"/>
            <w:vAlign w:val="center"/>
          </w:tcPr>
          <w:p w14:paraId="556657D0"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52439CA8" w14:textId="51997227" w:rsidR="006E3F46" w:rsidRDefault="006E3F46" w:rsidP="006E3F46">
            <w:pPr>
              <w:widowControl w:val="0"/>
              <w:autoSpaceDE w:val="0"/>
              <w:autoSpaceDN w:val="0"/>
              <w:adjustRightInd w:val="0"/>
              <w:spacing w:after="0" w:line="240" w:lineRule="auto"/>
              <w:jc w:val="both"/>
              <w:rPr>
                <w:rFonts w:eastAsia="Times New Roman"/>
                <w:b/>
              </w:rPr>
            </w:pPr>
            <w:r w:rsidRPr="00287207">
              <w:t>5.08 (0.66)</w:t>
            </w:r>
          </w:p>
        </w:tc>
        <w:tc>
          <w:tcPr>
            <w:tcW w:w="2183" w:type="dxa"/>
            <w:vAlign w:val="center"/>
          </w:tcPr>
          <w:p w14:paraId="06DDA78F" w14:textId="77777777" w:rsidR="006E3F46" w:rsidRDefault="006E3F46" w:rsidP="006E3F46">
            <w:pPr>
              <w:widowControl w:val="0"/>
              <w:autoSpaceDE w:val="0"/>
              <w:autoSpaceDN w:val="0"/>
              <w:adjustRightInd w:val="0"/>
              <w:spacing w:after="0" w:line="240" w:lineRule="auto"/>
              <w:jc w:val="both"/>
              <w:rPr>
                <w:rFonts w:eastAsia="Times New Roman"/>
                <w:b/>
              </w:rPr>
            </w:pPr>
          </w:p>
        </w:tc>
      </w:tr>
      <w:tr w:rsidR="006E3F46" w14:paraId="27E82850" w14:textId="77777777">
        <w:tc>
          <w:tcPr>
            <w:tcW w:w="2183" w:type="dxa"/>
            <w:vAlign w:val="center"/>
          </w:tcPr>
          <w:p w14:paraId="01D8764B" w14:textId="06BD3663" w:rsidR="006E3F46" w:rsidRDefault="006E3F46" w:rsidP="006E3F46">
            <w:pPr>
              <w:widowControl w:val="0"/>
              <w:autoSpaceDE w:val="0"/>
              <w:autoSpaceDN w:val="0"/>
              <w:adjustRightInd w:val="0"/>
              <w:spacing w:after="0" w:line="240" w:lineRule="auto"/>
              <w:jc w:val="both"/>
              <w:rPr>
                <w:rFonts w:eastAsia="Times New Roman"/>
                <w:b/>
              </w:rPr>
            </w:pPr>
            <w:r w:rsidRPr="00287207">
              <w:rPr>
                <w:b/>
                <w:bCs/>
              </w:rPr>
              <w:t>1,5-Anhydroglucitol (µg/mL)</w:t>
            </w:r>
          </w:p>
        </w:tc>
        <w:tc>
          <w:tcPr>
            <w:tcW w:w="2183" w:type="dxa"/>
            <w:vAlign w:val="center"/>
          </w:tcPr>
          <w:p w14:paraId="683EC3EE" w14:textId="77777777" w:rsidR="006E3F46" w:rsidRDefault="006E3F46" w:rsidP="006E3F46">
            <w:pPr>
              <w:widowControl w:val="0"/>
              <w:autoSpaceDE w:val="0"/>
              <w:autoSpaceDN w:val="0"/>
              <w:adjustRightInd w:val="0"/>
              <w:spacing w:after="0" w:line="240" w:lineRule="auto"/>
              <w:jc w:val="both"/>
              <w:rPr>
                <w:rFonts w:eastAsia="Times New Roman"/>
                <w:b/>
              </w:rPr>
            </w:pPr>
          </w:p>
        </w:tc>
        <w:tc>
          <w:tcPr>
            <w:tcW w:w="2183" w:type="dxa"/>
            <w:vAlign w:val="center"/>
          </w:tcPr>
          <w:p w14:paraId="4AEF7381" w14:textId="23DC1CE1" w:rsidR="006E3F46" w:rsidRDefault="006E3F46" w:rsidP="006E3F46">
            <w:pPr>
              <w:widowControl w:val="0"/>
              <w:autoSpaceDE w:val="0"/>
              <w:autoSpaceDN w:val="0"/>
              <w:adjustRightInd w:val="0"/>
              <w:spacing w:after="0" w:line="240" w:lineRule="auto"/>
              <w:jc w:val="both"/>
              <w:rPr>
                <w:rFonts w:eastAsia="Times New Roman"/>
                <w:b/>
              </w:rPr>
            </w:pPr>
            <w:r w:rsidRPr="00287207">
              <w:t>7.89 (4.76)</w:t>
            </w:r>
          </w:p>
        </w:tc>
        <w:tc>
          <w:tcPr>
            <w:tcW w:w="2183" w:type="dxa"/>
            <w:vAlign w:val="center"/>
          </w:tcPr>
          <w:p w14:paraId="5F2EF7E0" w14:textId="77777777" w:rsidR="006E3F46" w:rsidRDefault="006E3F46" w:rsidP="006E3F46">
            <w:pPr>
              <w:widowControl w:val="0"/>
              <w:autoSpaceDE w:val="0"/>
              <w:autoSpaceDN w:val="0"/>
              <w:adjustRightInd w:val="0"/>
              <w:spacing w:after="0" w:line="240" w:lineRule="auto"/>
              <w:jc w:val="both"/>
              <w:rPr>
                <w:rFonts w:eastAsia="Times New Roman"/>
                <w:b/>
              </w:rPr>
            </w:pPr>
          </w:p>
        </w:tc>
      </w:tr>
    </w:tbl>
    <w:p w14:paraId="17D0836F" w14:textId="77777777" w:rsidR="00BE18AB" w:rsidRPr="00683ADD" w:rsidRDefault="00BE18AB" w:rsidP="00E7148D">
      <w:pPr>
        <w:widowControl w:val="0"/>
        <w:autoSpaceDE w:val="0"/>
        <w:autoSpaceDN w:val="0"/>
        <w:adjustRightInd w:val="0"/>
        <w:spacing w:after="0" w:line="240" w:lineRule="auto"/>
        <w:ind w:left="284" w:hanging="284"/>
        <w:jc w:val="both"/>
        <w:rPr>
          <w:rFonts w:eastAsia="Times New Roman"/>
          <w:b/>
        </w:rPr>
      </w:pPr>
    </w:p>
    <w:p w14:paraId="3130AE94" w14:textId="77777777" w:rsidR="00F150B2" w:rsidRDefault="00F150B2" w:rsidP="00E7148D">
      <w:pPr>
        <w:spacing w:line="240" w:lineRule="auto"/>
        <w:ind w:left="284" w:hanging="284"/>
      </w:pPr>
    </w:p>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F587F"/>
    <w:multiLevelType w:val="hybridMultilevel"/>
    <w:tmpl w:val="E5E8720E"/>
    <w:lvl w:ilvl="0" w:tplc="A77265EE">
      <w:start w:val="1"/>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CB5A56"/>
    <w:multiLevelType w:val="hybridMultilevel"/>
    <w:tmpl w:val="E07449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67275094">
    <w:abstractNumId w:val="1"/>
  </w:num>
  <w:num w:numId="2" w16cid:durableId="1802651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77"/>
    <w:rsid w:val="00000F1E"/>
    <w:rsid w:val="00264D0C"/>
    <w:rsid w:val="00417334"/>
    <w:rsid w:val="004C5FDF"/>
    <w:rsid w:val="00577A8E"/>
    <w:rsid w:val="006E3F46"/>
    <w:rsid w:val="008440E8"/>
    <w:rsid w:val="00907155"/>
    <w:rsid w:val="00982CA2"/>
    <w:rsid w:val="00A66DDF"/>
    <w:rsid w:val="00B515E0"/>
    <w:rsid w:val="00B72972"/>
    <w:rsid w:val="00BA5777"/>
    <w:rsid w:val="00BE18AB"/>
    <w:rsid w:val="00E7148D"/>
    <w:rsid w:val="00F15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B0FBD"/>
  <w15:chartTrackingRefBased/>
  <w15:docId w15:val="{B2888145-3F68-4B70-B608-DF89F6747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777"/>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BA57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57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57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7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7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57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57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7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7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77"/>
    <w:rPr>
      <w:rFonts w:eastAsiaTheme="majorEastAsia" w:cstheme="majorBidi"/>
      <w:color w:val="272727" w:themeColor="text1" w:themeTint="D8"/>
    </w:rPr>
  </w:style>
  <w:style w:type="paragraph" w:styleId="Title">
    <w:name w:val="Title"/>
    <w:basedOn w:val="Normal"/>
    <w:next w:val="Normal"/>
    <w:link w:val="TitleChar"/>
    <w:uiPriority w:val="10"/>
    <w:qFormat/>
    <w:rsid w:val="00BA5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77"/>
    <w:pPr>
      <w:spacing w:before="160"/>
      <w:jc w:val="center"/>
    </w:pPr>
    <w:rPr>
      <w:i/>
      <w:iCs/>
      <w:color w:val="404040" w:themeColor="text1" w:themeTint="BF"/>
    </w:rPr>
  </w:style>
  <w:style w:type="character" w:customStyle="1" w:styleId="QuoteChar">
    <w:name w:val="Quote Char"/>
    <w:basedOn w:val="DefaultParagraphFont"/>
    <w:link w:val="Quote"/>
    <w:uiPriority w:val="29"/>
    <w:rsid w:val="00BA5777"/>
    <w:rPr>
      <w:i/>
      <w:iCs/>
      <w:color w:val="404040" w:themeColor="text1" w:themeTint="BF"/>
    </w:rPr>
  </w:style>
  <w:style w:type="paragraph" w:styleId="ListParagraph">
    <w:name w:val="List Paragraph"/>
    <w:basedOn w:val="Normal"/>
    <w:uiPriority w:val="34"/>
    <w:qFormat/>
    <w:rsid w:val="00BA5777"/>
    <w:pPr>
      <w:ind w:left="720"/>
      <w:contextualSpacing/>
    </w:pPr>
  </w:style>
  <w:style w:type="character" w:styleId="IntenseEmphasis">
    <w:name w:val="Intense Emphasis"/>
    <w:basedOn w:val="DefaultParagraphFont"/>
    <w:uiPriority w:val="21"/>
    <w:qFormat/>
    <w:rsid w:val="00BA5777"/>
    <w:rPr>
      <w:i/>
      <w:iCs/>
      <w:color w:val="2F5496" w:themeColor="accent1" w:themeShade="BF"/>
    </w:rPr>
  </w:style>
  <w:style w:type="paragraph" w:styleId="IntenseQuote">
    <w:name w:val="Intense Quote"/>
    <w:basedOn w:val="Normal"/>
    <w:next w:val="Normal"/>
    <w:link w:val="IntenseQuoteChar"/>
    <w:uiPriority w:val="30"/>
    <w:qFormat/>
    <w:rsid w:val="00BA57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777"/>
    <w:rPr>
      <w:i/>
      <w:iCs/>
      <w:color w:val="2F5496" w:themeColor="accent1" w:themeShade="BF"/>
    </w:rPr>
  </w:style>
  <w:style w:type="character" w:styleId="IntenseReference">
    <w:name w:val="Intense Reference"/>
    <w:basedOn w:val="DefaultParagraphFont"/>
    <w:uiPriority w:val="32"/>
    <w:qFormat/>
    <w:rsid w:val="00BA5777"/>
    <w:rPr>
      <w:b/>
      <w:bCs/>
      <w:smallCaps/>
      <w:color w:val="2F5496" w:themeColor="accent1" w:themeShade="BF"/>
      <w:spacing w:val="5"/>
    </w:rPr>
  </w:style>
  <w:style w:type="paragraph" w:customStyle="1" w:styleId="ListParagraph1">
    <w:name w:val="List Paragraph1"/>
    <w:basedOn w:val="Normal"/>
    <w:link w:val="ListParagraphChar"/>
    <w:uiPriority w:val="1"/>
    <w:qFormat/>
    <w:rsid w:val="00BA5777"/>
    <w:pPr>
      <w:ind w:left="720"/>
      <w:contextualSpacing/>
    </w:pPr>
    <w:rPr>
      <w:lang w:val="id-ID" w:eastAsia="ko-KR"/>
    </w:rPr>
  </w:style>
  <w:style w:type="character" w:customStyle="1" w:styleId="ListParagraphChar">
    <w:name w:val="List Paragraph Char"/>
    <w:link w:val="ListParagraph1"/>
    <w:uiPriority w:val="1"/>
    <w:qFormat/>
    <w:locked/>
    <w:rsid w:val="00BA5777"/>
    <w:rPr>
      <w:rFonts w:eastAsiaTheme="minorEastAsia"/>
      <w:kern w:val="0"/>
      <w:sz w:val="22"/>
      <w:szCs w:val="22"/>
      <w:lang w:val="id-ID" w:eastAsia="ko-KR"/>
      <w14:ligatures w14:val="none"/>
    </w:rPr>
  </w:style>
  <w:style w:type="paragraph" w:customStyle="1" w:styleId="Abstracttext">
    <w:name w:val="Abstract text"/>
    <w:basedOn w:val="Normal"/>
    <w:uiPriority w:val="99"/>
    <w:qFormat/>
    <w:rsid w:val="00BA5777"/>
    <w:pPr>
      <w:spacing w:after="0" w:line="360" w:lineRule="auto"/>
      <w:ind w:firstLine="720"/>
    </w:pPr>
    <w:rPr>
      <w:rFonts w:ascii="Times New Roman" w:eastAsia="Calibri" w:hAnsi="Times New Roman" w:cs="Times New Roman"/>
      <w:i/>
      <w:sz w:val="24"/>
      <w:szCs w:val="24"/>
    </w:rPr>
  </w:style>
  <w:style w:type="table" w:styleId="TableGrid">
    <w:name w:val="Table Grid"/>
    <w:basedOn w:val="TableNormal"/>
    <w:uiPriority w:val="39"/>
    <w:rsid w:val="006E3F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3604</Words>
  <Characters>20546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4</cp:revision>
  <dcterms:created xsi:type="dcterms:W3CDTF">2026-03-12T03:35:00Z</dcterms:created>
  <dcterms:modified xsi:type="dcterms:W3CDTF">2026-03-13T07:08:00Z</dcterms:modified>
</cp:coreProperties>
</file>